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DD4C0" w14:textId="77777777" w:rsidR="000F6956" w:rsidRDefault="000F6956" w:rsidP="002D62B9">
      <w:pPr>
        <w:ind w:firstLine="0"/>
        <w:jc w:val="left"/>
        <w:rPr>
          <w:b/>
          <w:sz w:val="56"/>
        </w:rPr>
      </w:pPr>
    </w:p>
    <w:p w14:paraId="2DB7AA8F" w14:textId="77777777" w:rsidR="000F6956" w:rsidRDefault="000F6956" w:rsidP="002D62B9">
      <w:pPr>
        <w:ind w:firstLine="0"/>
        <w:jc w:val="left"/>
        <w:rPr>
          <w:b/>
          <w:sz w:val="56"/>
        </w:rPr>
      </w:pPr>
    </w:p>
    <w:p w14:paraId="7A16FD7F" w14:textId="77777777" w:rsidR="000F6956" w:rsidRDefault="000F6956" w:rsidP="002D62B9">
      <w:pPr>
        <w:ind w:firstLine="0"/>
        <w:jc w:val="left"/>
        <w:rPr>
          <w:b/>
          <w:sz w:val="56"/>
        </w:rPr>
      </w:pPr>
    </w:p>
    <w:p w14:paraId="5F07F143" w14:textId="77777777" w:rsidR="000F6956" w:rsidRDefault="000F6956" w:rsidP="002D62B9">
      <w:pPr>
        <w:ind w:firstLine="0"/>
        <w:jc w:val="left"/>
        <w:rPr>
          <w:b/>
          <w:sz w:val="56"/>
        </w:rPr>
      </w:pPr>
    </w:p>
    <w:p w14:paraId="4EBF888E" w14:textId="77777777" w:rsidR="000F6956" w:rsidRDefault="000F6956" w:rsidP="002D62B9">
      <w:pPr>
        <w:ind w:firstLine="0"/>
        <w:jc w:val="left"/>
        <w:rPr>
          <w:b/>
          <w:sz w:val="56"/>
        </w:rPr>
      </w:pPr>
    </w:p>
    <w:p w14:paraId="24E69B09" w14:textId="77777777" w:rsidR="000F6956" w:rsidRDefault="000F6956" w:rsidP="002D62B9">
      <w:pPr>
        <w:ind w:firstLine="0"/>
        <w:jc w:val="left"/>
        <w:rPr>
          <w:b/>
          <w:sz w:val="56"/>
        </w:rPr>
      </w:pPr>
    </w:p>
    <w:p w14:paraId="3DD66DE1" w14:textId="77777777" w:rsidR="000F6956" w:rsidRDefault="000F6956" w:rsidP="002D62B9">
      <w:pPr>
        <w:ind w:firstLine="0"/>
        <w:jc w:val="left"/>
        <w:rPr>
          <w:b/>
          <w:sz w:val="56"/>
        </w:rPr>
      </w:pPr>
    </w:p>
    <w:p w14:paraId="664220C2" w14:textId="77777777" w:rsidR="000F6956" w:rsidRPr="009C61B1" w:rsidRDefault="000F6956" w:rsidP="002D62B9">
      <w:pPr>
        <w:ind w:firstLine="0"/>
        <w:jc w:val="left"/>
        <w:rPr>
          <w:b/>
          <w:sz w:val="56"/>
        </w:rPr>
      </w:pPr>
      <w:bookmarkStart w:id="0" w:name="_GoBack"/>
      <w:r w:rsidRPr="009C61B1">
        <w:rPr>
          <w:b/>
          <w:sz w:val="56"/>
        </w:rPr>
        <w:t>Latvijas</w:t>
      </w:r>
    </w:p>
    <w:p w14:paraId="11EFB262" w14:textId="77777777" w:rsidR="000F6956" w:rsidRPr="009C61B1" w:rsidRDefault="000F6956" w:rsidP="002D62B9">
      <w:pPr>
        <w:ind w:firstLine="0"/>
        <w:jc w:val="left"/>
        <w:rPr>
          <w:b/>
          <w:sz w:val="56"/>
        </w:rPr>
      </w:pPr>
      <w:r w:rsidRPr="009C61B1">
        <w:rPr>
          <w:b/>
          <w:sz w:val="56"/>
        </w:rPr>
        <w:t>Konverģences programma</w:t>
      </w:r>
    </w:p>
    <w:p w14:paraId="339B0F67" w14:textId="6F9758AF" w:rsidR="00FF5AA6" w:rsidRDefault="00877BCB" w:rsidP="002D62B9">
      <w:pPr>
        <w:ind w:firstLine="0"/>
        <w:rPr>
          <w:b/>
          <w:sz w:val="56"/>
        </w:rPr>
      </w:pPr>
      <w:r>
        <w:rPr>
          <w:b/>
          <w:sz w:val="56"/>
        </w:rPr>
        <w:t>2013</w:t>
      </w:r>
      <w:r w:rsidR="00E2547E">
        <w:rPr>
          <w:b/>
          <w:sz w:val="56"/>
        </w:rPr>
        <w:t>.</w:t>
      </w:r>
      <w:r>
        <w:rPr>
          <w:b/>
          <w:sz w:val="56"/>
        </w:rPr>
        <w:t>-2016</w:t>
      </w:r>
      <w:r w:rsidR="00E2547E">
        <w:rPr>
          <w:b/>
          <w:sz w:val="56"/>
        </w:rPr>
        <w:t>. gadam</w:t>
      </w:r>
    </w:p>
    <w:bookmarkEnd w:id="0"/>
    <w:p w14:paraId="5EAAA5ED" w14:textId="77777777" w:rsidR="000F6956" w:rsidRDefault="000F6956" w:rsidP="002D62B9">
      <w:pPr>
        <w:ind w:firstLine="0"/>
        <w:rPr>
          <w:b/>
          <w:sz w:val="56"/>
        </w:rPr>
      </w:pPr>
    </w:p>
    <w:p w14:paraId="53AC6830" w14:textId="77777777" w:rsidR="000F6956" w:rsidRDefault="000F6956" w:rsidP="002D62B9">
      <w:pPr>
        <w:ind w:firstLine="0"/>
        <w:rPr>
          <w:b/>
          <w:sz w:val="56"/>
        </w:rPr>
      </w:pPr>
    </w:p>
    <w:p w14:paraId="1825D347" w14:textId="77777777" w:rsidR="00AC5072" w:rsidRDefault="00AC5072" w:rsidP="002D62B9">
      <w:pPr>
        <w:ind w:firstLine="0"/>
        <w:rPr>
          <w:b/>
          <w:sz w:val="56"/>
        </w:rPr>
      </w:pPr>
    </w:p>
    <w:p w14:paraId="7E271C76" w14:textId="77777777" w:rsidR="00AC5072" w:rsidRDefault="00AC5072" w:rsidP="002D62B9">
      <w:pPr>
        <w:ind w:firstLine="0"/>
        <w:rPr>
          <w:b/>
          <w:sz w:val="56"/>
        </w:rPr>
      </w:pPr>
    </w:p>
    <w:p w14:paraId="3D7BDA9F" w14:textId="77777777" w:rsidR="00AC5072" w:rsidRDefault="00AC5072" w:rsidP="002D62B9">
      <w:pPr>
        <w:ind w:firstLine="0"/>
        <w:rPr>
          <w:b/>
          <w:sz w:val="56"/>
        </w:rPr>
      </w:pPr>
    </w:p>
    <w:p w14:paraId="537ED410" w14:textId="77777777" w:rsidR="00D9397F" w:rsidRDefault="00D9397F" w:rsidP="002D62B9">
      <w:pPr>
        <w:ind w:firstLine="0"/>
        <w:rPr>
          <w:b/>
          <w:sz w:val="56"/>
        </w:rPr>
      </w:pPr>
    </w:p>
    <w:p w14:paraId="439A3C89" w14:textId="77777777" w:rsidR="000F6956" w:rsidRPr="009C61B1" w:rsidRDefault="000F6956" w:rsidP="002D62B9">
      <w:pPr>
        <w:jc w:val="left"/>
      </w:pPr>
    </w:p>
    <w:p w14:paraId="0F111BA1" w14:textId="77777777" w:rsidR="000F6956" w:rsidRPr="009C61B1" w:rsidRDefault="00877BCB" w:rsidP="002D62B9">
      <w:pPr>
        <w:pBdr>
          <w:top w:val="single" w:sz="4" w:space="4" w:color="auto"/>
        </w:pBdr>
        <w:ind w:firstLine="0"/>
        <w:jc w:val="left"/>
        <w:sectPr w:rsidR="000F6956" w:rsidRPr="009C61B1" w:rsidSect="00D9397F">
          <w:headerReference w:type="even" r:id="rId50"/>
          <w:headerReference w:type="default" r:id="rId51"/>
          <w:headerReference w:type="first" r:id="rId52"/>
          <w:footerReference w:type="first" r:id="rId53"/>
          <w:pgSz w:w="11906" w:h="16838" w:code="9"/>
          <w:pgMar w:top="1418" w:right="1134" w:bottom="1134" w:left="1701" w:header="720" w:footer="0" w:gutter="0"/>
          <w:cols w:space="720"/>
          <w:titlePg/>
          <w:rtlGutter/>
          <w:docGrid w:linePitch="326"/>
        </w:sectPr>
      </w:pPr>
      <w:r>
        <w:t>2013</w:t>
      </w:r>
      <w:r w:rsidR="000F6956" w:rsidRPr="009C61B1">
        <w:t>. gada aprīlis</w:t>
      </w:r>
    </w:p>
    <w:p w14:paraId="1E5DAA62" w14:textId="77777777" w:rsidR="00C53CDD" w:rsidRPr="00614215" w:rsidRDefault="00C53CDD" w:rsidP="002D62B9">
      <w:pPr>
        <w:ind w:firstLine="0"/>
        <w:rPr>
          <w:b/>
          <w:sz w:val="32"/>
        </w:rPr>
      </w:pPr>
      <w:bookmarkStart w:id="1" w:name="_Toc92091174"/>
      <w:bookmarkStart w:id="2" w:name="_Toc120504672"/>
      <w:bookmarkStart w:id="3" w:name="_Toc284924039"/>
      <w:r w:rsidRPr="00A652BA">
        <w:rPr>
          <w:b/>
          <w:sz w:val="32"/>
        </w:rPr>
        <w:lastRenderedPageBreak/>
        <w:t>Saturs</w:t>
      </w:r>
      <w:r w:rsidR="00D3627A" w:rsidRPr="00614215">
        <w:rPr>
          <w:b/>
          <w:sz w:val="32"/>
        </w:rPr>
        <w:t xml:space="preserve"> </w:t>
      </w:r>
    </w:p>
    <w:p w14:paraId="3303665A" w14:textId="77777777" w:rsidR="00D70007" w:rsidRDefault="00283B8B" w:rsidP="00D70007">
      <w:pPr>
        <w:pStyle w:val="TOC2"/>
        <w:ind w:left="0" w:firstLine="0"/>
        <w:rPr>
          <w:rFonts w:asciiTheme="minorHAnsi" w:eastAsiaTheme="minorEastAsia" w:hAnsiTheme="minorHAnsi" w:cstheme="minorBidi"/>
          <w:noProof/>
          <w:sz w:val="22"/>
          <w:szCs w:val="22"/>
          <w:lang w:eastAsia="lv-LV"/>
        </w:rPr>
      </w:pPr>
      <w:r w:rsidRPr="00877BCB">
        <w:rPr>
          <w:highlight w:val="yellow"/>
        </w:rPr>
        <w:fldChar w:fldCharType="begin"/>
      </w:r>
      <w:r w:rsidRPr="00877BCB">
        <w:rPr>
          <w:highlight w:val="yellow"/>
        </w:rPr>
        <w:instrText xml:space="preserve"> TOC \o "1-3" \h \z \u </w:instrText>
      </w:r>
      <w:r w:rsidRPr="00877BCB">
        <w:rPr>
          <w:highlight w:val="yellow"/>
        </w:rPr>
        <w:fldChar w:fldCharType="separate"/>
      </w:r>
      <w:hyperlink w:anchor="_Toc354671207" w:history="1">
        <w:r w:rsidR="00D70007" w:rsidRPr="00D30F54">
          <w:rPr>
            <w:rStyle w:val="Hyperlink"/>
            <w:noProof/>
          </w:rPr>
          <w:t>Saīsinājumu apzīmējumi</w:t>
        </w:r>
        <w:r w:rsidR="00D70007">
          <w:rPr>
            <w:noProof/>
            <w:webHidden/>
          </w:rPr>
          <w:tab/>
        </w:r>
        <w:r w:rsidR="00D70007">
          <w:rPr>
            <w:noProof/>
            <w:webHidden/>
          </w:rPr>
          <w:fldChar w:fldCharType="begin"/>
        </w:r>
        <w:r w:rsidR="00D70007">
          <w:rPr>
            <w:noProof/>
            <w:webHidden/>
          </w:rPr>
          <w:instrText xml:space="preserve"> PAGEREF _Toc354671207 \h </w:instrText>
        </w:r>
        <w:r w:rsidR="00D70007">
          <w:rPr>
            <w:noProof/>
            <w:webHidden/>
          </w:rPr>
        </w:r>
        <w:r w:rsidR="00D70007">
          <w:rPr>
            <w:noProof/>
            <w:webHidden/>
          </w:rPr>
          <w:fldChar w:fldCharType="separate"/>
        </w:r>
        <w:r w:rsidR="00A05904">
          <w:rPr>
            <w:noProof/>
            <w:webHidden/>
          </w:rPr>
          <w:t>3</w:t>
        </w:r>
        <w:r w:rsidR="00D70007">
          <w:rPr>
            <w:noProof/>
            <w:webHidden/>
          </w:rPr>
          <w:fldChar w:fldCharType="end"/>
        </w:r>
      </w:hyperlink>
    </w:p>
    <w:p w14:paraId="247A656F" w14:textId="77777777" w:rsidR="00D70007" w:rsidRDefault="00796989">
      <w:pPr>
        <w:pStyle w:val="TOC1"/>
        <w:rPr>
          <w:rFonts w:asciiTheme="minorHAnsi" w:eastAsiaTheme="minorEastAsia" w:hAnsiTheme="minorHAnsi" w:cstheme="minorBidi"/>
          <w:noProof/>
          <w:sz w:val="22"/>
          <w:szCs w:val="22"/>
          <w:lang w:eastAsia="lv-LV"/>
        </w:rPr>
      </w:pPr>
      <w:hyperlink w:anchor="_Toc354671208" w:history="1">
        <w:r w:rsidR="00D70007" w:rsidRPr="00D30F54">
          <w:rPr>
            <w:rStyle w:val="Hyperlink"/>
            <w:noProof/>
          </w:rPr>
          <w:t>1.</w:t>
        </w:r>
        <w:r w:rsidR="00D70007">
          <w:rPr>
            <w:rFonts w:asciiTheme="minorHAnsi" w:eastAsiaTheme="minorEastAsia" w:hAnsiTheme="minorHAnsi" w:cstheme="minorBidi"/>
            <w:noProof/>
            <w:sz w:val="22"/>
            <w:szCs w:val="22"/>
            <w:lang w:eastAsia="lv-LV"/>
          </w:rPr>
          <w:tab/>
        </w:r>
        <w:r w:rsidR="00D70007" w:rsidRPr="00D30F54">
          <w:rPr>
            <w:rStyle w:val="Hyperlink"/>
            <w:noProof/>
          </w:rPr>
          <w:t>Vispārējās ekonomiskās politikas vadlīnijas un mērķi</w:t>
        </w:r>
        <w:r w:rsidR="00D70007">
          <w:rPr>
            <w:noProof/>
            <w:webHidden/>
          </w:rPr>
          <w:tab/>
        </w:r>
        <w:r w:rsidR="00D70007">
          <w:rPr>
            <w:noProof/>
            <w:webHidden/>
          </w:rPr>
          <w:fldChar w:fldCharType="begin"/>
        </w:r>
        <w:r w:rsidR="00D70007">
          <w:rPr>
            <w:noProof/>
            <w:webHidden/>
          </w:rPr>
          <w:instrText xml:space="preserve"> PAGEREF _Toc354671208 \h </w:instrText>
        </w:r>
        <w:r w:rsidR="00D70007">
          <w:rPr>
            <w:noProof/>
            <w:webHidden/>
          </w:rPr>
        </w:r>
        <w:r w:rsidR="00D70007">
          <w:rPr>
            <w:noProof/>
            <w:webHidden/>
          </w:rPr>
          <w:fldChar w:fldCharType="separate"/>
        </w:r>
        <w:r w:rsidR="00A05904">
          <w:rPr>
            <w:noProof/>
            <w:webHidden/>
          </w:rPr>
          <w:t>5</w:t>
        </w:r>
        <w:r w:rsidR="00D70007">
          <w:rPr>
            <w:noProof/>
            <w:webHidden/>
          </w:rPr>
          <w:fldChar w:fldCharType="end"/>
        </w:r>
      </w:hyperlink>
    </w:p>
    <w:p w14:paraId="06922BE5" w14:textId="77777777" w:rsidR="00D70007" w:rsidRDefault="00796989">
      <w:pPr>
        <w:pStyle w:val="TOC1"/>
        <w:rPr>
          <w:rFonts w:asciiTheme="minorHAnsi" w:eastAsiaTheme="minorEastAsia" w:hAnsiTheme="minorHAnsi" w:cstheme="minorBidi"/>
          <w:noProof/>
          <w:sz w:val="22"/>
          <w:szCs w:val="22"/>
          <w:lang w:eastAsia="lv-LV"/>
        </w:rPr>
      </w:pPr>
      <w:hyperlink w:anchor="_Toc354671209" w:history="1">
        <w:r w:rsidR="00D70007" w:rsidRPr="00D30F54">
          <w:rPr>
            <w:rStyle w:val="Hyperlink"/>
            <w:noProof/>
          </w:rPr>
          <w:t>2.</w:t>
        </w:r>
        <w:r w:rsidR="00D70007">
          <w:rPr>
            <w:rFonts w:asciiTheme="minorHAnsi" w:eastAsiaTheme="minorEastAsia" w:hAnsiTheme="minorHAnsi" w:cstheme="minorBidi"/>
            <w:noProof/>
            <w:sz w:val="22"/>
            <w:szCs w:val="22"/>
            <w:lang w:eastAsia="lv-LV"/>
          </w:rPr>
          <w:tab/>
        </w:r>
        <w:r w:rsidR="00D70007" w:rsidRPr="00D30F54">
          <w:rPr>
            <w:rStyle w:val="Hyperlink"/>
            <w:noProof/>
          </w:rPr>
          <w:t>Ekonomiskā situācija</w:t>
        </w:r>
        <w:r w:rsidR="00D70007">
          <w:rPr>
            <w:noProof/>
            <w:webHidden/>
          </w:rPr>
          <w:tab/>
        </w:r>
        <w:r w:rsidR="00D70007">
          <w:rPr>
            <w:noProof/>
            <w:webHidden/>
          </w:rPr>
          <w:fldChar w:fldCharType="begin"/>
        </w:r>
        <w:r w:rsidR="00D70007">
          <w:rPr>
            <w:noProof/>
            <w:webHidden/>
          </w:rPr>
          <w:instrText xml:space="preserve"> PAGEREF _Toc354671209 \h </w:instrText>
        </w:r>
        <w:r w:rsidR="00D70007">
          <w:rPr>
            <w:noProof/>
            <w:webHidden/>
          </w:rPr>
        </w:r>
        <w:r w:rsidR="00D70007">
          <w:rPr>
            <w:noProof/>
            <w:webHidden/>
          </w:rPr>
          <w:fldChar w:fldCharType="separate"/>
        </w:r>
        <w:r w:rsidR="00A05904">
          <w:rPr>
            <w:noProof/>
            <w:webHidden/>
          </w:rPr>
          <w:t>7</w:t>
        </w:r>
        <w:r w:rsidR="00D70007">
          <w:rPr>
            <w:noProof/>
            <w:webHidden/>
          </w:rPr>
          <w:fldChar w:fldCharType="end"/>
        </w:r>
      </w:hyperlink>
    </w:p>
    <w:p w14:paraId="30AA9821" w14:textId="77777777" w:rsidR="00D70007" w:rsidRDefault="00796989">
      <w:pPr>
        <w:pStyle w:val="TOC2"/>
        <w:rPr>
          <w:rFonts w:asciiTheme="minorHAnsi" w:eastAsiaTheme="minorEastAsia" w:hAnsiTheme="minorHAnsi" w:cstheme="minorBidi"/>
          <w:noProof/>
          <w:sz w:val="22"/>
          <w:szCs w:val="22"/>
          <w:lang w:eastAsia="lv-LV"/>
        </w:rPr>
      </w:pPr>
      <w:hyperlink w:anchor="_Toc354671210" w:history="1">
        <w:r w:rsidR="00D70007" w:rsidRPr="00D30F54">
          <w:rPr>
            <w:rStyle w:val="Hyperlink"/>
            <w:noProof/>
          </w:rPr>
          <w:t>2.1. Ārējā ekonomiskā vide</w:t>
        </w:r>
        <w:r w:rsidR="00D70007">
          <w:rPr>
            <w:noProof/>
            <w:webHidden/>
          </w:rPr>
          <w:tab/>
        </w:r>
        <w:r w:rsidR="00D70007">
          <w:rPr>
            <w:noProof/>
            <w:webHidden/>
          </w:rPr>
          <w:fldChar w:fldCharType="begin"/>
        </w:r>
        <w:r w:rsidR="00D70007">
          <w:rPr>
            <w:noProof/>
            <w:webHidden/>
          </w:rPr>
          <w:instrText xml:space="preserve"> PAGEREF _Toc354671210 \h </w:instrText>
        </w:r>
        <w:r w:rsidR="00D70007">
          <w:rPr>
            <w:noProof/>
            <w:webHidden/>
          </w:rPr>
        </w:r>
        <w:r w:rsidR="00D70007">
          <w:rPr>
            <w:noProof/>
            <w:webHidden/>
          </w:rPr>
          <w:fldChar w:fldCharType="separate"/>
        </w:r>
        <w:r w:rsidR="00A05904">
          <w:rPr>
            <w:noProof/>
            <w:webHidden/>
          </w:rPr>
          <w:t>7</w:t>
        </w:r>
        <w:r w:rsidR="00D70007">
          <w:rPr>
            <w:noProof/>
            <w:webHidden/>
          </w:rPr>
          <w:fldChar w:fldCharType="end"/>
        </w:r>
      </w:hyperlink>
    </w:p>
    <w:p w14:paraId="1B9AFCB6" w14:textId="77777777" w:rsidR="00D70007" w:rsidRDefault="00796989">
      <w:pPr>
        <w:pStyle w:val="TOC2"/>
        <w:rPr>
          <w:rFonts w:asciiTheme="minorHAnsi" w:eastAsiaTheme="minorEastAsia" w:hAnsiTheme="minorHAnsi" w:cstheme="minorBidi"/>
          <w:noProof/>
          <w:sz w:val="22"/>
          <w:szCs w:val="22"/>
          <w:lang w:eastAsia="lv-LV"/>
        </w:rPr>
      </w:pPr>
      <w:hyperlink w:anchor="_Toc354671211" w:history="1">
        <w:r w:rsidR="00D70007" w:rsidRPr="00D30F54">
          <w:rPr>
            <w:rStyle w:val="Hyperlink"/>
            <w:noProof/>
          </w:rPr>
          <w:t>2.2. Pašreizējā ekonomiskā attīstība</w:t>
        </w:r>
        <w:r w:rsidR="00D70007">
          <w:rPr>
            <w:noProof/>
            <w:webHidden/>
          </w:rPr>
          <w:tab/>
        </w:r>
        <w:r w:rsidR="00D70007">
          <w:rPr>
            <w:noProof/>
            <w:webHidden/>
          </w:rPr>
          <w:fldChar w:fldCharType="begin"/>
        </w:r>
        <w:r w:rsidR="00D70007">
          <w:rPr>
            <w:noProof/>
            <w:webHidden/>
          </w:rPr>
          <w:instrText xml:space="preserve"> PAGEREF _Toc354671211 \h </w:instrText>
        </w:r>
        <w:r w:rsidR="00D70007">
          <w:rPr>
            <w:noProof/>
            <w:webHidden/>
          </w:rPr>
        </w:r>
        <w:r w:rsidR="00D70007">
          <w:rPr>
            <w:noProof/>
            <w:webHidden/>
          </w:rPr>
          <w:fldChar w:fldCharType="separate"/>
        </w:r>
        <w:r w:rsidR="00A05904">
          <w:rPr>
            <w:noProof/>
            <w:webHidden/>
          </w:rPr>
          <w:t>8</w:t>
        </w:r>
        <w:r w:rsidR="00D70007">
          <w:rPr>
            <w:noProof/>
            <w:webHidden/>
          </w:rPr>
          <w:fldChar w:fldCharType="end"/>
        </w:r>
      </w:hyperlink>
    </w:p>
    <w:p w14:paraId="23DD99FA" w14:textId="77777777" w:rsidR="00D70007" w:rsidRDefault="00796989">
      <w:pPr>
        <w:pStyle w:val="TOC2"/>
        <w:rPr>
          <w:rFonts w:asciiTheme="minorHAnsi" w:eastAsiaTheme="minorEastAsia" w:hAnsiTheme="minorHAnsi" w:cstheme="minorBidi"/>
          <w:noProof/>
          <w:sz w:val="22"/>
          <w:szCs w:val="22"/>
          <w:lang w:eastAsia="lv-LV"/>
        </w:rPr>
      </w:pPr>
      <w:hyperlink w:anchor="_Toc354671212" w:history="1">
        <w:r w:rsidR="00D70007" w:rsidRPr="00D30F54">
          <w:rPr>
            <w:rStyle w:val="Hyperlink"/>
            <w:noProof/>
          </w:rPr>
          <w:t>2.3. Makroekonomiskās attīstības scenārijs</w:t>
        </w:r>
        <w:r w:rsidR="00D70007">
          <w:rPr>
            <w:noProof/>
            <w:webHidden/>
          </w:rPr>
          <w:tab/>
        </w:r>
        <w:r w:rsidR="00D70007">
          <w:rPr>
            <w:noProof/>
            <w:webHidden/>
          </w:rPr>
          <w:fldChar w:fldCharType="begin"/>
        </w:r>
        <w:r w:rsidR="00D70007">
          <w:rPr>
            <w:noProof/>
            <w:webHidden/>
          </w:rPr>
          <w:instrText xml:space="preserve"> PAGEREF _Toc354671212 \h </w:instrText>
        </w:r>
        <w:r w:rsidR="00D70007">
          <w:rPr>
            <w:noProof/>
            <w:webHidden/>
          </w:rPr>
        </w:r>
        <w:r w:rsidR="00D70007">
          <w:rPr>
            <w:noProof/>
            <w:webHidden/>
          </w:rPr>
          <w:fldChar w:fldCharType="separate"/>
        </w:r>
        <w:r w:rsidR="00A05904">
          <w:rPr>
            <w:noProof/>
            <w:webHidden/>
          </w:rPr>
          <w:t>11</w:t>
        </w:r>
        <w:r w:rsidR="00D70007">
          <w:rPr>
            <w:noProof/>
            <w:webHidden/>
          </w:rPr>
          <w:fldChar w:fldCharType="end"/>
        </w:r>
      </w:hyperlink>
    </w:p>
    <w:p w14:paraId="0768C6B8" w14:textId="77777777" w:rsidR="00D70007" w:rsidRDefault="00796989">
      <w:pPr>
        <w:pStyle w:val="TOC2"/>
        <w:rPr>
          <w:rFonts w:asciiTheme="minorHAnsi" w:eastAsiaTheme="minorEastAsia" w:hAnsiTheme="minorHAnsi" w:cstheme="minorBidi"/>
          <w:noProof/>
          <w:sz w:val="22"/>
          <w:szCs w:val="22"/>
          <w:lang w:eastAsia="lv-LV"/>
        </w:rPr>
      </w:pPr>
      <w:hyperlink w:anchor="_Toc354671213" w:history="1">
        <w:r w:rsidR="00D70007" w:rsidRPr="00D30F54">
          <w:rPr>
            <w:rStyle w:val="Hyperlink"/>
            <w:noProof/>
          </w:rPr>
          <w:t>2.4. Dalība Valūtas kursa mehānismā II</w:t>
        </w:r>
        <w:r w:rsidR="00D70007">
          <w:rPr>
            <w:noProof/>
            <w:webHidden/>
          </w:rPr>
          <w:tab/>
        </w:r>
        <w:r w:rsidR="00D70007">
          <w:rPr>
            <w:noProof/>
            <w:webHidden/>
          </w:rPr>
          <w:fldChar w:fldCharType="begin"/>
        </w:r>
        <w:r w:rsidR="00D70007">
          <w:rPr>
            <w:noProof/>
            <w:webHidden/>
          </w:rPr>
          <w:instrText xml:space="preserve"> PAGEREF _Toc354671213 \h </w:instrText>
        </w:r>
        <w:r w:rsidR="00D70007">
          <w:rPr>
            <w:noProof/>
            <w:webHidden/>
          </w:rPr>
        </w:r>
        <w:r w:rsidR="00D70007">
          <w:rPr>
            <w:noProof/>
            <w:webHidden/>
          </w:rPr>
          <w:fldChar w:fldCharType="separate"/>
        </w:r>
        <w:r w:rsidR="00A05904">
          <w:rPr>
            <w:noProof/>
            <w:webHidden/>
          </w:rPr>
          <w:t>16</w:t>
        </w:r>
        <w:r w:rsidR="00D70007">
          <w:rPr>
            <w:noProof/>
            <w:webHidden/>
          </w:rPr>
          <w:fldChar w:fldCharType="end"/>
        </w:r>
      </w:hyperlink>
    </w:p>
    <w:p w14:paraId="599C2B7A" w14:textId="77777777" w:rsidR="00D70007" w:rsidRDefault="00796989">
      <w:pPr>
        <w:pStyle w:val="TOC1"/>
        <w:rPr>
          <w:rFonts w:asciiTheme="minorHAnsi" w:eastAsiaTheme="minorEastAsia" w:hAnsiTheme="minorHAnsi" w:cstheme="minorBidi"/>
          <w:noProof/>
          <w:sz w:val="22"/>
          <w:szCs w:val="22"/>
          <w:lang w:eastAsia="lv-LV"/>
        </w:rPr>
      </w:pPr>
      <w:hyperlink w:anchor="_Toc354671214" w:history="1">
        <w:r w:rsidR="00D70007" w:rsidRPr="00D30F54">
          <w:rPr>
            <w:rStyle w:val="Hyperlink"/>
            <w:noProof/>
          </w:rPr>
          <w:t>3. Strukturālo reformu ietekme uz tautsaimniecību un valsts finansēm</w:t>
        </w:r>
        <w:r w:rsidR="00D70007">
          <w:rPr>
            <w:noProof/>
            <w:webHidden/>
          </w:rPr>
          <w:tab/>
        </w:r>
        <w:r w:rsidR="00D70007">
          <w:rPr>
            <w:noProof/>
            <w:webHidden/>
          </w:rPr>
          <w:fldChar w:fldCharType="begin"/>
        </w:r>
        <w:r w:rsidR="00D70007">
          <w:rPr>
            <w:noProof/>
            <w:webHidden/>
          </w:rPr>
          <w:instrText xml:space="preserve"> PAGEREF _Toc354671214 \h </w:instrText>
        </w:r>
        <w:r w:rsidR="00D70007">
          <w:rPr>
            <w:noProof/>
            <w:webHidden/>
          </w:rPr>
        </w:r>
        <w:r w:rsidR="00D70007">
          <w:rPr>
            <w:noProof/>
            <w:webHidden/>
          </w:rPr>
          <w:fldChar w:fldCharType="separate"/>
        </w:r>
        <w:r w:rsidR="00A05904">
          <w:rPr>
            <w:noProof/>
            <w:webHidden/>
          </w:rPr>
          <w:t>19</w:t>
        </w:r>
        <w:r w:rsidR="00D70007">
          <w:rPr>
            <w:noProof/>
            <w:webHidden/>
          </w:rPr>
          <w:fldChar w:fldCharType="end"/>
        </w:r>
      </w:hyperlink>
    </w:p>
    <w:p w14:paraId="573CCEB8" w14:textId="77777777" w:rsidR="00D70007" w:rsidRDefault="00796989" w:rsidP="00D70007">
      <w:pPr>
        <w:pStyle w:val="TOC3"/>
        <w:ind w:left="0" w:firstLine="851"/>
        <w:rPr>
          <w:rFonts w:asciiTheme="minorHAnsi" w:eastAsiaTheme="minorEastAsia" w:hAnsiTheme="minorHAnsi" w:cstheme="minorBidi"/>
          <w:noProof/>
          <w:sz w:val="22"/>
          <w:szCs w:val="22"/>
          <w:lang w:eastAsia="lv-LV"/>
        </w:rPr>
      </w:pPr>
      <w:hyperlink w:anchor="_Toc354671215" w:history="1">
        <w:r w:rsidR="00D70007" w:rsidRPr="00D30F54">
          <w:rPr>
            <w:rStyle w:val="Hyperlink"/>
            <w:noProof/>
          </w:rPr>
          <w:t>3.1. Finanšu stabilitāte</w:t>
        </w:r>
        <w:r w:rsidR="00D70007">
          <w:rPr>
            <w:noProof/>
            <w:webHidden/>
          </w:rPr>
          <w:tab/>
        </w:r>
        <w:r w:rsidR="00D70007">
          <w:rPr>
            <w:noProof/>
            <w:webHidden/>
          </w:rPr>
          <w:fldChar w:fldCharType="begin"/>
        </w:r>
        <w:r w:rsidR="00D70007">
          <w:rPr>
            <w:noProof/>
            <w:webHidden/>
          </w:rPr>
          <w:instrText xml:space="preserve"> PAGEREF _Toc354671215 \h </w:instrText>
        </w:r>
        <w:r w:rsidR="00D70007">
          <w:rPr>
            <w:noProof/>
            <w:webHidden/>
          </w:rPr>
        </w:r>
        <w:r w:rsidR="00D70007">
          <w:rPr>
            <w:noProof/>
            <w:webHidden/>
          </w:rPr>
          <w:fldChar w:fldCharType="separate"/>
        </w:r>
        <w:r w:rsidR="00A05904">
          <w:rPr>
            <w:noProof/>
            <w:webHidden/>
          </w:rPr>
          <w:t>19</w:t>
        </w:r>
        <w:r w:rsidR="00D70007">
          <w:rPr>
            <w:noProof/>
            <w:webHidden/>
          </w:rPr>
          <w:fldChar w:fldCharType="end"/>
        </w:r>
      </w:hyperlink>
    </w:p>
    <w:p w14:paraId="52D35C28" w14:textId="77777777" w:rsidR="00D70007" w:rsidRDefault="00796989" w:rsidP="00D70007">
      <w:pPr>
        <w:pStyle w:val="TOC3"/>
        <w:ind w:left="0" w:firstLine="851"/>
        <w:rPr>
          <w:rFonts w:asciiTheme="minorHAnsi" w:eastAsiaTheme="minorEastAsia" w:hAnsiTheme="minorHAnsi" w:cstheme="minorBidi"/>
          <w:noProof/>
          <w:sz w:val="22"/>
          <w:szCs w:val="22"/>
          <w:lang w:eastAsia="lv-LV"/>
        </w:rPr>
      </w:pPr>
      <w:hyperlink w:anchor="_Toc354671216" w:history="1">
        <w:r w:rsidR="00D70007" w:rsidRPr="00D30F54">
          <w:rPr>
            <w:rStyle w:val="Hyperlink"/>
            <w:noProof/>
          </w:rPr>
          <w:t>3.2. Konkurētspējas veicināšana</w:t>
        </w:r>
        <w:r w:rsidR="00D70007">
          <w:rPr>
            <w:noProof/>
            <w:webHidden/>
          </w:rPr>
          <w:tab/>
        </w:r>
        <w:r w:rsidR="00D70007">
          <w:rPr>
            <w:noProof/>
            <w:webHidden/>
          </w:rPr>
          <w:fldChar w:fldCharType="begin"/>
        </w:r>
        <w:r w:rsidR="00D70007">
          <w:rPr>
            <w:noProof/>
            <w:webHidden/>
          </w:rPr>
          <w:instrText xml:space="preserve"> PAGEREF _Toc354671216 \h </w:instrText>
        </w:r>
        <w:r w:rsidR="00D70007">
          <w:rPr>
            <w:noProof/>
            <w:webHidden/>
          </w:rPr>
        </w:r>
        <w:r w:rsidR="00D70007">
          <w:rPr>
            <w:noProof/>
            <w:webHidden/>
          </w:rPr>
          <w:fldChar w:fldCharType="separate"/>
        </w:r>
        <w:r w:rsidR="00A05904">
          <w:rPr>
            <w:noProof/>
            <w:webHidden/>
          </w:rPr>
          <w:t>20</w:t>
        </w:r>
        <w:r w:rsidR="00D70007">
          <w:rPr>
            <w:noProof/>
            <w:webHidden/>
          </w:rPr>
          <w:fldChar w:fldCharType="end"/>
        </w:r>
      </w:hyperlink>
    </w:p>
    <w:p w14:paraId="11835947" w14:textId="77777777" w:rsidR="00D70007" w:rsidRDefault="00796989" w:rsidP="00D70007">
      <w:pPr>
        <w:pStyle w:val="TOC3"/>
        <w:ind w:left="0" w:firstLine="851"/>
        <w:rPr>
          <w:rFonts w:asciiTheme="minorHAnsi" w:eastAsiaTheme="minorEastAsia" w:hAnsiTheme="minorHAnsi" w:cstheme="minorBidi"/>
          <w:noProof/>
          <w:sz w:val="22"/>
          <w:szCs w:val="22"/>
          <w:lang w:eastAsia="lv-LV"/>
        </w:rPr>
      </w:pPr>
      <w:hyperlink w:anchor="_Toc354671217" w:history="1">
        <w:r w:rsidR="00D70007" w:rsidRPr="00D30F54">
          <w:rPr>
            <w:rStyle w:val="Hyperlink"/>
            <w:noProof/>
          </w:rPr>
          <w:t>3.3. Sabalansēta sociālā sistēma un nodarbinātība</w:t>
        </w:r>
        <w:r w:rsidR="00D70007">
          <w:rPr>
            <w:noProof/>
            <w:webHidden/>
          </w:rPr>
          <w:tab/>
        </w:r>
        <w:r w:rsidR="00D70007">
          <w:rPr>
            <w:noProof/>
            <w:webHidden/>
          </w:rPr>
          <w:fldChar w:fldCharType="begin"/>
        </w:r>
        <w:r w:rsidR="00D70007">
          <w:rPr>
            <w:noProof/>
            <w:webHidden/>
          </w:rPr>
          <w:instrText xml:space="preserve"> PAGEREF _Toc354671217 \h </w:instrText>
        </w:r>
        <w:r w:rsidR="00D70007">
          <w:rPr>
            <w:noProof/>
            <w:webHidden/>
          </w:rPr>
        </w:r>
        <w:r w:rsidR="00D70007">
          <w:rPr>
            <w:noProof/>
            <w:webHidden/>
          </w:rPr>
          <w:fldChar w:fldCharType="separate"/>
        </w:r>
        <w:r w:rsidR="00A05904">
          <w:rPr>
            <w:noProof/>
            <w:webHidden/>
          </w:rPr>
          <w:t>27</w:t>
        </w:r>
        <w:r w:rsidR="00D70007">
          <w:rPr>
            <w:noProof/>
            <w:webHidden/>
          </w:rPr>
          <w:fldChar w:fldCharType="end"/>
        </w:r>
      </w:hyperlink>
    </w:p>
    <w:p w14:paraId="7704BE19" w14:textId="77777777" w:rsidR="00D70007" w:rsidRDefault="00796989" w:rsidP="00D70007">
      <w:pPr>
        <w:pStyle w:val="TOC3"/>
        <w:ind w:left="0" w:firstLine="851"/>
        <w:rPr>
          <w:rFonts w:asciiTheme="minorHAnsi" w:eastAsiaTheme="minorEastAsia" w:hAnsiTheme="minorHAnsi" w:cstheme="minorBidi"/>
          <w:noProof/>
          <w:sz w:val="22"/>
          <w:szCs w:val="22"/>
          <w:lang w:eastAsia="lv-LV"/>
        </w:rPr>
      </w:pPr>
      <w:hyperlink w:anchor="_Toc354671218" w:history="1">
        <w:r w:rsidR="00D70007" w:rsidRPr="00D30F54">
          <w:rPr>
            <w:rStyle w:val="Hyperlink"/>
            <w:noProof/>
          </w:rPr>
          <w:t>3.4. Veselības aprūpe</w:t>
        </w:r>
        <w:r w:rsidR="00D70007">
          <w:rPr>
            <w:noProof/>
            <w:webHidden/>
          </w:rPr>
          <w:tab/>
        </w:r>
        <w:r w:rsidR="00D70007">
          <w:rPr>
            <w:noProof/>
            <w:webHidden/>
          </w:rPr>
          <w:fldChar w:fldCharType="begin"/>
        </w:r>
        <w:r w:rsidR="00D70007">
          <w:rPr>
            <w:noProof/>
            <w:webHidden/>
          </w:rPr>
          <w:instrText xml:space="preserve"> PAGEREF _Toc354671218 \h </w:instrText>
        </w:r>
        <w:r w:rsidR="00D70007">
          <w:rPr>
            <w:noProof/>
            <w:webHidden/>
          </w:rPr>
        </w:r>
        <w:r w:rsidR="00D70007">
          <w:rPr>
            <w:noProof/>
            <w:webHidden/>
          </w:rPr>
          <w:fldChar w:fldCharType="separate"/>
        </w:r>
        <w:r w:rsidR="00A05904">
          <w:rPr>
            <w:noProof/>
            <w:webHidden/>
          </w:rPr>
          <w:t>29</w:t>
        </w:r>
        <w:r w:rsidR="00D70007">
          <w:rPr>
            <w:noProof/>
            <w:webHidden/>
          </w:rPr>
          <w:fldChar w:fldCharType="end"/>
        </w:r>
      </w:hyperlink>
    </w:p>
    <w:p w14:paraId="0BFDC5F6" w14:textId="77777777" w:rsidR="00D70007" w:rsidRDefault="00796989" w:rsidP="00D70007">
      <w:pPr>
        <w:pStyle w:val="TOC3"/>
        <w:ind w:left="0" w:firstLine="851"/>
        <w:rPr>
          <w:rFonts w:asciiTheme="minorHAnsi" w:eastAsiaTheme="minorEastAsia" w:hAnsiTheme="minorHAnsi" w:cstheme="minorBidi"/>
          <w:noProof/>
          <w:sz w:val="22"/>
          <w:szCs w:val="22"/>
          <w:lang w:eastAsia="lv-LV"/>
        </w:rPr>
      </w:pPr>
      <w:hyperlink w:anchor="_Toc354671219" w:history="1">
        <w:r w:rsidR="00D70007" w:rsidRPr="00D30F54">
          <w:rPr>
            <w:rStyle w:val="Hyperlink"/>
            <w:noProof/>
          </w:rPr>
          <w:t>3.5. Izglītība un zinātne</w:t>
        </w:r>
        <w:r w:rsidR="00D70007">
          <w:rPr>
            <w:noProof/>
            <w:webHidden/>
          </w:rPr>
          <w:tab/>
        </w:r>
        <w:r w:rsidR="00D70007">
          <w:rPr>
            <w:noProof/>
            <w:webHidden/>
          </w:rPr>
          <w:fldChar w:fldCharType="begin"/>
        </w:r>
        <w:r w:rsidR="00D70007">
          <w:rPr>
            <w:noProof/>
            <w:webHidden/>
          </w:rPr>
          <w:instrText xml:space="preserve"> PAGEREF _Toc354671219 \h </w:instrText>
        </w:r>
        <w:r w:rsidR="00D70007">
          <w:rPr>
            <w:noProof/>
            <w:webHidden/>
          </w:rPr>
        </w:r>
        <w:r w:rsidR="00D70007">
          <w:rPr>
            <w:noProof/>
            <w:webHidden/>
          </w:rPr>
          <w:fldChar w:fldCharType="separate"/>
        </w:r>
        <w:r w:rsidR="00A05904">
          <w:rPr>
            <w:noProof/>
            <w:webHidden/>
          </w:rPr>
          <w:t>32</w:t>
        </w:r>
        <w:r w:rsidR="00D70007">
          <w:rPr>
            <w:noProof/>
            <w:webHidden/>
          </w:rPr>
          <w:fldChar w:fldCharType="end"/>
        </w:r>
      </w:hyperlink>
    </w:p>
    <w:p w14:paraId="21A03208" w14:textId="77777777" w:rsidR="00D70007" w:rsidRDefault="00796989">
      <w:pPr>
        <w:pStyle w:val="TOC1"/>
        <w:rPr>
          <w:rFonts w:asciiTheme="minorHAnsi" w:eastAsiaTheme="minorEastAsia" w:hAnsiTheme="minorHAnsi" w:cstheme="minorBidi"/>
          <w:noProof/>
          <w:sz w:val="22"/>
          <w:szCs w:val="22"/>
          <w:lang w:eastAsia="lv-LV"/>
        </w:rPr>
      </w:pPr>
      <w:hyperlink w:anchor="_Toc354671220" w:history="1">
        <w:r w:rsidR="00D70007" w:rsidRPr="00D30F54">
          <w:rPr>
            <w:rStyle w:val="Hyperlink"/>
            <w:noProof/>
          </w:rPr>
          <w:t>4.</w:t>
        </w:r>
        <w:r w:rsidR="00D70007">
          <w:rPr>
            <w:rFonts w:asciiTheme="minorHAnsi" w:eastAsiaTheme="minorEastAsia" w:hAnsiTheme="minorHAnsi" w:cstheme="minorBidi"/>
            <w:noProof/>
            <w:sz w:val="22"/>
            <w:szCs w:val="22"/>
            <w:lang w:eastAsia="lv-LV"/>
          </w:rPr>
          <w:tab/>
        </w:r>
        <w:r w:rsidR="00D70007" w:rsidRPr="00D30F54">
          <w:rPr>
            <w:rStyle w:val="Hyperlink"/>
            <w:noProof/>
          </w:rPr>
          <w:t>Vispārējās valdības budžeta bilance un parāds</w:t>
        </w:r>
        <w:r w:rsidR="00D70007">
          <w:rPr>
            <w:noProof/>
            <w:webHidden/>
          </w:rPr>
          <w:tab/>
        </w:r>
        <w:r w:rsidR="00D70007">
          <w:rPr>
            <w:noProof/>
            <w:webHidden/>
          </w:rPr>
          <w:fldChar w:fldCharType="begin"/>
        </w:r>
        <w:r w:rsidR="00D70007">
          <w:rPr>
            <w:noProof/>
            <w:webHidden/>
          </w:rPr>
          <w:instrText xml:space="preserve"> PAGEREF _Toc354671220 \h </w:instrText>
        </w:r>
        <w:r w:rsidR="00D70007">
          <w:rPr>
            <w:noProof/>
            <w:webHidden/>
          </w:rPr>
        </w:r>
        <w:r w:rsidR="00D70007">
          <w:rPr>
            <w:noProof/>
            <w:webHidden/>
          </w:rPr>
          <w:fldChar w:fldCharType="separate"/>
        </w:r>
        <w:r w:rsidR="00A05904">
          <w:rPr>
            <w:noProof/>
            <w:webHidden/>
          </w:rPr>
          <w:t>35</w:t>
        </w:r>
        <w:r w:rsidR="00D70007">
          <w:rPr>
            <w:noProof/>
            <w:webHidden/>
          </w:rPr>
          <w:fldChar w:fldCharType="end"/>
        </w:r>
      </w:hyperlink>
    </w:p>
    <w:p w14:paraId="19AC1135" w14:textId="77777777" w:rsidR="00D70007" w:rsidRDefault="00796989">
      <w:pPr>
        <w:pStyle w:val="TOC2"/>
        <w:rPr>
          <w:rFonts w:asciiTheme="minorHAnsi" w:eastAsiaTheme="minorEastAsia" w:hAnsiTheme="minorHAnsi" w:cstheme="minorBidi"/>
          <w:noProof/>
          <w:sz w:val="22"/>
          <w:szCs w:val="22"/>
          <w:lang w:eastAsia="lv-LV"/>
        </w:rPr>
      </w:pPr>
      <w:hyperlink w:anchor="_Toc354671221" w:history="1">
        <w:r w:rsidR="00D70007" w:rsidRPr="00D30F54">
          <w:rPr>
            <w:rStyle w:val="Hyperlink"/>
            <w:noProof/>
          </w:rPr>
          <w:t>4.1. Pašreizējā fiskālā situācija</w:t>
        </w:r>
        <w:r w:rsidR="00D70007">
          <w:rPr>
            <w:noProof/>
            <w:webHidden/>
          </w:rPr>
          <w:tab/>
        </w:r>
        <w:r w:rsidR="00D70007">
          <w:rPr>
            <w:noProof/>
            <w:webHidden/>
          </w:rPr>
          <w:fldChar w:fldCharType="begin"/>
        </w:r>
        <w:r w:rsidR="00D70007">
          <w:rPr>
            <w:noProof/>
            <w:webHidden/>
          </w:rPr>
          <w:instrText xml:space="preserve"> PAGEREF _Toc354671221 \h </w:instrText>
        </w:r>
        <w:r w:rsidR="00D70007">
          <w:rPr>
            <w:noProof/>
            <w:webHidden/>
          </w:rPr>
        </w:r>
        <w:r w:rsidR="00D70007">
          <w:rPr>
            <w:noProof/>
            <w:webHidden/>
          </w:rPr>
          <w:fldChar w:fldCharType="separate"/>
        </w:r>
        <w:r w:rsidR="00A05904">
          <w:rPr>
            <w:noProof/>
            <w:webHidden/>
          </w:rPr>
          <w:t>35</w:t>
        </w:r>
        <w:r w:rsidR="00D70007">
          <w:rPr>
            <w:noProof/>
            <w:webHidden/>
          </w:rPr>
          <w:fldChar w:fldCharType="end"/>
        </w:r>
      </w:hyperlink>
    </w:p>
    <w:p w14:paraId="791CEFD9" w14:textId="77777777" w:rsidR="00D70007" w:rsidRDefault="00796989">
      <w:pPr>
        <w:pStyle w:val="TOC2"/>
        <w:rPr>
          <w:rFonts w:asciiTheme="minorHAnsi" w:eastAsiaTheme="minorEastAsia" w:hAnsiTheme="minorHAnsi" w:cstheme="minorBidi"/>
          <w:noProof/>
          <w:sz w:val="22"/>
          <w:szCs w:val="22"/>
          <w:lang w:eastAsia="lv-LV"/>
        </w:rPr>
      </w:pPr>
      <w:hyperlink w:anchor="_Toc354671222" w:history="1">
        <w:r w:rsidR="00D70007" w:rsidRPr="00D30F54">
          <w:rPr>
            <w:rStyle w:val="Hyperlink"/>
            <w:noProof/>
          </w:rPr>
          <w:t>4.2. Fiskālās attīstības scenārijs</w:t>
        </w:r>
        <w:r w:rsidR="00D70007">
          <w:rPr>
            <w:noProof/>
            <w:webHidden/>
          </w:rPr>
          <w:tab/>
        </w:r>
        <w:r w:rsidR="00D70007">
          <w:rPr>
            <w:noProof/>
            <w:webHidden/>
          </w:rPr>
          <w:fldChar w:fldCharType="begin"/>
        </w:r>
        <w:r w:rsidR="00D70007">
          <w:rPr>
            <w:noProof/>
            <w:webHidden/>
          </w:rPr>
          <w:instrText xml:space="preserve"> PAGEREF _Toc354671222 \h </w:instrText>
        </w:r>
        <w:r w:rsidR="00D70007">
          <w:rPr>
            <w:noProof/>
            <w:webHidden/>
          </w:rPr>
        </w:r>
        <w:r w:rsidR="00D70007">
          <w:rPr>
            <w:noProof/>
            <w:webHidden/>
          </w:rPr>
          <w:fldChar w:fldCharType="separate"/>
        </w:r>
        <w:r w:rsidR="00A05904">
          <w:rPr>
            <w:noProof/>
            <w:webHidden/>
          </w:rPr>
          <w:t>37</w:t>
        </w:r>
        <w:r w:rsidR="00D70007">
          <w:rPr>
            <w:noProof/>
            <w:webHidden/>
          </w:rPr>
          <w:fldChar w:fldCharType="end"/>
        </w:r>
      </w:hyperlink>
    </w:p>
    <w:p w14:paraId="662A509D" w14:textId="77777777" w:rsidR="00D70007" w:rsidRDefault="00796989">
      <w:pPr>
        <w:pStyle w:val="TOC2"/>
        <w:rPr>
          <w:rFonts w:asciiTheme="minorHAnsi" w:eastAsiaTheme="minorEastAsia" w:hAnsiTheme="minorHAnsi" w:cstheme="minorBidi"/>
          <w:noProof/>
          <w:sz w:val="22"/>
          <w:szCs w:val="22"/>
          <w:lang w:eastAsia="lv-LV"/>
        </w:rPr>
      </w:pPr>
      <w:hyperlink w:anchor="_Toc354671223" w:history="1">
        <w:r w:rsidR="00D70007" w:rsidRPr="00D30F54">
          <w:rPr>
            <w:rStyle w:val="Hyperlink"/>
            <w:noProof/>
          </w:rPr>
          <w:t>4.3. Vidēja termiņa mērķis un strukturālā bilance</w:t>
        </w:r>
        <w:r w:rsidR="00D70007">
          <w:rPr>
            <w:noProof/>
            <w:webHidden/>
          </w:rPr>
          <w:tab/>
        </w:r>
        <w:r w:rsidR="00D70007">
          <w:rPr>
            <w:noProof/>
            <w:webHidden/>
          </w:rPr>
          <w:fldChar w:fldCharType="begin"/>
        </w:r>
        <w:r w:rsidR="00D70007">
          <w:rPr>
            <w:noProof/>
            <w:webHidden/>
          </w:rPr>
          <w:instrText xml:space="preserve"> PAGEREF _Toc354671223 \h </w:instrText>
        </w:r>
        <w:r w:rsidR="00D70007">
          <w:rPr>
            <w:noProof/>
            <w:webHidden/>
          </w:rPr>
        </w:r>
        <w:r w:rsidR="00D70007">
          <w:rPr>
            <w:noProof/>
            <w:webHidden/>
          </w:rPr>
          <w:fldChar w:fldCharType="separate"/>
        </w:r>
        <w:r w:rsidR="00A05904">
          <w:rPr>
            <w:noProof/>
            <w:webHidden/>
          </w:rPr>
          <w:t>42</w:t>
        </w:r>
        <w:r w:rsidR="00D70007">
          <w:rPr>
            <w:noProof/>
            <w:webHidden/>
          </w:rPr>
          <w:fldChar w:fldCharType="end"/>
        </w:r>
      </w:hyperlink>
    </w:p>
    <w:p w14:paraId="00638FC0" w14:textId="77777777" w:rsidR="00D70007" w:rsidRDefault="00796989">
      <w:pPr>
        <w:pStyle w:val="TOC2"/>
        <w:rPr>
          <w:rFonts w:asciiTheme="minorHAnsi" w:eastAsiaTheme="minorEastAsia" w:hAnsiTheme="minorHAnsi" w:cstheme="minorBidi"/>
          <w:noProof/>
          <w:sz w:val="22"/>
          <w:szCs w:val="22"/>
          <w:lang w:eastAsia="lv-LV"/>
        </w:rPr>
      </w:pPr>
      <w:hyperlink w:anchor="_Toc354671224" w:history="1">
        <w:r w:rsidR="00D70007" w:rsidRPr="00D30F54">
          <w:rPr>
            <w:rStyle w:val="Hyperlink"/>
            <w:noProof/>
          </w:rPr>
          <w:t>4.4. Valdības parāda vidējā termiņa attīstības tendences</w:t>
        </w:r>
        <w:r w:rsidR="00D70007">
          <w:rPr>
            <w:noProof/>
            <w:webHidden/>
          </w:rPr>
          <w:tab/>
        </w:r>
        <w:r w:rsidR="00D70007">
          <w:rPr>
            <w:noProof/>
            <w:webHidden/>
          </w:rPr>
          <w:fldChar w:fldCharType="begin"/>
        </w:r>
        <w:r w:rsidR="00D70007">
          <w:rPr>
            <w:noProof/>
            <w:webHidden/>
          </w:rPr>
          <w:instrText xml:space="preserve"> PAGEREF _Toc354671224 \h </w:instrText>
        </w:r>
        <w:r w:rsidR="00D70007">
          <w:rPr>
            <w:noProof/>
            <w:webHidden/>
          </w:rPr>
        </w:r>
        <w:r w:rsidR="00D70007">
          <w:rPr>
            <w:noProof/>
            <w:webHidden/>
          </w:rPr>
          <w:fldChar w:fldCharType="separate"/>
        </w:r>
        <w:r w:rsidR="00A05904">
          <w:rPr>
            <w:noProof/>
            <w:webHidden/>
          </w:rPr>
          <w:t>46</w:t>
        </w:r>
        <w:r w:rsidR="00D70007">
          <w:rPr>
            <w:noProof/>
            <w:webHidden/>
          </w:rPr>
          <w:fldChar w:fldCharType="end"/>
        </w:r>
      </w:hyperlink>
    </w:p>
    <w:p w14:paraId="068E5DC5" w14:textId="77777777" w:rsidR="00D70007" w:rsidRDefault="00796989">
      <w:pPr>
        <w:pStyle w:val="TOC1"/>
        <w:rPr>
          <w:rFonts w:asciiTheme="minorHAnsi" w:eastAsiaTheme="minorEastAsia" w:hAnsiTheme="minorHAnsi" w:cstheme="minorBidi"/>
          <w:noProof/>
          <w:sz w:val="22"/>
          <w:szCs w:val="22"/>
          <w:lang w:eastAsia="lv-LV"/>
        </w:rPr>
      </w:pPr>
      <w:hyperlink w:anchor="_Toc354671225" w:history="1">
        <w:r w:rsidR="00D70007" w:rsidRPr="00D30F54">
          <w:rPr>
            <w:rStyle w:val="Hyperlink"/>
            <w:noProof/>
          </w:rPr>
          <w:t>5.</w:t>
        </w:r>
        <w:r w:rsidR="00D70007">
          <w:rPr>
            <w:rFonts w:asciiTheme="minorHAnsi" w:eastAsiaTheme="minorEastAsia" w:hAnsiTheme="minorHAnsi" w:cstheme="minorBidi"/>
            <w:noProof/>
            <w:sz w:val="22"/>
            <w:szCs w:val="22"/>
            <w:lang w:eastAsia="lv-LV"/>
          </w:rPr>
          <w:tab/>
        </w:r>
        <w:r w:rsidR="00D70007" w:rsidRPr="00D30F54">
          <w:rPr>
            <w:rStyle w:val="Hyperlink"/>
            <w:noProof/>
          </w:rPr>
          <w:t>Jutīguma analīze un salīdzinājums</w:t>
        </w:r>
        <w:r w:rsidR="00D70007">
          <w:rPr>
            <w:noProof/>
            <w:webHidden/>
          </w:rPr>
          <w:tab/>
        </w:r>
        <w:r w:rsidR="00D70007">
          <w:rPr>
            <w:noProof/>
            <w:webHidden/>
          </w:rPr>
          <w:fldChar w:fldCharType="begin"/>
        </w:r>
        <w:r w:rsidR="00D70007">
          <w:rPr>
            <w:noProof/>
            <w:webHidden/>
          </w:rPr>
          <w:instrText xml:space="preserve"> PAGEREF _Toc354671225 \h </w:instrText>
        </w:r>
        <w:r w:rsidR="00D70007">
          <w:rPr>
            <w:noProof/>
            <w:webHidden/>
          </w:rPr>
        </w:r>
        <w:r w:rsidR="00D70007">
          <w:rPr>
            <w:noProof/>
            <w:webHidden/>
          </w:rPr>
          <w:fldChar w:fldCharType="separate"/>
        </w:r>
        <w:r w:rsidR="00A05904">
          <w:rPr>
            <w:noProof/>
            <w:webHidden/>
          </w:rPr>
          <w:t>49</w:t>
        </w:r>
        <w:r w:rsidR="00D70007">
          <w:rPr>
            <w:noProof/>
            <w:webHidden/>
          </w:rPr>
          <w:fldChar w:fldCharType="end"/>
        </w:r>
      </w:hyperlink>
    </w:p>
    <w:p w14:paraId="1EAFF7B5" w14:textId="77777777" w:rsidR="00D70007" w:rsidRDefault="00796989">
      <w:pPr>
        <w:pStyle w:val="TOC2"/>
        <w:rPr>
          <w:rFonts w:asciiTheme="minorHAnsi" w:eastAsiaTheme="minorEastAsia" w:hAnsiTheme="minorHAnsi" w:cstheme="minorBidi"/>
          <w:noProof/>
          <w:sz w:val="22"/>
          <w:szCs w:val="22"/>
          <w:lang w:eastAsia="lv-LV"/>
        </w:rPr>
      </w:pPr>
      <w:hyperlink w:anchor="_Toc354671226" w:history="1">
        <w:r w:rsidR="00D70007" w:rsidRPr="00D30F54">
          <w:rPr>
            <w:rStyle w:val="Hyperlink"/>
            <w:noProof/>
          </w:rPr>
          <w:t>5.1. Makroekonomiskā scenārija riski</w:t>
        </w:r>
        <w:r w:rsidR="00D70007">
          <w:rPr>
            <w:noProof/>
            <w:webHidden/>
          </w:rPr>
          <w:tab/>
        </w:r>
        <w:r w:rsidR="00D70007">
          <w:rPr>
            <w:noProof/>
            <w:webHidden/>
          </w:rPr>
          <w:fldChar w:fldCharType="begin"/>
        </w:r>
        <w:r w:rsidR="00D70007">
          <w:rPr>
            <w:noProof/>
            <w:webHidden/>
          </w:rPr>
          <w:instrText xml:space="preserve"> PAGEREF _Toc354671226 \h </w:instrText>
        </w:r>
        <w:r w:rsidR="00D70007">
          <w:rPr>
            <w:noProof/>
            <w:webHidden/>
          </w:rPr>
        </w:r>
        <w:r w:rsidR="00D70007">
          <w:rPr>
            <w:noProof/>
            <w:webHidden/>
          </w:rPr>
          <w:fldChar w:fldCharType="separate"/>
        </w:r>
        <w:r w:rsidR="00A05904">
          <w:rPr>
            <w:noProof/>
            <w:webHidden/>
          </w:rPr>
          <w:t>49</w:t>
        </w:r>
        <w:r w:rsidR="00D70007">
          <w:rPr>
            <w:noProof/>
            <w:webHidden/>
          </w:rPr>
          <w:fldChar w:fldCharType="end"/>
        </w:r>
      </w:hyperlink>
    </w:p>
    <w:p w14:paraId="5FBE91E3" w14:textId="77777777" w:rsidR="00D70007" w:rsidRDefault="00796989">
      <w:pPr>
        <w:pStyle w:val="TOC2"/>
        <w:rPr>
          <w:rFonts w:asciiTheme="minorHAnsi" w:eastAsiaTheme="minorEastAsia" w:hAnsiTheme="minorHAnsi" w:cstheme="minorBidi"/>
          <w:noProof/>
          <w:sz w:val="22"/>
          <w:szCs w:val="22"/>
          <w:lang w:eastAsia="lv-LV"/>
        </w:rPr>
      </w:pPr>
      <w:hyperlink w:anchor="_Toc354671227" w:history="1">
        <w:r w:rsidR="00D70007" w:rsidRPr="00D30F54">
          <w:rPr>
            <w:rStyle w:val="Hyperlink"/>
            <w:noProof/>
          </w:rPr>
          <w:t>5.2. Jutīguma analīze</w:t>
        </w:r>
        <w:r w:rsidR="00D70007">
          <w:rPr>
            <w:noProof/>
            <w:webHidden/>
          </w:rPr>
          <w:tab/>
        </w:r>
        <w:r w:rsidR="00D70007">
          <w:rPr>
            <w:noProof/>
            <w:webHidden/>
          </w:rPr>
          <w:fldChar w:fldCharType="begin"/>
        </w:r>
        <w:r w:rsidR="00D70007">
          <w:rPr>
            <w:noProof/>
            <w:webHidden/>
          </w:rPr>
          <w:instrText xml:space="preserve"> PAGEREF _Toc354671227 \h </w:instrText>
        </w:r>
        <w:r w:rsidR="00D70007">
          <w:rPr>
            <w:noProof/>
            <w:webHidden/>
          </w:rPr>
        </w:r>
        <w:r w:rsidR="00D70007">
          <w:rPr>
            <w:noProof/>
            <w:webHidden/>
          </w:rPr>
          <w:fldChar w:fldCharType="separate"/>
        </w:r>
        <w:r w:rsidR="00A05904">
          <w:rPr>
            <w:noProof/>
            <w:webHidden/>
          </w:rPr>
          <w:t>51</w:t>
        </w:r>
        <w:r w:rsidR="00D70007">
          <w:rPr>
            <w:noProof/>
            <w:webHidden/>
          </w:rPr>
          <w:fldChar w:fldCharType="end"/>
        </w:r>
      </w:hyperlink>
    </w:p>
    <w:p w14:paraId="2CEF8ECA" w14:textId="77777777" w:rsidR="00D70007" w:rsidRDefault="00796989">
      <w:pPr>
        <w:pStyle w:val="TOC1"/>
        <w:rPr>
          <w:rFonts w:asciiTheme="minorHAnsi" w:eastAsiaTheme="minorEastAsia" w:hAnsiTheme="minorHAnsi" w:cstheme="minorBidi"/>
          <w:noProof/>
          <w:sz w:val="22"/>
          <w:szCs w:val="22"/>
          <w:lang w:eastAsia="lv-LV"/>
        </w:rPr>
      </w:pPr>
      <w:hyperlink w:anchor="_Toc354671228" w:history="1">
        <w:r w:rsidR="00D70007" w:rsidRPr="00D30F54">
          <w:rPr>
            <w:rStyle w:val="Hyperlink"/>
            <w:noProof/>
          </w:rPr>
          <w:t>6. Salīdzinājums ar Latvijas Konverģences programmu 2012. – 2015. gadam un ES Padomes ieteikumu ieviešana</w:t>
        </w:r>
        <w:r w:rsidR="00D70007">
          <w:rPr>
            <w:noProof/>
            <w:webHidden/>
          </w:rPr>
          <w:tab/>
        </w:r>
        <w:r w:rsidR="00D70007">
          <w:rPr>
            <w:noProof/>
            <w:webHidden/>
          </w:rPr>
          <w:fldChar w:fldCharType="begin"/>
        </w:r>
        <w:r w:rsidR="00D70007">
          <w:rPr>
            <w:noProof/>
            <w:webHidden/>
          </w:rPr>
          <w:instrText xml:space="preserve"> PAGEREF _Toc354671228 \h </w:instrText>
        </w:r>
        <w:r w:rsidR="00D70007">
          <w:rPr>
            <w:noProof/>
            <w:webHidden/>
          </w:rPr>
        </w:r>
        <w:r w:rsidR="00D70007">
          <w:rPr>
            <w:noProof/>
            <w:webHidden/>
          </w:rPr>
          <w:fldChar w:fldCharType="separate"/>
        </w:r>
        <w:r w:rsidR="00A05904">
          <w:rPr>
            <w:noProof/>
            <w:webHidden/>
          </w:rPr>
          <w:t>53</w:t>
        </w:r>
        <w:r w:rsidR="00D70007">
          <w:rPr>
            <w:noProof/>
            <w:webHidden/>
          </w:rPr>
          <w:fldChar w:fldCharType="end"/>
        </w:r>
      </w:hyperlink>
    </w:p>
    <w:p w14:paraId="7D45AB07" w14:textId="77777777" w:rsidR="00D70007" w:rsidRDefault="00796989">
      <w:pPr>
        <w:pStyle w:val="TOC2"/>
        <w:rPr>
          <w:rFonts w:asciiTheme="minorHAnsi" w:eastAsiaTheme="minorEastAsia" w:hAnsiTheme="minorHAnsi" w:cstheme="minorBidi"/>
          <w:noProof/>
          <w:sz w:val="22"/>
          <w:szCs w:val="22"/>
          <w:lang w:eastAsia="lv-LV"/>
        </w:rPr>
      </w:pPr>
      <w:hyperlink w:anchor="_Toc354671229" w:history="1">
        <w:r w:rsidR="00D70007" w:rsidRPr="00D30F54">
          <w:rPr>
            <w:rStyle w:val="Hyperlink"/>
            <w:noProof/>
          </w:rPr>
          <w:t>6.1. Vispārējās valdības budžeta bilances un parāda prognožu salīdzinājums</w:t>
        </w:r>
        <w:r w:rsidR="00D70007">
          <w:rPr>
            <w:noProof/>
            <w:webHidden/>
          </w:rPr>
          <w:tab/>
        </w:r>
        <w:r w:rsidR="00D70007">
          <w:rPr>
            <w:noProof/>
            <w:webHidden/>
          </w:rPr>
          <w:fldChar w:fldCharType="begin"/>
        </w:r>
        <w:r w:rsidR="00D70007">
          <w:rPr>
            <w:noProof/>
            <w:webHidden/>
          </w:rPr>
          <w:instrText xml:space="preserve"> PAGEREF _Toc354671229 \h </w:instrText>
        </w:r>
        <w:r w:rsidR="00D70007">
          <w:rPr>
            <w:noProof/>
            <w:webHidden/>
          </w:rPr>
        </w:r>
        <w:r w:rsidR="00D70007">
          <w:rPr>
            <w:noProof/>
            <w:webHidden/>
          </w:rPr>
          <w:fldChar w:fldCharType="separate"/>
        </w:r>
        <w:r w:rsidR="00A05904">
          <w:rPr>
            <w:noProof/>
            <w:webHidden/>
          </w:rPr>
          <w:t>53</w:t>
        </w:r>
        <w:r w:rsidR="00D70007">
          <w:rPr>
            <w:noProof/>
            <w:webHidden/>
          </w:rPr>
          <w:fldChar w:fldCharType="end"/>
        </w:r>
      </w:hyperlink>
    </w:p>
    <w:p w14:paraId="74BF2EF7" w14:textId="77777777" w:rsidR="00D70007" w:rsidRDefault="00796989">
      <w:pPr>
        <w:pStyle w:val="TOC2"/>
        <w:rPr>
          <w:rFonts w:asciiTheme="minorHAnsi" w:eastAsiaTheme="minorEastAsia" w:hAnsiTheme="minorHAnsi" w:cstheme="minorBidi"/>
          <w:noProof/>
          <w:sz w:val="22"/>
          <w:szCs w:val="22"/>
          <w:lang w:eastAsia="lv-LV"/>
        </w:rPr>
      </w:pPr>
      <w:hyperlink w:anchor="_Toc354671230" w:history="1">
        <w:r w:rsidR="00D70007" w:rsidRPr="00D30F54">
          <w:rPr>
            <w:rStyle w:val="Hyperlink"/>
            <w:noProof/>
          </w:rPr>
          <w:t>6.2. Latvijas rīcība attiecībā uz ES Padomes ieteikumu ieviešanu</w:t>
        </w:r>
        <w:r w:rsidR="00D70007">
          <w:rPr>
            <w:noProof/>
            <w:webHidden/>
          </w:rPr>
          <w:tab/>
        </w:r>
        <w:r w:rsidR="00D70007">
          <w:rPr>
            <w:noProof/>
            <w:webHidden/>
          </w:rPr>
          <w:fldChar w:fldCharType="begin"/>
        </w:r>
        <w:r w:rsidR="00D70007">
          <w:rPr>
            <w:noProof/>
            <w:webHidden/>
          </w:rPr>
          <w:instrText xml:space="preserve"> PAGEREF _Toc354671230 \h </w:instrText>
        </w:r>
        <w:r w:rsidR="00D70007">
          <w:rPr>
            <w:noProof/>
            <w:webHidden/>
          </w:rPr>
        </w:r>
        <w:r w:rsidR="00D70007">
          <w:rPr>
            <w:noProof/>
            <w:webHidden/>
          </w:rPr>
          <w:fldChar w:fldCharType="separate"/>
        </w:r>
        <w:r w:rsidR="00A05904">
          <w:rPr>
            <w:noProof/>
            <w:webHidden/>
          </w:rPr>
          <w:t>54</w:t>
        </w:r>
        <w:r w:rsidR="00D70007">
          <w:rPr>
            <w:noProof/>
            <w:webHidden/>
          </w:rPr>
          <w:fldChar w:fldCharType="end"/>
        </w:r>
      </w:hyperlink>
    </w:p>
    <w:p w14:paraId="6579AA7F" w14:textId="77777777" w:rsidR="00D70007" w:rsidRDefault="00796989">
      <w:pPr>
        <w:pStyle w:val="TOC1"/>
        <w:rPr>
          <w:rFonts w:asciiTheme="minorHAnsi" w:eastAsiaTheme="minorEastAsia" w:hAnsiTheme="minorHAnsi" w:cstheme="minorBidi"/>
          <w:noProof/>
          <w:sz w:val="22"/>
          <w:szCs w:val="22"/>
          <w:lang w:eastAsia="lv-LV"/>
        </w:rPr>
      </w:pPr>
      <w:hyperlink w:anchor="_Toc354671231" w:history="1">
        <w:r w:rsidR="00D70007" w:rsidRPr="00D30F54">
          <w:rPr>
            <w:rStyle w:val="Hyperlink"/>
            <w:noProof/>
          </w:rPr>
          <w:t>7.</w:t>
        </w:r>
        <w:r w:rsidR="00D70007">
          <w:rPr>
            <w:rFonts w:asciiTheme="minorHAnsi" w:eastAsiaTheme="minorEastAsia" w:hAnsiTheme="minorHAnsi" w:cstheme="minorBidi"/>
            <w:noProof/>
            <w:sz w:val="22"/>
            <w:szCs w:val="22"/>
            <w:lang w:eastAsia="lv-LV"/>
          </w:rPr>
          <w:tab/>
        </w:r>
        <w:r w:rsidR="00D70007" w:rsidRPr="00D30F54">
          <w:rPr>
            <w:rStyle w:val="Hyperlink"/>
            <w:noProof/>
          </w:rPr>
          <w:t>Valsts finanšu kvalitāte</w:t>
        </w:r>
        <w:r w:rsidR="00D70007">
          <w:rPr>
            <w:noProof/>
            <w:webHidden/>
          </w:rPr>
          <w:tab/>
        </w:r>
        <w:r w:rsidR="00D70007">
          <w:rPr>
            <w:noProof/>
            <w:webHidden/>
          </w:rPr>
          <w:fldChar w:fldCharType="begin"/>
        </w:r>
        <w:r w:rsidR="00D70007">
          <w:rPr>
            <w:noProof/>
            <w:webHidden/>
          </w:rPr>
          <w:instrText xml:space="preserve"> PAGEREF _Toc354671231 \h </w:instrText>
        </w:r>
        <w:r w:rsidR="00D70007">
          <w:rPr>
            <w:noProof/>
            <w:webHidden/>
          </w:rPr>
        </w:r>
        <w:r w:rsidR="00D70007">
          <w:rPr>
            <w:noProof/>
            <w:webHidden/>
          </w:rPr>
          <w:fldChar w:fldCharType="separate"/>
        </w:r>
        <w:r w:rsidR="00A05904">
          <w:rPr>
            <w:noProof/>
            <w:webHidden/>
          </w:rPr>
          <w:t>57</w:t>
        </w:r>
        <w:r w:rsidR="00D70007">
          <w:rPr>
            <w:noProof/>
            <w:webHidden/>
          </w:rPr>
          <w:fldChar w:fldCharType="end"/>
        </w:r>
      </w:hyperlink>
    </w:p>
    <w:p w14:paraId="078EB237" w14:textId="77777777" w:rsidR="00D70007" w:rsidRDefault="00796989">
      <w:pPr>
        <w:pStyle w:val="TOC2"/>
        <w:rPr>
          <w:rFonts w:asciiTheme="minorHAnsi" w:eastAsiaTheme="minorEastAsia" w:hAnsiTheme="minorHAnsi" w:cstheme="minorBidi"/>
          <w:noProof/>
          <w:sz w:val="22"/>
          <w:szCs w:val="22"/>
          <w:lang w:eastAsia="lv-LV"/>
        </w:rPr>
      </w:pPr>
      <w:hyperlink w:anchor="_Toc354671232" w:history="1">
        <w:r w:rsidR="00D70007" w:rsidRPr="00D30F54">
          <w:rPr>
            <w:rStyle w:val="Hyperlink"/>
            <w:noProof/>
          </w:rPr>
          <w:t>7.1. Valsts budžeta līdzekļu efektivitāte un izlietojuma kontrole</w:t>
        </w:r>
        <w:r w:rsidR="00D70007">
          <w:rPr>
            <w:noProof/>
            <w:webHidden/>
          </w:rPr>
          <w:tab/>
        </w:r>
        <w:r w:rsidR="00D70007">
          <w:rPr>
            <w:noProof/>
            <w:webHidden/>
          </w:rPr>
          <w:fldChar w:fldCharType="begin"/>
        </w:r>
        <w:r w:rsidR="00D70007">
          <w:rPr>
            <w:noProof/>
            <w:webHidden/>
          </w:rPr>
          <w:instrText xml:space="preserve"> PAGEREF _Toc354671232 \h </w:instrText>
        </w:r>
        <w:r w:rsidR="00D70007">
          <w:rPr>
            <w:noProof/>
            <w:webHidden/>
          </w:rPr>
        </w:r>
        <w:r w:rsidR="00D70007">
          <w:rPr>
            <w:noProof/>
            <w:webHidden/>
          </w:rPr>
          <w:fldChar w:fldCharType="separate"/>
        </w:r>
        <w:r w:rsidR="00A05904">
          <w:rPr>
            <w:noProof/>
            <w:webHidden/>
          </w:rPr>
          <w:t>57</w:t>
        </w:r>
        <w:r w:rsidR="00D70007">
          <w:rPr>
            <w:noProof/>
            <w:webHidden/>
          </w:rPr>
          <w:fldChar w:fldCharType="end"/>
        </w:r>
      </w:hyperlink>
    </w:p>
    <w:p w14:paraId="0857A6ED" w14:textId="77777777" w:rsidR="00D70007" w:rsidRDefault="00796989">
      <w:pPr>
        <w:pStyle w:val="TOC2"/>
        <w:rPr>
          <w:rFonts w:asciiTheme="minorHAnsi" w:eastAsiaTheme="minorEastAsia" w:hAnsiTheme="minorHAnsi" w:cstheme="minorBidi"/>
          <w:noProof/>
          <w:sz w:val="22"/>
          <w:szCs w:val="22"/>
          <w:lang w:eastAsia="lv-LV"/>
        </w:rPr>
      </w:pPr>
      <w:hyperlink w:anchor="_Toc354671233" w:history="1">
        <w:r w:rsidR="00D70007" w:rsidRPr="00D30F54">
          <w:rPr>
            <w:rStyle w:val="Hyperlink"/>
            <w:noProof/>
          </w:rPr>
          <w:t>7.2. Ieņēmumu struktūras un sistēmas efektivitāte</w:t>
        </w:r>
        <w:r w:rsidR="00D70007">
          <w:rPr>
            <w:noProof/>
            <w:webHidden/>
          </w:rPr>
          <w:tab/>
        </w:r>
        <w:r w:rsidR="00D70007">
          <w:rPr>
            <w:noProof/>
            <w:webHidden/>
          </w:rPr>
          <w:fldChar w:fldCharType="begin"/>
        </w:r>
        <w:r w:rsidR="00D70007">
          <w:rPr>
            <w:noProof/>
            <w:webHidden/>
          </w:rPr>
          <w:instrText xml:space="preserve"> PAGEREF _Toc354671233 \h </w:instrText>
        </w:r>
        <w:r w:rsidR="00D70007">
          <w:rPr>
            <w:noProof/>
            <w:webHidden/>
          </w:rPr>
        </w:r>
        <w:r w:rsidR="00D70007">
          <w:rPr>
            <w:noProof/>
            <w:webHidden/>
          </w:rPr>
          <w:fldChar w:fldCharType="separate"/>
        </w:r>
        <w:r w:rsidR="00A05904">
          <w:rPr>
            <w:noProof/>
            <w:webHidden/>
          </w:rPr>
          <w:t>60</w:t>
        </w:r>
        <w:r w:rsidR="00D70007">
          <w:rPr>
            <w:noProof/>
            <w:webHidden/>
          </w:rPr>
          <w:fldChar w:fldCharType="end"/>
        </w:r>
      </w:hyperlink>
    </w:p>
    <w:p w14:paraId="25AB7564" w14:textId="77777777" w:rsidR="00D70007" w:rsidRDefault="00796989">
      <w:pPr>
        <w:pStyle w:val="TOC1"/>
        <w:rPr>
          <w:rFonts w:asciiTheme="minorHAnsi" w:eastAsiaTheme="minorEastAsia" w:hAnsiTheme="minorHAnsi" w:cstheme="minorBidi"/>
          <w:noProof/>
          <w:sz w:val="22"/>
          <w:szCs w:val="22"/>
          <w:lang w:eastAsia="lv-LV"/>
        </w:rPr>
      </w:pPr>
      <w:hyperlink w:anchor="_Toc354671234" w:history="1">
        <w:r w:rsidR="00D70007" w:rsidRPr="00D30F54">
          <w:rPr>
            <w:rStyle w:val="Hyperlink"/>
            <w:noProof/>
          </w:rPr>
          <w:t>8.</w:t>
        </w:r>
        <w:r w:rsidR="00D70007">
          <w:rPr>
            <w:rFonts w:asciiTheme="minorHAnsi" w:eastAsiaTheme="minorEastAsia" w:hAnsiTheme="minorHAnsi" w:cstheme="minorBidi"/>
            <w:noProof/>
            <w:sz w:val="22"/>
            <w:szCs w:val="22"/>
            <w:lang w:eastAsia="lv-LV"/>
          </w:rPr>
          <w:tab/>
        </w:r>
        <w:r w:rsidR="00D70007" w:rsidRPr="00D30F54">
          <w:rPr>
            <w:rStyle w:val="Hyperlink"/>
            <w:noProof/>
          </w:rPr>
          <w:t>Publisko finanšu ilgtspēja</w:t>
        </w:r>
        <w:r w:rsidR="00D70007">
          <w:rPr>
            <w:noProof/>
            <w:webHidden/>
          </w:rPr>
          <w:tab/>
        </w:r>
        <w:r w:rsidR="00D70007">
          <w:rPr>
            <w:noProof/>
            <w:webHidden/>
          </w:rPr>
          <w:fldChar w:fldCharType="begin"/>
        </w:r>
        <w:r w:rsidR="00D70007">
          <w:rPr>
            <w:noProof/>
            <w:webHidden/>
          </w:rPr>
          <w:instrText xml:space="preserve"> PAGEREF _Toc354671234 \h </w:instrText>
        </w:r>
        <w:r w:rsidR="00D70007">
          <w:rPr>
            <w:noProof/>
            <w:webHidden/>
          </w:rPr>
        </w:r>
        <w:r w:rsidR="00D70007">
          <w:rPr>
            <w:noProof/>
            <w:webHidden/>
          </w:rPr>
          <w:fldChar w:fldCharType="separate"/>
        </w:r>
        <w:r w:rsidR="00A05904">
          <w:rPr>
            <w:noProof/>
            <w:webHidden/>
          </w:rPr>
          <w:t>68</w:t>
        </w:r>
        <w:r w:rsidR="00D70007">
          <w:rPr>
            <w:noProof/>
            <w:webHidden/>
          </w:rPr>
          <w:fldChar w:fldCharType="end"/>
        </w:r>
      </w:hyperlink>
    </w:p>
    <w:p w14:paraId="3DC34602" w14:textId="77777777" w:rsidR="00D70007" w:rsidRDefault="00796989" w:rsidP="00D70007">
      <w:pPr>
        <w:pStyle w:val="TOC3"/>
        <w:ind w:left="0" w:firstLine="851"/>
        <w:rPr>
          <w:rFonts w:asciiTheme="minorHAnsi" w:eastAsiaTheme="minorEastAsia" w:hAnsiTheme="minorHAnsi" w:cstheme="minorBidi"/>
          <w:noProof/>
          <w:sz w:val="22"/>
          <w:szCs w:val="22"/>
          <w:lang w:eastAsia="lv-LV"/>
        </w:rPr>
      </w:pPr>
      <w:hyperlink w:anchor="_Toc354671235" w:history="1">
        <w:r w:rsidR="00D70007" w:rsidRPr="00D30F54">
          <w:rPr>
            <w:rStyle w:val="Hyperlink"/>
            <w:noProof/>
          </w:rPr>
          <w:t>8.1. Publisko finanšu ilgtermiņa attīstības scenārijs</w:t>
        </w:r>
        <w:r w:rsidR="00D70007">
          <w:rPr>
            <w:noProof/>
            <w:webHidden/>
          </w:rPr>
          <w:tab/>
        </w:r>
        <w:r w:rsidR="00D70007">
          <w:rPr>
            <w:noProof/>
            <w:webHidden/>
          </w:rPr>
          <w:fldChar w:fldCharType="begin"/>
        </w:r>
        <w:r w:rsidR="00D70007">
          <w:rPr>
            <w:noProof/>
            <w:webHidden/>
          </w:rPr>
          <w:instrText xml:space="preserve"> PAGEREF _Toc354671235 \h </w:instrText>
        </w:r>
        <w:r w:rsidR="00D70007">
          <w:rPr>
            <w:noProof/>
            <w:webHidden/>
          </w:rPr>
        </w:r>
        <w:r w:rsidR="00D70007">
          <w:rPr>
            <w:noProof/>
            <w:webHidden/>
          </w:rPr>
          <w:fldChar w:fldCharType="separate"/>
        </w:r>
        <w:r w:rsidR="00A05904">
          <w:rPr>
            <w:noProof/>
            <w:webHidden/>
          </w:rPr>
          <w:t>68</w:t>
        </w:r>
        <w:r w:rsidR="00D70007">
          <w:rPr>
            <w:noProof/>
            <w:webHidden/>
          </w:rPr>
          <w:fldChar w:fldCharType="end"/>
        </w:r>
      </w:hyperlink>
    </w:p>
    <w:p w14:paraId="07619BEA" w14:textId="77777777" w:rsidR="00D70007" w:rsidRDefault="00796989" w:rsidP="00D70007">
      <w:pPr>
        <w:pStyle w:val="TOC3"/>
        <w:ind w:left="0" w:firstLine="851"/>
        <w:rPr>
          <w:rFonts w:asciiTheme="minorHAnsi" w:eastAsiaTheme="minorEastAsia" w:hAnsiTheme="minorHAnsi" w:cstheme="minorBidi"/>
          <w:noProof/>
          <w:sz w:val="22"/>
          <w:szCs w:val="22"/>
          <w:lang w:eastAsia="lv-LV"/>
        </w:rPr>
      </w:pPr>
      <w:hyperlink w:anchor="_Toc354671236" w:history="1">
        <w:r w:rsidR="00D70007" w:rsidRPr="00D30F54">
          <w:rPr>
            <w:rStyle w:val="Hyperlink"/>
            <w:noProof/>
          </w:rPr>
          <w:t>8.2. Valsts sniegtie galvojumi</w:t>
        </w:r>
        <w:r w:rsidR="00D70007">
          <w:rPr>
            <w:noProof/>
            <w:webHidden/>
          </w:rPr>
          <w:tab/>
        </w:r>
        <w:r w:rsidR="00D70007">
          <w:rPr>
            <w:noProof/>
            <w:webHidden/>
          </w:rPr>
          <w:fldChar w:fldCharType="begin"/>
        </w:r>
        <w:r w:rsidR="00D70007">
          <w:rPr>
            <w:noProof/>
            <w:webHidden/>
          </w:rPr>
          <w:instrText xml:space="preserve"> PAGEREF _Toc354671236 \h </w:instrText>
        </w:r>
        <w:r w:rsidR="00D70007">
          <w:rPr>
            <w:noProof/>
            <w:webHidden/>
          </w:rPr>
        </w:r>
        <w:r w:rsidR="00D70007">
          <w:rPr>
            <w:noProof/>
            <w:webHidden/>
          </w:rPr>
          <w:fldChar w:fldCharType="separate"/>
        </w:r>
        <w:r w:rsidR="00A05904">
          <w:rPr>
            <w:noProof/>
            <w:webHidden/>
          </w:rPr>
          <w:t>72</w:t>
        </w:r>
        <w:r w:rsidR="00D70007">
          <w:rPr>
            <w:noProof/>
            <w:webHidden/>
          </w:rPr>
          <w:fldChar w:fldCharType="end"/>
        </w:r>
      </w:hyperlink>
    </w:p>
    <w:p w14:paraId="46A703AC" w14:textId="77777777" w:rsidR="00D70007" w:rsidRDefault="00796989">
      <w:pPr>
        <w:pStyle w:val="TOC1"/>
        <w:rPr>
          <w:rFonts w:asciiTheme="minorHAnsi" w:eastAsiaTheme="minorEastAsia" w:hAnsiTheme="minorHAnsi" w:cstheme="minorBidi"/>
          <w:noProof/>
          <w:sz w:val="22"/>
          <w:szCs w:val="22"/>
          <w:lang w:eastAsia="lv-LV"/>
        </w:rPr>
      </w:pPr>
      <w:hyperlink w:anchor="_Toc354671237" w:history="1">
        <w:r w:rsidR="00D70007" w:rsidRPr="00D30F54">
          <w:rPr>
            <w:rStyle w:val="Hyperlink"/>
            <w:noProof/>
          </w:rPr>
          <w:t>9.1. Valsts finanšu institucionālās iezīmes</w:t>
        </w:r>
        <w:r w:rsidR="00D70007">
          <w:rPr>
            <w:noProof/>
            <w:webHidden/>
          </w:rPr>
          <w:tab/>
        </w:r>
        <w:r w:rsidR="00D70007">
          <w:rPr>
            <w:noProof/>
            <w:webHidden/>
          </w:rPr>
          <w:fldChar w:fldCharType="begin"/>
        </w:r>
        <w:r w:rsidR="00D70007">
          <w:rPr>
            <w:noProof/>
            <w:webHidden/>
          </w:rPr>
          <w:instrText xml:space="preserve"> PAGEREF _Toc354671237 \h </w:instrText>
        </w:r>
        <w:r w:rsidR="00D70007">
          <w:rPr>
            <w:noProof/>
            <w:webHidden/>
          </w:rPr>
        </w:r>
        <w:r w:rsidR="00D70007">
          <w:rPr>
            <w:noProof/>
            <w:webHidden/>
          </w:rPr>
          <w:fldChar w:fldCharType="separate"/>
        </w:r>
        <w:r w:rsidR="00A05904">
          <w:rPr>
            <w:noProof/>
            <w:webHidden/>
          </w:rPr>
          <w:t>74</w:t>
        </w:r>
        <w:r w:rsidR="00D70007">
          <w:rPr>
            <w:noProof/>
            <w:webHidden/>
          </w:rPr>
          <w:fldChar w:fldCharType="end"/>
        </w:r>
      </w:hyperlink>
    </w:p>
    <w:p w14:paraId="1044C902" w14:textId="77777777" w:rsidR="00D70007" w:rsidRDefault="00796989">
      <w:pPr>
        <w:pStyle w:val="TOC2"/>
        <w:rPr>
          <w:rFonts w:asciiTheme="minorHAnsi" w:eastAsiaTheme="minorEastAsia" w:hAnsiTheme="minorHAnsi" w:cstheme="minorBidi"/>
          <w:noProof/>
          <w:sz w:val="22"/>
          <w:szCs w:val="22"/>
          <w:lang w:eastAsia="lv-LV"/>
        </w:rPr>
      </w:pPr>
      <w:hyperlink w:anchor="_Toc354671238" w:history="1">
        <w:r w:rsidR="00D70007" w:rsidRPr="00D30F54">
          <w:rPr>
            <w:rStyle w:val="Hyperlink"/>
            <w:noProof/>
          </w:rPr>
          <w:t>9.1. Valsts budžeta noteikumu ieviešana</w:t>
        </w:r>
        <w:r w:rsidR="00D70007">
          <w:rPr>
            <w:noProof/>
            <w:webHidden/>
          </w:rPr>
          <w:tab/>
        </w:r>
        <w:r w:rsidR="00D70007">
          <w:rPr>
            <w:noProof/>
            <w:webHidden/>
          </w:rPr>
          <w:fldChar w:fldCharType="begin"/>
        </w:r>
        <w:r w:rsidR="00D70007">
          <w:rPr>
            <w:noProof/>
            <w:webHidden/>
          </w:rPr>
          <w:instrText xml:space="preserve"> PAGEREF _Toc354671238 \h </w:instrText>
        </w:r>
        <w:r w:rsidR="00D70007">
          <w:rPr>
            <w:noProof/>
            <w:webHidden/>
          </w:rPr>
        </w:r>
        <w:r w:rsidR="00D70007">
          <w:rPr>
            <w:noProof/>
            <w:webHidden/>
          </w:rPr>
          <w:fldChar w:fldCharType="separate"/>
        </w:r>
        <w:r w:rsidR="00A05904">
          <w:rPr>
            <w:noProof/>
            <w:webHidden/>
          </w:rPr>
          <w:t>74</w:t>
        </w:r>
        <w:r w:rsidR="00D70007">
          <w:rPr>
            <w:noProof/>
            <w:webHidden/>
          </w:rPr>
          <w:fldChar w:fldCharType="end"/>
        </w:r>
      </w:hyperlink>
    </w:p>
    <w:p w14:paraId="39E01E4E" w14:textId="77777777" w:rsidR="00D70007" w:rsidRDefault="00796989">
      <w:pPr>
        <w:pStyle w:val="TOC2"/>
        <w:rPr>
          <w:rFonts w:asciiTheme="minorHAnsi" w:eastAsiaTheme="minorEastAsia" w:hAnsiTheme="minorHAnsi" w:cstheme="minorBidi"/>
          <w:noProof/>
          <w:sz w:val="22"/>
          <w:szCs w:val="22"/>
          <w:lang w:eastAsia="lv-LV"/>
        </w:rPr>
      </w:pPr>
      <w:hyperlink w:anchor="_Toc354671239" w:history="1">
        <w:r w:rsidR="00D70007" w:rsidRPr="00D30F54">
          <w:rPr>
            <w:rStyle w:val="Hyperlink"/>
            <w:noProof/>
          </w:rPr>
          <w:t>9.2. Vidējā termiņa budžeta plānošana</w:t>
        </w:r>
        <w:r w:rsidR="00D70007">
          <w:rPr>
            <w:noProof/>
            <w:webHidden/>
          </w:rPr>
          <w:tab/>
        </w:r>
        <w:r w:rsidR="00D70007">
          <w:rPr>
            <w:noProof/>
            <w:webHidden/>
          </w:rPr>
          <w:fldChar w:fldCharType="begin"/>
        </w:r>
        <w:r w:rsidR="00D70007">
          <w:rPr>
            <w:noProof/>
            <w:webHidden/>
          </w:rPr>
          <w:instrText xml:space="preserve"> PAGEREF _Toc354671239 \h </w:instrText>
        </w:r>
        <w:r w:rsidR="00D70007">
          <w:rPr>
            <w:noProof/>
            <w:webHidden/>
          </w:rPr>
        </w:r>
        <w:r w:rsidR="00D70007">
          <w:rPr>
            <w:noProof/>
            <w:webHidden/>
          </w:rPr>
          <w:fldChar w:fldCharType="separate"/>
        </w:r>
        <w:r w:rsidR="00A05904">
          <w:rPr>
            <w:noProof/>
            <w:webHidden/>
          </w:rPr>
          <w:t>75</w:t>
        </w:r>
        <w:r w:rsidR="00D70007">
          <w:rPr>
            <w:noProof/>
            <w:webHidden/>
          </w:rPr>
          <w:fldChar w:fldCharType="end"/>
        </w:r>
      </w:hyperlink>
    </w:p>
    <w:p w14:paraId="65F7623C" w14:textId="77777777" w:rsidR="00D70007" w:rsidRDefault="00796989">
      <w:pPr>
        <w:pStyle w:val="TOC2"/>
        <w:rPr>
          <w:rFonts w:asciiTheme="minorHAnsi" w:eastAsiaTheme="minorEastAsia" w:hAnsiTheme="minorHAnsi" w:cstheme="minorBidi"/>
          <w:noProof/>
          <w:sz w:val="22"/>
          <w:szCs w:val="22"/>
          <w:lang w:eastAsia="lv-LV"/>
        </w:rPr>
      </w:pPr>
      <w:hyperlink w:anchor="_Toc354671240" w:history="1">
        <w:r w:rsidR="00D70007" w:rsidRPr="00D30F54">
          <w:rPr>
            <w:rStyle w:val="Hyperlink"/>
            <w:noProof/>
          </w:rPr>
          <w:t>9.3.Budžeta procedūras, t.sk. valsts finanšu statistikas pārvalde</w:t>
        </w:r>
        <w:r w:rsidR="00D70007">
          <w:rPr>
            <w:noProof/>
            <w:webHidden/>
          </w:rPr>
          <w:tab/>
        </w:r>
        <w:r w:rsidR="00D70007">
          <w:rPr>
            <w:noProof/>
            <w:webHidden/>
          </w:rPr>
          <w:fldChar w:fldCharType="begin"/>
        </w:r>
        <w:r w:rsidR="00D70007">
          <w:rPr>
            <w:noProof/>
            <w:webHidden/>
          </w:rPr>
          <w:instrText xml:space="preserve"> PAGEREF _Toc354671240 \h </w:instrText>
        </w:r>
        <w:r w:rsidR="00D70007">
          <w:rPr>
            <w:noProof/>
            <w:webHidden/>
          </w:rPr>
        </w:r>
        <w:r w:rsidR="00D70007">
          <w:rPr>
            <w:noProof/>
            <w:webHidden/>
          </w:rPr>
          <w:fldChar w:fldCharType="separate"/>
        </w:r>
        <w:r w:rsidR="00A05904">
          <w:rPr>
            <w:noProof/>
            <w:webHidden/>
          </w:rPr>
          <w:t>77</w:t>
        </w:r>
        <w:r w:rsidR="00D70007">
          <w:rPr>
            <w:noProof/>
            <w:webHidden/>
          </w:rPr>
          <w:fldChar w:fldCharType="end"/>
        </w:r>
      </w:hyperlink>
    </w:p>
    <w:p w14:paraId="4F4A4EC4" w14:textId="77777777" w:rsidR="00D70007" w:rsidRDefault="00796989">
      <w:pPr>
        <w:pStyle w:val="TOC2"/>
        <w:rPr>
          <w:rFonts w:asciiTheme="minorHAnsi" w:eastAsiaTheme="minorEastAsia" w:hAnsiTheme="minorHAnsi" w:cstheme="minorBidi"/>
          <w:noProof/>
          <w:sz w:val="22"/>
          <w:szCs w:val="22"/>
          <w:lang w:eastAsia="lv-LV"/>
        </w:rPr>
      </w:pPr>
      <w:hyperlink w:anchor="_Toc354671243" w:history="1">
        <w:r w:rsidR="00D70007" w:rsidRPr="00D30F54">
          <w:rPr>
            <w:rStyle w:val="Hyperlink"/>
            <w:noProof/>
          </w:rPr>
          <w:t xml:space="preserve">9.4. Citas institucionālās </w:t>
        </w:r>
        <w:r w:rsidR="00D70007" w:rsidRPr="00D30F54">
          <w:rPr>
            <w:rStyle w:val="Hyperlink"/>
            <w:bCs/>
            <w:noProof/>
          </w:rPr>
          <w:t>attīstības</w:t>
        </w:r>
        <w:r w:rsidR="00D70007" w:rsidRPr="00D30F54">
          <w:rPr>
            <w:rStyle w:val="Hyperlink"/>
            <w:noProof/>
          </w:rPr>
          <w:t xml:space="preserve"> attiecībā uz valsts finansēm</w:t>
        </w:r>
        <w:r w:rsidR="00D70007">
          <w:rPr>
            <w:noProof/>
            <w:webHidden/>
          </w:rPr>
          <w:tab/>
        </w:r>
        <w:r w:rsidR="00D70007">
          <w:rPr>
            <w:noProof/>
            <w:webHidden/>
          </w:rPr>
          <w:fldChar w:fldCharType="begin"/>
        </w:r>
        <w:r w:rsidR="00D70007">
          <w:rPr>
            <w:noProof/>
            <w:webHidden/>
          </w:rPr>
          <w:instrText xml:space="preserve"> PAGEREF _Toc354671243 \h </w:instrText>
        </w:r>
        <w:r w:rsidR="00D70007">
          <w:rPr>
            <w:noProof/>
            <w:webHidden/>
          </w:rPr>
        </w:r>
        <w:r w:rsidR="00D70007">
          <w:rPr>
            <w:noProof/>
            <w:webHidden/>
          </w:rPr>
          <w:fldChar w:fldCharType="separate"/>
        </w:r>
        <w:r w:rsidR="00A05904">
          <w:rPr>
            <w:noProof/>
            <w:webHidden/>
          </w:rPr>
          <w:t>80</w:t>
        </w:r>
        <w:r w:rsidR="00D70007">
          <w:rPr>
            <w:noProof/>
            <w:webHidden/>
          </w:rPr>
          <w:fldChar w:fldCharType="end"/>
        </w:r>
      </w:hyperlink>
    </w:p>
    <w:p w14:paraId="70BC83CD" w14:textId="77777777" w:rsidR="00D70007" w:rsidRDefault="00796989">
      <w:pPr>
        <w:pStyle w:val="TOC1"/>
        <w:rPr>
          <w:rFonts w:asciiTheme="minorHAnsi" w:eastAsiaTheme="minorEastAsia" w:hAnsiTheme="minorHAnsi" w:cstheme="minorBidi"/>
          <w:noProof/>
          <w:sz w:val="22"/>
          <w:szCs w:val="22"/>
          <w:lang w:eastAsia="lv-LV"/>
        </w:rPr>
      </w:pPr>
      <w:hyperlink w:anchor="_Toc354671244" w:history="1">
        <w:r w:rsidR="00D70007" w:rsidRPr="00D30F54">
          <w:rPr>
            <w:rStyle w:val="Hyperlink"/>
            <w:noProof/>
          </w:rPr>
          <w:t>Pielikumi</w:t>
        </w:r>
        <w:r w:rsidR="00D70007">
          <w:rPr>
            <w:noProof/>
            <w:webHidden/>
          </w:rPr>
          <w:tab/>
        </w:r>
        <w:r w:rsidR="00D70007">
          <w:rPr>
            <w:noProof/>
            <w:webHidden/>
          </w:rPr>
          <w:fldChar w:fldCharType="begin"/>
        </w:r>
        <w:r w:rsidR="00D70007">
          <w:rPr>
            <w:noProof/>
            <w:webHidden/>
          </w:rPr>
          <w:instrText xml:space="preserve"> PAGEREF _Toc354671244 \h </w:instrText>
        </w:r>
        <w:r w:rsidR="00D70007">
          <w:rPr>
            <w:noProof/>
            <w:webHidden/>
          </w:rPr>
        </w:r>
        <w:r w:rsidR="00D70007">
          <w:rPr>
            <w:noProof/>
            <w:webHidden/>
          </w:rPr>
          <w:fldChar w:fldCharType="separate"/>
        </w:r>
        <w:r w:rsidR="00A05904">
          <w:rPr>
            <w:noProof/>
            <w:webHidden/>
          </w:rPr>
          <w:t>82</w:t>
        </w:r>
        <w:r w:rsidR="00D70007">
          <w:rPr>
            <w:noProof/>
            <w:webHidden/>
          </w:rPr>
          <w:fldChar w:fldCharType="end"/>
        </w:r>
      </w:hyperlink>
    </w:p>
    <w:p w14:paraId="472199EA" w14:textId="77777777" w:rsidR="00283B8B" w:rsidRDefault="00283B8B" w:rsidP="002D7837">
      <w:pPr>
        <w:tabs>
          <w:tab w:val="right" w:leader="dot" w:pos="9072"/>
        </w:tabs>
        <w:spacing w:after="60"/>
        <w:ind w:firstLine="0"/>
        <w:rPr>
          <w:b/>
          <w:bCs/>
          <w:noProof/>
        </w:rPr>
      </w:pPr>
      <w:r w:rsidRPr="00877BCB">
        <w:rPr>
          <w:b/>
          <w:bCs/>
          <w:noProof/>
          <w:highlight w:val="yellow"/>
        </w:rPr>
        <w:fldChar w:fldCharType="end"/>
      </w:r>
    </w:p>
    <w:p w14:paraId="6787AF6A" w14:textId="73A63F76" w:rsidR="00E15916" w:rsidRPr="00681608" w:rsidRDefault="0003226C" w:rsidP="00681608">
      <w:pPr>
        <w:pStyle w:val="H2"/>
        <w:pageBreakBefore/>
        <w:spacing w:before="0"/>
        <w:ind w:left="0" w:firstLine="0"/>
        <w:jc w:val="center"/>
        <w:rPr>
          <w:rFonts w:ascii="Times New Roman" w:hAnsi="Times New Roman"/>
          <w:szCs w:val="32"/>
        </w:rPr>
      </w:pPr>
      <w:bookmarkStart w:id="4" w:name="_Toc354671207"/>
      <w:r w:rsidRPr="00E2547E">
        <w:rPr>
          <w:rFonts w:ascii="Times New Roman" w:hAnsi="Times New Roman"/>
          <w:szCs w:val="32"/>
        </w:rPr>
        <w:lastRenderedPageBreak/>
        <w:t>Saīsinājumu apzīmējumi</w:t>
      </w:r>
      <w:bookmarkEnd w:id="4"/>
    </w:p>
    <w:p w14:paraId="5B6166B9" w14:textId="3C3A1108" w:rsidR="0003226C" w:rsidRPr="009005DC" w:rsidRDefault="0003226C" w:rsidP="00EF0D6A">
      <w:pPr>
        <w:tabs>
          <w:tab w:val="left" w:pos="3544"/>
        </w:tabs>
        <w:rPr>
          <w:color w:val="000000"/>
          <w:szCs w:val="24"/>
          <w:lang w:eastAsia="lv-LV"/>
        </w:rPr>
      </w:pPr>
      <w:r w:rsidRPr="009005DC">
        <w:rPr>
          <w:color w:val="000000"/>
          <w:szCs w:val="24"/>
          <w:lang w:eastAsia="lv-LV"/>
        </w:rPr>
        <w:t xml:space="preserve">CSP </w:t>
      </w:r>
      <w:r w:rsidRPr="009005DC">
        <w:rPr>
          <w:color w:val="000000"/>
          <w:szCs w:val="24"/>
          <w:lang w:eastAsia="lv-LV"/>
        </w:rPr>
        <w:tab/>
      </w:r>
      <w:r w:rsidRPr="008E5577">
        <w:rPr>
          <w:color w:val="000000"/>
        </w:rPr>
        <w:t>Centrālā statistikas pārvalde</w:t>
      </w:r>
    </w:p>
    <w:p w14:paraId="42AEB2A8" w14:textId="3C7A3B96" w:rsidR="0003226C" w:rsidRPr="009005DC" w:rsidRDefault="0003226C" w:rsidP="008E5577">
      <w:pPr>
        <w:tabs>
          <w:tab w:val="left" w:pos="3544"/>
        </w:tabs>
        <w:rPr>
          <w:color w:val="000000"/>
          <w:szCs w:val="24"/>
          <w:lang w:eastAsia="lv-LV"/>
        </w:rPr>
      </w:pPr>
      <w:r w:rsidRPr="009005DC">
        <w:rPr>
          <w:color w:val="000000"/>
          <w:szCs w:val="24"/>
          <w:lang w:eastAsia="lv-LV"/>
        </w:rPr>
        <w:t xml:space="preserve">ECB </w:t>
      </w:r>
      <w:r w:rsidRPr="009005DC">
        <w:rPr>
          <w:color w:val="000000"/>
          <w:szCs w:val="24"/>
          <w:lang w:eastAsia="lv-LV"/>
        </w:rPr>
        <w:tab/>
      </w:r>
      <w:r w:rsidRPr="008E5577">
        <w:rPr>
          <w:color w:val="000000"/>
          <w:szCs w:val="24"/>
          <w:lang w:eastAsia="lv-LV"/>
        </w:rPr>
        <w:t>Eiropas Centrālā banka</w:t>
      </w:r>
    </w:p>
    <w:p w14:paraId="43089CA4" w14:textId="2A11F3ED" w:rsidR="0003226C" w:rsidRPr="009005DC" w:rsidRDefault="0003226C" w:rsidP="008E5577">
      <w:pPr>
        <w:tabs>
          <w:tab w:val="left" w:pos="3544"/>
        </w:tabs>
        <w:rPr>
          <w:color w:val="000000"/>
          <w:szCs w:val="24"/>
          <w:lang w:eastAsia="lv-LV"/>
        </w:rPr>
      </w:pPr>
      <w:r w:rsidRPr="009005DC">
        <w:rPr>
          <w:color w:val="000000"/>
          <w:szCs w:val="24"/>
          <w:lang w:eastAsia="lv-LV"/>
        </w:rPr>
        <w:t xml:space="preserve">EK </w:t>
      </w:r>
      <w:r w:rsidRPr="009005DC">
        <w:rPr>
          <w:color w:val="000000"/>
          <w:szCs w:val="24"/>
          <w:lang w:eastAsia="lv-LV"/>
        </w:rPr>
        <w:tab/>
        <w:t>Eiropas Komisija</w:t>
      </w:r>
    </w:p>
    <w:p w14:paraId="3C6E0F9A" w14:textId="77A46A3F" w:rsidR="0003226C" w:rsidRDefault="0003226C" w:rsidP="008E5577">
      <w:pPr>
        <w:tabs>
          <w:tab w:val="left" w:pos="3544"/>
        </w:tabs>
        <w:rPr>
          <w:color w:val="000000"/>
          <w:szCs w:val="24"/>
          <w:lang w:eastAsia="lv-LV"/>
        </w:rPr>
      </w:pPr>
      <w:r w:rsidRPr="009005DC">
        <w:rPr>
          <w:color w:val="000000"/>
          <w:szCs w:val="24"/>
          <w:lang w:eastAsia="lv-LV"/>
        </w:rPr>
        <w:t xml:space="preserve">EKS </w:t>
      </w:r>
      <w:r w:rsidRPr="009005DC">
        <w:rPr>
          <w:color w:val="000000"/>
          <w:szCs w:val="24"/>
          <w:lang w:eastAsia="lv-LV"/>
        </w:rPr>
        <w:tab/>
        <w:t>Eiropas kontu sistēma</w:t>
      </w:r>
    </w:p>
    <w:p w14:paraId="6559607C" w14:textId="6D3DD481" w:rsidR="00187D66" w:rsidRDefault="00187D66" w:rsidP="00187D66">
      <w:pPr>
        <w:ind w:left="3544" w:hanging="2977"/>
        <w:rPr>
          <w:color w:val="000000"/>
          <w:szCs w:val="24"/>
          <w:lang w:eastAsia="lv-LV"/>
        </w:rPr>
      </w:pPr>
      <w:r>
        <w:rPr>
          <w:color w:val="000000"/>
        </w:rPr>
        <w:t xml:space="preserve">Regula nr. 1175/2011 </w:t>
      </w:r>
      <w:r>
        <w:rPr>
          <w:color w:val="000000"/>
        </w:rPr>
        <w:tab/>
      </w:r>
      <w:r w:rsidRPr="00AE6118">
        <w:rPr>
          <w:color w:val="000000"/>
        </w:rPr>
        <w:t xml:space="preserve">EIROPAS PARLAMENTA UN PADOMES </w:t>
      </w:r>
      <w:r w:rsidR="007D7784">
        <w:rPr>
          <w:color w:val="000000"/>
        </w:rPr>
        <w:t xml:space="preserve"> </w:t>
      </w:r>
      <w:r w:rsidRPr="00AE6118">
        <w:rPr>
          <w:color w:val="000000"/>
        </w:rPr>
        <w:t>REGULA (ES) Nr. 1175/2011 (2011. gada 16. novembris), ar ko groza Padomes Regulu (EK) Nr. 1466/97 par budžeta stāvokļa uzraudzības un ekonomikas politikas uzraudzības un koordinācijas stiprināšanu</w:t>
      </w:r>
    </w:p>
    <w:p w14:paraId="30D75136" w14:textId="3135850B" w:rsidR="00D615DF" w:rsidRPr="009005DC" w:rsidRDefault="008E5577" w:rsidP="008E5577">
      <w:pPr>
        <w:tabs>
          <w:tab w:val="left" w:pos="3544"/>
        </w:tabs>
        <w:rPr>
          <w:color w:val="000000"/>
          <w:szCs w:val="24"/>
          <w:lang w:eastAsia="lv-LV"/>
        </w:rPr>
      </w:pPr>
      <w:r>
        <w:t xml:space="preserve">ERAF </w:t>
      </w:r>
      <w:r>
        <w:tab/>
      </w:r>
      <w:r w:rsidR="00D615DF" w:rsidRPr="00FF2E0A">
        <w:t>E</w:t>
      </w:r>
      <w:r w:rsidR="00D615DF">
        <w:t>iropas reģionālās attīstības fonds</w:t>
      </w:r>
    </w:p>
    <w:p w14:paraId="4F534821" w14:textId="4CA6605E" w:rsidR="0003226C" w:rsidRPr="009005DC" w:rsidRDefault="0003226C" w:rsidP="008E5577">
      <w:pPr>
        <w:tabs>
          <w:tab w:val="left" w:pos="3544"/>
        </w:tabs>
        <w:rPr>
          <w:color w:val="000000"/>
          <w:szCs w:val="24"/>
          <w:lang w:eastAsia="lv-LV"/>
        </w:rPr>
      </w:pPr>
      <w:r w:rsidRPr="009005DC">
        <w:rPr>
          <w:color w:val="000000"/>
          <w:szCs w:val="24"/>
          <w:lang w:eastAsia="lv-LV"/>
        </w:rPr>
        <w:t xml:space="preserve">ES </w:t>
      </w:r>
      <w:r w:rsidRPr="009005DC">
        <w:rPr>
          <w:color w:val="000000"/>
          <w:szCs w:val="24"/>
          <w:lang w:eastAsia="lv-LV"/>
        </w:rPr>
        <w:tab/>
        <w:t>Eiropas Savienība</w:t>
      </w:r>
    </w:p>
    <w:p w14:paraId="4902E6B7" w14:textId="7229B7E2" w:rsidR="0003226C" w:rsidRDefault="0003226C" w:rsidP="008E5577">
      <w:pPr>
        <w:tabs>
          <w:tab w:val="left" w:pos="3544"/>
        </w:tabs>
        <w:rPr>
          <w:color w:val="000000"/>
          <w:szCs w:val="24"/>
          <w:lang w:eastAsia="lv-LV"/>
        </w:rPr>
      </w:pPr>
      <w:r w:rsidRPr="009005DC">
        <w:rPr>
          <w:color w:val="000000"/>
          <w:szCs w:val="24"/>
          <w:lang w:eastAsia="lv-LV"/>
        </w:rPr>
        <w:t xml:space="preserve">ESF </w:t>
      </w:r>
      <w:r w:rsidRPr="009005DC">
        <w:rPr>
          <w:color w:val="000000"/>
          <w:szCs w:val="24"/>
          <w:lang w:eastAsia="lv-LV"/>
        </w:rPr>
        <w:tab/>
        <w:t>Eiropas Sociālais fonds</w:t>
      </w:r>
    </w:p>
    <w:p w14:paraId="0F59D453" w14:textId="77777777" w:rsidR="00EC7C50" w:rsidRDefault="00EC7C50" w:rsidP="00EC7C50">
      <w:pPr>
        <w:ind w:left="3544" w:hanging="2977"/>
        <w:rPr>
          <w:color w:val="000000"/>
          <w:szCs w:val="24"/>
          <w:lang w:eastAsia="lv-LV"/>
        </w:rPr>
      </w:pPr>
      <w:r>
        <w:t xml:space="preserve">AWG </w:t>
      </w:r>
      <w:r>
        <w:tab/>
        <w:t>Ekonomikas politikas komitejas Sabiedrības novecošanās un valsts finanšu ilgtspējas darba grupa</w:t>
      </w:r>
    </w:p>
    <w:p w14:paraId="04331F77" w14:textId="4E18C523" w:rsidR="00D615DF" w:rsidRPr="009005DC" w:rsidRDefault="00D615DF" w:rsidP="00EC7C50">
      <w:pPr>
        <w:tabs>
          <w:tab w:val="left" w:pos="3544"/>
        </w:tabs>
        <w:ind w:left="3544" w:hanging="2977"/>
        <w:rPr>
          <w:color w:val="000000"/>
          <w:szCs w:val="24"/>
          <w:lang w:eastAsia="lv-LV"/>
        </w:rPr>
      </w:pPr>
      <w:r>
        <w:rPr>
          <w:szCs w:val="24"/>
        </w:rPr>
        <w:t xml:space="preserve">Stratēģija </w:t>
      </w:r>
      <w:r w:rsidR="008E5577">
        <w:rPr>
          <w:szCs w:val="24"/>
        </w:rPr>
        <w:t xml:space="preserve">2030 </w:t>
      </w:r>
      <w:r w:rsidR="008E5577">
        <w:rPr>
          <w:szCs w:val="24"/>
        </w:rPr>
        <w:tab/>
      </w:r>
      <w:r w:rsidRPr="000E754C">
        <w:rPr>
          <w:szCs w:val="24"/>
        </w:rPr>
        <w:t>Enerģētikas ilgtermiņa stratēģija 2030 – konkurē</w:t>
      </w:r>
      <w:r w:rsidR="00EC7C50">
        <w:rPr>
          <w:szCs w:val="24"/>
        </w:rPr>
        <w:t>tspējīga enerģētika sabiedrībai</w:t>
      </w:r>
    </w:p>
    <w:p w14:paraId="384ACB42" w14:textId="0CCAFDA9" w:rsidR="0003226C" w:rsidRPr="009005DC" w:rsidRDefault="0003226C" w:rsidP="00EF0D6A">
      <w:pPr>
        <w:tabs>
          <w:tab w:val="left" w:pos="3544"/>
        </w:tabs>
        <w:rPr>
          <w:color w:val="000000"/>
          <w:szCs w:val="24"/>
          <w:lang w:eastAsia="lv-LV"/>
        </w:rPr>
      </w:pPr>
      <w:r w:rsidRPr="009005DC">
        <w:rPr>
          <w:color w:val="000000"/>
          <w:szCs w:val="24"/>
          <w:lang w:eastAsia="lv-LV"/>
        </w:rPr>
        <w:t xml:space="preserve">FM </w:t>
      </w:r>
      <w:r w:rsidRPr="009005DC">
        <w:rPr>
          <w:color w:val="000000"/>
          <w:szCs w:val="24"/>
          <w:lang w:eastAsia="lv-LV"/>
        </w:rPr>
        <w:tab/>
      </w:r>
      <w:r w:rsidRPr="008E5577">
        <w:t>Finanšu ministrija</w:t>
      </w:r>
    </w:p>
    <w:p w14:paraId="28647134" w14:textId="2333ED8A" w:rsidR="00E15916" w:rsidRDefault="00E15916" w:rsidP="00EF0D6A">
      <w:pPr>
        <w:tabs>
          <w:tab w:val="left" w:pos="3544"/>
        </w:tabs>
        <w:rPr>
          <w:color w:val="000000"/>
          <w:szCs w:val="24"/>
          <w:lang w:eastAsia="lv-LV"/>
        </w:rPr>
      </w:pPr>
      <w:r w:rsidRPr="009005DC">
        <w:rPr>
          <w:color w:val="000000"/>
          <w:szCs w:val="24"/>
          <w:lang w:eastAsia="lv-LV"/>
        </w:rPr>
        <w:t xml:space="preserve">FDL </w:t>
      </w:r>
      <w:r w:rsidRPr="009005DC">
        <w:rPr>
          <w:color w:val="000000"/>
          <w:szCs w:val="24"/>
          <w:lang w:eastAsia="lv-LV"/>
        </w:rPr>
        <w:tab/>
        <w:t>Fiskālās disciplīnas likums</w:t>
      </w:r>
    </w:p>
    <w:p w14:paraId="3057A3A5" w14:textId="4FAA858D" w:rsidR="007D55C3" w:rsidRDefault="00EF0D6A" w:rsidP="00EF0D6A">
      <w:pPr>
        <w:tabs>
          <w:tab w:val="left" w:pos="3544"/>
        </w:tabs>
        <w:rPr>
          <w:color w:val="000000"/>
          <w:szCs w:val="24"/>
          <w:lang w:eastAsia="lv-LV"/>
        </w:rPr>
      </w:pPr>
      <w:r>
        <w:rPr>
          <w:color w:val="000000" w:themeColor="text1"/>
          <w:szCs w:val="24"/>
        </w:rPr>
        <w:t xml:space="preserve">Ziņojums </w:t>
      </w:r>
      <w:r>
        <w:rPr>
          <w:color w:val="000000" w:themeColor="text1"/>
          <w:szCs w:val="24"/>
        </w:rPr>
        <w:tab/>
      </w:r>
      <w:r w:rsidR="007D7784">
        <w:rPr>
          <w:color w:val="000000" w:themeColor="text1"/>
          <w:szCs w:val="24"/>
        </w:rPr>
        <w:t>F</w:t>
      </w:r>
      <w:r w:rsidR="007D55C3" w:rsidRPr="009A14DF">
        <w:rPr>
          <w:color w:val="000000" w:themeColor="text1"/>
          <w:szCs w:val="24"/>
        </w:rPr>
        <w:t>iskālās disciplīnas uzraudzības ziņojum</w:t>
      </w:r>
      <w:r w:rsidR="007D55C3">
        <w:rPr>
          <w:color w:val="000000" w:themeColor="text1"/>
          <w:szCs w:val="24"/>
        </w:rPr>
        <w:t>s</w:t>
      </w:r>
    </w:p>
    <w:p w14:paraId="2D2DBCEC" w14:textId="529A315F" w:rsidR="00E90BE6" w:rsidRDefault="00EF0D6A" w:rsidP="00EF0D6A">
      <w:pPr>
        <w:tabs>
          <w:tab w:val="left" w:pos="3544"/>
        </w:tabs>
        <w:rPr>
          <w:color w:val="000000"/>
          <w:szCs w:val="24"/>
          <w:lang w:eastAsia="lv-LV"/>
        </w:rPr>
      </w:pPr>
      <w:r>
        <w:rPr>
          <w:color w:val="000000"/>
          <w:szCs w:val="24"/>
        </w:rPr>
        <w:t xml:space="preserve">Padome </w:t>
      </w:r>
      <w:r>
        <w:rPr>
          <w:color w:val="000000"/>
          <w:szCs w:val="24"/>
        </w:rPr>
        <w:tab/>
      </w:r>
      <w:r w:rsidR="00E90BE6">
        <w:rPr>
          <w:color w:val="000000"/>
          <w:szCs w:val="24"/>
        </w:rPr>
        <w:t>Fiskālā padome</w:t>
      </w:r>
    </w:p>
    <w:p w14:paraId="4EB56441" w14:textId="6ACFDAB0" w:rsidR="00D615DF" w:rsidRPr="009005DC" w:rsidRDefault="00EF0D6A" w:rsidP="00EF0D6A">
      <w:pPr>
        <w:tabs>
          <w:tab w:val="left" w:pos="3544"/>
        </w:tabs>
        <w:rPr>
          <w:color w:val="000000"/>
          <w:szCs w:val="24"/>
          <w:lang w:eastAsia="lv-LV"/>
        </w:rPr>
      </w:pPr>
      <w:r>
        <w:rPr>
          <w:szCs w:val="24"/>
        </w:rPr>
        <w:t xml:space="preserve">GMI </w:t>
      </w:r>
      <w:r>
        <w:rPr>
          <w:szCs w:val="24"/>
        </w:rPr>
        <w:tab/>
      </w:r>
      <w:r w:rsidR="008E5577">
        <w:rPr>
          <w:szCs w:val="24"/>
        </w:rPr>
        <w:t>g</w:t>
      </w:r>
      <w:r w:rsidR="00D615DF" w:rsidRPr="00FF2E0A">
        <w:rPr>
          <w:szCs w:val="24"/>
        </w:rPr>
        <w:t>arantēt</w:t>
      </w:r>
      <w:r w:rsidR="00D615DF">
        <w:rPr>
          <w:szCs w:val="24"/>
        </w:rPr>
        <w:t>ais minimālais ienākums</w:t>
      </w:r>
    </w:p>
    <w:p w14:paraId="1FD3E622" w14:textId="68BEA69B" w:rsidR="0003226C" w:rsidRDefault="0003226C" w:rsidP="00EF0D6A">
      <w:pPr>
        <w:tabs>
          <w:tab w:val="left" w:pos="3544"/>
        </w:tabs>
        <w:rPr>
          <w:color w:val="000000"/>
          <w:szCs w:val="24"/>
          <w:lang w:eastAsia="lv-LV"/>
        </w:rPr>
      </w:pPr>
      <w:r w:rsidRPr="009005DC">
        <w:rPr>
          <w:color w:val="000000"/>
          <w:szCs w:val="24"/>
          <w:lang w:eastAsia="lv-LV"/>
        </w:rPr>
        <w:t xml:space="preserve">IKP </w:t>
      </w:r>
      <w:r w:rsidRPr="009005DC">
        <w:rPr>
          <w:color w:val="000000"/>
          <w:szCs w:val="24"/>
          <w:lang w:eastAsia="lv-LV"/>
        </w:rPr>
        <w:tab/>
        <w:t>iekšzemes kopprodukts</w:t>
      </w:r>
    </w:p>
    <w:p w14:paraId="1F307BFF" w14:textId="361461F1" w:rsidR="00BE7E35" w:rsidRDefault="00EF0D6A" w:rsidP="00EF0D6A">
      <w:pPr>
        <w:tabs>
          <w:tab w:val="left" w:pos="3544"/>
        </w:tabs>
        <w:rPr>
          <w:color w:val="000000"/>
          <w:szCs w:val="24"/>
          <w:lang w:eastAsia="lv-LV"/>
        </w:rPr>
      </w:pPr>
      <w:r>
        <w:t xml:space="preserve">JPI </w:t>
      </w:r>
      <w:r>
        <w:tab/>
      </w:r>
      <w:r w:rsidR="00BE7E35">
        <w:t>jaunās</w:t>
      </w:r>
      <w:r w:rsidR="00BE7E35" w:rsidRPr="002957EB">
        <w:t xml:space="preserve"> politikas iniciatīv</w:t>
      </w:r>
      <w:r w:rsidR="00BE7E35">
        <w:t>as</w:t>
      </w:r>
    </w:p>
    <w:p w14:paraId="2211B0B8" w14:textId="305336F7" w:rsidR="00D615DF" w:rsidRDefault="00EF0D6A" w:rsidP="00EF0D6A">
      <w:pPr>
        <w:tabs>
          <w:tab w:val="left" w:pos="3544"/>
        </w:tabs>
        <w:rPr>
          <w:noProof/>
          <w:szCs w:val="24"/>
        </w:rPr>
      </w:pPr>
      <w:r>
        <w:rPr>
          <w:noProof/>
          <w:szCs w:val="24"/>
        </w:rPr>
        <w:t xml:space="preserve">LB </w:t>
      </w:r>
      <w:r>
        <w:rPr>
          <w:noProof/>
          <w:szCs w:val="24"/>
        </w:rPr>
        <w:tab/>
      </w:r>
      <w:r w:rsidR="00D615DF">
        <w:rPr>
          <w:noProof/>
          <w:szCs w:val="24"/>
        </w:rPr>
        <w:t>Latvijas Banka</w:t>
      </w:r>
    </w:p>
    <w:p w14:paraId="6A870B3A" w14:textId="4A5BD696" w:rsidR="00FA4C50" w:rsidRDefault="00FA4C50" w:rsidP="00EF0D6A">
      <w:pPr>
        <w:tabs>
          <w:tab w:val="left" w:pos="3544"/>
        </w:tabs>
        <w:rPr>
          <w:noProof/>
          <w:szCs w:val="24"/>
        </w:rPr>
      </w:pPr>
      <w:r>
        <w:rPr>
          <w:noProof/>
          <w:szCs w:val="24"/>
        </w:rPr>
        <w:t xml:space="preserve">LGA </w:t>
      </w:r>
      <w:r>
        <w:rPr>
          <w:noProof/>
          <w:szCs w:val="24"/>
        </w:rPr>
        <w:tab/>
        <w:t xml:space="preserve">Latvijas Garantiju aģentūra </w:t>
      </w:r>
    </w:p>
    <w:p w14:paraId="40441661" w14:textId="79E76AE2" w:rsidR="00FA4C50" w:rsidRDefault="00FA4C50" w:rsidP="00EF0D6A">
      <w:pPr>
        <w:tabs>
          <w:tab w:val="left" w:pos="3544"/>
        </w:tabs>
        <w:rPr>
          <w:color w:val="000000"/>
          <w:szCs w:val="24"/>
          <w:lang w:eastAsia="lv-LV"/>
        </w:rPr>
      </w:pPr>
      <w:r>
        <w:rPr>
          <w:noProof/>
          <w:szCs w:val="24"/>
        </w:rPr>
        <w:t xml:space="preserve">LHZB </w:t>
      </w:r>
      <w:r>
        <w:rPr>
          <w:noProof/>
          <w:szCs w:val="24"/>
        </w:rPr>
        <w:tab/>
        <w:t>Latvijas Hipotēku un zemes banka</w:t>
      </w:r>
    </w:p>
    <w:p w14:paraId="1BB53679" w14:textId="77777777" w:rsidR="00D615DF" w:rsidRPr="009005DC" w:rsidRDefault="00D615DF" w:rsidP="00EF0D6A">
      <w:pPr>
        <w:tabs>
          <w:tab w:val="left" w:pos="3544"/>
        </w:tabs>
        <w:rPr>
          <w:color w:val="000000"/>
          <w:szCs w:val="24"/>
          <w:lang w:eastAsia="lv-LV"/>
        </w:rPr>
      </w:pPr>
      <w:r>
        <w:rPr>
          <w:color w:val="000000"/>
          <w:szCs w:val="24"/>
        </w:rPr>
        <w:t xml:space="preserve">Konverģences programma </w:t>
      </w:r>
      <w:r>
        <w:rPr>
          <w:color w:val="000000"/>
          <w:szCs w:val="24"/>
        </w:rPr>
        <w:tab/>
        <w:t>Latvijas Konverģences programma</w:t>
      </w:r>
      <w:r w:rsidRPr="00B86F46">
        <w:rPr>
          <w:color w:val="000000"/>
          <w:szCs w:val="24"/>
        </w:rPr>
        <w:t xml:space="preserve"> </w:t>
      </w:r>
      <w:r>
        <w:rPr>
          <w:color w:val="000000"/>
          <w:szCs w:val="24"/>
        </w:rPr>
        <w:t>2013.-2016.gadam</w:t>
      </w:r>
    </w:p>
    <w:p w14:paraId="11F77935" w14:textId="02AFA6D2" w:rsidR="0003226C" w:rsidRPr="009005DC" w:rsidRDefault="0003226C" w:rsidP="00EF0D6A">
      <w:pPr>
        <w:tabs>
          <w:tab w:val="left" w:pos="3544"/>
        </w:tabs>
        <w:rPr>
          <w:color w:val="000000"/>
          <w:szCs w:val="24"/>
          <w:lang w:eastAsia="lv-LV"/>
        </w:rPr>
      </w:pPr>
      <w:r w:rsidRPr="009005DC">
        <w:rPr>
          <w:color w:val="000000"/>
          <w:szCs w:val="24"/>
          <w:lang w:eastAsia="lv-LV"/>
        </w:rPr>
        <w:t xml:space="preserve">LPS </w:t>
      </w:r>
      <w:r w:rsidRPr="009005DC">
        <w:rPr>
          <w:color w:val="000000"/>
          <w:szCs w:val="24"/>
          <w:lang w:eastAsia="lv-LV"/>
        </w:rPr>
        <w:tab/>
        <w:t>Latvijas Pašvaldību savienība</w:t>
      </w:r>
    </w:p>
    <w:p w14:paraId="5DF19109" w14:textId="16A97A5E" w:rsidR="00E15916" w:rsidRDefault="00E15916" w:rsidP="00EF0D6A">
      <w:pPr>
        <w:tabs>
          <w:tab w:val="left" w:pos="3544"/>
        </w:tabs>
        <w:rPr>
          <w:color w:val="000000"/>
          <w:szCs w:val="24"/>
          <w:lang w:eastAsia="lv-LV"/>
        </w:rPr>
      </w:pPr>
      <w:r w:rsidRPr="009005DC">
        <w:rPr>
          <w:color w:val="000000"/>
          <w:szCs w:val="24"/>
          <w:lang w:eastAsia="lv-LV"/>
        </w:rPr>
        <w:t xml:space="preserve">LSAP </w:t>
      </w:r>
      <w:r w:rsidRPr="009005DC">
        <w:rPr>
          <w:color w:val="000000"/>
          <w:szCs w:val="24"/>
          <w:lang w:eastAsia="lv-LV"/>
        </w:rPr>
        <w:tab/>
        <w:t xml:space="preserve">Latvijas Stratēģiskās </w:t>
      </w:r>
      <w:r w:rsidR="00E52A3B">
        <w:rPr>
          <w:color w:val="000000"/>
          <w:szCs w:val="24"/>
          <w:lang w:eastAsia="lv-LV"/>
        </w:rPr>
        <w:t>attīstības plāns 2010.-2013.gadam</w:t>
      </w:r>
    </w:p>
    <w:p w14:paraId="1755FB9C" w14:textId="3B301A2D" w:rsidR="00EC7C50" w:rsidRPr="009005DC" w:rsidRDefault="00EF0D6A" w:rsidP="00EF0D6A">
      <w:pPr>
        <w:tabs>
          <w:tab w:val="left" w:pos="3544"/>
        </w:tabs>
        <w:rPr>
          <w:color w:val="000000"/>
          <w:szCs w:val="24"/>
          <w:lang w:eastAsia="lv-LV"/>
        </w:rPr>
      </w:pPr>
      <w:r>
        <w:rPr>
          <w:szCs w:val="24"/>
        </w:rPr>
        <w:t xml:space="preserve">LBFV </w:t>
      </w:r>
      <w:r>
        <w:rPr>
          <w:szCs w:val="24"/>
        </w:rPr>
        <w:tab/>
      </w:r>
      <w:r w:rsidR="00EC7C50" w:rsidRPr="001818CB">
        <w:rPr>
          <w:szCs w:val="24"/>
        </w:rPr>
        <w:t>Likums par budžetu un finanšu vadību</w:t>
      </w:r>
    </w:p>
    <w:p w14:paraId="58A25461" w14:textId="3F68F907" w:rsidR="00D615DF" w:rsidRPr="00D615DF" w:rsidRDefault="009005DC" w:rsidP="00D615DF">
      <w:pPr>
        <w:ind w:left="3544" w:hanging="2977"/>
        <w:rPr>
          <w:szCs w:val="24"/>
        </w:rPr>
      </w:pPr>
      <w:r w:rsidRPr="009005DC">
        <w:rPr>
          <w:szCs w:val="24"/>
        </w:rPr>
        <w:t xml:space="preserve">Fiskālais līgums </w:t>
      </w:r>
      <w:r>
        <w:rPr>
          <w:szCs w:val="24"/>
        </w:rPr>
        <w:tab/>
      </w:r>
      <w:proofErr w:type="spellStart"/>
      <w:r w:rsidR="007D7784">
        <w:rPr>
          <w:szCs w:val="24"/>
        </w:rPr>
        <w:t>Līgums</w:t>
      </w:r>
      <w:proofErr w:type="spellEnd"/>
      <w:r w:rsidRPr="009005DC">
        <w:rPr>
          <w:szCs w:val="24"/>
        </w:rPr>
        <w:t xml:space="preserve"> par stabilitāti, koordināciju un pārvaldību ekonomiskajā un monetārajā savienībā</w:t>
      </w:r>
    </w:p>
    <w:p w14:paraId="668BFCBB" w14:textId="184E4863" w:rsidR="0003226C" w:rsidRDefault="009005DC" w:rsidP="00EF0D6A">
      <w:pPr>
        <w:tabs>
          <w:tab w:val="left" w:pos="3544"/>
        </w:tabs>
        <w:rPr>
          <w:color w:val="000000"/>
          <w:szCs w:val="24"/>
          <w:lang w:eastAsia="lv-LV"/>
        </w:rPr>
      </w:pPr>
      <w:r>
        <w:rPr>
          <w:color w:val="000000"/>
          <w:szCs w:val="24"/>
          <w:lang w:eastAsia="lv-LV"/>
        </w:rPr>
        <w:t>M</w:t>
      </w:r>
      <w:r w:rsidR="0003226C" w:rsidRPr="009005DC">
        <w:rPr>
          <w:color w:val="000000"/>
          <w:szCs w:val="24"/>
          <w:lang w:eastAsia="lv-LV"/>
        </w:rPr>
        <w:t xml:space="preserve">K </w:t>
      </w:r>
      <w:r w:rsidR="0003226C" w:rsidRPr="009005DC">
        <w:rPr>
          <w:color w:val="000000"/>
          <w:szCs w:val="24"/>
          <w:lang w:eastAsia="lv-LV"/>
        </w:rPr>
        <w:tab/>
        <w:t>Ministru kabinets</w:t>
      </w:r>
    </w:p>
    <w:p w14:paraId="236B7690" w14:textId="26BC2390" w:rsidR="007D55C3" w:rsidRPr="009005DC" w:rsidRDefault="007D55C3" w:rsidP="007D55C3">
      <w:pPr>
        <w:ind w:left="3544" w:hanging="2977"/>
        <w:rPr>
          <w:color w:val="000000"/>
          <w:szCs w:val="24"/>
          <w:lang w:eastAsia="lv-LV"/>
        </w:rPr>
      </w:pPr>
      <w:r w:rsidRPr="00612AB9">
        <w:rPr>
          <w:szCs w:val="24"/>
        </w:rPr>
        <w:t>protokola projekts</w:t>
      </w:r>
      <w:r w:rsidR="00EF0D6A">
        <w:rPr>
          <w:szCs w:val="24"/>
        </w:rPr>
        <w:t xml:space="preserve">  </w:t>
      </w:r>
      <w:r w:rsidR="00EF0D6A">
        <w:rPr>
          <w:szCs w:val="24"/>
        </w:rPr>
        <w:tab/>
      </w:r>
      <w:r>
        <w:rPr>
          <w:szCs w:val="24"/>
        </w:rPr>
        <w:t xml:space="preserve">MK </w:t>
      </w:r>
      <w:r w:rsidRPr="00612AB9">
        <w:rPr>
          <w:szCs w:val="24"/>
        </w:rPr>
        <w:t>un LPS domstarpību un vienošanās protokola projekts</w:t>
      </w:r>
    </w:p>
    <w:p w14:paraId="6CB049FA" w14:textId="5EF56A31" w:rsidR="00D615DF" w:rsidRDefault="0003226C" w:rsidP="00EF0D6A">
      <w:pPr>
        <w:tabs>
          <w:tab w:val="left" w:pos="3544"/>
        </w:tabs>
        <w:rPr>
          <w:szCs w:val="24"/>
        </w:rPr>
      </w:pPr>
      <w:r w:rsidRPr="009005DC">
        <w:rPr>
          <w:color w:val="000000"/>
          <w:szCs w:val="24"/>
          <w:lang w:eastAsia="lv-LV"/>
        </w:rPr>
        <w:t xml:space="preserve">NRP </w:t>
      </w:r>
      <w:r w:rsidRPr="009005DC">
        <w:rPr>
          <w:color w:val="000000"/>
          <w:szCs w:val="24"/>
          <w:lang w:eastAsia="lv-LV"/>
        </w:rPr>
        <w:tab/>
        <w:t>Nacionālā reformu programma</w:t>
      </w:r>
      <w:r w:rsidR="00D615DF" w:rsidRPr="00D615DF">
        <w:rPr>
          <w:szCs w:val="24"/>
        </w:rPr>
        <w:t xml:space="preserve"> </w:t>
      </w:r>
    </w:p>
    <w:p w14:paraId="4212E997" w14:textId="6B481C8F" w:rsidR="00D615DF" w:rsidRDefault="002E20C1" w:rsidP="002E20C1">
      <w:pPr>
        <w:tabs>
          <w:tab w:val="left" w:pos="3544"/>
        </w:tabs>
        <w:rPr>
          <w:szCs w:val="24"/>
        </w:rPr>
      </w:pPr>
      <w:r>
        <w:rPr>
          <w:szCs w:val="24"/>
        </w:rPr>
        <w:lastRenderedPageBreak/>
        <w:t xml:space="preserve">NVA </w:t>
      </w:r>
      <w:r>
        <w:rPr>
          <w:szCs w:val="24"/>
        </w:rPr>
        <w:tab/>
      </w:r>
      <w:r w:rsidR="00D615DF">
        <w:rPr>
          <w:szCs w:val="24"/>
        </w:rPr>
        <w:t xml:space="preserve">Nodarbinātības valsts aģentūra </w:t>
      </w:r>
    </w:p>
    <w:p w14:paraId="6A9823BD" w14:textId="6A365555" w:rsidR="0003226C" w:rsidRDefault="002E20C1" w:rsidP="00D615DF">
      <w:pPr>
        <w:ind w:left="3544" w:hanging="2977"/>
        <w:rPr>
          <w:color w:val="000000"/>
          <w:szCs w:val="24"/>
          <w:lang w:eastAsia="lv-LV"/>
        </w:rPr>
      </w:pPr>
      <w:r>
        <w:rPr>
          <w:szCs w:val="24"/>
        </w:rPr>
        <w:t xml:space="preserve">Plāns </w:t>
      </w:r>
      <w:r>
        <w:rPr>
          <w:szCs w:val="24"/>
        </w:rPr>
        <w:tab/>
      </w:r>
      <w:r w:rsidR="00D615DF" w:rsidRPr="00C82D6F">
        <w:rPr>
          <w:szCs w:val="24"/>
        </w:rPr>
        <w:t>Pasākumu plāns ēnu ekonomikas apkarošanai un godīgas konkurences nodrošināšanai 2010.–2013.gadam</w:t>
      </w:r>
    </w:p>
    <w:p w14:paraId="699FFA5A" w14:textId="1CB21C06" w:rsidR="00D615DF" w:rsidRDefault="002E20C1" w:rsidP="002E20C1">
      <w:pPr>
        <w:tabs>
          <w:tab w:val="left" w:pos="3544"/>
        </w:tabs>
        <w:rPr>
          <w:color w:val="000000"/>
          <w:szCs w:val="24"/>
          <w:lang w:eastAsia="lv-LV"/>
        </w:rPr>
      </w:pPr>
      <w:r>
        <w:rPr>
          <w:szCs w:val="24"/>
        </w:rPr>
        <w:t xml:space="preserve">Stratēģija </w:t>
      </w:r>
      <w:r>
        <w:rPr>
          <w:szCs w:val="24"/>
        </w:rPr>
        <w:tab/>
      </w:r>
      <w:r w:rsidR="00D615DF" w:rsidRPr="00FF2E0A">
        <w:rPr>
          <w:szCs w:val="24"/>
        </w:rPr>
        <w:t>Soc</w:t>
      </w:r>
      <w:r w:rsidR="00D615DF">
        <w:rPr>
          <w:szCs w:val="24"/>
        </w:rPr>
        <w:t>iālā drošības tīkla stratēģija</w:t>
      </w:r>
    </w:p>
    <w:p w14:paraId="39542FBA" w14:textId="77777777" w:rsidR="00E52A3B" w:rsidRDefault="00E52A3B" w:rsidP="002E20C1">
      <w:pPr>
        <w:tabs>
          <w:tab w:val="left" w:pos="3544"/>
        </w:tabs>
        <w:rPr>
          <w:color w:val="000000"/>
          <w:szCs w:val="24"/>
          <w:lang w:eastAsia="lv-LV"/>
        </w:rPr>
      </w:pPr>
      <w:r>
        <w:rPr>
          <w:color w:val="000000"/>
          <w:szCs w:val="24"/>
          <w:lang w:eastAsia="lv-LV"/>
        </w:rPr>
        <w:t xml:space="preserve">Aizdevuma programma </w:t>
      </w:r>
      <w:r>
        <w:rPr>
          <w:color w:val="000000"/>
          <w:szCs w:val="24"/>
          <w:lang w:eastAsia="lv-LV"/>
        </w:rPr>
        <w:tab/>
        <w:t>Starptautiskā aizdevuma programma</w:t>
      </w:r>
    </w:p>
    <w:p w14:paraId="296B5F35" w14:textId="07BB2309" w:rsidR="00702D7B" w:rsidRPr="009005DC" w:rsidRDefault="002E20C1" w:rsidP="002E20C1">
      <w:pPr>
        <w:tabs>
          <w:tab w:val="left" w:pos="3544"/>
        </w:tabs>
        <w:rPr>
          <w:color w:val="000000"/>
          <w:szCs w:val="24"/>
          <w:lang w:eastAsia="lv-LV"/>
        </w:rPr>
      </w:pPr>
      <w:r>
        <w:rPr>
          <w:color w:val="000000"/>
          <w:szCs w:val="24"/>
          <w:lang w:eastAsia="lv-LV"/>
        </w:rPr>
        <w:t xml:space="preserve">SVF </w:t>
      </w:r>
      <w:r>
        <w:rPr>
          <w:color w:val="000000"/>
          <w:szCs w:val="24"/>
          <w:lang w:eastAsia="lv-LV"/>
        </w:rPr>
        <w:tab/>
      </w:r>
      <w:r w:rsidR="00702D7B">
        <w:rPr>
          <w:color w:val="000000"/>
          <w:szCs w:val="24"/>
          <w:lang w:eastAsia="lv-LV"/>
        </w:rPr>
        <w:t>Starptautiskais valūtas fonds</w:t>
      </w:r>
    </w:p>
    <w:p w14:paraId="6DB7D506" w14:textId="6F1AD019" w:rsidR="0003226C" w:rsidRDefault="0003226C" w:rsidP="002E20C1">
      <w:pPr>
        <w:tabs>
          <w:tab w:val="left" w:pos="3544"/>
        </w:tabs>
        <w:rPr>
          <w:color w:val="000000"/>
          <w:szCs w:val="24"/>
          <w:lang w:eastAsia="lv-LV"/>
        </w:rPr>
      </w:pPr>
      <w:r w:rsidRPr="009005DC">
        <w:rPr>
          <w:color w:val="000000"/>
          <w:szCs w:val="24"/>
          <w:lang w:eastAsia="lv-LV"/>
        </w:rPr>
        <w:t xml:space="preserve">VID </w:t>
      </w:r>
      <w:r w:rsidRPr="009005DC">
        <w:rPr>
          <w:color w:val="000000"/>
          <w:szCs w:val="24"/>
          <w:lang w:eastAsia="lv-LV"/>
        </w:rPr>
        <w:tab/>
        <w:t>Valsts ieņēmumu dienests</w:t>
      </w:r>
    </w:p>
    <w:p w14:paraId="40743AF2" w14:textId="58C70271" w:rsidR="0098775C" w:rsidRDefault="002E20C1" w:rsidP="002E20C1">
      <w:pPr>
        <w:tabs>
          <w:tab w:val="left" w:pos="3544"/>
        </w:tabs>
        <w:rPr>
          <w:color w:val="000000"/>
          <w:szCs w:val="24"/>
          <w:lang w:eastAsia="lv-LV"/>
        </w:rPr>
      </w:pPr>
      <w:r>
        <w:rPr>
          <w:szCs w:val="24"/>
        </w:rPr>
        <w:t xml:space="preserve">VK </w:t>
      </w:r>
      <w:r>
        <w:rPr>
          <w:szCs w:val="24"/>
        </w:rPr>
        <w:tab/>
      </w:r>
      <w:r w:rsidR="0098775C" w:rsidRPr="00F55E50">
        <w:rPr>
          <w:szCs w:val="24"/>
        </w:rPr>
        <w:t>Valsts kase</w:t>
      </w:r>
    </w:p>
    <w:p w14:paraId="460621D1" w14:textId="77777777" w:rsidR="00D615DF" w:rsidRDefault="00D615DF" w:rsidP="00D615DF">
      <w:pPr>
        <w:ind w:left="3544" w:hanging="2977"/>
        <w:rPr>
          <w:color w:val="000000"/>
        </w:rPr>
      </w:pPr>
      <w:r>
        <w:rPr>
          <w:color w:val="000000"/>
        </w:rPr>
        <w:t xml:space="preserve">MTO </w:t>
      </w:r>
      <w:r>
        <w:rPr>
          <w:color w:val="000000"/>
        </w:rPr>
        <w:tab/>
      </w:r>
      <w:r w:rsidRPr="00D615DF">
        <w:rPr>
          <w:color w:val="000000"/>
        </w:rPr>
        <w:t>vidēja termiņa budžeta bilances mērķi</w:t>
      </w:r>
      <w:r>
        <w:rPr>
          <w:color w:val="000000"/>
        </w:rPr>
        <w:t>s</w:t>
      </w:r>
      <w:r w:rsidRPr="00D615DF">
        <w:rPr>
          <w:color w:val="000000"/>
        </w:rPr>
        <w:t xml:space="preserve"> strukturāl</w:t>
      </w:r>
      <w:r>
        <w:rPr>
          <w:color w:val="000000"/>
        </w:rPr>
        <w:t>ā</w:t>
      </w:r>
      <w:r w:rsidRPr="00D615DF">
        <w:rPr>
          <w:color w:val="000000"/>
        </w:rPr>
        <w:t xml:space="preserve"> izteiksmē</w:t>
      </w:r>
    </w:p>
    <w:p w14:paraId="744C28D6" w14:textId="02FD4D61" w:rsidR="0098775C" w:rsidRDefault="002E20C1" w:rsidP="00D615DF">
      <w:pPr>
        <w:ind w:left="3544" w:hanging="2977"/>
        <w:rPr>
          <w:color w:val="000000" w:themeColor="text1"/>
        </w:rPr>
      </w:pPr>
      <w:r>
        <w:rPr>
          <w:color w:val="000000" w:themeColor="text1"/>
        </w:rPr>
        <w:t xml:space="preserve">Ietvara likums </w:t>
      </w:r>
      <w:r>
        <w:rPr>
          <w:color w:val="000000" w:themeColor="text1"/>
        </w:rPr>
        <w:tab/>
      </w:r>
      <w:r w:rsidR="0098775C" w:rsidRPr="0098775C">
        <w:rPr>
          <w:color w:val="000000" w:themeColor="text1"/>
        </w:rPr>
        <w:t>Vidēja termiņa budžeta ietvara likums</w:t>
      </w:r>
    </w:p>
    <w:p w14:paraId="28C798BF" w14:textId="77777777" w:rsidR="00E90BE6" w:rsidRPr="009005DC" w:rsidRDefault="00E90BE6" w:rsidP="00D615DF">
      <w:pPr>
        <w:ind w:left="3544" w:hanging="2977"/>
        <w:rPr>
          <w:szCs w:val="24"/>
          <w:lang w:eastAsia="x-none"/>
        </w:rPr>
      </w:pPr>
      <w:r>
        <w:t xml:space="preserve">Ietvars </w:t>
      </w:r>
      <w:r>
        <w:tab/>
      </w:r>
      <w:r w:rsidRPr="001C4AA7">
        <w:t>Vidēja termiņa makroekonomiskās attīstības un fiskālās politikas ietvars</w:t>
      </w:r>
    </w:p>
    <w:p w14:paraId="0C3BACBC" w14:textId="77777777" w:rsidR="0003226C" w:rsidRDefault="0003226C" w:rsidP="0003226C">
      <w:pPr>
        <w:jc w:val="left"/>
        <w:rPr>
          <w:color w:val="000000"/>
          <w:lang w:eastAsia="lv-LV"/>
        </w:rPr>
      </w:pPr>
    </w:p>
    <w:p w14:paraId="685E5780" w14:textId="77777777" w:rsidR="000F6956" w:rsidRPr="00283B8B" w:rsidRDefault="000F6956" w:rsidP="002D62B9">
      <w:pPr>
        <w:pStyle w:val="PIRMAIS"/>
      </w:pPr>
      <w:bookmarkStart w:id="5" w:name="_Toc354671208"/>
      <w:r w:rsidRPr="00283B8B">
        <w:lastRenderedPageBreak/>
        <w:t>1.</w:t>
      </w:r>
      <w:r w:rsidRPr="00283B8B">
        <w:tab/>
        <w:t>Vispārējās ekonomiskās politikas vadlīnijas un mērķi</w:t>
      </w:r>
      <w:bookmarkEnd w:id="1"/>
      <w:bookmarkEnd w:id="2"/>
      <w:bookmarkEnd w:id="3"/>
      <w:bookmarkEnd w:id="5"/>
    </w:p>
    <w:p w14:paraId="064FB3FA" w14:textId="34E05C0C" w:rsidR="000C51ED" w:rsidRPr="00B86F46" w:rsidRDefault="000C51ED" w:rsidP="002D62B9">
      <w:pPr>
        <w:rPr>
          <w:color w:val="000000"/>
          <w:szCs w:val="24"/>
        </w:rPr>
      </w:pPr>
      <w:bookmarkStart w:id="6" w:name="_Toc284924040"/>
      <w:r w:rsidRPr="00B86F46">
        <w:rPr>
          <w:color w:val="000000"/>
          <w:szCs w:val="24"/>
        </w:rPr>
        <w:t>Latvijas Konverģences programma</w:t>
      </w:r>
      <w:r w:rsidR="00CA0663">
        <w:rPr>
          <w:color w:val="000000"/>
          <w:szCs w:val="24"/>
        </w:rPr>
        <w:t xml:space="preserve"> </w:t>
      </w:r>
      <w:r w:rsidR="00A223AA">
        <w:rPr>
          <w:color w:val="000000"/>
          <w:szCs w:val="24"/>
        </w:rPr>
        <w:t xml:space="preserve">ir vidēja </w:t>
      </w:r>
      <w:r w:rsidR="00A223AA" w:rsidRPr="00702D7B">
        <w:rPr>
          <w:color w:val="000000"/>
          <w:szCs w:val="24"/>
        </w:rPr>
        <w:t>termiņa politikas dokuments, kas</w:t>
      </w:r>
      <w:r w:rsidR="00A223AA">
        <w:rPr>
          <w:color w:val="000000"/>
          <w:szCs w:val="24"/>
        </w:rPr>
        <w:t xml:space="preserve"> </w:t>
      </w:r>
      <w:r w:rsidRPr="00B86F46">
        <w:rPr>
          <w:color w:val="000000"/>
          <w:szCs w:val="24"/>
        </w:rPr>
        <w:t xml:space="preserve"> raksturo Latvijas</w:t>
      </w:r>
      <w:r w:rsidR="00E85469">
        <w:rPr>
          <w:color w:val="000000"/>
          <w:szCs w:val="24"/>
        </w:rPr>
        <w:t xml:space="preserve"> fiskālo politi</w:t>
      </w:r>
      <w:r w:rsidR="0054794A">
        <w:rPr>
          <w:color w:val="000000"/>
          <w:szCs w:val="24"/>
        </w:rPr>
        <w:t>ku 2013</w:t>
      </w:r>
      <w:r w:rsidR="00E85469">
        <w:rPr>
          <w:color w:val="000000"/>
          <w:szCs w:val="24"/>
        </w:rPr>
        <w:t xml:space="preserve">. </w:t>
      </w:r>
      <w:r w:rsidR="0035776A">
        <w:rPr>
          <w:color w:val="000000"/>
          <w:szCs w:val="24"/>
        </w:rPr>
        <w:t>–</w:t>
      </w:r>
      <w:r w:rsidR="0054794A">
        <w:rPr>
          <w:color w:val="000000"/>
          <w:szCs w:val="24"/>
        </w:rPr>
        <w:t xml:space="preserve"> 2016</w:t>
      </w:r>
      <w:r w:rsidR="00E85469">
        <w:rPr>
          <w:color w:val="000000"/>
          <w:szCs w:val="24"/>
        </w:rPr>
        <w:t>. </w:t>
      </w:r>
      <w:r w:rsidRPr="00B86F46">
        <w:rPr>
          <w:color w:val="000000"/>
          <w:szCs w:val="24"/>
        </w:rPr>
        <w:t>gadam un ir sagatavot</w:t>
      </w:r>
      <w:r w:rsidR="00C035E8">
        <w:rPr>
          <w:color w:val="000000"/>
          <w:szCs w:val="24"/>
        </w:rPr>
        <w:t>s</w:t>
      </w:r>
      <w:r w:rsidRPr="00B86F46">
        <w:rPr>
          <w:color w:val="000000"/>
          <w:szCs w:val="24"/>
        </w:rPr>
        <w:t xml:space="preserve">, vadoties pēc Stabilitātes un izaugsmes pakta ieviešanas nosacījumiem un vadlīnijām. </w:t>
      </w:r>
      <w:r w:rsidR="00702D7B">
        <w:rPr>
          <w:color w:val="000000"/>
          <w:szCs w:val="24"/>
        </w:rPr>
        <w:t>Konverģences programma</w:t>
      </w:r>
      <w:r w:rsidR="00A223AA">
        <w:rPr>
          <w:color w:val="000000"/>
          <w:szCs w:val="24"/>
        </w:rPr>
        <w:t xml:space="preserve"> </w:t>
      </w:r>
      <w:r w:rsidRPr="00B86F46">
        <w:rPr>
          <w:color w:val="000000"/>
          <w:szCs w:val="24"/>
        </w:rPr>
        <w:t xml:space="preserve">ir vērsta uz stingras un ilgtspējīgas fiskālās politikas īstenošanu un makroekonomiskās stabilitātes nodrošināšanu. </w:t>
      </w:r>
    </w:p>
    <w:p w14:paraId="3AB83591" w14:textId="23E4CC35" w:rsidR="005873A8" w:rsidRDefault="00702D7B" w:rsidP="005873A8">
      <w:pPr>
        <w:rPr>
          <w:color w:val="000000"/>
          <w:szCs w:val="24"/>
        </w:rPr>
      </w:pPr>
      <w:r>
        <w:rPr>
          <w:color w:val="000000"/>
          <w:szCs w:val="24"/>
        </w:rPr>
        <w:t>ES</w:t>
      </w:r>
      <w:r w:rsidR="000C51ED" w:rsidRPr="00B86F46">
        <w:rPr>
          <w:color w:val="000000"/>
          <w:szCs w:val="24"/>
        </w:rPr>
        <w:t xml:space="preserve"> </w:t>
      </w:r>
      <w:r w:rsidR="007F4E13" w:rsidRPr="00B86F46">
        <w:rPr>
          <w:color w:val="000000"/>
          <w:szCs w:val="24"/>
        </w:rPr>
        <w:t>ekonomiskās politikas uzraudzības un koordinācijas cikl</w:t>
      </w:r>
      <w:r w:rsidR="00787EB1" w:rsidRPr="00B86F46">
        <w:rPr>
          <w:color w:val="000000"/>
          <w:szCs w:val="24"/>
        </w:rPr>
        <w:t>a</w:t>
      </w:r>
      <w:r w:rsidR="007F4E13" w:rsidRPr="00B86F46">
        <w:rPr>
          <w:color w:val="000000"/>
          <w:szCs w:val="24"/>
        </w:rPr>
        <w:t xml:space="preserve"> </w:t>
      </w:r>
      <w:r w:rsidR="00787EB1" w:rsidRPr="00B86F46">
        <w:rPr>
          <w:color w:val="000000"/>
          <w:szCs w:val="24"/>
        </w:rPr>
        <w:t>jeb</w:t>
      </w:r>
      <w:r w:rsidR="007828F0" w:rsidRPr="00B86F46">
        <w:rPr>
          <w:color w:val="000000"/>
          <w:szCs w:val="24"/>
        </w:rPr>
        <w:t xml:space="preserve"> </w:t>
      </w:r>
      <w:r w:rsidR="000C51ED" w:rsidRPr="00B86F46">
        <w:rPr>
          <w:color w:val="000000"/>
          <w:szCs w:val="24"/>
        </w:rPr>
        <w:t xml:space="preserve">Eiropas semestra ietvaros, Konverģences programma </w:t>
      </w:r>
      <w:r w:rsidR="00787EB1" w:rsidRPr="00B86F46">
        <w:rPr>
          <w:color w:val="000000"/>
          <w:szCs w:val="24"/>
        </w:rPr>
        <w:t xml:space="preserve">tiek gatavota un iesniegta EK vienlaicīgi ar </w:t>
      </w:r>
      <w:r>
        <w:rPr>
          <w:color w:val="000000"/>
          <w:szCs w:val="24"/>
        </w:rPr>
        <w:t>NRP</w:t>
      </w:r>
      <w:r w:rsidR="000C51ED" w:rsidRPr="00B86F46">
        <w:rPr>
          <w:color w:val="000000"/>
          <w:szCs w:val="24"/>
        </w:rPr>
        <w:t xml:space="preserve"> un</w:t>
      </w:r>
      <w:r w:rsidR="00BD0C67">
        <w:rPr>
          <w:color w:val="000000"/>
          <w:szCs w:val="24"/>
        </w:rPr>
        <w:t xml:space="preserve"> tajā iekļautajiem pasākumiem.</w:t>
      </w:r>
      <w:r w:rsidR="005873A8">
        <w:rPr>
          <w:color w:val="000000"/>
          <w:szCs w:val="24"/>
        </w:rPr>
        <w:t xml:space="preserve"> </w:t>
      </w:r>
    </w:p>
    <w:p w14:paraId="47EBDAE9" w14:textId="77777777" w:rsidR="00C81678" w:rsidRPr="00B86F46" w:rsidRDefault="008518DC" w:rsidP="005873A8">
      <w:pPr>
        <w:rPr>
          <w:color w:val="000000"/>
          <w:szCs w:val="24"/>
        </w:rPr>
      </w:pPr>
      <w:r w:rsidRPr="00B86F46">
        <w:rPr>
          <w:color w:val="000000"/>
          <w:szCs w:val="24"/>
        </w:rPr>
        <w:t>Konverģences programma ir sagatavota</w:t>
      </w:r>
      <w:r w:rsidR="00EC4FDB" w:rsidRPr="00B86F46">
        <w:rPr>
          <w:color w:val="000000"/>
          <w:szCs w:val="24"/>
        </w:rPr>
        <w:t>,</w:t>
      </w:r>
      <w:r w:rsidRPr="00B86F46">
        <w:rPr>
          <w:color w:val="000000"/>
          <w:szCs w:val="24"/>
        </w:rPr>
        <w:t xml:space="preserve"> ņemot vērā Stabilitātes un izaugsmes pakta un tajā ietilpstošo regulu prasīb</w:t>
      </w:r>
      <w:r w:rsidR="00BF0BB7" w:rsidRPr="00B86F46">
        <w:rPr>
          <w:color w:val="000000"/>
          <w:szCs w:val="24"/>
        </w:rPr>
        <w:t>as</w:t>
      </w:r>
      <w:r w:rsidRPr="00B86F46">
        <w:rPr>
          <w:color w:val="000000"/>
          <w:szCs w:val="24"/>
        </w:rPr>
        <w:t>, kā arī tā ieviešanas vadlīnij</w:t>
      </w:r>
      <w:r w:rsidR="00BF0BB7" w:rsidRPr="00B86F46">
        <w:rPr>
          <w:color w:val="000000"/>
          <w:szCs w:val="24"/>
        </w:rPr>
        <w:t>as</w:t>
      </w:r>
      <w:r w:rsidRPr="00B86F46">
        <w:rPr>
          <w:color w:val="000000"/>
          <w:szCs w:val="24"/>
        </w:rPr>
        <w:t xml:space="preserve"> (</w:t>
      </w:r>
      <w:r w:rsidRPr="00B86F46">
        <w:rPr>
          <w:i/>
          <w:color w:val="000000"/>
          <w:szCs w:val="24"/>
        </w:rPr>
        <w:t xml:space="preserve">Code </w:t>
      </w:r>
      <w:proofErr w:type="spellStart"/>
      <w:r w:rsidRPr="00B86F46">
        <w:rPr>
          <w:i/>
          <w:color w:val="000000"/>
          <w:szCs w:val="24"/>
        </w:rPr>
        <w:t>of</w:t>
      </w:r>
      <w:proofErr w:type="spellEnd"/>
      <w:r w:rsidRPr="00B86F46">
        <w:rPr>
          <w:i/>
          <w:color w:val="000000"/>
          <w:szCs w:val="24"/>
        </w:rPr>
        <w:t xml:space="preserve"> </w:t>
      </w:r>
      <w:proofErr w:type="spellStart"/>
      <w:r w:rsidRPr="00B86F46">
        <w:rPr>
          <w:i/>
          <w:color w:val="000000"/>
          <w:szCs w:val="24"/>
        </w:rPr>
        <w:t>Conduct</w:t>
      </w:r>
      <w:proofErr w:type="spellEnd"/>
      <w:r w:rsidRPr="00B86F46">
        <w:rPr>
          <w:color w:val="000000"/>
          <w:szCs w:val="24"/>
        </w:rPr>
        <w:t>). Vienlaicīgi tā</w:t>
      </w:r>
      <w:r w:rsidR="00D55669" w:rsidRPr="00B86F46">
        <w:rPr>
          <w:color w:val="000000"/>
          <w:szCs w:val="24"/>
        </w:rPr>
        <w:t xml:space="preserve"> ir sagatavota</w:t>
      </w:r>
      <w:r w:rsidR="00EC4FDB" w:rsidRPr="00B86F46">
        <w:rPr>
          <w:color w:val="000000"/>
          <w:szCs w:val="24"/>
        </w:rPr>
        <w:t>,</w:t>
      </w:r>
      <w:r w:rsidR="00D55669" w:rsidRPr="00B86F46">
        <w:rPr>
          <w:color w:val="000000"/>
          <w:szCs w:val="24"/>
        </w:rPr>
        <w:t xml:space="preserve"> ņemot vērā </w:t>
      </w:r>
      <w:r w:rsidR="00522E49" w:rsidRPr="00B86F46">
        <w:rPr>
          <w:color w:val="000000"/>
          <w:szCs w:val="24"/>
        </w:rPr>
        <w:t xml:space="preserve">Ikgadējā izaugsmes ziņojumā un </w:t>
      </w:r>
      <w:r w:rsidR="00C20249" w:rsidRPr="00B86F46">
        <w:rPr>
          <w:color w:val="000000"/>
          <w:szCs w:val="24"/>
        </w:rPr>
        <w:t>makroekonomisk</w:t>
      </w:r>
      <w:r w:rsidR="00FD059E" w:rsidRPr="00B86F46">
        <w:rPr>
          <w:color w:val="000000"/>
          <w:szCs w:val="24"/>
        </w:rPr>
        <w:t>aj</w:t>
      </w:r>
      <w:r w:rsidR="00AB0752" w:rsidRPr="00B86F46">
        <w:rPr>
          <w:color w:val="000000"/>
          <w:szCs w:val="24"/>
        </w:rPr>
        <w:t>ās</w:t>
      </w:r>
      <w:r w:rsidR="004D48FF" w:rsidRPr="00B86F46">
        <w:rPr>
          <w:color w:val="000000"/>
          <w:szCs w:val="24"/>
        </w:rPr>
        <w:t xml:space="preserve"> un fiskāl</w:t>
      </w:r>
      <w:r w:rsidR="00FD059E" w:rsidRPr="00B86F46">
        <w:rPr>
          <w:color w:val="000000"/>
          <w:szCs w:val="24"/>
        </w:rPr>
        <w:t>aj</w:t>
      </w:r>
      <w:r w:rsidR="00AB0752" w:rsidRPr="00B86F46">
        <w:rPr>
          <w:color w:val="000000"/>
          <w:szCs w:val="24"/>
        </w:rPr>
        <w:t>ās</w:t>
      </w:r>
      <w:r w:rsidR="00C20249" w:rsidRPr="00B86F46">
        <w:rPr>
          <w:color w:val="000000"/>
          <w:szCs w:val="24"/>
        </w:rPr>
        <w:t xml:space="preserve"> </w:t>
      </w:r>
      <w:r w:rsidR="00AB0752" w:rsidRPr="00B86F46">
        <w:rPr>
          <w:color w:val="000000"/>
          <w:szCs w:val="24"/>
        </w:rPr>
        <w:t>vadlīnijās</w:t>
      </w:r>
      <w:r w:rsidR="00C20249" w:rsidRPr="00B86F46">
        <w:rPr>
          <w:color w:val="000000"/>
          <w:szCs w:val="24"/>
        </w:rPr>
        <w:t xml:space="preserve"> </w:t>
      </w:r>
      <w:r w:rsidR="00522E49" w:rsidRPr="00B86F46">
        <w:rPr>
          <w:color w:val="000000"/>
          <w:szCs w:val="24"/>
        </w:rPr>
        <w:t>minēt</w:t>
      </w:r>
      <w:r w:rsidR="00FD059E" w:rsidRPr="00B86F46">
        <w:rPr>
          <w:color w:val="000000"/>
          <w:szCs w:val="24"/>
        </w:rPr>
        <w:t>ās</w:t>
      </w:r>
      <w:r w:rsidR="004D48FF" w:rsidRPr="00B86F46">
        <w:rPr>
          <w:color w:val="000000"/>
          <w:szCs w:val="24"/>
        </w:rPr>
        <w:t xml:space="preserve"> prioritāt</w:t>
      </w:r>
      <w:r w:rsidR="00FD059E" w:rsidRPr="00B86F46">
        <w:rPr>
          <w:color w:val="000000"/>
          <w:szCs w:val="24"/>
        </w:rPr>
        <w:t>e</w:t>
      </w:r>
      <w:r w:rsidR="00522E49" w:rsidRPr="00B86F46">
        <w:rPr>
          <w:color w:val="000000"/>
          <w:szCs w:val="24"/>
        </w:rPr>
        <w:t xml:space="preserve">s, </w:t>
      </w:r>
      <w:r w:rsidR="004D48FF" w:rsidRPr="00B86F46">
        <w:rPr>
          <w:color w:val="000000"/>
          <w:szCs w:val="24"/>
        </w:rPr>
        <w:t>kā arī Eiro Plus paktā paust</w:t>
      </w:r>
      <w:r w:rsidR="00FD059E" w:rsidRPr="00B86F46">
        <w:rPr>
          <w:color w:val="000000"/>
          <w:szCs w:val="24"/>
        </w:rPr>
        <w:t>ās</w:t>
      </w:r>
      <w:r w:rsidR="004D48FF" w:rsidRPr="00B86F46">
        <w:rPr>
          <w:color w:val="000000"/>
          <w:szCs w:val="24"/>
        </w:rPr>
        <w:t xml:space="preserve"> saistīb</w:t>
      </w:r>
      <w:r w:rsidRPr="00B86F46">
        <w:rPr>
          <w:color w:val="000000"/>
          <w:szCs w:val="24"/>
        </w:rPr>
        <w:t>a</w:t>
      </w:r>
      <w:r w:rsidR="004D48FF" w:rsidRPr="00B86F46">
        <w:rPr>
          <w:color w:val="000000"/>
          <w:szCs w:val="24"/>
        </w:rPr>
        <w:t xml:space="preserve">s. </w:t>
      </w:r>
    </w:p>
    <w:p w14:paraId="3E39F150" w14:textId="06D160C2" w:rsidR="004B53F8" w:rsidRPr="00AF4111" w:rsidRDefault="004B53F8" w:rsidP="00AF4111">
      <w:pPr>
        <w:rPr>
          <w:color w:val="000000"/>
          <w:szCs w:val="24"/>
        </w:rPr>
      </w:pPr>
      <w:r w:rsidRPr="00B86F46">
        <w:rPr>
          <w:color w:val="000000"/>
          <w:szCs w:val="24"/>
        </w:rPr>
        <w:t xml:space="preserve">Attiecībā uz </w:t>
      </w:r>
      <w:r w:rsidRPr="00111103">
        <w:rPr>
          <w:color w:val="000000"/>
          <w:szCs w:val="24"/>
        </w:rPr>
        <w:t xml:space="preserve">iepriekšējā periodā sagatavoto Konverģences programmu </w:t>
      </w:r>
      <w:r w:rsidR="001D2E43" w:rsidRPr="00111103">
        <w:rPr>
          <w:color w:val="000000"/>
          <w:szCs w:val="24"/>
        </w:rPr>
        <w:t xml:space="preserve">ES Padome </w:t>
      </w:r>
      <w:r w:rsidR="0054794A" w:rsidRPr="00111103">
        <w:rPr>
          <w:szCs w:val="24"/>
        </w:rPr>
        <w:t>2012. gada 6. jūlijā</w:t>
      </w:r>
      <w:r w:rsidR="0054794A" w:rsidRPr="00111103">
        <w:rPr>
          <w:color w:val="000000"/>
          <w:szCs w:val="24"/>
        </w:rPr>
        <w:t xml:space="preserve"> </w:t>
      </w:r>
      <w:r w:rsidR="0054794A" w:rsidRPr="00111103">
        <w:rPr>
          <w:szCs w:val="24"/>
        </w:rPr>
        <w:t xml:space="preserve">izteica Latvijai vairākas rekomendācijas, kuru izpildei </w:t>
      </w:r>
      <w:r w:rsidR="00014041">
        <w:rPr>
          <w:szCs w:val="24"/>
        </w:rPr>
        <w:t xml:space="preserve">pēdējā </w:t>
      </w:r>
      <w:r w:rsidR="0054794A" w:rsidRPr="00111103">
        <w:rPr>
          <w:szCs w:val="24"/>
        </w:rPr>
        <w:t xml:space="preserve">gadā </w:t>
      </w:r>
      <w:r w:rsidR="00014041">
        <w:rPr>
          <w:szCs w:val="24"/>
        </w:rPr>
        <w:t xml:space="preserve">laikā </w:t>
      </w:r>
      <w:r w:rsidR="0054794A" w:rsidRPr="00111103">
        <w:rPr>
          <w:szCs w:val="24"/>
        </w:rPr>
        <w:t xml:space="preserve">Latvija ir veikusi virkni pasākumu </w:t>
      </w:r>
      <w:r w:rsidR="00CB49CA" w:rsidRPr="00111103">
        <w:rPr>
          <w:color w:val="000000"/>
          <w:szCs w:val="24"/>
        </w:rPr>
        <w:t>–</w:t>
      </w:r>
      <w:r w:rsidR="00AE62E3" w:rsidRPr="00111103">
        <w:rPr>
          <w:color w:val="000000"/>
          <w:szCs w:val="24"/>
        </w:rPr>
        <w:t xml:space="preserve"> 2012.gada vispārējās valdības budžeta deficīta apmērs ir 1</w:t>
      </w:r>
      <w:r w:rsidR="002362D9">
        <w:rPr>
          <w:color w:val="000000"/>
          <w:szCs w:val="24"/>
        </w:rPr>
        <w:t>,</w:t>
      </w:r>
      <w:r w:rsidR="00AE62E3" w:rsidRPr="00111103">
        <w:rPr>
          <w:color w:val="000000"/>
          <w:szCs w:val="24"/>
        </w:rPr>
        <w:t xml:space="preserve">2% no IKP, kas ir pietiekoši, lai </w:t>
      </w:r>
      <w:r w:rsidR="00AE62E3" w:rsidRPr="00111103">
        <w:t xml:space="preserve">tiktu pārtraukta pārmērīga budžeta deficīta procedūra, </w:t>
      </w:r>
      <w:r w:rsidR="00862E91" w:rsidRPr="00111103">
        <w:t xml:space="preserve">2012.gadā ir </w:t>
      </w:r>
      <w:r w:rsidR="00AE62E3" w:rsidRPr="00111103">
        <w:t>sasniegts vidēja termiņa budžeta deficīta mērķis, 2013.gada 6.martā ir pie</w:t>
      </w:r>
      <w:r w:rsidR="008503E0" w:rsidRPr="00111103">
        <w:t xml:space="preserve">ņemts </w:t>
      </w:r>
      <w:r w:rsidR="00702D7B">
        <w:rPr>
          <w:color w:val="000000"/>
          <w:szCs w:val="24"/>
        </w:rPr>
        <w:t>FDL</w:t>
      </w:r>
      <w:r w:rsidR="00C66EEE" w:rsidRPr="00111103">
        <w:rPr>
          <w:color w:val="000000"/>
          <w:szCs w:val="24"/>
        </w:rPr>
        <w:t xml:space="preserve">, </w:t>
      </w:r>
      <w:r w:rsidR="00862E91" w:rsidRPr="00111103">
        <w:rPr>
          <w:szCs w:val="24"/>
        </w:rPr>
        <w:t xml:space="preserve">2012.gadā pirmo reizi tika izstrādāts likums </w:t>
      </w:r>
      <w:r w:rsidR="00862E91" w:rsidRPr="004A7065">
        <w:rPr>
          <w:szCs w:val="24"/>
        </w:rPr>
        <w:t>„Par vidēja termiņa budžeta ietvaru 2013., 2014. un 2015.gadam”,</w:t>
      </w:r>
      <w:r w:rsidR="00862E91" w:rsidRPr="00111103">
        <w:rPr>
          <w:szCs w:val="24"/>
        </w:rPr>
        <w:t xml:space="preserve"> </w:t>
      </w:r>
      <w:r w:rsidR="001E6929" w:rsidRPr="00111103">
        <w:rPr>
          <w:szCs w:val="24"/>
        </w:rPr>
        <w:t>tiek samazināts</w:t>
      </w:r>
      <w:r w:rsidR="008B5538" w:rsidRPr="00111103">
        <w:rPr>
          <w:szCs w:val="24"/>
        </w:rPr>
        <w:t xml:space="preserve"> </w:t>
      </w:r>
      <w:r w:rsidR="00862E91" w:rsidRPr="00111103">
        <w:rPr>
          <w:iCs/>
        </w:rPr>
        <w:t>darbaspēka nodokļ</w:t>
      </w:r>
      <w:r w:rsidR="008B5538" w:rsidRPr="00111103">
        <w:rPr>
          <w:iCs/>
        </w:rPr>
        <w:t>u slogs</w:t>
      </w:r>
      <w:r w:rsidR="00387E6A">
        <w:rPr>
          <w:iCs/>
        </w:rPr>
        <w:t>,</w:t>
      </w:r>
      <w:r w:rsidR="006E4793">
        <w:rPr>
          <w:iCs/>
        </w:rPr>
        <w:t xml:space="preserve"> sekmīgi </w:t>
      </w:r>
      <w:r w:rsidR="00387E6A" w:rsidRPr="00387E6A">
        <w:rPr>
          <w:iCs/>
        </w:rPr>
        <w:t>turpinā</w:t>
      </w:r>
      <w:r w:rsidR="00AF5CCD">
        <w:rPr>
          <w:iCs/>
        </w:rPr>
        <w:t xml:space="preserve">ta </w:t>
      </w:r>
      <w:r w:rsidR="006E4793" w:rsidRPr="00387E6A">
        <w:rPr>
          <w:iCs/>
        </w:rPr>
        <w:t>pensiju reform</w:t>
      </w:r>
      <w:r w:rsidR="00AF5CCD">
        <w:rPr>
          <w:iCs/>
        </w:rPr>
        <w:t>a</w:t>
      </w:r>
      <w:r w:rsidR="00387E6A" w:rsidRPr="00387E6A">
        <w:rPr>
          <w:iCs/>
        </w:rPr>
        <w:t>,</w:t>
      </w:r>
      <w:r w:rsidR="00387E6A" w:rsidRPr="00387E6A">
        <w:rPr>
          <w:szCs w:val="24"/>
        </w:rPr>
        <w:t xml:space="preserve"> </w:t>
      </w:r>
      <w:r w:rsidR="00387E6A">
        <w:rPr>
          <w:szCs w:val="24"/>
        </w:rPr>
        <w:t xml:space="preserve">lai </w:t>
      </w:r>
      <w:r w:rsidR="00387E6A" w:rsidRPr="00E22700">
        <w:rPr>
          <w:szCs w:val="24"/>
        </w:rPr>
        <w:t>nodrošināt</w:t>
      </w:r>
      <w:r w:rsidR="00387E6A">
        <w:rPr>
          <w:szCs w:val="24"/>
        </w:rPr>
        <w:t>u</w:t>
      </w:r>
      <w:r w:rsidR="00387E6A" w:rsidRPr="00E22700">
        <w:rPr>
          <w:szCs w:val="24"/>
        </w:rPr>
        <w:t xml:space="preserve"> sociālās apdrošināšanas sistēmas</w:t>
      </w:r>
      <w:r w:rsidR="00387E6A">
        <w:rPr>
          <w:szCs w:val="24"/>
        </w:rPr>
        <w:t xml:space="preserve"> </w:t>
      </w:r>
      <w:r w:rsidR="00387E6A" w:rsidRPr="00E22700">
        <w:rPr>
          <w:szCs w:val="24"/>
        </w:rPr>
        <w:t>stabilitāti</w:t>
      </w:r>
      <w:r w:rsidR="00387E6A">
        <w:rPr>
          <w:szCs w:val="24"/>
        </w:rPr>
        <w:t>.</w:t>
      </w:r>
      <w:r w:rsidR="00387E6A" w:rsidRPr="00AF5CCD">
        <w:t xml:space="preserve"> </w:t>
      </w:r>
      <w:r w:rsidRPr="00111103">
        <w:rPr>
          <w:color w:val="000000"/>
          <w:szCs w:val="24"/>
        </w:rPr>
        <w:t xml:space="preserve">Kopumā </w:t>
      </w:r>
      <w:r w:rsidR="00096D57" w:rsidRPr="00111103">
        <w:rPr>
          <w:color w:val="000000"/>
          <w:szCs w:val="24"/>
        </w:rPr>
        <w:t>var secināt</w:t>
      </w:r>
      <w:r w:rsidRPr="00111103">
        <w:rPr>
          <w:color w:val="000000"/>
          <w:szCs w:val="24"/>
        </w:rPr>
        <w:t>, ka Latvijas</w:t>
      </w:r>
      <w:r w:rsidRPr="00B86F46">
        <w:rPr>
          <w:color w:val="000000"/>
          <w:szCs w:val="24"/>
        </w:rPr>
        <w:t xml:space="preserve"> rīcība ir bijusi vērsta uz sekmīgu ES Padomes ieteikumu ieviešanu. </w:t>
      </w:r>
    </w:p>
    <w:p w14:paraId="4FEB6DA4" w14:textId="01717445" w:rsidR="00C34D48" w:rsidRDefault="00731718" w:rsidP="002D62B9">
      <w:pPr>
        <w:rPr>
          <w:color w:val="000000"/>
          <w:szCs w:val="24"/>
        </w:rPr>
      </w:pPr>
      <w:r w:rsidRPr="00B86F46">
        <w:rPr>
          <w:color w:val="000000"/>
          <w:szCs w:val="24"/>
        </w:rPr>
        <w:t>Konverģences programmas vidēja termiņa makroekonomiskās attīstības scenārijs veidots uz konservatīviem pieņēmumiem par ārējās vides attīstību</w:t>
      </w:r>
      <w:r w:rsidR="00AF4111" w:rsidRPr="00AF4111">
        <w:t xml:space="preserve"> </w:t>
      </w:r>
      <w:r w:rsidR="00AF4111">
        <w:t>un tajā izmantoti EK ziemas prognožu pieņēmumi</w:t>
      </w:r>
      <w:r w:rsidR="000A691D">
        <w:t xml:space="preserve"> par ārējās vides attīstību</w:t>
      </w:r>
      <w:r w:rsidRPr="00B86F46">
        <w:rPr>
          <w:color w:val="000000"/>
          <w:szCs w:val="24"/>
        </w:rPr>
        <w:t>.</w:t>
      </w:r>
      <w:r w:rsidR="004B53F8" w:rsidRPr="00B86F46">
        <w:rPr>
          <w:color w:val="000000"/>
          <w:szCs w:val="24"/>
        </w:rPr>
        <w:t xml:space="preserve"> </w:t>
      </w:r>
      <w:r w:rsidR="00C34D48">
        <w:t>Lai gan</w:t>
      </w:r>
      <w:r w:rsidR="000A691D">
        <w:t xml:space="preserve"> IKP</w:t>
      </w:r>
      <w:r w:rsidR="00C34D48">
        <w:t xml:space="preserve"> ceturkšņu pieauguma tempos gaidāms neliels samazinājums gada pirmajā pusē, bāzes efekta ietekmē Latvijas ekonomikas izaugsme 2013. gadā būs 4%, </w:t>
      </w:r>
      <w:r w:rsidR="00C34D48" w:rsidRPr="007501CE">
        <w:t>un vidējā termiņā Latvijas IKP pieaugums 4% apmērā būs līdzvērtīgs IKP potenciālajam pieaugumam</w:t>
      </w:r>
      <w:r w:rsidR="00C34D48">
        <w:t>.</w:t>
      </w:r>
    </w:p>
    <w:p w14:paraId="15DA15C8" w14:textId="2B9E3823" w:rsidR="00B10680" w:rsidRPr="00B10680" w:rsidRDefault="00B10680" w:rsidP="005F323B">
      <w:r>
        <w:t xml:space="preserve">2013. - 2016. gadā tiks turpināta iepriekšējos gados realizētā fiskālā politika, kuras pamatā </w:t>
      </w:r>
      <w:r w:rsidRPr="00D30A4A">
        <w:t xml:space="preserve">ir </w:t>
      </w:r>
      <w:proofErr w:type="spellStart"/>
      <w:r w:rsidRPr="00D30A4A">
        <w:rPr>
          <w:szCs w:val="28"/>
        </w:rPr>
        <w:t>pretcikliskas</w:t>
      </w:r>
      <w:proofErr w:type="spellEnd"/>
      <w:r w:rsidRPr="00D30A4A">
        <w:rPr>
          <w:szCs w:val="28"/>
        </w:rPr>
        <w:t xml:space="preserve"> fiskālās politikas principa ievērošana.</w:t>
      </w:r>
      <w:r>
        <w:rPr>
          <w:b/>
          <w:szCs w:val="28"/>
        </w:rPr>
        <w:t xml:space="preserve"> </w:t>
      </w:r>
      <w:r>
        <w:rPr>
          <w:color w:val="000000"/>
        </w:rPr>
        <w:t xml:space="preserve">Pieņemtais </w:t>
      </w:r>
      <w:r w:rsidR="00A11559" w:rsidRPr="00A11559">
        <w:rPr>
          <w:color w:val="000000"/>
        </w:rPr>
        <w:t>FDL</w:t>
      </w:r>
      <w:r w:rsidR="00A11559" w:rsidRPr="00702D7B">
        <w:rPr>
          <w:i/>
          <w:color w:val="000000"/>
        </w:rPr>
        <w:t xml:space="preserve"> </w:t>
      </w:r>
      <w:r>
        <w:rPr>
          <w:color w:val="000000"/>
        </w:rPr>
        <w:t>paredz nodrošināt ekonomiskā ciklā sabalansētu budžetu (vispārējās valdības budžeta bilance nedrīkst būt mazāka par -0</w:t>
      </w:r>
      <w:r w:rsidR="002362D9">
        <w:rPr>
          <w:color w:val="000000"/>
        </w:rPr>
        <w:t>,</w:t>
      </w:r>
      <w:r>
        <w:rPr>
          <w:color w:val="000000"/>
        </w:rPr>
        <w:t xml:space="preserve">5% no IKP). </w:t>
      </w:r>
      <w:r>
        <w:rPr>
          <w:color w:val="000000" w:themeColor="text1"/>
          <w:szCs w:val="18"/>
          <w:lang w:eastAsia="lv-LV"/>
        </w:rPr>
        <w:t xml:space="preserve">Līdz ar FDL apstiprināšanu, ir nostiprināti tādi fiskālās politikas principi kā </w:t>
      </w:r>
      <w:proofErr w:type="spellStart"/>
      <w:r w:rsidR="00A7045E">
        <w:rPr>
          <w:color w:val="000000" w:themeColor="text1"/>
          <w:szCs w:val="18"/>
          <w:lang w:eastAsia="lv-LV"/>
        </w:rPr>
        <w:t>pretcikliskas</w:t>
      </w:r>
      <w:proofErr w:type="spellEnd"/>
      <w:r w:rsidR="00A7045E">
        <w:rPr>
          <w:color w:val="000000" w:themeColor="text1"/>
          <w:szCs w:val="18"/>
          <w:lang w:eastAsia="lv-LV"/>
        </w:rPr>
        <w:t xml:space="preserve"> fiskālās politikas princips, </w:t>
      </w:r>
      <w:r>
        <w:rPr>
          <w:color w:val="000000" w:themeColor="text1"/>
          <w:szCs w:val="18"/>
          <w:lang w:eastAsia="lv-LV"/>
        </w:rPr>
        <w:t>taupīb</w:t>
      </w:r>
      <w:r w:rsidR="00A7045E">
        <w:rPr>
          <w:color w:val="000000" w:themeColor="text1"/>
          <w:szCs w:val="18"/>
          <w:lang w:eastAsia="lv-LV"/>
        </w:rPr>
        <w:t>as princips, uzkrājuma princips</w:t>
      </w:r>
      <w:r>
        <w:rPr>
          <w:color w:val="000000" w:themeColor="text1"/>
          <w:szCs w:val="18"/>
          <w:lang w:eastAsia="lv-LV"/>
        </w:rPr>
        <w:t xml:space="preserve"> </w:t>
      </w:r>
      <w:proofErr w:type="spellStart"/>
      <w:r>
        <w:rPr>
          <w:color w:val="000000" w:themeColor="text1"/>
          <w:szCs w:val="18"/>
          <w:lang w:eastAsia="lv-LV"/>
        </w:rPr>
        <w:t>u.c</w:t>
      </w:r>
      <w:proofErr w:type="spellEnd"/>
      <w:r>
        <w:rPr>
          <w:color w:val="000000" w:themeColor="text1"/>
          <w:szCs w:val="18"/>
          <w:lang w:eastAsia="lv-LV"/>
        </w:rPr>
        <w:t xml:space="preserve">. </w:t>
      </w:r>
      <w:r>
        <w:rPr>
          <w:color w:val="000000"/>
        </w:rPr>
        <w:t xml:space="preserve">Likumā </w:t>
      </w:r>
      <w:r w:rsidRPr="001C47DC">
        <w:rPr>
          <w:szCs w:val="24"/>
          <w:lang w:eastAsia="lv-LV"/>
        </w:rPr>
        <w:t xml:space="preserve">iestrādāti arī jaunie ES fiskālās disciplīnas nosacījumi, kas ir ietverti </w:t>
      </w:r>
      <w:r w:rsidRPr="009005DC">
        <w:rPr>
          <w:szCs w:val="24"/>
        </w:rPr>
        <w:t>Līgumā par stabilitāti, koordināciju un pārvaldību ekonomiskajā un monetārajā savienībā,</w:t>
      </w:r>
      <w:r>
        <w:rPr>
          <w:szCs w:val="24"/>
        </w:rPr>
        <w:t xml:space="preserve"> kā arī tas atbilst Stabilitātes un izaugsmes pakta nosacījumiem. </w:t>
      </w:r>
      <w:r>
        <w:rPr>
          <w:color w:val="000000" w:themeColor="text1"/>
          <w:szCs w:val="18"/>
          <w:lang w:eastAsia="lv-LV"/>
        </w:rPr>
        <w:t xml:space="preserve">Tādējādi </w:t>
      </w:r>
      <w:r>
        <w:t>Latvija ir viena no pirmajām ES dalībvalstīm, kas nodrošinās nacionālās likumdošanas atbilstību ES līmeņa fiskālās disciplīnas principiem.</w:t>
      </w:r>
    </w:p>
    <w:p w14:paraId="6A824E07" w14:textId="77777777" w:rsidR="005873A8" w:rsidRDefault="004B53F8" w:rsidP="005873A8">
      <w:pPr>
        <w:rPr>
          <w:color w:val="000000"/>
          <w:szCs w:val="24"/>
        </w:rPr>
      </w:pPr>
      <w:r w:rsidRPr="00111103">
        <w:rPr>
          <w:color w:val="000000"/>
          <w:szCs w:val="24"/>
        </w:rPr>
        <w:t>Pamatojoties uz makroekonomiskās attīstības scenāriju</w:t>
      </w:r>
      <w:r w:rsidR="00AA303F" w:rsidRPr="00111103">
        <w:rPr>
          <w:color w:val="000000"/>
          <w:szCs w:val="24"/>
        </w:rPr>
        <w:t xml:space="preserve"> un </w:t>
      </w:r>
      <w:r w:rsidR="002E27DC" w:rsidRPr="00111103">
        <w:rPr>
          <w:color w:val="000000"/>
          <w:szCs w:val="24"/>
        </w:rPr>
        <w:t xml:space="preserve">apņemšanos </w:t>
      </w:r>
      <w:r w:rsidR="00AA303F" w:rsidRPr="00111103">
        <w:rPr>
          <w:color w:val="000000"/>
          <w:szCs w:val="24"/>
        </w:rPr>
        <w:t xml:space="preserve">realizēt </w:t>
      </w:r>
      <w:proofErr w:type="spellStart"/>
      <w:r w:rsidR="00AA303F" w:rsidRPr="00111103">
        <w:rPr>
          <w:color w:val="000000"/>
          <w:szCs w:val="24"/>
        </w:rPr>
        <w:t>pretciklisku</w:t>
      </w:r>
      <w:proofErr w:type="spellEnd"/>
      <w:r w:rsidR="00AA303F" w:rsidRPr="00111103">
        <w:rPr>
          <w:color w:val="000000"/>
          <w:szCs w:val="24"/>
        </w:rPr>
        <w:t xml:space="preserve"> fiskālo politiku, </w:t>
      </w:r>
      <w:r w:rsidRPr="00111103">
        <w:rPr>
          <w:color w:val="000000"/>
          <w:szCs w:val="24"/>
        </w:rPr>
        <w:t xml:space="preserve">ir </w:t>
      </w:r>
      <w:r w:rsidR="0076500C" w:rsidRPr="00111103">
        <w:rPr>
          <w:color w:val="000000"/>
          <w:szCs w:val="24"/>
        </w:rPr>
        <w:t xml:space="preserve">noteikti </w:t>
      </w:r>
      <w:r w:rsidRPr="00111103">
        <w:rPr>
          <w:color w:val="000000"/>
          <w:szCs w:val="24"/>
        </w:rPr>
        <w:t xml:space="preserve">fiskālie mērķi turpmākajiem trīs gadiem, t.i. </w:t>
      </w:r>
      <w:r w:rsidR="0039733F" w:rsidRPr="00111103">
        <w:rPr>
          <w:color w:val="000000"/>
          <w:szCs w:val="24"/>
        </w:rPr>
        <w:t xml:space="preserve">nodrošināt </w:t>
      </w:r>
      <w:r w:rsidR="00EC4FDB" w:rsidRPr="00111103">
        <w:rPr>
          <w:color w:val="000000"/>
          <w:szCs w:val="24"/>
        </w:rPr>
        <w:t xml:space="preserve">vispārējās valdības </w:t>
      </w:r>
      <w:r w:rsidR="00111103" w:rsidRPr="00111103">
        <w:rPr>
          <w:color w:val="000000"/>
          <w:szCs w:val="24"/>
        </w:rPr>
        <w:t xml:space="preserve">budžeta strukturālo deficītu 2014.gadā 1,0% no IKP,  2015.gadā </w:t>
      </w:r>
      <w:r w:rsidR="00111103" w:rsidRPr="00111103">
        <w:rPr>
          <w:color w:val="000000"/>
          <w:szCs w:val="24"/>
        </w:rPr>
        <w:softHyphen/>
        <w:t>1,0</w:t>
      </w:r>
      <w:r w:rsidR="002362D9">
        <w:rPr>
          <w:color w:val="000000"/>
          <w:szCs w:val="24"/>
        </w:rPr>
        <w:t>%</w:t>
      </w:r>
      <w:r w:rsidR="00111103" w:rsidRPr="00111103">
        <w:rPr>
          <w:color w:val="000000"/>
          <w:szCs w:val="24"/>
        </w:rPr>
        <w:t xml:space="preserve"> no IKP un 2016.gadā – 0,9%</w:t>
      </w:r>
      <w:r w:rsidR="002362D9">
        <w:rPr>
          <w:color w:val="000000"/>
          <w:szCs w:val="24"/>
        </w:rPr>
        <w:t xml:space="preserve"> no IKP</w:t>
      </w:r>
      <w:r w:rsidR="00111103" w:rsidRPr="00111103">
        <w:rPr>
          <w:color w:val="000000"/>
          <w:szCs w:val="24"/>
        </w:rPr>
        <w:t>.</w:t>
      </w:r>
      <w:r w:rsidR="005873A8">
        <w:rPr>
          <w:color w:val="000000"/>
          <w:szCs w:val="24"/>
        </w:rPr>
        <w:t xml:space="preserve"> </w:t>
      </w:r>
    </w:p>
    <w:p w14:paraId="23F86179" w14:textId="082AB418" w:rsidR="005C3ECE" w:rsidRPr="005873A8" w:rsidRDefault="002E5CBB" w:rsidP="005873A8">
      <w:pPr>
        <w:rPr>
          <w:color w:val="000000"/>
          <w:szCs w:val="24"/>
        </w:rPr>
      </w:pPr>
      <w:proofErr w:type="spellStart"/>
      <w:r w:rsidRPr="002E5CBB">
        <w:rPr>
          <w:color w:val="000000"/>
          <w:szCs w:val="24"/>
        </w:rPr>
        <w:t>Pretcikliskas</w:t>
      </w:r>
      <w:proofErr w:type="spellEnd"/>
      <w:r w:rsidR="005A585C" w:rsidRPr="002E5CBB">
        <w:rPr>
          <w:color w:val="000000"/>
          <w:szCs w:val="24"/>
        </w:rPr>
        <w:t xml:space="preserve"> fiskālās politikas realizācija ir</w:t>
      </w:r>
      <w:r w:rsidR="004B53F8" w:rsidRPr="002E5CBB">
        <w:rPr>
          <w:color w:val="000000"/>
          <w:szCs w:val="24"/>
        </w:rPr>
        <w:t xml:space="preserve"> būtisk</w:t>
      </w:r>
      <w:r w:rsidR="005A585C" w:rsidRPr="002E5CBB">
        <w:rPr>
          <w:color w:val="000000"/>
          <w:szCs w:val="24"/>
        </w:rPr>
        <w:t>s</w:t>
      </w:r>
      <w:r w:rsidR="004B53F8" w:rsidRPr="002E5CBB">
        <w:rPr>
          <w:color w:val="000000"/>
          <w:szCs w:val="24"/>
        </w:rPr>
        <w:t xml:space="preserve"> priekšnoteikum</w:t>
      </w:r>
      <w:r w:rsidR="005A585C" w:rsidRPr="002E5CBB">
        <w:rPr>
          <w:color w:val="000000"/>
          <w:szCs w:val="24"/>
        </w:rPr>
        <w:t>s</w:t>
      </w:r>
      <w:r w:rsidRPr="002E5CBB">
        <w:rPr>
          <w:color w:val="000000"/>
          <w:szCs w:val="24"/>
        </w:rPr>
        <w:t xml:space="preserve">, lai Latvija ilgtspējīgi attīstītos. </w:t>
      </w:r>
      <w:r w:rsidR="00111103">
        <w:rPr>
          <w:color w:val="000000"/>
          <w:szCs w:val="24"/>
        </w:rPr>
        <w:t>V</w:t>
      </w:r>
      <w:r w:rsidRPr="002E5CBB">
        <w:rPr>
          <w:color w:val="000000"/>
          <w:szCs w:val="24"/>
        </w:rPr>
        <w:t>ienlaikus šādas politikas realizācijas rezultātā n</w:t>
      </w:r>
      <w:r w:rsidRPr="002E5CBB">
        <w:rPr>
          <w:szCs w:val="24"/>
        </w:rPr>
        <w:t>o 2012.gada septembra Latvija ir vienlaicīgi izpildījusi visus Māstrihtas kritērijus</w:t>
      </w:r>
      <w:r w:rsidRPr="002E5CBB">
        <w:rPr>
          <w:color w:val="000000"/>
          <w:szCs w:val="24"/>
        </w:rPr>
        <w:t xml:space="preserve"> un </w:t>
      </w:r>
      <w:r w:rsidR="000A691D">
        <w:rPr>
          <w:color w:val="000000"/>
          <w:szCs w:val="24"/>
        </w:rPr>
        <w:t>sākot no 2012.gada notiek</w:t>
      </w:r>
      <w:r w:rsidR="007B781C">
        <w:rPr>
          <w:color w:val="000000"/>
          <w:szCs w:val="24"/>
        </w:rPr>
        <w:t xml:space="preserve"> </w:t>
      </w:r>
      <w:r w:rsidRPr="002E5CBB">
        <w:rPr>
          <w:color w:val="000000"/>
          <w:szCs w:val="24"/>
        </w:rPr>
        <w:t>aktīv</w:t>
      </w:r>
      <w:r w:rsidR="000A691D">
        <w:rPr>
          <w:color w:val="000000"/>
          <w:szCs w:val="24"/>
        </w:rPr>
        <w:t>a</w:t>
      </w:r>
      <w:r w:rsidRPr="002E5CBB">
        <w:rPr>
          <w:color w:val="000000"/>
          <w:szCs w:val="24"/>
        </w:rPr>
        <w:t xml:space="preserve"> </w:t>
      </w:r>
      <w:r w:rsidR="00924FAF" w:rsidRPr="00924FAF">
        <w:rPr>
          <w:color w:val="000000"/>
          <w:szCs w:val="24"/>
        </w:rPr>
        <w:t>gatavo</w:t>
      </w:r>
      <w:r w:rsidR="000A691D">
        <w:rPr>
          <w:color w:val="000000"/>
          <w:szCs w:val="24"/>
        </w:rPr>
        <w:t>šanās</w:t>
      </w:r>
      <w:r w:rsidRPr="00924FAF">
        <w:rPr>
          <w:color w:val="000000"/>
          <w:szCs w:val="24"/>
        </w:rPr>
        <w:t xml:space="preserve">, </w:t>
      </w:r>
      <w:r w:rsidR="004B53F8" w:rsidRPr="00924FAF">
        <w:rPr>
          <w:color w:val="000000"/>
          <w:szCs w:val="24"/>
        </w:rPr>
        <w:t xml:space="preserve">lai Latvija īstenotu tās stratēģisko mērķi </w:t>
      </w:r>
      <w:r w:rsidR="00E56F6C" w:rsidRPr="00924FAF">
        <w:rPr>
          <w:color w:val="000000"/>
          <w:szCs w:val="24"/>
        </w:rPr>
        <w:t>– ievies</w:t>
      </w:r>
      <w:r w:rsidR="00391811">
        <w:rPr>
          <w:color w:val="000000"/>
          <w:szCs w:val="24"/>
        </w:rPr>
        <w:t xml:space="preserve">t </w:t>
      </w:r>
      <w:proofErr w:type="spellStart"/>
      <w:r w:rsidR="00391811" w:rsidRPr="00391811">
        <w:rPr>
          <w:i/>
          <w:color w:val="000000"/>
          <w:szCs w:val="24"/>
        </w:rPr>
        <w:t>eu</w:t>
      </w:r>
      <w:r w:rsidR="003A579F" w:rsidRPr="00391811">
        <w:rPr>
          <w:i/>
          <w:color w:val="000000"/>
          <w:szCs w:val="24"/>
        </w:rPr>
        <w:t>ro</w:t>
      </w:r>
      <w:proofErr w:type="spellEnd"/>
      <w:r w:rsidR="003A579F" w:rsidRPr="00924FAF">
        <w:rPr>
          <w:color w:val="000000"/>
          <w:szCs w:val="24"/>
        </w:rPr>
        <w:t xml:space="preserve"> ar </w:t>
      </w:r>
      <w:r w:rsidR="003A579F" w:rsidRPr="00D9247B">
        <w:rPr>
          <w:color w:val="000000"/>
          <w:szCs w:val="24"/>
        </w:rPr>
        <w:t>2014. gada 1. </w:t>
      </w:r>
      <w:r w:rsidR="007B781C" w:rsidRPr="00D9247B">
        <w:rPr>
          <w:color w:val="000000"/>
          <w:szCs w:val="24"/>
        </w:rPr>
        <w:t>j</w:t>
      </w:r>
      <w:r w:rsidR="003A579F" w:rsidRPr="00D9247B">
        <w:rPr>
          <w:color w:val="000000"/>
          <w:szCs w:val="24"/>
        </w:rPr>
        <w:t>anvāri</w:t>
      </w:r>
      <w:r w:rsidR="00924FAF" w:rsidRPr="00D9247B">
        <w:rPr>
          <w:color w:val="000000"/>
          <w:szCs w:val="24"/>
        </w:rPr>
        <w:t>.</w:t>
      </w:r>
      <w:r w:rsidR="00924FAF" w:rsidRPr="00D9247B">
        <w:rPr>
          <w:rStyle w:val="Emphasis"/>
          <w:color w:val="0D3051"/>
          <w:szCs w:val="24"/>
        </w:rPr>
        <w:t xml:space="preserve"> </w:t>
      </w:r>
      <w:r w:rsidR="00391811" w:rsidRPr="00D9247B">
        <w:rPr>
          <w:rStyle w:val="Emphasis"/>
          <w:i w:val="0"/>
          <w:szCs w:val="24"/>
        </w:rPr>
        <w:lastRenderedPageBreak/>
        <w:t>Māstrihtas kritēriju izpilde ir kā kvalitātes zīmogs, ka valsts ekonomika spēj nodrošināt ilgtspējīgu izaugsmi, kas ir būtisks priekšnoteikums, lai palielinātu Latvijas ekonomiskās vides pievilcību ārvalstu investoriem.</w:t>
      </w:r>
      <w:r w:rsidR="00EA1AD8" w:rsidRPr="00D9247B">
        <w:rPr>
          <w:rStyle w:val="Emphasis"/>
          <w:i w:val="0"/>
          <w:szCs w:val="24"/>
        </w:rPr>
        <w:t xml:space="preserve"> </w:t>
      </w:r>
      <w:r w:rsidR="00DA2CF2" w:rsidRPr="00D9247B">
        <w:rPr>
          <w:color w:val="000000"/>
          <w:szCs w:val="24"/>
        </w:rPr>
        <w:t xml:space="preserve">Tāpat, Latvija strādā pie normatīvās bāzes pielāgošanas, </w:t>
      </w:r>
      <w:r w:rsidR="00E54AB9">
        <w:rPr>
          <w:color w:val="000000"/>
          <w:szCs w:val="24"/>
        </w:rPr>
        <w:t xml:space="preserve">praktisko vadlīniju izstrādes </w:t>
      </w:r>
      <w:proofErr w:type="spellStart"/>
      <w:r w:rsidR="00E54AB9" w:rsidRPr="00E54AB9">
        <w:rPr>
          <w:i/>
          <w:color w:val="000000"/>
          <w:szCs w:val="24"/>
        </w:rPr>
        <w:t>eu</w:t>
      </w:r>
      <w:r w:rsidR="00DA2CF2" w:rsidRPr="00E54AB9">
        <w:rPr>
          <w:i/>
          <w:color w:val="000000"/>
          <w:szCs w:val="24"/>
        </w:rPr>
        <w:t>ro</w:t>
      </w:r>
      <w:proofErr w:type="spellEnd"/>
      <w:r w:rsidR="00DA2CF2" w:rsidRPr="00D9247B">
        <w:rPr>
          <w:color w:val="000000"/>
          <w:szCs w:val="24"/>
        </w:rPr>
        <w:t xml:space="preserve"> ieviešanai, tiek veikta aktīva komunikācija tematisko semināru formātā, notiek praktiskie sagatavošanās darbi fizisk</w:t>
      </w:r>
      <w:r w:rsidR="00D9247B" w:rsidRPr="00D9247B">
        <w:rPr>
          <w:color w:val="000000"/>
          <w:szCs w:val="24"/>
        </w:rPr>
        <w:t>ai naudas nomaiņai. 2013.gada 1</w:t>
      </w:r>
      <w:r w:rsidR="00DA2CF2" w:rsidRPr="00D9247B">
        <w:rPr>
          <w:color w:val="000000"/>
          <w:szCs w:val="24"/>
        </w:rPr>
        <w:t>.</w:t>
      </w:r>
      <w:r w:rsidR="00D9247B" w:rsidRPr="00D9247B">
        <w:rPr>
          <w:color w:val="000000"/>
          <w:szCs w:val="24"/>
        </w:rPr>
        <w:t>martā</w:t>
      </w:r>
      <w:r w:rsidR="00DA2CF2" w:rsidRPr="00D9247B">
        <w:rPr>
          <w:color w:val="000000"/>
          <w:szCs w:val="24"/>
        </w:rPr>
        <w:t xml:space="preserve"> </w:t>
      </w:r>
      <w:r w:rsidR="00D9247B" w:rsidRPr="00D9247B">
        <w:rPr>
          <w:color w:val="000000"/>
          <w:szCs w:val="24"/>
        </w:rPr>
        <w:t>stājās spēkā</w:t>
      </w:r>
      <w:r w:rsidR="00DA2CF2" w:rsidRPr="00D9247B">
        <w:rPr>
          <w:color w:val="000000"/>
          <w:szCs w:val="24"/>
        </w:rPr>
        <w:t xml:space="preserve"> </w:t>
      </w:r>
      <w:proofErr w:type="spellStart"/>
      <w:r w:rsidR="00DA2CF2" w:rsidRPr="00D9247B">
        <w:rPr>
          <w:i/>
          <w:color w:val="000000"/>
          <w:szCs w:val="24"/>
        </w:rPr>
        <w:t>Euro</w:t>
      </w:r>
      <w:proofErr w:type="spellEnd"/>
      <w:r w:rsidR="00AF5CCD">
        <w:rPr>
          <w:color w:val="000000"/>
          <w:szCs w:val="24"/>
        </w:rPr>
        <w:t xml:space="preserve"> ieviešanas kārtības likums</w:t>
      </w:r>
      <w:r w:rsidR="006E4793" w:rsidRPr="00D9247B">
        <w:rPr>
          <w:color w:val="000000"/>
          <w:szCs w:val="24"/>
        </w:rPr>
        <w:t>.</w:t>
      </w:r>
      <w:r w:rsidR="005873A8">
        <w:rPr>
          <w:color w:val="000000"/>
          <w:szCs w:val="24"/>
        </w:rPr>
        <w:t xml:space="preserve"> </w:t>
      </w:r>
      <w:r w:rsidR="00D17A16" w:rsidRPr="00D9247B">
        <w:rPr>
          <w:rStyle w:val="Emphasis"/>
          <w:i w:val="0"/>
          <w:szCs w:val="24"/>
        </w:rPr>
        <w:t xml:space="preserve">Ņemot vērā paveikto, </w:t>
      </w:r>
      <w:r w:rsidR="00EA1AD8" w:rsidRPr="00D9247B">
        <w:rPr>
          <w:rStyle w:val="Emphasis"/>
          <w:i w:val="0"/>
          <w:szCs w:val="24"/>
        </w:rPr>
        <w:t xml:space="preserve">Latvijas valdība ir spērusi nākamo soli tuvāk </w:t>
      </w:r>
      <w:proofErr w:type="spellStart"/>
      <w:r w:rsidR="00EA1AD8" w:rsidRPr="00D9247B">
        <w:rPr>
          <w:rStyle w:val="Emphasis"/>
          <w:szCs w:val="24"/>
        </w:rPr>
        <w:t>euro</w:t>
      </w:r>
      <w:proofErr w:type="spellEnd"/>
      <w:r w:rsidR="00EA1AD8" w:rsidRPr="00D9247B">
        <w:rPr>
          <w:rStyle w:val="Emphasis"/>
          <w:i w:val="0"/>
          <w:szCs w:val="24"/>
        </w:rPr>
        <w:t xml:space="preserve"> ieviešanai un </w:t>
      </w:r>
      <w:proofErr w:type="spellStart"/>
      <w:r w:rsidR="00924FAF" w:rsidRPr="00D9247B">
        <w:rPr>
          <w:rStyle w:val="Emphasis"/>
          <w:i w:val="0"/>
          <w:szCs w:val="24"/>
        </w:rPr>
        <w:t>š.g</w:t>
      </w:r>
      <w:proofErr w:type="spellEnd"/>
      <w:r w:rsidR="00924FAF" w:rsidRPr="00D9247B">
        <w:rPr>
          <w:rStyle w:val="Emphasis"/>
          <w:i w:val="0"/>
          <w:szCs w:val="24"/>
        </w:rPr>
        <w:t xml:space="preserve">. 4.martā vērsās </w:t>
      </w:r>
      <w:r w:rsidR="00924FAF" w:rsidRPr="00D9247B">
        <w:rPr>
          <w:szCs w:val="24"/>
        </w:rPr>
        <w:t>ar iesniegumu</w:t>
      </w:r>
      <w:r w:rsidR="00924FAF" w:rsidRPr="00D9247B">
        <w:rPr>
          <w:i/>
          <w:szCs w:val="24"/>
        </w:rPr>
        <w:t xml:space="preserve"> </w:t>
      </w:r>
      <w:r w:rsidR="00924FAF" w:rsidRPr="00D9247B">
        <w:rPr>
          <w:rStyle w:val="Emphasis"/>
          <w:i w:val="0"/>
          <w:szCs w:val="24"/>
        </w:rPr>
        <w:t xml:space="preserve">EK un </w:t>
      </w:r>
      <w:r w:rsidR="00702D7B">
        <w:rPr>
          <w:rStyle w:val="Emphasis"/>
          <w:i w:val="0"/>
          <w:szCs w:val="24"/>
        </w:rPr>
        <w:t>ECB</w:t>
      </w:r>
      <w:r w:rsidR="00924FAF" w:rsidRPr="00D9247B">
        <w:rPr>
          <w:rStyle w:val="Emphasis"/>
          <w:i w:val="0"/>
          <w:szCs w:val="24"/>
        </w:rPr>
        <w:t xml:space="preserve"> ar lūgumu izvērtēt Latvijas atbilstību dalībai </w:t>
      </w:r>
      <w:proofErr w:type="spellStart"/>
      <w:r w:rsidR="00924FAF" w:rsidRPr="00D9247B">
        <w:rPr>
          <w:rStyle w:val="Emphasis"/>
          <w:i w:val="0"/>
          <w:szCs w:val="24"/>
        </w:rPr>
        <w:t>eirozonā</w:t>
      </w:r>
      <w:proofErr w:type="spellEnd"/>
      <w:r w:rsidR="00924FAF" w:rsidRPr="00D9247B">
        <w:rPr>
          <w:rStyle w:val="Emphasis"/>
          <w:i w:val="0"/>
          <w:szCs w:val="24"/>
        </w:rPr>
        <w:t>.</w:t>
      </w:r>
      <w:r w:rsidR="00924FAF" w:rsidRPr="00924FAF">
        <w:rPr>
          <w:rStyle w:val="Emphasis"/>
          <w:i w:val="0"/>
          <w:szCs w:val="24"/>
        </w:rPr>
        <w:t xml:space="preserve"> </w:t>
      </w:r>
    </w:p>
    <w:p w14:paraId="0AC02D43" w14:textId="1C6B4CB0" w:rsidR="004B53F8" w:rsidRDefault="0023718E" w:rsidP="002D62B9">
      <w:pPr>
        <w:rPr>
          <w:color w:val="000000"/>
          <w:szCs w:val="24"/>
        </w:rPr>
      </w:pPr>
      <w:r w:rsidRPr="004367BC">
        <w:rPr>
          <w:color w:val="000000"/>
          <w:szCs w:val="24"/>
        </w:rPr>
        <w:t xml:space="preserve">Latvija </w:t>
      </w:r>
      <w:r w:rsidR="00310713" w:rsidRPr="004367BC">
        <w:rPr>
          <w:color w:val="000000"/>
          <w:szCs w:val="24"/>
        </w:rPr>
        <w:t xml:space="preserve">arī turpmāk </w:t>
      </w:r>
      <w:r w:rsidRPr="004367BC">
        <w:rPr>
          <w:color w:val="000000"/>
          <w:szCs w:val="24"/>
        </w:rPr>
        <w:t>ir apņēmības pilna nodrošināt</w:t>
      </w:r>
      <w:r w:rsidR="00683ED2">
        <w:rPr>
          <w:color w:val="000000"/>
          <w:szCs w:val="24"/>
        </w:rPr>
        <w:t xml:space="preserve"> ilgtspējīgu</w:t>
      </w:r>
      <w:r w:rsidRPr="004367BC">
        <w:rPr>
          <w:color w:val="000000"/>
          <w:szCs w:val="24"/>
        </w:rPr>
        <w:t xml:space="preserve"> Māstrihtas kritēriju izpildi, </w:t>
      </w:r>
      <w:r w:rsidR="00E47ACE" w:rsidRPr="004367BC">
        <w:rPr>
          <w:color w:val="000000"/>
          <w:szCs w:val="24"/>
        </w:rPr>
        <w:t xml:space="preserve">ko demonstrē </w:t>
      </w:r>
      <w:r w:rsidR="004B53F8" w:rsidRPr="004367BC">
        <w:rPr>
          <w:color w:val="000000"/>
          <w:szCs w:val="24"/>
        </w:rPr>
        <w:t>Latvija</w:t>
      </w:r>
      <w:r w:rsidR="00E47ACE" w:rsidRPr="004367BC">
        <w:rPr>
          <w:color w:val="000000"/>
          <w:szCs w:val="24"/>
        </w:rPr>
        <w:t>s</w:t>
      </w:r>
      <w:r w:rsidR="004B53F8" w:rsidRPr="004367BC">
        <w:rPr>
          <w:color w:val="000000"/>
          <w:szCs w:val="24"/>
        </w:rPr>
        <w:t xml:space="preserve"> </w:t>
      </w:r>
      <w:r w:rsidR="00E47ACE" w:rsidRPr="004367BC">
        <w:rPr>
          <w:color w:val="000000"/>
          <w:szCs w:val="24"/>
        </w:rPr>
        <w:t xml:space="preserve">spēja ieviest </w:t>
      </w:r>
      <w:proofErr w:type="spellStart"/>
      <w:r w:rsidR="004B53F8" w:rsidRPr="000705E3">
        <w:rPr>
          <w:color w:val="000000"/>
          <w:szCs w:val="24"/>
        </w:rPr>
        <w:t>pretciklisk</w:t>
      </w:r>
      <w:r w:rsidR="00E47ACE" w:rsidRPr="000705E3">
        <w:rPr>
          <w:color w:val="000000"/>
          <w:szCs w:val="24"/>
        </w:rPr>
        <w:t>as</w:t>
      </w:r>
      <w:proofErr w:type="spellEnd"/>
      <w:r w:rsidR="004B53F8" w:rsidRPr="000705E3">
        <w:rPr>
          <w:color w:val="000000"/>
          <w:szCs w:val="24"/>
        </w:rPr>
        <w:t xml:space="preserve"> fiskāl</w:t>
      </w:r>
      <w:r w:rsidR="00E47ACE" w:rsidRPr="000705E3">
        <w:rPr>
          <w:color w:val="000000"/>
          <w:szCs w:val="24"/>
        </w:rPr>
        <w:t>ās</w:t>
      </w:r>
      <w:r w:rsidR="004B53F8" w:rsidRPr="000705E3">
        <w:rPr>
          <w:color w:val="000000"/>
          <w:szCs w:val="24"/>
        </w:rPr>
        <w:t xml:space="preserve"> politik</w:t>
      </w:r>
      <w:r w:rsidR="00E47ACE" w:rsidRPr="000705E3">
        <w:rPr>
          <w:color w:val="000000"/>
          <w:szCs w:val="24"/>
        </w:rPr>
        <w:t>as principus</w:t>
      </w:r>
      <w:r w:rsidR="004B53F8" w:rsidRPr="000705E3">
        <w:rPr>
          <w:color w:val="000000"/>
          <w:szCs w:val="24"/>
        </w:rPr>
        <w:t>,</w:t>
      </w:r>
      <w:r w:rsidR="00E47ACE" w:rsidRPr="000705E3">
        <w:rPr>
          <w:color w:val="000000"/>
          <w:szCs w:val="24"/>
        </w:rPr>
        <w:t xml:space="preserve"> </w:t>
      </w:r>
      <w:r w:rsidR="00310713" w:rsidRPr="000705E3">
        <w:rPr>
          <w:color w:val="000000"/>
          <w:szCs w:val="24"/>
        </w:rPr>
        <w:t xml:space="preserve">esot vienai no pirmajām ES dalībvalstīm, kas ir pielāgojusi nacionālo likumdošanu </w:t>
      </w:r>
      <w:r w:rsidR="00310713" w:rsidRPr="000705E3">
        <w:t xml:space="preserve">ES līmeņa fiskālās disciplīnas principiem, </w:t>
      </w:r>
      <w:r w:rsidR="004B53F8" w:rsidRPr="000705E3">
        <w:rPr>
          <w:color w:val="000000"/>
          <w:szCs w:val="24"/>
        </w:rPr>
        <w:t xml:space="preserve">uzturēt stabilu un labi </w:t>
      </w:r>
      <w:r w:rsidR="00835840" w:rsidRPr="000705E3">
        <w:rPr>
          <w:color w:val="000000"/>
          <w:szCs w:val="24"/>
        </w:rPr>
        <w:t xml:space="preserve">funkcionējošu finanšu sektoru, </w:t>
      </w:r>
      <w:r w:rsidR="004B53F8" w:rsidRPr="000705E3">
        <w:rPr>
          <w:color w:val="000000"/>
          <w:szCs w:val="24"/>
        </w:rPr>
        <w:t xml:space="preserve">nodrošināt efektīvu un caurskatāmu ES fondu apguvi, </w:t>
      </w:r>
      <w:r w:rsidR="007A23F7" w:rsidRPr="000705E3">
        <w:rPr>
          <w:color w:val="000000"/>
          <w:szCs w:val="24"/>
        </w:rPr>
        <w:t xml:space="preserve">stingri </w:t>
      </w:r>
      <w:r w:rsidR="00096D57" w:rsidRPr="000705E3">
        <w:rPr>
          <w:color w:val="000000"/>
          <w:szCs w:val="24"/>
        </w:rPr>
        <w:t xml:space="preserve">uzraudzīt </w:t>
      </w:r>
      <w:r w:rsidR="007A23F7" w:rsidRPr="000705E3">
        <w:rPr>
          <w:color w:val="000000"/>
          <w:szCs w:val="24"/>
        </w:rPr>
        <w:t>budžeta izdevumu pieaugumu</w:t>
      </w:r>
      <w:r w:rsidR="00E56F6C" w:rsidRPr="000705E3">
        <w:rPr>
          <w:color w:val="000000"/>
          <w:szCs w:val="24"/>
        </w:rPr>
        <w:t>,</w:t>
      </w:r>
      <w:r w:rsidR="003A374E" w:rsidRPr="000705E3">
        <w:rPr>
          <w:color w:val="000000"/>
          <w:szCs w:val="24"/>
        </w:rPr>
        <w:t xml:space="preserve"> </w:t>
      </w:r>
      <w:r w:rsidR="004B53F8" w:rsidRPr="000705E3">
        <w:rPr>
          <w:color w:val="000000"/>
          <w:szCs w:val="24"/>
        </w:rPr>
        <w:t>turpināt strukturālās reformas tādās jomās kā izglītība</w:t>
      </w:r>
      <w:r w:rsidR="00DA1C08" w:rsidRPr="000705E3">
        <w:rPr>
          <w:color w:val="000000"/>
          <w:szCs w:val="24"/>
        </w:rPr>
        <w:t xml:space="preserve"> un zinātne</w:t>
      </w:r>
      <w:r w:rsidR="004B53F8" w:rsidRPr="000705E3">
        <w:rPr>
          <w:color w:val="000000"/>
          <w:szCs w:val="24"/>
        </w:rPr>
        <w:t xml:space="preserve">, nodarbinātība, </w:t>
      </w:r>
      <w:r w:rsidR="00DA1C08" w:rsidRPr="000705E3">
        <w:rPr>
          <w:color w:val="000000"/>
          <w:szCs w:val="24"/>
        </w:rPr>
        <w:t xml:space="preserve">veselības aprūpe, </w:t>
      </w:r>
      <w:r w:rsidR="004B53F8" w:rsidRPr="000705E3">
        <w:rPr>
          <w:color w:val="000000"/>
          <w:szCs w:val="24"/>
        </w:rPr>
        <w:t xml:space="preserve">valsts </w:t>
      </w:r>
      <w:r w:rsidR="006E4793">
        <w:rPr>
          <w:color w:val="000000"/>
          <w:szCs w:val="24"/>
        </w:rPr>
        <w:t>pārvalde</w:t>
      </w:r>
      <w:r w:rsidR="004B53F8" w:rsidRPr="000705E3">
        <w:rPr>
          <w:color w:val="000000"/>
          <w:szCs w:val="24"/>
        </w:rPr>
        <w:t>, sociālā budžeta ilgtspēja un citās jomās.</w:t>
      </w:r>
    </w:p>
    <w:p w14:paraId="09950FB3" w14:textId="03C7A7F1" w:rsidR="00102F37" w:rsidRPr="00E23D50" w:rsidRDefault="004B53F8" w:rsidP="001E1E2D">
      <w:pPr>
        <w:rPr>
          <w:color w:val="000000"/>
          <w:szCs w:val="24"/>
        </w:rPr>
      </w:pPr>
      <w:r w:rsidRPr="00B86F46">
        <w:rPr>
          <w:color w:val="000000"/>
          <w:szCs w:val="24"/>
        </w:rPr>
        <w:t>Finanšu sektora stabilitātes nod</w:t>
      </w:r>
      <w:r w:rsidR="009B6CDF" w:rsidRPr="00B86F46">
        <w:rPr>
          <w:color w:val="000000"/>
          <w:szCs w:val="24"/>
        </w:rPr>
        <w:t>rošināšana ir svarīgs nosacījum</w:t>
      </w:r>
      <w:r w:rsidRPr="00B86F46">
        <w:rPr>
          <w:color w:val="000000"/>
          <w:szCs w:val="24"/>
        </w:rPr>
        <w:t xml:space="preserve">s ekonomikas izaugsmes atjaunošanai. </w:t>
      </w:r>
      <w:r w:rsidR="000D4427">
        <w:rPr>
          <w:color w:val="000000"/>
          <w:szCs w:val="24"/>
        </w:rPr>
        <w:t>2012</w:t>
      </w:r>
      <w:r w:rsidR="00102F37" w:rsidRPr="00B86F46">
        <w:rPr>
          <w:color w:val="000000"/>
          <w:szCs w:val="24"/>
        </w:rPr>
        <w:t>.</w:t>
      </w:r>
      <w:r w:rsidR="00E56F6C" w:rsidRPr="00B86F46">
        <w:rPr>
          <w:color w:val="000000"/>
          <w:szCs w:val="24"/>
        </w:rPr>
        <w:t> </w:t>
      </w:r>
      <w:r w:rsidR="00102F37" w:rsidRPr="00B86F46">
        <w:rPr>
          <w:color w:val="000000"/>
          <w:szCs w:val="24"/>
        </w:rPr>
        <w:t>gadā tika turpināt</w:t>
      </w:r>
      <w:r w:rsidR="00683ED2">
        <w:rPr>
          <w:color w:val="000000"/>
          <w:szCs w:val="24"/>
        </w:rPr>
        <w:t>a</w:t>
      </w:r>
      <w:r w:rsidR="00102F37" w:rsidRPr="00B86F46">
        <w:rPr>
          <w:color w:val="000000"/>
          <w:szCs w:val="24"/>
        </w:rPr>
        <w:t xml:space="preserve"> finanšu sektora stabilitātes pasākumu</w:t>
      </w:r>
      <w:r w:rsidR="00683ED2">
        <w:rPr>
          <w:color w:val="000000"/>
          <w:szCs w:val="24"/>
        </w:rPr>
        <w:t xml:space="preserve"> īstenošana</w:t>
      </w:r>
      <w:r w:rsidR="00102F37" w:rsidRPr="00B86F46">
        <w:rPr>
          <w:color w:val="000000"/>
          <w:szCs w:val="24"/>
        </w:rPr>
        <w:t xml:space="preserve">  </w:t>
      </w:r>
      <w:r w:rsidR="001E1E2D">
        <w:rPr>
          <w:color w:val="000000"/>
          <w:szCs w:val="24"/>
        </w:rPr>
        <w:t>- v</w:t>
      </w:r>
      <w:r w:rsidR="001E1E2D">
        <w:t xml:space="preserve">eikti pasākumi </w:t>
      </w:r>
      <w:r w:rsidR="000D4427" w:rsidRPr="00E23D50">
        <w:t>banku kapitāla bāzes stiprināšana</w:t>
      </w:r>
      <w:r w:rsidR="001E1E2D">
        <w:t>i</w:t>
      </w:r>
      <w:r w:rsidR="000D4427" w:rsidRPr="00E23D50">
        <w:t xml:space="preserve"> un stingrāku likviditātes prasību noteikšana</w:t>
      </w:r>
      <w:r w:rsidR="001E1E2D">
        <w:t>i</w:t>
      </w:r>
      <w:r w:rsidR="000D4427" w:rsidRPr="00E23D50">
        <w:t xml:space="preserve">, </w:t>
      </w:r>
      <w:r w:rsidR="001E1E2D">
        <w:t xml:space="preserve">turpināts </w:t>
      </w:r>
      <w:r w:rsidR="00683ED2">
        <w:t xml:space="preserve">darbs </w:t>
      </w:r>
      <w:r w:rsidR="001E1E2D">
        <w:t xml:space="preserve">pie </w:t>
      </w:r>
      <w:r w:rsidR="000D4427" w:rsidRPr="00E23D50">
        <w:t>valstij piederošo banku pārveide</w:t>
      </w:r>
      <w:r w:rsidR="001E1E2D">
        <w:t>s</w:t>
      </w:r>
      <w:r w:rsidR="000D4427" w:rsidRPr="00E23D50">
        <w:t>/pārdošana</w:t>
      </w:r>
      <w:r w:rsidR="001E1E2D">
        <w:t>s</w:t>
      </w:r>
      <w:r w:rsidR="000D4427" w:rsidRPr="00E23D50">
        <w:t xml:space="preserve">, </w:t>
      </w:r>
      <w:r w:rsidR="001E1E2D">
        <w:t>veikta</w:t>
      </w:r>
      <w:r w:rsidR="000D4427" w:rsidRPr="00E23D50">
        <w:t xml:space="preserve"> </w:t>
      </w:r>
      <w:r w:rsidR="001E1E2D">
        <w:t>s</w:t>
      </w:r>
      <w:r w:rsidR="000D4427" w:rsidRPr="00E23D50">
        <w:t xml:space="preserve">abiedrības informēšana finanšu pakalpojumu jautājumos un </w:t>
      </w:r>
      <w:r w:rsidR="000D4427" w:rsidRPr="00E23D50">
        <w:rPr>
          <w:bCs/>
        </w:rPr>
        <w:t>patērētāju tiesību aizsardzības regulējuma pilnveidošana patērētāju kreditēšanas jomā</w:t>
      </w:r>
      <w:r w:rsidR="001E1E2D">
        <w:rPr>
          <w:bCs/>
        </w:rPr>
        <w:t>.</w:t>
      </w:r>
    </w:p>
    <w:p w14:paraId="36880DE2" w14:textId="68A654B3" w:rsidR="00395614" w:rsidRPr="00B86F46" w:rsidRDefault="00395614" w:rsidP="00395614">
      <w:pPr>
        <w:rPr>
          <w:color w:val="000000"/>
          <w:szCs w:val="24"/>
        </w:rPr>
      </w:pPr>
      <w:r w:rsidRPr="00B86F46">
        <w:rPr>
          <w:color w:val="000000"/>
          <w:szCs w:val="24"/>
        </w:rPr>
        <w:t xml:space="preserve">Latvija 2011. gada beigās sekmīgi noslēdza </w:t>
      </w:r>
      <w:r w:rsidR="008B4591">
        <w:rPr>
          <w:color w:val="000000"/>
          <w:szCs w:val="24"/>
        </w:rPr>
        <w:t>Aizdevuma p</w:t>
      </w:r>
      <w:r w:rsidRPr="00B86F46">
        <w:rPr>
          <w:color w:val="000000"/>
          <w:szCs w:val="24"/>
        </w:rPr>
        <w:t xml:space="preserve">rogrammu, īstenojot Latvijas ekonomikas stabilizācijas un izaugsmes atjaunošanas programmu, un arī turpmāk ieviesīs </w:t>
      </w:r>
      <w:r w:rsidR="00702D7B">
        <w:rPr>
          <w:color w:val="000000"/>
          <w:szCs w:val="24"/>
        </w:rPr>
        <w:t>LSAP</w:t>
      </w:r>
      <w:r w:rsidRPr="00B86F46">
        <w:rPr>
          <w:color w:val="000000"/>
          <w:szCs w:val="24"/>
        </w:rPr>
        <w:t xml:space="preserve"> noteiktos vidēja termiņa rīcības virzienus noteikto prioritāšu ietvaros: ekonomikas izaugsme, sociālā drošība un publiskās pārvaldes reformas. </w:t>
      </w:r>
    </w:p>
    <w:p w14:paraId="1C89785C" w14:textId="77777777" w:rsidR="006F72DA" w:rsidRDefault="004B53F8" w:rsidP="002D62B9">
      <w:pPr>
        <w:ind w:firstLine="720"/>
        <w:rPr>
          <w:color w:val="000000"/>
          <w:szCs w:val="24"/>
        </w:rPr>
      </w:pPr>
      <w:r w:rsidRPr="000833EE">
        <w:rPr>
          <w:color w:val="000000"/>
          <w:szCs w:val="24"/>
        </w:rPr>
        <w:t xml:space="preserve">Papildu tam, </w:t>
      </w:r>
      <w:r w:rsidR="006F72DA" w:rsidRPr="000833EE">
        <w:rPr>
          <w:color w:val="000000"/>
          <w:szCs w:val="24"/>
        </w:rPr>
        <w:t xml:space="preserve">Latvija </w:t>
      </w:r>
      <w:r w:rsidR="00656D23" w:rsidRPr="000833EE">
        <w:rPr>
          <w:color w:val="000000"/>
          <w:szCs w:val="24"/>
        </w:rPr>
        <w:t xml:space="preserve">ir </w:t>
      </w:r>
      <w:r w:rsidR="006F72DA" w:rsidRPr="000833EE">
        <w:rPr>
          <w:color w:val="000000"/>
          <w:szCs w:val="24"/>
        </w:rPr>
        <w:t xml:space="preserve">pārliecinoši </w:t>
      </w:r>
      <w:r w:rsidR="00656D23" w:rsidRPr="000833EE">
        <w:rPr>
          <w:color w:val="000000"/>
          <w:szCs w:val="24"/>
        </w:rPr>
        <w:t>no</w:t>
      </w:r>
      <w:r w:rsidR="006F72DA" w:rsidRPr="000833EE">
        <w:rPr>
          <w:color w:val="000000"/>
          <w:szCs w:val="24"/>
        </w:rPr>
        <w:t>demonstrēj</w:t>
      </w:r>
      <w:r w:rsidR="00656D23" w:rsidRPr="000833EE">
        <w:rPr>
          <w:color w:val="000000"/>
          <w:szCs w:val="24"/>
        </w:rPr>
        <w:t>usi</w:t>
      </w:r>
      <w:r w:rsidR="006F72DA" w:rsidRPr="000833EE">
        <w:rPr>
          <w:color w:val="000000"/>
          <w:szCs w:val="24"/>
        </w:rPr>
        <w:t xml:space="preserve"> veiksmīgu atgriešanos starptautiskajos kapitāla tirgos </w:t>
      </w:r>
      <w:r w:rsidR="0035776A" w:rsidRPr="000833EE">
        <w:rPr>
          <w:color w:val="000000"/>
          <w:szCs w:val="24"/>
        </w:rPr>
        <w:t>–</w:t>
      </w:r>
      <w:r w:rsidR="006F72DA" w:rsidRPr="000833EE">
        <w:rPr>
          <w:color w:val="000000"/>
          <w:szCs w:val="24"/>
        </w:rPr>
        <w:t xml:space="preserve"> </w:t>
      </w:r>
      <w:r w:rsidR="00656D23" w:rsidRPr="000833EE">
        <w:rPr>
          <w:color w:val="000000"/>
          <w:szCs w:val="24"/>
        </w:rPr>
        <w:t>Latvija</w:t>
      </w:r>
      <w:r w:rsidR="006F72DA" w:rsidRPr="000833EE">
        <w:rPr>
          <w:color w:val="000000"/>
          <w:szCs w:val="24"/>
        </w:rPr>
        <w:t xml:space="preserve"> 2011.</w:t>
      </w:r>
      <w:r w:rsidR="00E56F6C" w:rsidRPr="000833EE">
        <w:rPr>
          <w:color w:val="000000"/>
          <w:szCs w:val="24"/>
        </w:rPr>
        <w:t> </w:t>
      </w:r>
      <w:r w:rsidR="006F72DA" w:rsidRPr="000833EE">
        <w:rPr>
          <w:color w:val="000000"/>
          <w:szCs w:val="24"/>
        </w:rPr>
        <w:t>gada jūnijā sekmīgi emitēja 10 gadu eiroobligācij</w:t>
      </w:r>
      <w:r w:rsidR="00157E57">
        <w:rPr>
          <w:color w:val="000000"/>
          <w:szCs w:val="24"/>
        </w:rPr>
        <w:t xml:space="preserve">as 500 milj. </w:t>
      </w:r>
      <w:r w:rsidR="006F72DA" w:rsidRPr="000833EE">
        <w:rPr>
          <w:color w:val="000000"/>
          <w:szCs w:val="24"/>
        </w:rPr>
        <w:t xml:space="preserve">ASV dolāru apmērā vēl pirms </w:t>
      </w:r>
      <w:r w:rsidR="00654239" w:rsidRPr="000833EE">
        <w:rPr>
          <w:color w:val="000000"/>
          <w:szCs w:val="24"/>
        </w:rPr>
        <w:t>Aizdevuma p</w:t>
      </w:r>
      <w:r w:rsidR="006F72DA" w:rsidRPr="000833EE">
        <w:rPr>
          <w:color w:val="000000"/>
          <w:szCs w:val="24"/>
        </w:rPr>
        <w:t>rogrammas</w:t>
      </w:r>
      <w:r w:rsidR="000833EE" w:rsidRPr="000833EE">
        <w:rPr>
          <w:color w:val="000000"/>
          <w:szCs w:val="24"/>
        </w:rPr>
        <w:t xml:space="preserve"> noslēguma, </w:t>
      </w:r>
      <w:r w:rsidR="00656D23" w:rsidRPr="000833EE">
        <w:rPr>
          <w:color w:val="000000"/>
          <w:szCs w:val="24"/>
        </w:rPr>
        <w:t>2012.</w:t>
      </w:r>
      <w:r w:rsidR="00E3034D" w:rsidRPr="000833EE">
        <w:rPr>
          <w:color w:val="000000"/>
          <w:szCs w:val="24"/>
        </w:rPr>
        <w:t xml:space="preserve"> </w:t>
      </w:r>
      <w:r w:rsidR="00656D23" w:rsidRPr="000833EE">
        <w:rPr>
          <w:color w:val="000000"/>
          <w:szCs w:val="24"/>
        </w:rPr>
        <w:t>gada februārī emitēj</w:t>
      </w:r>
      <w:r w:rsidR="00D82C46" w:rsidRPr="000833EE">
        <w:rPr>
          <w:color w:val="000000"/>
          <w:szCs w:val="24"/>
        </w:rPr>
        <w:t>a</w:t>
      </w:r>
      <w:r w:rsidR="00656D23" w:rsidRPr="000833EE">
        <w:rPr>
          <w:color w:val="000000"/>
          <w:szCs w:val="24"/>
        </w:rPr>
        <w:t xml:space="preserve"> 5 gadu obligācijas</w:t>
      </w:r>
      <w:r w:rsidR="000833EE" w:rsidRPr="000833EE">
        <w:rPr>
          <w:color w:val="000000"/>
          <w:szCs w:val="24"/>
        </w:rPr>
        <w:t xml:space="preserve"> 1 miljarda ASV dolāru apmērā un</w:t>
      </w:r>
      <w:r w:rsidR="00BE4866">
        <w:rPr>
          <w:color w:val="000000"/>
          <w:szCs w:val="24"/>
        </w:rPr>
        <w:t>,</w:t>
      </w:r>
      <w:r w:rsidR="000833EE" w:rsidRPr="000833EE">
        <w:rPr>
          <w:color w:val="000000"/>
          <w:szCs w:val="24"/>
        </w:rPr>
        <w:t xml:space="preserve"> </w:t>
      </w:r>
      <w:r w:rsidR="000833EE" w:rsidRPr="000833EE">
        <w:rPr>
          <w:szCs w:val="24"/>
        </w:rPr>
        <w:t>izmantojot īpaši labvēlīgu situāciju starptautiskajos finanšu tirgos, kā arī pozitīvas izmaiņas Latvijas kredītreitinga līmenī,</w:t>
      </w:r>
      <w:r w:rsidR="000833EE">
        <w:rPr>
          <w:szCs w:val="24"/>
        </w:rPr>
        <w:t xml:space="preserve"> </w:t>
      </w:r>
      <w:r w:rsidR="00BE4866">
        <w:rPr>
          <w:szCs w:val="24"/>
        </w:rPr>
        <w:t>2012.gada decembrī</w:t>
      </w:r>
      <w:r w:rsidR="000833EE" w:rsidRPr="000833EE">
        <w:rPr>
          <w:szCs w:val="24"/>
        </w:rPr>
        <w:t xml:space="preserve"> </w:t>
      </w:r>
      <w:r w:rsidR="00D17A16">
        <w:rPr>
          <w:szCs w:val="24"/>
        </w:rPr>
        <w:t>pieņē</w:t>
      </w:r>
      <w:r w:rsidR="000833EE" w:rsidRPr="000833EE">
        <w:rPr>
          <w:szCs w:val="24"/>
        </w:rPr>
        <w:t>m</w:t>
      </w:r>
      <w:r w:rsidR="00D17A16">
        <w:rPr>
          <w:szCs w:val="24"/>
        </w:rPr>
        <w:t>a</w:t>
      </w:r>
      <w:r w:rsidR="000833EE" w:rsidRPr="000833EE">
        <w:rPr>
          <w:szCs w:val="24"/>
        </w:rPr>
        <w:t xml:space="preserve"> lēmum</w:t>
      </w:r>
      <w:r w:rsidR="00D17A16">
        <w:rPr>
          <w:szCs w:val="24"/>
        </w:rPr>
        <w:t>u</w:t>
      </w:r>
      <w:r w:rsidR="000833EE" w:rsidRPr="000833EE">
        <w:rPr>
          <w:szCs w:val="24"/>
        </w:rPr>
        <w:t xml:space="preserve"> atkārtoti atgriezties starptautiskajos finanšu tirgos ar vēl vienu obligāciju emisiju 1,25 mljrd.</w:t>
      </w:r>
      <w:r w:rsidR="000833EE">
        <w:rPr>
          <w:szCs w:val="24"/>
        </w:rPr>
        <w:t xml:space="preserve"> </w:t>
      </w:r>
      <w:r w:rsidR="000833EE" w:rsidRPr="000833EE">
        <w:rPr>
          <w:szCs w:val="24"/>
        </w:rPr>
        <w:t xml:space="preserve">ASV dolāru apmērā ar septiņu gadu dzēšanas </w:t>
      </w:r>
      <w:r w:rsidR="000833EE" w:rsidRPr="002F3EC6">
        <w:rPr>
          <w:szCs w:val="24"/>
        </w:rPr>
        <w:t>termiņu.</w:t>
      </w:r>
      <w:r w:rsidR="000833EE" w:rsidRPr="002F3EC6">
        <w:rPr>
          <w:color w:val="000000"/>
          <w:szCs w:val="24"/>
        </w:rPr>
        <w:t xml:space="preserve"> </w:t>
      </w:r>
      <w:r w:rsidR="000833EE" w:rsidRPr="002F3EC6">
        <w:rPr>
          <w:szCs w:val="24"/>
        </w:rPr>
        <w:t>Šo</w:t>
      </w:r>
      <w:r w:rsidR="000833EE" w:rsidRPr="000833EE">
        <w:rPr>
          <w:szCs w:val="24"/>
        </w:rPr>
        <w:t xml:space="preserve"> emisiju var uzskatīt par īpaši veiksmīgu darījumu, jo tajā tika fiksēta kupona likme 2,75%, kas ir vēsturiski zemākā vērtspapīru procentu likme, kopš Latvija veic publiskus aizņēmumus starptautiskajos finanšu tirgos, un emisijas brīdī zemākā likme salīdzinājumā ar līdzīgu valstu aizņēmuma likmēm, kā arī tā ir zemāka par </w:t>
      </w:r>
      <w:r w:rsidR="000833EE">
        <w:rPr>
          <w:szCs w:val="24"/>
        </w:rPr>
        <w:t>Aizdevuma</w:t>
      </w:r>
      <w:r w:rsidR="000833EE" w:rsidRPr="000833EE">
        <w:rPr>
          <w:szCs w:val="24"/>
        </w:rPr>
        <w:t xml:space="preserve"> programmas finansējuma likmēm.</w:t>
      </w:r>
      <w:r w:rsidR="000833EE">
        <w:rPr>
          <w:szCs w:val="24"/>
        </w:rPr>
        <w:t xml:space="preserve"> </w:t>
      </w:r>
      <w:r w:rsidR="00D17A16">
        <w:rPr>
          <w:color w:val="000000"/>
          <w:szCs w:val="24"/>
        </w:rPr>
        <w:t>V</w:t>
      </w:r>
      <w:r w:rsidR="00BE4866">
        <w:rPr>
          <w:color w:val="000000"/>
          <w:szCs w:val="24"/>
        </w:rPr>
        <w:t>eiksmīg</w:t>
      </w:r>
      <w:r w:rsidR="00D17A16">
        <w:rPr>
          <w:color w:val="000000"/>
          <w:szCs w:val="24"/>
        </w:rPr>
        <w:t>ā</w:t>
      </w:r>
      <w:r w:rsidR="00BE4866">
        <w:rPr>
          <w:color w:val="000000"/>
          <w:szCs w:val="24"/>
        </w:rPr>
        <w:t xml:space="preserve"> </w:t>
      </w:r>
      <w:r w:rsidR="00D17A16">
        <w:rPr>
          <w:color w:val="000000"/>
          <w:szCs w:val="24"/>
        </w:rPr>
        <w:t xml:space="preserve">atgriešanās </w:t>
      </w:r>
      <w:r w:rsidR="00BE4866">
        <w:rPr>
          <w:color w:val="000000"/>
          <w:szCs w:val="24"/>
        </w:rPr>
        <w:t xml:space="preserve">starptautiskajos </w:t>
      </w:r>
      <w:r w:rsidR="00D17A16">
        <w:rPr>
          <w:color w:val="000000"/>
          <w:szCs w:val="24"/>
        </w:rPr>
        <w:t xml:space="preserve">kapitāla </w:t>
      </w:r>
      <w:r w:rsidR="00BE4866">
        <w:rPr>
          <w:color w:val="000000"/>
          <w:szCs w:val="24"/>
        </w:rPr>
        <w:t xml:space="preserve">tirgos </w:t>
      </w:r>
      <w:r w:rsidR="006F72DA" w:rsidRPr="00BE4866">
        <w:rPr>
          <w:color w:val="000000"/>
          <w:szCs w:val="24"/>
        </w:rPr>
        <w:t xml:space="preserve">apliecināja starptautisko finanšu tirgus dalībnieku, it īpaši investoru, augsto novērtējumu par paveikto Latvijas ekonomikā un uzticību valsts kredītspējai, kas nodrošina stabilu pamatu un pārliecību par </w:t>
      </w:r>
      <w:r w:rsidR="00BE4866">
        <w:rPr>
          <w:color w:val="000000"/>
          <w:szCs w:val="24"/>
        </w:rPr>
        <w:t>Aizdevuma p</w:t>
      </w:r>
      <w:r w:rsidR="006F72DA" w:rsidRPr="00BE4866">
        <w:rPr>
          <w:color w:val="000000"/>
          <w:szCs w:val="24"/>
        </w:rPr>
        <w:t>rogrammas sekmīgu pā</w:t>
      </w:r>
      <w:r w:rsidR="00CF0FBB" w:rsidRPr="00BE4866">
        <w:rPr>
          <w:color w:val="000000"/>
          <w:szCs w:val="24"/>
        </w:rPr>
        <w:t>rfinansēšanu turpmākajos gados.</w:t>
      </w:r>
    </w:p>
    <w:p w14:paraId="60DB326B" w14:textId="0002AD0D" w:rsidR="004B53F8" w:rsidRPr="00C52379" w:rsidRDefault="004B53F8" w:rsidP="00C52379">
      <w:pPr>
        <w:rPr>
          <w:color w:val="000000"/>
          <w:szCs w:val="24"/>
        </w:rPr>
      </w:pPr>
      <w:r w:rsidRPr="00B86F46">
        <w:rPr>
          <w:color w:val="000000"/>
          <w:szCs w:val="24"/>
        </w:rPr>
        <w:t>Kon</w:t>
      </w:r>
      <w:r w:rsidR="00F82FC8" w:rsidRPr="00B86F46">
        <w:rPr>
          <w:color w:val="000000"/>
          <w:szCs w:val="24"/>
        </w:rPr>
        <w:t xml:space="preserve">verģences programma </w:t>
      </w:r>
      <w:r w:rsidRPr="00B86F46">
        <w:rPr>
          <w:color w:val="000000"/>
          <w:szCs w:val="24"/>
        </w:rPr>
        <w:t xml:space="preserve">kā </w:t>
      </w:r>
      <w:r w:rsidRPr="00702D7B">
        <w:rPr>
          <w:color w:val="000000"/>
          <w:szCs w:val="24"/>
        </w:rPr>
        <w:t>politikas dokuments</w:t>
      </w:r>
      <w:r w:rsidRPr="00B86F46">
        <w:rPr>
          <w:color w:val="000000"/>
          <w:szCs w:val="24"/>
        </w:rPr>
        <w:t xml:space="preserve"> ir apstiprināta </w:t>
      </w:r>
      <w:r w:rsidR="00D17A16">
        <w:rPr>
          <w:color w:val="000000"/>
          <w:szCs w:val="24"/>
        </w:rPr>
        <w:t xml:space="preserve">MK, </w:t>
      </w:r>
      <w:r w:rsidRPr="00B86F46">
        <w:rPr>
          <w:color w:val="000000"/>
          <w:szCs w:val="24"/>
        </w:rPr>
        <w:t xml:space="preserve">prezentēta un </w:t>
      </w:r>
      <w:r w:rsidR="00726490">
        <w:rPr>
          <w:color w:val="000000"/>
          <w:szCs w:val="24"/>
        </w:rPr>
        <w:t>apstiprināta</w:t>
      </w:r>
      <w:r w:rsidRPr="000705E3">
        <w:rPr>
          <w:color w:val="000000"/>
          <w:szCs w:val="24"/>
        </w:rPr>
        <w:t xml:space="preserve"> atbilstošajās Saeimas komisijās. </w:t>
      </w:r>
      <w:r w:rsidR="00E3034D" w:rsidRPr="000705E3">
        <w:rPr>
          <w:color w:val="000000"/>
          <w:szCs w:val="24"/>
        </w:rPr>
        <w:t>Konverģences</w:t>
      </w:r>
      <w:r w:rsidR="00E3034D" w:rsidRPr="00B86F46">
        <w:rPr>
          <w:color w:val="000000"/>
          <w:szCs w:val="24"/>
        </w:rPr>
        <w:t xml:space="preserve"> p</w:t>
      </w:r>
      <w:r w:rsidRPr="00B86F46">
        <w:rPr>
          <w:color w:val="000000"/>
          <w:szCs w:val="24"/>
        </w:rPr>
        <w:t>rogramma un par to Latvijai sniegtie ES Padomes ieteikumi būs pa</w:t>
      </w:r>
      <w:r w:rsidR="00851BFF">
        <w:rPr>
          <w:color w:val="000000"/>
          <w:szCs w:val="24"/>
        </w:rPr>
        <w:t>mats turpmākajam darbam pie 2014</w:t>
      </w:r>
      <w:r w:rsidR="00E56F6C" w:rsidRPr="00B86F46">
        <w:rPr>
          <w:color w:val="000000"/>
          <w:szCs w:val="24"/>
        </w:rPr>
        <w:t>. </w:t>
      </w:r>
      <w:r w:rsidRPr="00B86F46">
        <w:rPr>
          <w:color w:val="000000"/>
          <w:szCs w:val="24"/>
        </w:rPr>
        <w:t>gada valsts budžeta sagatavošanas.</w:t>
      </w:r>
    </w:p>
    <w:p w14:paraId="542A1A45" w14:textId="77777777" w:rsidR="000F6956" w:rsidRPr="009C61B1" w:rsidRDefault="000F6956" w:rsidP="002D62B9">
      <w:pPr>
        <w:pStyle w:val="PIRMAIS"/>
      </w:pPr>
      <w:bookmarkStart w:id="7" w:name="_Toc354671209"/>
      <w:r w:rsidRPr="009C61B1">
        <w:lastRenderedPageBreak/>
        <w:t>2.</w:t>
      </w:r>
      <w:r w:rsidRPr="009C61B1">
        <w:tab/>
        <w:t>Ekonomiskā situācija</w:t>
      </w:r>
      <w:bookmarkEnd w:id="6"/>
      <w:bookmarkEnd w:id="7"/>
    </w:p>
    <w:p w14:paraId="6E3EBC61" w14:textId="77777777" w:rsidR="007043C5" w:rsidRDefault="007043C5" w:rsidP="007043C5">
      <w:pPr>
        <w:pStyle w:val="H2"/>
        <w:rPr>
          <w:rFonts w:ascii="Times New Roman" w:hAnsi="Times New Roman"/>
          <w:szCs w:val="32"/>
        </w:rPr>
      </w:pPr>
      <w:bookmarkStart w:id="8" w:name="_Toc354671210"/>
      <w:bookmarkStart w:id="9" w:name="_Toc284924042"/>
      <w:r w:rsidRPr="009856BE">
        <w:rPr>
          <w:rFonts w:ascii="Times New Roman" w:hAnsi="Times New Roman"/>
          <w:szCs w:val="32"/>
        </w:rPr>
        <w:t xml:space="preserve">2.1. </w:t>
      </w:r>
      <w:r>
        <w:rPr>
          <w:rFonts w:ascii="Times New Roman" w:hAnsi="Times New Roman"/>
          <w:szCs w:val="32"/>
        </w:rPr>
        <w:t>Ārējā ekonomiskā vide</w:t>
      </w:r>
      <w:bookmarkEnd w:id="8"/>
    </w:p>
    <w:p w14:paraId="77CDC3FB" w14:textId="77777777" w:rsidR="007043C5" w:rsidRDefault="007043C5" w:rsidP="007043C5">
      <w:r w:rsidRPr="00257126">
        <w:t xml:space="preserve">Globālās ekonomikas izaugsme 2012. gadā </w:t>
      </w:r>
      <w:r>
        <w:t xml:space="preserve">kļuva </w:t>
      </w:r>
      <w:r w:rsidRPr="00257126">
        <w:t>lē</w:t>
      </w:r>
      <w:r>
        <w:t>n</w:t>
      </w:r>
      <w:r w:rsidRPr="00257126">
        <w:t>ā</w:t>
      </w:r>
      <w:r>
        <w:t>ka</w:t>
      </w:r>
      <w:r w:rsidRPr="00257126">
        <w:t xml:space="preserve">, īpaši izteiksmīgi </w:t>
      </w:r>
      <w:r>
        <w:t>to raksturo</w:t>
      </w:r>
      <w:r w:rsidRPr="00257126">
        <w:t xml:space="preserve"> </w:t>
      </w:r>
      <w:r>
        <w:t xml:space="preserve">starptautiskās </w:t>
      </w:r>
      <w:r w:rsidRPr="00257126">
        <w:t>tirdzniecības apjomu rādītāj</w:t>
      </w:r>
      <w:r>
        <w:t>a dinamika</w:t>
      </w:r>
      <w:r w:rsidRPr="00257126">
        <w:t>, kas liecina par vāju tirgus aktivitāti. Iemesls šim aktivitātes kritumam ir m</w:t>
      </w:r>
      <w:r>
        <w:t>eklējams pieprasījuma pusē, kur attīstīto valstu patēriņu manāmi ietekmē visaptverošie parādu sloga mazināšanas procesi gan valdības, gan arī privātajā sektorā, kas, savukārt, rada nelabvēlīgus apstākļus valstīm, kuru izaugsme ir balstīta uz eksportu. Izaugsmes un parādu ilgtspējas sabalansēšana ir aktuāls jautājums visās lielākajās attīstītajās ekonomikās, akūtākās problēmas tiek risinātas ar diezgan intensīviem taupības pasākumiem, kas pērn radīja salīdzinoši spēcīgu aktivitātes kritumu. Lai arī ir manāmi pirmie uzlabojumi un izaugsme turpmākajos gados attīstītajās ekonomikās pieņemsies spēkā, tomēr, visdrīzāk, šī izaugsme būs pieticīgāka, nekā pirmskrīzes periodā.</w:t>
      </w:r>
    </w:p>
    <w:p w14:paraId="2BE46002" w14:textId="77777777" w:rsidR="007043C5" w:rsidRDefault="007043C5" w:rsidP="007043C5"/>
    <w:p w14:paraId="7343EEE3" w14:textId="77777777" w:rsidR="007043C5" w:rsidRPr="00921454" w:rsidRDefault="007043C5" w:rsidP="007043C5">
      <w:pPr>
        <w:jc w:val="right"/>
      </w:pPr>
      <w:r>
        <w:t xml:space="preserve">2.1. tabula </w:t>
      </w:r>
      <w:r w:rsidRPr="00921454">
        <w:t>Galvenie makroekonomiskie rādītāji, gada pieaugumi, %</w:t>
      </w:r>
      <w:r w:rsidRPr="00921454">
        <w:rPr>
          <w:rStyle w:val="FootnoteReference"/>
        </w:rPr>
        <w:footnoteReference w:id="2"/>
      </w:r>
    </w:p>
    <w:p w14:paraId="10306338" w14:textId="3CB477DD" w:rsidR="007043C5" w:rsidRDefault="00DB66E5" w:rsidP="007043C5">
      <w:pPr>
        <w:jc w:val="center"/>
      </w:pPr>
      <w:r>
        <w:rPr>
          <w:noProof/>
          <w:lang w:eastAsia="lv-LV"/>
        </w:rPr>
        <w:drawing>
          <wp:inline distT="0" distB="0" distL="0" distR="0" wp14:anchorId="7E403631" wp14:editId="63CCA3CA">
            <wp:extent cx="4962525" cy="134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2525" cy="1343025"/>
                    </a:xfrm>
                    <a:prstGeom prst="rect">
                      <a:avLst/>
                    </a:prstGeom>
                    <a:noFill/>
                    <a:ln>
                      <a:noFill/>
                    </a:ln>
                  </pic:spPr>
                </pic:pic>
              </a:graphicData>
            </a:graphic>
          </wp:inline>
        </w:drawing>
      </w:r>
    </w:p>
    <w:p w14:paraId="2B5B0C6C" w14:textId="77777777" w:rsidR="007043C5" w:rsidRDefault="007043C5" w:rsidP="007043C5">
      <w:pPr>
        <w:jc w:val="center"/>
      </w:pPr>
    </w:p>
    <w:p w14:paraId="5EF86419" w14:textId="77777777" w:rsidR="007043C5" w:rsidRDefault="007043C5" w:rsidP="007043C5">
      <w:r>
        <w:t>Attiecībā uz Eiropu - riski</w:t>
      </w:r>
      <w:r w:rsidRPr="00257126">
        <w:t xml:space="preserve"> ir mazinājušies, no dienas kārtības ir izzudis jautājums par </w:t>
      </w:r>
      <w:proofErr w:type="spellStart"/>
      <w:r w:rsidRPr="00257126">
        <w:t>eirozonas</w:t>
      </w:r>
      <w:proofErr w:type="spellEnd"/>
      <w:r w:rsidRPr="00257126">
        <w:t xml:space="preserve"> sašķelšanos un fokuss ir novirzījies uz valstu individuālajām </w:t>
      </w:r>
      <w:proofErr w:type="spellStart"/>
      <w:r w:rsidRPr="00257126">
        <w:t>nesabalansētībām</w:t>
      </w:r>
      <w:proofErr w:type="spellEnd"/>
      <w:r w:rsidRPr="00257126">
        <w:t xml:space="preserve">. Liela uzmanība tiek pievērsta parādu ilgtspējai un nepieciešamajām reformām, lai sasniegtu stabilu parāda līmeni vai </w:t>
      </w:r>
      <w:r>
        <w:t xml:space="preserve">tā </w:t>
      </w:r>
      <w:r w:rsidRPr="00257126">
        <w:t xml:space="preserve">pakāpenisku samazinājumu. Uzkrātie parādi mazākā vai lielākā mērā skar visus tautsaimniecības dalībniekus un korekcijas parādu līmeņos neizbēgami noved pie īstermiņa ekonomikas aktivitātes krituma, kas arī izskaidro salīdzinoši vājo </w:t>
      </w:r>
      <w:proofErr w:type="spellStart"/>
      <w:r w:rsidRPr="00257126">
        <w:t>eirozonas</w:t>
      </w:r>
      <w:proofErr w:type="spellEnd"/>
      <w:r w:rsidRPr="00257126">
        <w:t xml:space="preserve"> ekonomikas sniegumu 2012. </w:t>
      </w:r>
      <w:r w:rsidRPr="0010112E">
        <w:t xml:space="preserve">gadā un </w:t>
      </w:r>
      <w:r>
        <w:t>atbilstoši vadošo prognozēšanas institūciju viedoklim</w:t>
      </w:r>
      <w:r w:rsidRPr="00257126">
        <w:t xml:space="preserve">, šis process turpināsies </w:t>
      </w:r>
      <w:r>
        <w:t>arī 2013. gada pirmajā pusē</w:t>
      </w:r>
      <w:r w:rsidRPr="00257126">
        <w:t>. Nenoteiktība par ekonomikas stāvokli nākotnē negatīvi ietekmē arī mājsaimniecību patēriņu un uzņēmumu lēmumus par darbības paplašināšanos, kas ir būtisks bremzējošs faktors attīstībā</w:t>
      </w:r>
      <w:r>
        <w:t xml:space="preserve">. Investīciju projektu atlikšana var radīt situāciju, kad ražojošā sektora attīstību ierobežos sasniegtie jaudu noslodzes limiti. Tas ir </w:t>
      </w:r>
      <w:r w:rsidRPr="00257126">
        <w:t xml:space="preserve">īpaši </w:t>
      </w:r>
      <w:r>
        <w:t xml:space="preserve">svarīgi </w:t>
      </w:r>
      <w:r w:rsidRPr="00257126">
        <w:t xml:space="preserve">tām valstīm, kas savas izaugsmes perspektīvas saista ar tekošā konta sabalansēšanu caur spēcīgu eksportu, </w:t>
      </w:r>
      <w:r>
        <w:t>un šī problēma ir aktuāla</w:t>
      </w:r>
      <w:r w:rsidRPr="00257126">
        <w:t xml:space="preserve"> arī Latvijai. Pozitīvi gan tas, ka bilanču sakārtošana jau notiek un šobrīd ir redzami pirmie rezultāti – atgūstas ES konfidences rādītāji un uzlabojas finanšu tirgus uzticība. </w:t>
      </w:r>
      <w:r>
        <w:t>Gaidāms, ka r</w:t>
      </w:r>
      <w:r w:rsidRPr="00257126">
        <w:t xml:space="preserve">eālās ekonomikas </w:t>
      </w:r>
      <w:r w:rsidRPr="00257126">
        <w:lastRenderedPageBreak/>
        <w:t xml:space="preserve">rādītājos tas gan atspoguļosies tikai 2014. gadā.  </w:t>
      </w:r>
      <w:r w:rsidRPr="0010112E">
        <w:t>Otrs nozīmīgs aspekts, kas šobrīd rada nozīmīgu risku attiecībā uz ES izaugsmes perspektīvām</w:t>
      </w:r>
      <w:r>
        <w:t>,</w:t>
      </w:r>
      <w:r w:rsidRPr="0010112E">
        <w:t xml:space="preserve"> ir nodarbinātība – atsevišķās valstīs, kur ir notikušas īpaši straujas ekonomikas korekcijas, bezdarbs ir pieaudzis līdz ļoti augstiem līmeņiem</w:t>
      </w:r>
      <w:r w:rsidRPr="00257126">
        <w:t xml:space="preserve">, </w:t>
      </w:r>
      <w:r>
        <w:t>bet</w:t>
      </w:r>
      <w:r w:rsidRPr="00257126">
        <w:t xml:space="preserve"> augstam bezdarba līmenim</w:t>
      </w:r>
      <w:r>
        <w:t xml:space="preserve"> ieilgstot</w:t>
      </w:r>
      <w:r w:rsidRPr="00257126">
        <w:t xml:space="preserve">, tam ir tendence kļūt par strukturālu </w:t>
      </w:r>
      <w:r w:rsidRPr="0010112E">
        <w:t>bezdarbu,</w:t>
      </w:r>
      <w:r w:rsidRPr="00257126">
        <w:t xml:space="preserve"> kas, savukārt, var būtiski </w:t>
      </w:r>
      <w:r>
        <w:t>ietekmēt</w:t>
      </w:r>
      <w:r w:rsidRPr="00257126">
        <w:t xml:space="preserve"> izaugsmes perspektīvas arī ilgtermiņā. </w:t>
      </w:r>
      <w:r>
        <w:t xml:space="preserve">Arī šī jautājuma risināšana Eiropas Savienībā ir aktuāla un turpmākā </w:t>
      </w:r>
      <w:proofErr w:type="spellStart"/>
      <w:r>
        <w:t>eirozonas</w:t>
      </w:r>
      <w:proofErr w:type="spellEnd"/>
      <w:r>
        <w:t xml:space="preserve"> attīstība ir lielā mērā atkarīga no tā, cik veiksmīgi tiks ieviestas reformas, kas ir mērķētas uz darba tirgus stāvokļa uzlabošanu.</w:t>
      </w:r>
    </w:p>
    <w:p w14:paraId="7A24FD41" w14:textId="77777777" w:rsidR="007043C5" w:rsidRDefault="007043C5" w:rsidP="007043C5">
      <w:r w:rsidRPr="00412207">
        <w:rPr>
          <w:noProof/>
          <w:lang w:eastAsia="lv-LV"/>
        </w:rPr>
        <w:drawing>
          <wp:inline distT="0" distB="0" distL="0" distR="0" wp14:anchorId="760F6D69" wp14:editId="48E546E3">
            <wp:extent cx="5274310" cy="30554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055490"/>
                    </a:xfrm>
                    <a:prstGeom prst="rect">
                      <a:avLst/>
                    </a:prstGeom>
                    <a:noFill/>
                    <a:ln>
                      <a:noFill/>
                    </a:ln>
                  </pic:spPr>
                </pic:pic>
              </a:graphicData>
            </a:graphic>
          </wp:inline>
        </w:drawing>
      </w:r>
    </w:p>
    <w:p w14:paraId="78148F36" w14:textId="77777777" w:rsidR="007043C5" w:rsidRPr="00921454" w:rsidRDefault="007043C5" w:rsidP="007043C5">
      <w:pPr>
        <w:jc w:val="center"/>
        <w:rPr>
          <w:szCs w:val="24"/>
        </w:rPr>
      </w:pPr>
      <w:r>
        <w:rPr>
          <w:szCs w:val="24"/>
        </w:rPr>
        <w:t xml:space="preserve">2.1.att. </w:t>
      </w:r>
      <w:r w:rsidRPr="00921454">
        <w:rPr>
          <w:szCs w:val="24"/>
        </w:rPr>
        <w:t>IKP pieaugums pret iepriekšējā gada atbilstošo ceturksni; prognozētie gada pieaugumi, %</w:t>
      </w:r>
      <w:r w:rsidRPr="00921454">
        <w:rPr>
          <w:szCs w:val="24"/>
          <w:vertAlign w:val="superscript"/>
        </w:rPr>
        <w:footnoteReference w:id="3"/>
      </w:r>
    </w:p>
    <w:p w14:paraId="47C6FA56" w14:textId="77777777" w:rsidR="007043C5" w:rsidRPr="00257126" w:rsidRDefault="007043C5" w:rsidP="007043C5">
      <w:r>
        <w:t xml:space="preserve">Latvijas galveno tirdzniecības partneru izaugsme 2012. gadā bija būtiski spēcīgāka, nekā vidēji Eiropas Savienībā, ar ko arī ir izskaidrojama Latvijas ekonomikas noturība pret ārējās vides pasliktināšanos. Šī tendence turpināsies arī turpmākajos gados, partnervalstu izaugsmes prognozes ir noturīgi labas, vidējā termiņā Latvijas ekonomikas izaugsmes tempi tuvināsies partnervalstu izaugsmei. Kopumā labvēlīgā ārējās tirdzniecības vide ļaus nostiprināt Latvijas pozīciju kā vienai no visātrāk augošajām ekonomikām Eiropas Savienībā. </w:t>
      </w:r>
    </w:p>
    <w:p w14:paraId="377E887D" w14:textId="77777777" w:rsidR="007043C5" w:rsidRPr="009856BE" w:rsidRDefault="007043C5" w:rsidP="007043C5">
      <w:pPr>
        <w:pStyle w:val="H2"/>
        <w:rPr>
          <w:rFonts w:ascii="Times New Roman" w:hAnsi="Times New Roman"/>
          <w:szCs w:val="32"/>
        </w:rPr>
      </w:pPr>
      <w:bookmarkStart w:id="10" w:name="_Toc354671211"/>
      <w:r w:rsidRPr="009856BE">
        <w:rPr>
          <w:rFonts w:ascii="Times New Roman" w:hAnsi="Times New Roman"/>
          <w:szCs w:val="32"/>
        </w:rPr>
        <w:t>2.</w:t>
      </w:r>
      <w:r>
        <w:rPr>
          <w:rFonts w:ascii="Times New Roman" w:hAnsi="Times New Roman"/>
          <w:szCs w:val="32"/>
        </w:rPr>
        <w:t>2</w:t>
      </w:r>
      <w:r w:rsidRPr="009856BE">
        <w:rPr>
          <w:rFonts w:ascii="Times New Roman" w:hAnsi="Times New Roman"/>
          <w:szCs w:val="32"/>
        </w:rPr>
        <w:t>. Pašreizējā ekonomiskā attīstība</w:t>
      </w:r>
      <w:bookmarkEnd w:id="10"/>
    </w:p>
    <w:p w14:paraId="0C46F5AF" w14:textId="77777777" w:rsidR="00092BBA" w:rsidRDefault="007043C5" w:rsidP="00092BBA">
      <w:pPr>
        <w:rPr>
          <w:spacing w:val="-4"/>
          <w:lang w:eastAsia="lv-LV"/>
        </w:rPr>
      </w:pPr>
      <w:r>
        <w:rPr>
          <w:spacing w:val="-4"/>
          <w:lang w:eastAsia="lv-LV"/>
        </w:rPr>
        <w:t xml:space="preserve">Pēc 2008.-2009.gada ekonomiskās krīzes pārvarēšanas Latvijas ekonomikā jau kopš 2010.gada vidus turpinās izaugsme, kas 2011.gadā sasniedza 5,5% un 2012.gadā palielinājās līdz 5,6%, uzrādot straujāko kāpumu starp visām Eiropas Savienības valstīm. Ekonomiskās izaugsmes atjaunošanās pēc pārdzīvotās krīzes bija saistīta gan ar tobrīd labvēlīgo situāciju ārējos tirgos, </w:t>
      </w:r>
      <w:r>
        <w:rPr>
          <w:spacing w:val="-4"/>
          <w:lang w:eastAsia="lv-LV"/>
        </w:rPr>
        <w:lastRenderedPageBreak/>
        <w:t xml:space="preserve">pasaules ekonomikai atgūstoties no finanšu krīzes, gan Latvijā veiktajiem </w:t>
      </w:r>
      <w:r w:rsidRPr="005869E7">
        <w:t>ekonomikas stabilizācijas un iekšējās devalvācijas pasākum</w:t>
      </w:r>
      <w:r>
        <w:t>iem, kuru rezultātā lielāku īpatsvaru ekonomikā ieguva ražojošās un eksportējošās nozares.</w:t>
      </w:r>
      <w:r>
        <w:rPr>
          <w:spacing w:val="-4"/>
          <w:lang w:eastAsia="lv-LV"/>
        </w:rPr>
        <w:t xml:space="preserve"> </w:t>
      </w:r>
      <w:r>
        <w:t>Ja iepriekšējos gados</w:t>
      </w:r>
      <w:r>
        <w:rPr>
          <w:spacing w:val="-4"/>
          <w:lang w:eastAsia="lv-LV"/>
        </w:rPr>
        <w:t xml:space="preserve"> situācija ārējos tirgos bija Latvijas ekonomikai labvēlīga un veicināja pieprasījuma pieaugumu pēc Latvijas precēm, 2012.gadā spēcīgais ekonomikas pieaugums tika sasniegts, neskatoties uz lejupslīdi </w:t>
      </w:r>
      <w:proofErr w:type="spellStart"/>
      <w:r>
        <w:rPr>
          <w:spacing w:val="-4"/>
          <w:lang w:eastAsia="lv-LV"/>
        </w:rPr>
        <w:t>eirozonā</w:t>
      </w:r>
      <w:proofErr w:type="spellEnd"/>
      <w:r>
        <w:rPr>
          <w:spacing w:val="-4"/>
          <w:lang w:eastAsia="lv-LV"/>
        </w:rPr>
        <w:t xml:space="preserve">, kas ir lielākais Latvijas eksporta tirgus. Augsti ekonomiskās izaugsmes </w:t>
      </w:r>
      <w:r w:rsidRPr="005532BE">
        <w:rPr>
          <w:spacing w:val="-4"/>
          <w:lang w:eastAsia="lv-LV"/>
        </w:rPr>
        <w:t xml:space="preserve">tempi saglabājās līdz pat 2012.gada beigām un ceturtajā ceturksnī, salīdzinot ar iepriekšējā gada attiecīgo </w:t>
      </w:r>
      <w:r w:rsidRPr="00686176">
        <w:rPr>
          <w:spacing w:val="-4"/>
          <w:lang w:eastAsia="lv-LV"/>
        </w:rPr>
        <w:t>ceturksni, Latvijas IKP palielinājās par 5,1%.</w:t>
      </w:r>
    </w:p>
    <w:p w14:paraId="194BFEFD" w14:textId="77777777" w:rsidR="007043C5" w:rsidRDefault="007043C5" w:rsidP="007043C5">
      <w:pPr>
        <w:ind w:right="42"/>
      </w:pPr>
      <w:r w:rsidRPr="00D07E4A">
        <w:t>ES fondu ietekmes izvērtējums</w:t>
      </w:r>
      <w:r w:rsidRPr="00D07E4A">
        <w:rPr>
          <w:rStyle w:val="FootnoteReference"/>
        </w:rPr>
        <w:footnoteReference w:id="4"/>
      </w:r>
      <w:r w:rsidRPr="00D07E4A">
        <w:t xml:space="preserve"> parāda, ka, kopš 2004.gada </w:t>
      </w:r>
      <w:r w:rsidR="00092BBA">
        <w:t xml:space="preserve">līdz </w:t>
      </w:r>
      <w:r w:rsidR="00092BBA" w:rsidRPr="00D07E4A">
        <w:t>2012.gad</w:t>
      </w:r>
      <w:r w:rsidR="00092BBA">
        <w:t>am</w:t>
      </w:r>
      <w:r w:rsidR="00092BBA" w:rsidRPr="00D07E4A">
        <w:t xml:space="preserve"> </w:t>
      </w:r>
      <w:r w:rsidRPr="00D07E4A">
        <w:t>ES fondu investīciju īpatsvaram IKP palielinoties aptuveni par 1,9 procentpunktiem, arī ES fondu līdzekļi ir ievērojami veicinājuši valsts ekonomikas izaugsmi. Kohēzijas politikas finansējums 2007.–2013.gada plānošanas periodam ir visapjomīgākās publiskās investīcijas un pievienojušas savus procentu punktus ekonomiskās izaugsmes rādītājiem. Analīzes dati liecina, ka bez ES fondu ieguldījumiem IKP pieaugums 2012.gadā būtu par aptuveni 4,5 procentpunktiem zemāks (skat. 2.</w:t>
      </w:r>
      <w:r>
        <w:t>2</w:t>
      </w:r>
      <w:r w:rsidRPr="00D07E4A">
        <w:t>. attēlu).</w:t>
      </w:r>
    </w:p>
    <w:p w14:paraId="1381DD2B" w14:textId="77777777" w:rsidR="007043C5" w:rsidRPr="00D07E4A" w:rsidRDefault="007043C5" w:rsidP="007043C5">
      <w:pPr>
        <w:ind w:right="42"/>
        <w:rPr>
          <w:szCs w:val="24"/>
          <w:lang w:eastAsia="lv-LV"/>
        </w:rPr>
      </w:pPr>
    </w:p>
    <w:p w14:paraId="780E895E" w14:textId="77777777" w:rsidR="007043C5" w:rsidRPr="00D07E4A" w:rsidRDefault="007043C5" w:rsidP="007043C5">
      <w:pPr>
        <w:pStyle w:val="NormalWeb"/>
        <w:spacing w:before="0" w:beforeAutospacing="0" w:after="0" w:afterAutospacing="0"/>
        <w:jc w:val="center"/>
        <w:rPr>
          <w:highlight w:val="yellow"/>
        </w:rPr>
      </w:pPr>
      <w:r w:rsidRPr="00D07E4A">
        <w:rPr>
          <w:noProof/>
          <w:highlight w:val="yellow"/>
        </w:rPr>
        <w:drawing>
          <wp:inline distT="0" distB="0" distL="0" distR="0" wp14:anchorId="1EDD421E" wp14:editId="293E2F99">
            <wp:extent cx="5802818" cy="301208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0218" cy="3010732"/>
                    </a:xfrm>
                    <a:prstGeom prst="rect">
                      <a:avLst/>
                    </a:prstGeom>
                    <a:noFill/>
                  </pic:spPr>
                </pic:pic>
              </a:graphicData>
            </a:graphic>
          </wp:inline>
        </w:drawing>
      </w:r>
    </w:p>
    <w:p w14:paraId="60B8D7AD" w14:textId="77777777" w:rsidR="007043C5" w:rsidRPr="00D07E4A" w:rsidRDefault="007043C5" w:rsidP="007043C5">
      <w:pPr>
        <w:jc w:val="center"/>
        <w:rPr>
          <w:szCs w:val="24"/>
        </w:rPr>
      </w:pPr>
      <w:r w:rsidRPr="00D07E4A">
        <w:rPr>
          <w:szCs w:val="24"/>
        </w:rPr>
        <w:t>2.</w:t>
      </w:r>
      <w:r>
        <w:rPr>
          <w:szCs w:val="24"/>
        </w:rPr>
        <w:t>2</w:t>
      </w:r>
      <w:r w:rsidRPr="00D07E4A">
        <w:rPr>
          <w:szCs w:val="24"/>
        </w:rPr>
        <w:t xml:space="preserve">.att. </w:t>
      </w:r>
      <w:r w:rsidRPr="00D07E4A">
        <w:rPr>
          <w:rFonts w:eastAsia="EUAlbertina-Bold-Identity-H"/>
          <w:szCs w:val="24"/>
        </w:rPr>
        <w:t>ES fondu ietekme uz investīcijām un reālā IKP izmaiņu tempu</w:t>
      </w:r>
    </w:p>
    <w:p w14:paraId="2E3703DB" w14:textId="77777777" w:rsidR="001D4221" w:rsidRDefault="007043C5" w:rsidP="001D4221">
      <w:pPr>
        <w:ind w:firstLine="720"/>
        <w:rPr>
          <w:szCs w:val="24"/>
        </w:rPr>
      </w:pPr>
      <w:r w:rsidRPr="006E60D5">
        <w:rPr>
          <w:spacing w:val="-4"/>
          <w:lang w:eastAsia="lv-LV"/>
        </w:rPr>
        <w:t xml:space="preserve">Atšķirībā no iepriekšējiem gadiem, kad </w:t>
      </w:r>
      <w:r>
        <w:rPr>
          <w:spacing w:val="-4"/>
          <w:lang w:eastAsia="lv-LV"/>
        </w:rPr>
        <w:t>noteicošais</w:t>
      </w:r>
      <w:r w:rsidRPr="006E60D5">
        <w:rPr>
          <w:spacing w:val="-4"/>
          <w:lang w:eastAsia="lv-LV"/>
        </w:rPr>
        <w:t xml:space="preserve"> ekonomiskās izaugsmes dzinējspēks bija </w:t>
      </w:r>
      <w:r>
        <w:rPr>
          <w:spacing w:val="-4"/>
          <w:lang w:eastAsia="lv-LV"/>
        </w:rPr>
        <w:t>eksports</w:t>
      </w:r>
      <w:r w:rsidRPr="006E60D5">
        <w:rPr>
          <w:spacing w:val="-4"/>
          <w:lang w:eastAsia="lv-LV"/>
        </w:rPr>
        <w:t>, 2012.gadā spēcīgo ekonomikas izaugsmi nodrošināja gan ārējais, gan iekšējais pieprasījums.</w:t>
      </w:r>
      <w:r>
        <w:rPr>
          <w:szCs w:val="24"/>
        </w:rPr>
        <w:t xml:space="preserve"> L</w:t>
      </w:r>
      <w:r w:rsidRPr="00686176">
        <w:rPr>
          <w:szCs w:val="24"/>
        </w:rPr>
        <w:t>ielāko ieguldījumu izaugsmē deva tirdzniecība</w:t>
      </w:r>
      <w:r>
        <w:rPr>
          <w:szCs w:val="24"/>
        </w:rPr>
        <w:t>s</w:t>
      </w:r>
      <w:r w:rsidRPr="00686176">
        <w:rPr>
          <w:szCs w:val="24"/>
        </w:rPr>
        <w:t>, apstrādes rūpniecība</w:t>
      </w:r>
      <w:r>
        <w:rPr>
          <w:szCs w:val="24"/>
        </w:rPr>
        <w:t>s</w:t>
      </w:r>
      <w:r w:rsidRPr="00686176">
        <w:rPr>
          <w:szCs w:val="24"/>
        </w:rPr>
        <w:t>, būvniecības un transporta nozares, kas kopā veidoja vairāk nekā divas trešdaļas no IKP pieauguma.</w:t>
      </w:r>
      <w:r>
        <w:rPr>
          <w:szCs w:val="24"/>
        </w:rPr>
        <w:t xml:space="preserve"> </w:t>
      </w:r>
      <w:r w:rsidRPr="00686176">
        <w:rPr>
          <w:szCs w:val="24"/>
        </w:rPr>
        <w:t>2012.gadā ražošanas apjomi palielinājās praktiski visās apstrādes rūpniecības nozarēs, īpaši metālapstrādē, elektronisko ierīču, mašīnu un iekārtu ražošanā</w:t>
      </w:r>
      <w:r>
        <w:rPr>
          <w:szCs w:val="24"/>
        </w:rPr>
        <w:t xml:space="preserve">, ķīmisko produktu ražošanā, un apstrādes rūpniecība kopumā sasniedza 9,3% pieaugumu. Citas </w:t>
      </w:r>
      <w:r>
        <w:rPr>
          <w:szCs w:val="24"/>
        </w:rPr>
        <w:lastRenderedPageBreak/>
        <w:t xml:space="preserve">straujāk augošās nozares bija </w:t>
      </w:r>
      <w:r w:rsidRPr="00686176">
        <w:rPr>
          <w:szCs w:val="24"/>
        </w:rPr>
        <w:t>būvniecība</w:t>
      </w:r>
      <w:r>
        <w:rPr>
          <w:szCs w:val="24"/>
        </w:rPr>
        <w:t>, kas</w:t>
      </w:r>
      <w:r w:rsidRPr="00686176">
        <w:rPr>
          <w:szCs w:val="24"/>
        </w:rPr>
        <w:t xml:space="preserve"> </w:t>
      </w:r>
      <w:r>
        <w:rPr>
          <w:szCs w:val="24"/>
        </w:rPr>
        <w:t>palielinājās</w:t>
      </w:r>
      <w:r w:rsidRPr="00686176">
        <w:rPr>
          <w:szCs w:val="24"/>
        </w:rPr>
        <w:t xml:space="preserve"> par 14,6%, tirdzniecība </w:t>
      </w:r>
      <w:r>
        <w:rPr>
          <w:szCs w:val="24"/>
        </w:rPr>
        <w:t xml:space="preserve">- 7,0%, </w:t>
      </w:r>
      <w:r w:rsidRPr="00686176">
        <w:rPr>
          <w:szCs w:val="24"/>
        </w:rPr>
        <w:t>informācijas un komunikāciju pakalpojumi – 8,9%, izmitināšanā un ēdināšanā – 10,8%</w:t>
      </w:r>
      <w:r>
        <w:rPr>
          <w:szCs w:val="24"/>
        </w:rPr>
        <w:t>.</w:t>
      </w:r>
    </w:p>
    <w:p w14:paraId="0F9BB3A4" w14:textId="77777777" w:rsidR="007043C5" w:rsidRPr="00D07E4A" w:rsidRDefault="007043C5" w:rsidP="001D4221">
      <w:pPr>
        <w:ind w:firstLine="720"/>
        <w:rPr>
          <w:szCs w:val="24"/>
        </w:rPr>
      </w:pPr>
      <w:r w:rsidRPr="00686176">
        <w:rPr>
          <w:szCs w:val="24"/>
        </w:rPr>
        <w:t>Kopējos izaugsmes tempus mazināja sabiedriskā sektora nozares,</w:t>
      </w:r>
      <w:r>
        <w:rPr>
          <w:szCs w:val="24"/>
        </w:rPr>
        <w:t xml:space="preserve"> kuru attīstību ierobežoja budžeta deficīta mazināšanas pasākumi</w:t>
      </w:r>
      <w:r w:rsidRPr="00D07E4A">
        <w:rPr>
          <w:szCs w:val="24"/>
        </w:rPr>
        <w:t>.</w:t>
      </w:r>
      <w:r>
        <w:rPr>
          <w:szCs w:val="24"/>
        </w:rPr>
        <w:t xml:space="preserve"> </w:t>
      </w:r>
      <w:r w:rsidRPr="00D07E4A">
        <w:t xml:space="preserve">Arī ES fondu līdzekļu ietekme uz </w:t>
      </w:r>
      <w:r>
        <w:t xml:space="preserve">sabiedriskā </w:t>
      </w:r>
      <w:r w:rsidRPr="00D07E4A">
        <w:t xml:space="preserve">sektora pievienotās vērtības izaugsmi 2012.gadā bijusi mērena – aptuveni 0,8 procentpunkti, kas skaidrojama ar sektora ietvaros realizēto projektu specifiku – lielākie ES fondu ieguldījumi atskaites periodā tika veikti izglītības iestāžu infrastruktūras un aprīkojuma modernizācijai un uzlabošanai, atbilstošas materiālās bāzes nodrošināšanai, veselības aprūpes centru un ģimenes ārstu tīkla attīstībai, neatliekamās medicīniskās palīdzības un stacionārās veselības aprūpes attīstībai, kā arī ES fondu administrācijas iestāžu darbības nodrošināšanai. Īstenotie projekti ietekmējuši darbaspēka pieprasījumu, taču galvenais investīciju efekts sagaidāms ilgtermiņā, palielinoties produktivitātei visās tautsaimniecības nozarēs. </w:t>
      </w:r>
      <w:r>
        <w:t>Savukārt</w:t>
      </w:r>
      <w:r w:rsidRPr="00D07E4A">
        <w:t xml:space="preserve"> vislielākā ES fondu pozitīvā ietekme uz pievienotās vērtības pieauguma tempu ir vērojama būvniecībā, palielinot sektora izaugsmes tempu par aptuveni 6,5 procentpunktiem, kas ir par 0,7 procentpunktiem vairāk nekā 2011.gadā. Ievērojamā ES fondu ietekme uz būvniecību ir skaidrojama ar būvniecības nozarē realizētiem projektiem pēdējo gadu laikā, kurus pamatā ir nodrošinājuši ES fondu finansētie </w:t>
      </w:r>
      <w:proofErr w:type="spellStart"/>
      <w:r w:rsidRPr="00D07E4A">
        <w:t>inženierbūvniecības</w:t>
      </w:r>
      <w:proofErr w:type="spellEnd"/>
      <w:r w:rsidRPr="00D07E4A">
        <w:t xml:space="preserve"> un sabiedriskā sektora ēku būvniecības un renovācijas darbu pasūtījumi. </w:t>
      </w:r>
      <w:r w:rsidRPr="00921454">
        <w:t>ES fondu investīcijas būtiski atbalstījušas arī privāto pakalpojumu sektora attīstību – ES fondu līdzekļu ieplūde 2012.gadā veicinājusi privātā sektora (t.sk. tirdzniecība un transports) pievienotās vērtības pieaugumu par aptuveni 5,3 procentpunktiem.</w:t>
      </w:r>
    </w:p>
    <w:p w14:paraId="63474E34" w14:textId="77777777" w:rsidR="007043C5" w:rsidRPr="006202E5" w:rsidRDefault="007043C5" w:rsidP="001D4221">
      <w:pPr>
        <w:autoSpaceDE w:val="0"/>
        <w:autoSpaceDN w:val="0"/>
        <w:adjustRightInd w:val="0"/>
        <w:ind w:firstLine="720"/>
        <w:rPr>
          <w:szCs w:val="24"/>
        </w:rPr>
      </w:pPr>
      <w:r w:rsidRPr="00AB6858">
        <w:rPr>
          <w:szCs w:val="24"/>
        </w:rPr>
        <w:t xml:space="preserve">No </w:t>
      </w:r>
      <w:r>
        <w:rPr>
          <w:szCs w:val="24"/>
        </w:rPr>
        <w:t xml:space="preserve">IKP </w:t>
      </w:r>
      <w:r w:rsidRPr="00AB6858">
        <w:rPr>
          <w:szCs w:val="24"/>
        </w:rPr>
        <w:t>izlietojuma puses lielākais pieaugums bija vērojams investīcijās, kas 2012.gadā palielinājās par 12,3%, īpaši strauji palielinoties ieguldījumiem enerģētikā, metālizstrādājumu ražošanā, pārtikas rūpniecībā, transportā un uzglabāšanā</w:t>
      </w:r>
      <w:r>
        <w:rPr>
          <w:szCs w:val="24"/>
        </w:rPr>
        <w:t>. Pēc vairāku gadu pārtraukuma pozitīvu devumu IKP pieaugumā atkal deva neto eksports, preču un pakalpojumu eksportam augot vairāk nekā importam. P</w:t>
      </w:r>
      <w:r w:rsidRPr="00AB6858">
        <w:rPr>
          <w:szCs w:val="24"/>
        </w:rPr>
        <w:t>ozitīvu devumu izaugsmē 2012. gadā deva arī privātais patēr</w:t>
      </w:r>
      <w:r>
        <w:rPr>
          <w:szCs w:val="24"/>
        </w:rPr>
        <w:t>iņš, kas palielinājās par 5,4%, s</w:t>
      </w:r>
      <w:r w:rsidRPr="00AB6858">
        <w:rPr>
          <w:szCs w:val="24"/>
        </w:rPr>
        <w:t>avukārt sabiedriskais patēriņš</w:t>
      </w:r>
      <w:r>
        <w:rPr>
          <w:szCs w:val="24"/>
        </w:rPr>
        <w:t xml:space="preserve"> līdz ar budžeta izdevumu ierobežošanu</w:t>
      </w:r>
      <w:r w:rsidRPr="00AB6858">
        <w:rPr>
          <w:szCs w:val="24"/>
        </w:rPr>
        <w:t xml:space="preserve"> 2012.gadā </w:t>
      </w:r>
      <w:r>
        <w:rPr>
          <w:szCs w:val="24"/>
        </w:rPr>
        <w:t>saruka</w:t>
      </w:r>
      <w:r w:rsidRPr="00AB6858">
        <w:rPr>
          <w:szCs w:val="24"/>
        </w:rPr>
        <w:t xml:space="preserve"> par 0,2%.</w:t>
      </w:r>
    </w:p>
    <w:p w14:paraId="41900080" w14:textId="77777777" w:rsidR="007043C5" w:rsidRPr="008E2809" w:rsidRDefault="007043C5" w:rsidP="001D4221">
      <w:pPr>
        <w:rPr>
          <w:color w:val="000000"/>
          <w:szCs w:val="24"/>
        </w:rPr>
      </w:pPr>
      <w:r>
        <w:rPr>
          <w:spacing w:val="-4"/>
          <w:lang w:eastAsia="lv-LV"/>
        </w:rPr>
        <w:t xml:space="preserve">Kā būtisks izaugsmes avots arī 2012.gadā saglabājās preču un pakalpojumu eksports. </w:t>
      </w:r>
      <w:r w:rsidRPr="00B41809">
        <w:rPr>
          <w:spacing w:val="-4"/>
          <w:lang w:eastAsia="lv-LV"/>
        </w:rPr>
        <w:t>Pateicoties vietējo ražotāju konkurētspējas pieaugumam un eksporta tirgu diversifikācijai, Latvijas preču eksporta vērtība 2012.gadā palielinājās par 15</w:t>
      </w:r>
      <w:r>
        <w:rPr>
          <w:spacing w:val="-4"/>
          <w:lang w:eastAsia="lv-LV"/>
        </w:rPr>
        <w:t>,4</w:t>
      </w:r>
      <w:r w:rsidRPr="00B41809">
        <w:rPr>
          <w:spacing w:val="-4"/>
          <w:lang w:eastAsia="lv-LV"/>
        </w:rPr>
        <w:t>%, kas, ņemot vērā sarežģīto situāciju ārējā vidē, vērtējams kā ļoti atzīstams sniegums.</w:t>
      </w:r>
      <w:r w:rsidRPr="00B41809">
        <w:rPr>
          <w:lang w:eastAsia="lv-LV"/>
        </w:rPr>
        <w:t xml:space="preserve"> </w:t>
      </w:r>
      <w:r w:rsidRPr="00C848BF">
        <w:rPr>
          <w:spacing w:val="-4"/>
          <w:lang w:eastAsia="lv-LV"/>
        </w:rPr>
        <w:t>Lielāko devumu kopējā eksporta pieaugumā nodrošināja lauksaimniecības un pārtikas produktu eksports, kas salīdzinājumā ar 2011.gadu palielinājās par 43,</w:t>
      </w:r>
      <w:r>
        <w:rPr>
          <w:spacing w:val="-4"/>
          <w:lang w:eastAsia="lv-LV"/>
        </w:rPr>
        <w:t>3</w:t>
      </w:r>
      <w:r w:rsidRPr="00C848BF">
        <w:rPr>
          <w:spacing w:val="-4"/>
          <w:lang w:eastAsia="lv-LV"/>
        </w:rPr>
        <w:t>%, kamēr metāla un tā izstrādājumu eksports auga par 11,4%, bet koksnes un koksnes izstrādājumu eksports - par 3,</w:t>
      </w:r>
      <w:r>
        <w:rPr>
          <w:spacing w:val="-4"/>
          <w:lang w:eastAsia="lv-LV"/>
        </w:rPr>
        <w:t>1</w:t>
      </w:r>
      <w:r w:rsidRPr="00C848BF">
        <w:rPr>
          <w:spacing w:val="-4"/>
          <w:lang w:eastAsia="lv-LV"/>
        </w:rPr>
        <w:t>%.</w:t>
      </w:r>
      <w:r>
        <w:rPr>
          <w:spacing w:val="-4"/>
          <w:lang w:eastAsia="lv-LV"/>
        </w:rPr>
        <w:t xml:space="preserve"> </w:t>
      </w:r>
      <w:r w:rsidRPr="008E2809">
        <w:rPr>
          <w:szCs w:val="24"/>
        </w:rPr>
        <w:t>Pozitīva ietekme uz eksporta palielinājumu bijusi arī ES fondu aktivitātēm, 2012.gadā veicinot eksporta apjoma pieauguma tempu par aptuveni 0,7 procentpunktiem. Tomēr jāatzīmē, ka Kohēzijas politikas</w:t>
      </w:r>
      <w:r w:rsidRPr="008E2809">
        <w:rPr>
          <w:rFonts w:eastAsia="EUAlbertina-Bold-Identity-H"/>
          <w:szCs w:val="24"/>
        </w:rPr>
        <w:t xml:space="preserve"> finansējums sekmējis</w:t>
      </w:r>
      <w:r w:rsidR="00DA2735">
        <w:rPr>
          <w:rFonts w:eastAsia="EUAlbertina-Bold-Identity-H"/>
          <w:szCs w:val="24"/>
        </w:rPr>
        <w:t>,</w:t>
      </w:r>
      <w:r w:rsidRPr="008E2809">
        <w:rPr>
          <w:rFonts w:eastAsia="EUAlbertina-Bold-Identity-H"/>
          <w:szCs w:val="24"/>
        </w:rPr>
        <w:t xml:space="preserve"> galvenokārt</w:t>
      </w:r>
      <w:r w:rsidR="00DA2735">
        <w:rPr>
          <w:rFonts w:eastAsia="EUAlbertina-Bold-Identity-H"/>
          <w:szCs w:val="24"/>
        </w:rPr>
        <w:t>,</w:t>
      </w:r>
      <w:r w:rsidRPr="008E2809">
        <w:rPr>
          <w:rFonts w:eastAsia="EUAlbertina-Bold-Identity-H"/>
          <w:szCs w:val="24"/>
        </w:rPr>
        <w:t xml:space="preserve"> iekšējā tirgus attīstību un infrastruktūras uzlabošanos, tādēļ ES fondu investīciju ietekme uz eksportu bijusi mērena.</w:t>
      </w:r>
      <w:r w:rsidRPr="008E2809">
        <w:rPr>
          <w:szCs w:val="24"/>
        </w:rPr>
        <w:t xml:space="preserve"> Uzņēmumu eksportspēja Kohēzijas politikas ietvaros 2012.gadā tika veicināta ar tiešu </w:t>
      </w:r>
      <w:r w:rsidRPr="008E2809">
        <w:rPr>
          <w:color w:val="000000"/>
          <w:szCs w:val="24"/>
        </w:rPr>
        <w:t>atbalstu starptautiskam mārketingam un netieši – ar aktivitātēm, kuru mērķis ir celt uzņēmumu produkcijas kvalitāti un pievienoto vērtību.</w:t>
      </w:r>
    </w:p>
    <w:p w14:paraId="4C6FFFA6" w14:textId="77777777" w:rsidR="007043C5" w:rsidRPr="00140F9D" w:rsidRDefault="007043C5" w:rsidP="001D4221">
      <w:pPr>
        <w:pStyle w:val="ListParagraph"/>
        <w:spacing w:after="120" w:line="240" w:lineRule="auto"/>
        <w:ind w:left="0" w:right="84" w:firstLine="680"/>
        <w:jc w:val="both"/>
        <w:rPr>
          <w:rFonts w:ascii="Times New Roman" w:hAnsi="Times New Roman"/>
          <w:sz w:val="24"/>
          <w:szCs w:val="24"/>
          <w:lang w:eastAsia="lv-LV"/>
        </w:rPr>
      </w:pPr>
      <w:r w:rsidRPr="008E2809">
        <w:rPr>
          <w:rFonts w:ascii="Times New Roman" w:hAnsi="Times New Roman"/>
          <w:sz w:val="24"/>
          <w:szCs w:val="24"/>
        </w:rPr>
        <w:t>ES fondu apguve pozitīvi ietekmēja</w:t>
      </w:r>
      <w:r w:rsidRPr="00AF5CCD">
        <w:rPr>
          <w:rFonts w:ascii="Times New Roman" w:hAnsi="Times New Roman"/>
          <w:sz w:val="24"/>
          <w:lang w:val="lv-LV"/>
        </w:rPr>
        <w:t xml:space="preserve"> arī </w:t>
      </w:r>
      <w:r w:rsidRPr="008E2809">
        <w:rPr>
          <w:rFonts w:ascii="Times New Roman" w:hAnsi="Times New Roman"/>
          <w:sz w:val="24"/>
          <w:szCs w:val="24"/>
        </w:rPr>
        <w:t xml:space="preserve">algu pieaugumu. 2012.gadā ES fondu ieguldījums sekmējis vidējās nominālās darba samaksas pieauguma tempa palielinājumu par aptuveni 3,2 procentpunktiem, tādējādi radot privātā patēriņa pieauguma tempu veicinošu efektu aptuveni 4,3 procentpunktu apmērā. </w:t>
      </w:r>
      <w:r w:rsidRPr="0023582C">
        <w:rPr>
          <w:rFonts w:ascii="Times New Roman" w:hAnsi="Times New Roman"/>
          <w:sz w:val="24"/>
          <w:szCs w:val="24"/>
        </w:rPr>
        <w:t xml:space="preserve">Turklāt privātā patēriņa pieaugums un pieprasījums </w:t>
      </w:r>
      <w:r w:rsidRPr="0023582C">
        <w:rPr>
          <w:rFonts w:ascii="Times New Roman" w:hAnsi="Times New Roman"/>
          <w:sz w:val="24"/>
          <w:szCs w:val="24"/>
          <w:lang w:eastAsia="lv-LV"/>
        </w:rPr>
        <w:t>pēc ārvalstu investīciju precēm (izejvielas, būvmateriāli utt.) stimulējis importa pieaugumu par 2,3 procentpunktiem.</w:t>
      </w:r>
    </w:p>
    <w:p w14:paraId="7FAF5247" w14:textId="77777777" w:rsidR="007043C5" w:rsidRPr="006202E5" w:rsidRDefault="007043C5" w:rsidP="001D4221">
      <w:pPr>
        <w:ind w:firstLine="720"/>
        <w:rPr>
          <w:color w:val="FF0000"/>
          <w:szCs w:val="24"/>
        </w:rPr>
      </w:pPr>
      <w:r w:rsidRPr="004611DE">
        <w:rPr>
          <w:rFonts w:eastAsia="Calibri"/>
          <w:spacing w:val="-4"/>
        </w:rPr>
        <w:t>Līdz ar straujo ekonomikas izaugsmi turpin</w:t>
      </w:r>
      <w:r>
        <w:rPr>
          <w:rFonts w:eastAsia="Calibri"/>
          <w:spacing w:val="-4"/>
        </w:rPr>
        <w:t>a</w:t>
      </w:r>
      <w:r w:rsidRPr="004611DE">
        <w:rPr>
          <w:rFonts w:eastAsia="Calibri"/>
          <w:spacing w:val="-4"/>
        </w:rPr>
        <w:t xml:space="preserve"> uzlaboties arī situācija darba tirgū. Ekonomikā nodarbin</w:t>
      </w:r>
      <w:r>
        <w:rPr>
          <w:rFonts w:eastAsia="Calibri"/>
          <w:spacing w:val="-4"/>
        </w:rPr>
        <w:t>āto iedzīvotāju skaits 2012.gad</w:t>
      </w:r>
      <w:r w:rsidRPr="004611DE">
        <w:rPr>
          <w:rFonts w:eastAsia="Calibri"/>
          <w:spacing w:val="-4"/>
        </w:rPr>
        <w:t xml:space="preserve">ā bija pieaudzis līdz </w:t>
      </w:r>
      <w:r w:rsidRPr="004611DE">
        <w:rPr>
          <w:rFonts w:eastAsia="Calibri"/>
          <w:spacing w:val="-4"/>
          <w:szCs w:val="24"/>
        </w:rPr>
        <w:t xml:space="preserve">885,6 </w:t>
      </w:r>
      <w:r w:rsidRPr="004611DE">
        <w:rPr>
          <w:rFonts w:eastAsia="Calibri"/>
          <w:spacing w:val="-4"/>
        </w:rPr>
        <w:t xml:space="preserve">tūkstošiem un bija </w:t>
      </w:r>
      <w:r w:rsidR="00DA2735">
        <w:rPr>
          <w:rFonts w:eastAsia="Calibri"/>
          <w:spacing w:val="-4"/>
        </w:rPr>
        <w:lastRenderedPageBreak/>
        <w:t xml:space="preserve">par </w:t>
      </w:r>
      <w:r w:rsidRPr="004611DE">
        <w:rPr>
          <w:rFonts w:eastAsia="Calibri"/>
          <w:spacing w:val="-4"/>
        </w:rPr>
        <w:t xml:space="preserve">2,8% lielāks nekā pirms gada. </w:t>
      </w:r>
      <w:r>
        <w:rPr>
          <w:spacing w:val="-4"/>
        </w:rPr>
        <w:t xml:space="preserve">Savukārt darba meklētāju īpatsvars atbilstoši darbaspēka apsekojuma datiem gada laikā saruka par 1,3 procentpunktiem un veidoja 14,9% no ekonomiski aktīvajiem iedzīvotājiem. Gada laikā turpināja samazināties arī reģistrētā bezdarba līmenis, 2012.gada decembra beigās noslīdot līdz 10,5% no ekonomiski aktīvajiem iedzīvotājiem. </w:t>
      </w:r>
      <w:r w:rsidRPr="004611DE">
        <w:rPr>
          <w:spacing w:val="-4"/>
          <w:szCs w:val="24"/>
        </w:rPr>
        <w:t>Sagaidāms, ka vidējā termiņā būs vērojams mērens nodarbinātības pieaugums un izaugsme galvenokārt balstīsies uz produktivitātes pieaugumu, savukārt darba meklētāju īpatsvara samazināšanās tempu noteiks tautsaimniecības izau</w:t>
      </w:r>
      <w:r>
        <w:rPr>
          <w:spacing w:val="-4"/>
          <w:szCs w:val="24"/>
        </w:rPr>
        <w:t xml:space="preserve">gsme un strukturālās izmaiņas. </w:t>
      </w:r>
      <w:r w:rsidRPr="00900620">
        <w:rPr>
          <w:rFonts w:eastAsia="EUAlbertina-Bold-Identity-H"/>
          <w:szCs w:val="24"/>
          <w:lang w:eastAsia="lv-LV"/>
        </w:rPr>
        <w:t xml:space="preserve">Pozitīva ietekme uz </w:t>
      </w:r>
      <w:r w:rsidRPr="00900620">
        <w:rPr>
          <w:szCs w:val="24"/>
        </w:rPr>
        <w:t xml:space="preserve">nodarbinātības dinamiku bijusi arī ES fondu investīcijām – 2012.gadā </w:t>
      </w:r>
      <w:r w:rsidRPr="00900620">
        <w:rPr>
          <w:rFonts w:eastAsia="EUAlbertina-Bold-Identity-H"/>
          <w:szCs w:val="24"/>
          <w:lang w:eastAsia="lv-LV"/>
        </w:rPr>
        <w:t xml:space="preserve">ES fondu projektu ieviešana palielinājusi nodarbināto skaita pieauguma tempu vidēji par 1,4 procentpunktiem. Salīdzinot ar </w:t>
      </w:r>
      <w:r w:rsidRPr="00900620">
        <w:rPr>
          <w:rFonts w:eastAsia="EUAlbertina-Bold-Identity-H"/>
          <w:szCs w:val="24"/>
        </w:rPr>
        <w:t>iepriekšējo gadu</w:t>
      </w:r>
      <w:r w:rsidRPr="00900620">
        <w:rPr>
          <w:rFonts w:eastAsia="EUAlbertina-Bold-Identity-H"/>
          <w:szCs w:val="24"/>
          <w:lang w:eastAsia="lv-LV"/>
        </w:rPr>
        <w:t xml:space="preserve">, ES fondu pozitīvā ietekme uz nodarbināto skaita izmaiņām palielinājusies par 0,4 procentpunktiem. Kopumā </w:t>
      </w:r>
      <w:r w:rsidRPr="00900620">
        <w:rPr>
          <w:color w:val="000000"/>
          <w:szCs w:val="24"/>
        </w:rPr>
        <w:t xml:space="preserve">ES fondu ieviešanas ietvaros 2012.gadā ir radītas </w:t>
      </w:r>
      <w:r w:rsidRPr="00900620">
        <w:rPr>
          <w:color w:val="000000"/>
        </w:rPr>
        <w:t>2440</w:t>
      </w:r>
      <w:r w:rsidRPr="00900620">
        <w:rPr>
          <w:color w:val="000000"/>
          <w:szCs w:val="24"/>
        </w:rPr>
        <w:t xml:space="preserve">  ilgtermiņa un </w:t>
      </w:r>
      <w:r w:rsidRPr="00900620">
        <w:rPr>
          <w:color w:val="000000"/>
        </w:rPr>
        <w:t xml:space="preserve">12 381 </w:t>
      </w:r>
      <w:r w:rsidRPr="00900620">
        <w:rPr>
          <w:color w:val="000000"/>
          <w:szCs w:val="24"/>
        </w:rPr>
        <w:t xml:space="preserve"> īstermiņa darba vietas.</w:t>
      </w:r>
    </w:p>
    <w:p w14:paraId="03F458DF" w14:textId="50DD072D" w:rsidR="007043C5" w:rsidRDefault="007043C5" w:rsidP="007043C5">
      <w:pPr>
        <w:ind w:firstLine="720"/>
      </w:pPr>
      <w:r w:rsidRPr="00020411">
        <w:t xml:space="preserve">Lai gan ekonomikā saglabājās </w:t>
      </w:r>
      <w:r>
        <w:t>augsti</w:t>
      </w:r>
      <w:r w:rsidRPr="00020411">
        <w:t xml:space="preserve"> izaugsmes tempi, </w:t>
      </w:r>
      <w:r>
        <w:t>i</w:t>
      </w:r>
      <w:r w:rsidRPr="006202E5">
        <w:t xml:space="preserve">nflācijas dinamika 2012.gadā bija ar ievērojamu samazināšanās tendenci – </w:t>
      </w:r>
      <w:r>
        <w:t xml:space="preserve">gada inflācija samazinājās no 3,6 procentiem 2012.gada janvārī līdz </w:t>
      </w:r>
      <w:r w:rsidRPr="006202E5">
        <w:t>1,6</w:t>
      </w:r>
      <w:r>
        <w:t xml:space="preserve"> procentiem 2012.gada decembrī. Līdzīga dinamika bija arī gada vidējai inflācijai, kas gada laikā saruka no 4,4% līdz 2,3%, un</w:t>
      </w:r>
      <w:r w:rsidRPr="00020411">
        <w:t xml:space="preserve"> Latvija jau </w:t>
      </w:r>
      <w:r>
        <w:t xml:space="preserve">no </w:t>
      </w:r>
      <w:r w:rsidRPr="00020411">
        <w:t>2012.gada septembra izpilda Mā</w:t>
      </w:r>
      <w:r w:rsidR="00E54AB9">
        <w:t xml:space="preserve">strihtas inflācijas kritēriju </w:t>
      </w:r>
      <w:proofErr w:type="spellStart"/>
      <w:r w:rsidR="00E54AB9" w:rsidRPr="00E54AB9">
        <w:rPr>
          <w:i/>
        </w:rPr>
        <w:t>eu</w:t>
      </w:r>
      <w:r w:rsidRPr="00E54AB9">
        <w:rPr>
          <w:i/>
        </w:rPr>
        <w:t>ro</w:t>
      </w:r>
      <w:proofErr w:type="spellEnd"/>
      <w:r w:rsidRPr="00020411">
        <w:t xml:space="preserve"> ieviešanai.</w:t>
      </w:r>
      <w:r>
        <w:t xml:space="preserve"> </w:t>
      </w:r>
      <w:r w:rsidRPr="00020411">
        <w:t>Lielāko ietekmi uz patēriņa cenām 2012.gadā radīja importētā inflācija, kuru noteica energoresursu un neapstrādātās pārtikas cen</w:t>
      </w:r>
      <w:r>
        <w:t>u izmaiņas, kamēr pamatinflācija saglabājās konstanti zemā līmenī.</w:t>
      </w:r>
    </w:p>
    <w:p w14:paraId="500205DA" w14:textId="77777777" w:rsidR="007043C5" w:rsidRPr="009856BE" w:rsidRDefault="007043C5" w:rsidP="007043C5">
      <w:pPr>
        <w:pStyle w:val="H2"/>
        <w:rPr>
          <w:rFonts w:ascii="Times New Roman" w:hAnsi="Times New Roman"/>
          <w:szCs w:val="32"/>
        </w:rPr>
      </w:pPr>
      <w:bookmarkStart w:id="11" w:name="_Toc354671212"/>
      <w:r w:rsidRPr="009856BE">
        <w:rPr>
          <w:rFonts w:ascii="Times New Roman" w:hAnsi="Times New Roman"/>
          <w:szCs w:val="32"/>
        </w:rPr>
        <w:t>2.</w:t>
      </w:r>
      <w:r>
        <w:rPr>
          <w:rFonts w:ascii="Times New Roman" w:hAnsi="Times New Roman"/>
          <w:szCs w:val="32"/>
        </w:rPr>
        <w:t>3</w:t>
      </w:r>
      <w:r w:rsidRPr="009856BE">
        <w:rPr>
          <w:rFonts w:ascii="Times New Roman" w:hAnsi="Times New Roman"/>
          <w:szCs w:val="32"/>
        </w:rPr>
        <w:t>. Makroekonomiskās attīstības scenārijs</w:t>
      </w:r>
      <w:bookmarkEnd w:id="11"/>
    </w:p>
    <w:p w14:paraId="78A767CA" w14:textId="77777777" w:rsidR="00DA2735" w:rsidRDefault="007043C5" w:rsidP="001D4221">
      <w:r w:rsidRPr="00CD783F">
        <w:t>Vidēja termiņa makroekonomiskās attīstības</w:t>
      </w:r>
      <w:r>
        <w:t xml:space="preserve"> scenārijs izstrādāts 2013. gada februārī, balstoties uz IKP ātro novērtējumu par 2012. gadu. Scenārijs precizēts 2013. gada </w:t>
      </w:r>
      <w:r w:rsidR="00C73D54">
        <w:t>martā</w:t>
      </w:r>
      <w:r>
        <w:t>, pēc pilnu datu saņemšanas par 2012. gadu. Vidēja termiņa makroekonomiskās attīstības s</w:t>
      </w:r>
      <w:r w:rsidRPr="00CD783F">
        <w:t>cenārijs veidots uz konservatīviem pieņēmumiem par ārējās vides attīstību</w:t>
      </w:r>
      <w:r>
        <w:t xml:space="preserve"> un tajā izmantoti EK ziemas prognožu ārējās vides pieņēmumi</w:t>
      </w:r>
      <w:r w:rsidRPr="00CD783F">
        <w:t xml:space="preserve">. </w:t>
      </w:r>
    </w:p>
    <w:p w14:paraId="4945AA4A" w14:textId="77777777" w:rsidR="007043C5" w:rsidRDefault="007043C5" w:rsidP="001D4221">
      <w:r>
        <w:t xml:space="preserve">Pēdējā gada laikā Latvijas ekonomika ir uzrādījusi ievērojamu noturību pret ārējās vides pasliktināšanos, kas skaidrojams gan ar krīzes laikā īstenotajām reformām un budžeta samazinājumu, kas ļāvis atgūt investoru uzticību un stiprināt Latvijas konkurētspēju, gan iekšējā pieprasījuma pakāpeniska atlabšanu. </w:t>
      </w:r>
      <w:r w:rsidRPr="00CD783F">
        <w:t xml:space="preserve">Makroekonomiskās attīstības </w:t>
      </w:r>
      <w:r>
        <w:t xml:space="preserve">scenārija ietvaros tiek pieņemts, ka uzlabojumi konkurētspējā arī turpmākajos ceturkšņos ļaus izvairīties no </w:t>
      </w:r>
      <w:proofErr w:type="spellStart"/>
      <w:r>
        <w:t>eirozonas</w:t>
      </w:r>
      <w:proofErr w:type="spellEnd"/>
      <w:r>
        <w:t xml:space="preserve"> krīzes negatīvas ietekmes. Tajā pašā laikā sagaidāms, ka </w:t>
      </w:r>
      <w:r w:rsidRPr="00CD783F">
        <w:t xml:space="preserve">situācija </w:t>
      </w:r>
      <w:proofErr w:type="spellStart"/>
      <w:r w:rsidRPr="00CD783F">
        <w:t>eirozonā</w:t>
      </w:r>
      <w:proofErr w:type="spellEnd"/>
      <w:r w:rsidRPr="00CD783F">
        <w:t xml:space="preserve"> turpinās stabilizēties un ar </w:t>
      </w:r>
      <w:r>
        <w:t>2013.</w:t>
      </w:r>
      <w:r w:rsidRPr="00CD783F">
        <w:t xml:space="preserve"> </w:t>
      </w:r>
      <w:r w:rsidRPr="00564B94">
        <w:t xml:space="preserve">gada otro </w:t>
      </w:r>
      <w:r>
        <w:t>pusi</w:t>
      </w:r>
      <w:r w:rsidRPr="00CD783F">
        <w:t xml:space="preserve"> izaugsme </w:t>
      </w:r>
      <w:proofErr w:type="spellStart"/>
      <w:r w:rsidRPr="00CD783F">
        <w:t>eirozonā</w:t>
      </w:r>
      <w:proofErr w:type="spellEnd"/>
      <w:r w:rsidRPr="00CD783F">
        <w:t xml:space="preserve"> </w:t>
      </w:r>
      <w:r>
        <w:t xml:space="preserve">pakāpeniski atkal kļūs pozitīva. </w:t>
      </w:r>
      <w:proofErr w:type="spellStart"/>
      <w:r>
        <w:t>Eirozonai</w:t>
      </w:r>
      <w:proofErr w:type="spellEnd"/>
      <w:r>
        <w:t xml:space="preserve"> atgriežoties pie pozitīvas izaugsmes, sagaidāms ārējā pieprasījuma pieaugums pēc Latvijas eksporta precēm un pakalpojumiem, kas veicinās arī Latvijas ekonomikas straujāku attīstību. Saskaņā ar EK ziemas prognozēm vidēji svērtā Latvijas tirdzniecības partneru izaugsme būtiski pārsniegs ES-27 vidējo pieaugumu, kas sniegs papildus stimulu Latvijas ekonomikas izaugsmei. Vienlaicīgi ar ekonomiskās situācijas uzlabošanos </w:t>
      </w:r>
      <w:proofErr w:type="spellStart"/>
      <w:r>
        <w:t>eirozonā</w:t>
      </w:r>
      <w:proofErr w:type="spellEnd"/>
      <w:r>
        <w:t xml:space="preserve"> gaidāms arī pasaules izaugsmes tempu palielinājums. </w:t>
      </w:r>
    </w:p>
    <w:p w14:paraId="10A2C71B" w14:textId="77777777" w:rsidR="007043C5" w:rsidRDefault="007043C5" w:rsidP="001D4221">
      <w:r>
        <w:t xml:space="preserve">Saskaņā ar makroekonomiskās attīstības scenāriju Latvijas ekonomika arī vidējā termiņā saglabās savas pozīcijas un būs viena no straujāk augošajām ekonomikām ES. Ņemot vērā ieilgušo </w:t>
      </w:r>
      <w:proofErr w:type="spellStart"/>
      <w:r>
        <w:t>recesiju</w:t>
      </w:r>
      <w:proofErr w:type="spellEnd"/>
      <w:r>
        <w:t xml:space="preserve"> </w:t>
      </w:r>
      <w:proofErr w:type="spellStart"/>
      <w:r>
        <w:t>eirozonā</w:t>
      </w:r>
      <w:proofErr w:type="spellEnd"/>
      <w:r>
        <w:t xml:space="preserve"> un vienreizējās augstās lauksaimniecības ražas pozitīvās ietekmes izzušanu, īstermiņā sagaidāms IKP ceturkšņu pieauguma tempu samazinājums, bet ar 2013. gada </w:t>
      </w:r>
      <w:r w:rsidRPr="007A25F5">
        <w:t>otro pusi ceturkšņa</w:t>
      </w:r>
      <w:r>
        <w:t xml:space="preserve"> pieauguma tempi atgriezīsies aptuveni 1% līmenī. Lai gan ceturkšņu pieauguma tempos gaidāms neliels samazinājums gada pirmajā pusē, bāzes efekta ietekmē Latvijas ekonomikas izaugsme 2013. gadā būs 4%, </w:t>
      </w:r>
      <w:r w:rsidRPr="007501CE">
        <w:t>un vidējā termiņā Latvijas IKP pieaugums 4% apmērā būs līdzvērtīgs IKP potenciālajam pieaugumam</w:t>
      </w:r>
      <w:r>
        <w:t xml:space="preserve">. </w:t>
      </w:r>
    </w:p>
    <w:p w14:paraId="4FBD11B4" w14:textId="77777777" w:rsidR="005F00E5" w:rsidRDefault="005F00E5" w:rsidP="007043C5">
      <w:pPr>
        <w:jc w:val="right"/>
        <w:rPr>
          <w:color w:val="000000"/>
        </w:rPr>
      </w:pPr>
    </w:p>
    <w:p w14:paraId="235CF764" w14:textId="77777777" w:rsidR="005F00E5" w:rsidRDefault="005F00E5" w:rsidP="007043C5">
      <w:pPr>
        <w:jc w:val="right"/>
        <w:rPr>
          <w:color w:val="000000"/>
        </w:rPr>
      </w:pPr>
    </w:p>
    <w:p w14:paraId="408B785E" w14:textId="77777777" w:rsidR="007043C5" w:rsidRPr="00921454" w:rsidRDefault="007043C5" w:rsidP="007043C5">
      <w:pPr>
        <w:jc w:val="right"/>
      </w:pPr>
      <w:r w:rsidRPr="00921454">
        <w:rPr>
          <w:color w:val="000000"/>
        </w:rPr>
        <w:t>2.2. tabula Izaugsme un ar to saistītie faktori</w:t>
      </w:r>
    </w:p>
    <w:tbl>
      <w:tblPr>
        <w:tblW w:w="92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256"/>
        <w:gridCol w:w="1037"/>
        <w:gridCol w:w="1037"/>
        <w:gridCol w:w="741"/>
        <w:gridCol w:w="741"/>
        <w:gridCol w:w="741"/>
        <w:gridCol w:w="741"/>
        <w:gridCol w:w="971"/>
      </w:tblGrid>
      <w:tr w:rsidR="007043C5" w:rsidRPr="001946E0" w14:paraId="7E17FB54" w14:textId="77777777" w:rsidTr="00AA6960">
        <w:trPr>
          <w:tblHeader/>
          <w:jc w:val="center"/>
        </w:trPr>
        <w:tc>
          <w:tcPr>
            <w:tcW w:w="3256" w:type="dxa"/>
          </w:tcPr>
          <w:p w14:paraId="41957B1A" w14:textId="77777777" w:rsidR="007043C5" w:rsidRPr="001946E0" w:rsidRDefault="007043C5" w:rsidP="00DA2735">
            <w:pPr>
              <w:pStyle w:val="tabteksts"/>
              <w:keepNext/>
              <w:rPr>
                <w:color w:val="000000"/>
              </w:rPr>
            </w:pPr>
          </w:p>
        </w:tc>
        <w:tc>
          <w:tcPr>
            <w:tcW w:w="1037" w:type="dxa"/>
          </w:tcPr>
          <w:p w14:paraId="1EA05CD4" w14:textId="77777777" w:rsidR="007043C5" w:rsidRPr="001946E0" w:rsidRDefault="007043C5" w:rsidP="00DA2735">
            <w:pPr>
              <w:pStyle w:val="tabteksts"/>
              <w:rPr>
                <w:color w:val="000000"/>
              </w:rPr>
            </w:pPr>
            <w:r w:rsidRPr="001946E0">
              <w:rPr>
                <w:color w:val="000000"/>
              </w:rPr>
              <w:t>EKS</w:t>
            </w:r>
          </w:p>
          <w:p w14:paraId="0915F654" w14:textId="77777777" w:rsidR="007043C5" w:rsidRPr="001946E0" w:rsidRDefault="007043C5" w:rsidP="00DA2735">
            <w:pPr>
              <w:pStyle w:val="tabteksts"/>
              <w:rPr>
                <w:color w:val="000000"/>
              </w:rPr>
            </w:pPr>
            <w:r w:rsidRPr="001946E0">
              <w:rPr>
                <w:color w:val="000000"/>
              </w:rPr>
              <w:t>Kods</w:t>
            </w:r>
          </w:p>
        </w:tc>
        <w:tc>
          <w:tcPr>
            <w:tcW w:w="1037" w:type="dxa"/>
            <w:vAlign w:val="center"/>
          </w:tcPr>
          <w:p w14:paraId="2A97A8AB" w14:textId="77777777" w:rsidR="007043C5" w:rsidRPr="001946E0" w:rsidRDefault="007043C5" w:rsidP="00DA2735">
            <w:pPr>
              <w:pStyle w:val="tabteksts"/>
              <w:jc w:val="center"/>
              <w:rPr>
                <w:b/>
                <w:color w:val="000000"/>
              </w:rPr>
            </w:pPr>
            <w:r>
              <w:rPr>
                <w:b/>
                <w:color w:val="000000"/>
              </w:rPr>
              <w:t>2012</w:t>
            </w:r>
          </w:p>
        </w:tc>
        <w:tc>
          <w:tcPr>
            <w:tcW w:w="741" w:type="dxa"/>
            <w:vAlign w:val="center"/>
          </w:tcPr>
          <w:p w14:paraId="172E6BC9" w14:textId="77777777" w:rsidR="007043C5" w:rsidRPr="001946E0" w:rsidRDefault="007043C5" w:rsidP="00DA2735">
            <w:pPr>
              <w:pStyle w:val="tabteksts"/>
              <w:jc w:val="center"/>
              <w:rPr>
                <w:b/>
                <w:color w:val="000000"/>
              </w:rPr>
            </w:pPr>
            <w:r>
              <w:rPr>
                <w:b/>
                <w:color w:val="000000"/>
              </w:rPr>
              <w:t>2012</w:t>
            </w:r>
          </w:p>
        </w:tc>
        <w:tc>
          <w:tcPr>
            <w:tcW w:w="741" w:type="dxa"/>
            <w:vAlign w:val="center"/>
          </w:tcPr>
          <w:p w14:paraId="6AE9B251" w14:textId="77777777" w:rsidR="007043C5" w:rsidRPr="001946E0" w:rsidRDefault="007043C5" w:rsidP="00DA2735">
            <w:pPr>
              <w:pStyle w:val="tabteksts"/>
              <w:jc w:val="center"/>
              <w:rPr>
                <w:b/>
                <w:color w:val="000000"/>
              </w:rPr>
            </w:pPr>
            <w:r>
              <w:rPr>
                <w:b/>
                <w:color w:val="000000"/>
              </w:rPr>
              <w:t>2013</w:t>
            </w:r>
          </w:p>
        </w:tc>
        <w:tc>
          <w:tcPr>
            <w:tcW w:w="741" w:type="dxa"/>
            <w:vAlign w:val="center"/>
          </w:tcPr>
          <w:p w14:paraId="226AC563" w14:textId="77777777" w:rsidR="007043C5" w:rsidRPr="001946E0" w:rsidRDefault="007043C5" w:rsidP="00DA2735">
            <w:pPr>
              <w:pStyle w:val="tabteksts"/>
              <w:jc w:val="center"/>
              <w:rPr>
                <w:b/>
                <w:color w:val="000000"/>
              </w:rPr>
            </w:pPr>
            <w:r w:rsidRPr="001946E0">
              <w:rPr>
                <w:b/>
                <w:color w:val="000000"/>
              </w:rPr>
              <w:t>2014</w:t>
            </w:r>
          </w:p>
        </w:tc>
        <w:tc>
          <w:tcPr>
            <w:tcW w:w="741" w:type="dxa"/>
            <w:vAlign w:val="center"/>
          </w:tcPr>
          <w:p w14:paraId="75233975" w14:textId="77777777" w:rsidR="007043C5" w:rsidRPr="001946E0" w:rsidRDefault="007043C5" w:rsidP="00DA2735">
            <w:pPr>
              <w:pStyle w:val="tabteksts"/>
              <w:jc w:val="center"/>
              <w:rPr>
                <w:b/>
                <w:color w:val="000000"/>
              </w:rPr>
            </w:pPr>
            <w:r w:rsidRPr="001946E0">
              <w:rPr>
                <w:b/>
                <w:color w:val="000000"/>
              </w:rPr>
              <w:t>2015</w:t>
            </w:r>
          </w:p>
        </w:tc>
        <w:tc>
          <w:tcPr>
            <w:tcW w:w="971" w:type="dxa"/>
            <w:vAlign w:val="center"/>
          </w:tcPr>
          <w:p w14:paraId="63603D2E" w14:textId="77777777" w:rsidR="007043C5" w:rsidRPr="001946E0" w:rsidRDefault="007043C5" w:rsidP="00DA2735">
            <w:pPr>
              <w:pStyle w:val="tabteksts"/>
              <w:jc w:val="center"/>
              <w:rPr>
                <w:b/>
                <w:color w:val="000000"/>
              </w:rPr>
            </w:pPr>
            <w:r>
              <w:rPr>
                <w:b/>
                <w:color w:val="000000"/>
              </w:rPr>
              <w:t>2016</w:t>
            </w:r>
          </w:p>
        </w:tc>
      </w:tr>
      <w:tr w:rsidR="007043C5" w:rsidRPr="001946E0" w14:paraId="74B2E822" w14:textId="77777777" w:rsidTr="00AA6960">
        <w:trPr>
          <w:jc w:val="center"/>
        </w:trPr>
        <w:tc>
          <w:tcPr>
            <w:tcW w:w="3256" w:type="dxa"/>
          </w:tcPr>
          <w:p w14:paraId="7911BBC0" w14:textId="77777777" w:rsidR="007043C5" w:rsidRPr="001946E0" w:rsidRDefault="007043C5" w:rsidP="00DA2735">
            <w:pPr>
              <w:pStyle w:val="tabteksts"/>
              <w:rPr>
                <w:snapToGrid w:val="0"/>
                <w:color w:val="000000"/>
              </w:rPr>
            </w:pPr>
          </w:p>
        </w:tc>
        <w:tc>
          <w:tcPr>
            <w:tcW w:w="1037" w:type="dxa"/>
          </w:tcPr>
          <w:p w14:paraId="385CA6DE" w14:textId="77777777" w:rsidR="007043C5" w:rsidRPr="001946E0" w:rsidRDefault="007043C5" w:rsidP="00DA2735">
            <w:pPr>
              <w:pStyle w:val="tabteksts"/>
              <w:rPr>
                <w:color w:val="000000"/>
              </w:rPr>
            </w:pPr>
          </w:p>
        </w:tc>
        <w:tc>
          <w:tcPr>
            <w:tcW w:w="1037" w:type="dxa"/>
          </w:tcPr>
          <w:p w14:paraId="557A5EB3" w14:textId="77777777" w:rsidR="007043C5" w:rsidRPr="001946E0" w:rsidRDefault="007043C5" w:rsidP="00DA2735">
            <w:pPr>
              <w:pStyle w:val="tabteksts"/>
              <w:tabs>
                <w:tab w:val="decimal" w:pos="296"/>
              </w:tabs>
              <w:rPr>
                <w:noProof/>
                <w:color w:val="000000"/>
              </w:rPr>
            </w:pPr>
            <w:r w:rsidRPr="001946E0">
              <w:rPr>
                <w:noProof/>
                <w:color w:val="000000"/>
              </w:rPr>
              <w:t>milj. latu</w:t>
            </w:r>
          </w:p>
        </w:tc>
        <w:tc>
          <w:tcPr>
            <w:tcW w:w="3935" w:type="dxa"/>
            <w:gridSpan w:val="5"/>
          </w:tcPr>
          <w:p w14:paraId="528FE0E1" w14:textId="77777777" w:rsidR="007043C5" w:rsidRPr="001946E0" w:rsidRDefault="007043C5" w:rsidP="00DA2735">
            <w:pPr>
              <w:pStyle w:val="tabteksts"/>
              <w:tabs>
                <w:tab w:val="decimal" w:pos="296"/>
              </w:tabs>
              <w:jc w:val="center"/>
              <w:rPr>
                <w:color w:val="000000"/>
              </w:rPr>
            </w:pPr>
            <w:r w:rsidRPr="001946E0">
              <w:rPr>
                <w:color w:val="000000"/>
              </w:rPr>
              <w:t>Pieaugums %</w:t>
            </w:r>
          </w:p>
        </w:tc>
      </w:tr>
      <w:tr w:rsidR="007043C5" w:rsidRPr="001946E0" w14:paraId="4CC71626" w14:textId="77777777" w:rsidTr="00AA6960">
        <w:trPr>
          <w:jc w:val="center"/>
        </w:trPr>
        <w:tc>
          <w:tcPr>
            <w:tcW w:w="3256" w:type="dxa"/>
          </w:tcPr>
          <w:p w14:paraId="0E805CBC" w14:textId="77777777" w:rsidR="007043C5" w:rsidRPr="001946E0" w:rsidRDefault="007043C5" w:rsidP="00DA2735">
            <w:pPr>
              <w:pStyle w:val="tabteksts"/>
              <w:rPr>
                <w:snapToGrid w:val="0"/>
                <w:color w:val="000000"/>
              </w:rPr>
            </w:pPr>
            <w:r w:rsidRPr="001946E0">
              <w:rPr>
                <w:snapToGrid w:val="0"/>
                <w:color w:val="000000"/>
              </w:rPr>
              <w:t>1. IKP 2000. gada cenās</w:t>
            </w:r>
          </w:p>
        </w:tc>
        <w:tc>
          <w:tcPr>
            <w:tcW w:w="1037" w:type="dxa"/>
          </w:tcPr>
          <w:p w14:paraId="6D725FDA" w14:textId="77777777" w:rsidR="007043C5" w:rsidRPr="001946E0" w:rsidRDefault="007043C5" w:rsidP="00DA2735">
            <w:pPr>
              <w:pStyle w:val="tabteksts"/>
              <w:rPr>
                <w:color w:val="000000"/>
              </w:rPr>
            </w:pPr>
            <w:r w:rsidRPr="001946E0">
              <w:rPr>
                <w:color w:val="000000"/>
              </w:rPr>
              <w:t>B1*g</w:t>
            </w:r>
          </w:p>
        </w:tc>
        <w:tc>
          <w:tcPr>
            <w:tcW w:w="1037" w:type="dxa"/>
            <w:vAlign w:val="center"/>
          </w:tcPr>
          <w:p w14:paraId="57D419F1" w14:textId="77777777" w:rsidR="007043C5" w:rsidRPr="001946E0" w:rsidRDefault="007043C5" w:rsidP="00DA2735">
            <w:pPr>
              <w:ind w:hanging="31"/>
              <w:jc w:val="center"/>
              <w:rPr>
                <w:color w:val="000000"/>
                <w:sz w:val="20"/>
              </w:rPr>
            </w:pPr>
            <w:r w:rsidRPr="0012300B">
              <w:rPr>
                <w:color w:val="000000"/>
                <w:sz w:val="20"/>
              </w:rPr>
              <w:t>7488</w:t>
            </w:r>
          </w:p>
        </w:tc>
        <w:tc>
          <w:tcPr>
            <w:tcW w:w="741" w:type="dxa"/>
          </w:tcPr>
          <w:p w14:paraId="7EF4142E" w14:textId="77777777" w:rsidR="007043C5" w:rsidRPr="001946E0" w:rsidRDefault="007043C5" w:rsidP="00DA2735">
            <w:pPr>
              <w:ind w:hanging="31"/>
              <w:jc w:val="center"/>
              <w:rPr>
                <w:color w:val="000000"/>
                <w:sz w:val="20"/>
              </w:rPr>
            </w:pPr>
            <w:r>
              <w:rPr>
                <w:color w:val="000000"/>
                <w:sz w:val="20"/>
              </w:rPr>
              <w:t>5,6</w:t>
            </w:r>
          </w:p>
        </w:tc>
        <w:tc>
          <w:tcPr>
            <w:tcW w:w="741" w:type="dxa"/>
          </w:tcPr>
          <w:p w14:paraId="74B71C8C" w14:textId="77777777" w:rsidR="007043C5" w:rsidRPr="001946E0" w:rsidRDefault="007043C5" w:rsidP="00DA2735">
            <w:pPr>
              <w:ind w:hanging="31"/>
              <w:jc w:val="center"/>
              <w:rPr>
                <w:color w:val="000000"/>
                <w:sz w:val="20"/>
              </w:rPr>
            </w:pPr>
            <w:r>
              <w:rPr>
                <w:color w:val="000000"/>
                <w:sz w:val="20"/>
              </w:rPr>
              <w:t>4,0</w:t>
            </w:r>
          </w:p>
        </w:tc>
        <w:tc>
          <w:tcPr>
            <w:tcW w:w="741" w:type="dxa"/>
          </w:tcPr>
          <w:p w14:paraId="2FCF202B" w14:textId="77777777" w:rsidR="007043C5" w:rsidRPr="001946E0" w:rsidRDefault="007043C5" w:rsidP="00DA2735">
            <w:pPr>
              <w:ind w:hanging="31"/>
              <w:jc w:val="center"/>
              <w:rPr>
                <w:color w:val="000000"/>
                <w:sz w:val="20"/>
              </w:rPr>
            </w:pPr>
            <w:r>
              <w:rPr>
                <w:color w:val="000000"/>
                <w:sz w:val="20"/>
              </w:rPr>
              <w:t>4,0</w:t>
            </w:r>
          </w:p>
        </w:tc>
        <w:tc>
          <w:tcPr>
            <w:tcW w:w="741" w:type="dxa"/>
          </w:tcPr>
          <w:p w14:paraId="3811EE75" w14:textId="77777777" w:rsidR="007043C5" w:rsidRPr="001946E0" w:rsidRDefault="007043C5" w:rsidP="00DA2735">
            <w:pPr>
              <w:ind w:hanging="31"/>
              <w:jc w:val="center"/>
              <w:rPr>
                <w:color w:val="000000"/>
                <w:sz w:val="20"/>
              </w:rPr>
            </w:pPr>
            <w:r>
              <w:rPr>
                <w:color w:val="000000"/>
                <w:sz w:val="20"/>
              </w:rPr>
              <w:t>4,0</w:t>
            </w:r>
          </w:p>
        </w:tc>
        <w:tc>
          <w:tcPr>
            <w:tcW w:w="971" w:type="dxa"/>
          </w:tcPr>
          <w:p w14:paraId="22F5DA5E" w14:textId="77777777" w:rsidR="007043C5" w:rsidRPr="001946E0" w:rsidRDefault="007043C5" w:rsidP="00DA2735">
            <w:pPr>
              <w:ind w:hanging="31"/>
              <w:jc w:val="center"/>
              <w:rPr>
                <w:color w:val="000000"/>
                <w:sz w:val="20"/>
              </w:rPr>
            </w:pPr>
            <w:r>
              <w:rPr>
                <w:color w:val="000000"/>
                <w:sz w:val="20"/>
              </w:rPr>
              <w:t>4,0</w:t>
            </w:r>
          </w:p>
        </w:tc>
      </w:tr>
      <w:tr w:rsidR="007043C5" w:rsidRPr="001946E0" w14:paraId="0E7EF219" w14:textId="77777777" w:rsidTr="00AA6960">
        <w:trPr>
          <w:jc w:val="center"/>
        </w:trPr>
        <w:tc>
          <w:tcPr>
            <w:tcW w:w="3256" w:type="dxa"/>
          </w:tcPr>
          <w:p w14:paraId="0CA98D05" w14:textId="77777777" w:rsidR="007043C5" w:rsidRPr="001946E0" w:rsidRDefault="007043C5" w:rsidP="00DA2735">
            <w:pPr>
              <w:pStyle w:val="tabteksts"/>
              <w:rPr>
                <w:snapToGrid w:val="0"/>
                <w:color w:val="000000"/>
              </w:rPr>
            </w:pPr>
            <w:r w:rsidRPr="001946E0">
              <w:rPr>
                <w:snapToGrid w:val="0"/>
                <w:color w:val="000000"/>
              </w:rPr>
              <w:t>2. IKP faktiskajās cenās</w:t>
            </w:r>
          </w:p>
        </w:tc>
        <w:tc>
          <w:tcPr>
            <w:tcW w:w="1037" w:type="dxa"/>
          </w:tcPr>
          <w:p w14:paraId="5F93AACB" w14:textId="77777777" w:rsidR="007043C5" w:rsidRPr="001946E0" w:rsidRDefault="007043C5" w:rsidP="00DA2735">
            <w:pPr>
              <w:pStyle w:val="tabteksts"/>
              <w:rPr>
                <w:color w:val="000000"/>
              </w:rPr>
            </w:pPr>
            <w:r w:rsidRPr="001946E0">
              <w:rPr>
                <w:color w:val="000000"/>
              </w:rPr>
              <w:t>B1*g</w:t>
            </w:r>
          </w:p>
        </w:tc>
        <w:tc>
          <w:tcPr>
            <w:tcW w:w="1037" w:type="dxa"/>
            <w:vAlign w:val="center"/>
          </w:tcPr>
          <w:p w14:paraId="3F0C0D81" w14:textId="77777777" w:rsidR="007043C5" w:rsidRPr="001946E0" w:rsidRDefault="007043C5" w:rsidP="00DA2735">
            <w:pPr>
              <w:ind w:hanging="31"/>
              <w:jc w:val="center"/>
              <w:rPr>
                <w:color w:val="000000"/>
                <w:sz w:val="20"/>
              </w:rPr>
            </w:pPr>
            <w:r w:rsidRPr="0012300B">
              <w:rPr>
                <w:color w:val="000000"/>
                <w:sz w:val="20"/>
              </w:rPr>
              <w:t>15520</w:t>
            </w:r>
          </w:p>
        </w:tc>
        <w:tc>
          <w:tcPr>
            <w:tcW w:w="741" w:type="dxa"/>
          </w:tcPr>
          <w:p w14:paraId="4C6EECF2" w14:textId="77777777" w:rsidR="007043C5" w:rsidRPr="001946E0" w:rsidRDefault="007043C5" w:rsidP="00DA2735">
            <w:pPr>
              <w:ind w:hanging="31"/>
              <w:jc w:val="center"/>
              <w:rPr>
                <w:color w:val="000000"/>
                <w:sz w:val="20"/>
              </w:rPr>
            </w:pPr>
          </w:p>
        </w:tc>
        <w:tc>
          <w:tcPr>
            <w:tcW w:w="741" w:type="dxa"/>
            <w:vAlign w:val="bottom"/>
          </w:tcPr>
          <w:p w14:paraId="5684ED02" w14:textId="77777777" w:rsidR="007043C5" w:rsidRPr="005A66D8" w:rsidRDefault="007043C5" w:rsidP="00DA2735">
            <w:pPr>
              <w:ind w:hanging="31"/>
              <w:jc w:val="center"/>
              <w:rPr>
                <w:color w:val="000000"/>
                <w:sz w:val="20"/>
              </w:rPr>
            </w:pPr>
            <w:r w:rsidRPr="005A66D8">
              <w:rPr>
                <w:color w:val="000000"/>
                <w:sz w:val="20"/>
              </w:rPr>
              <w:t>5</w:t>
            </w:r>
            <w:r>
              <w:rPr>
                <w:color w:val="000000"/>
                <w:sz w:val="20"/>
              </w:rPr>
              <w:t>,</w:t>
            </w:r>
            <w:r w:rsidRPr="005A66D8">
              <w:rPr>
                <w:color w:val="000000"/>
                <w:sz w:val="20"/>
              </w:rPr>
              <w:t>6</w:t>
            </w:r>
          </w:p>
        </w:tc>
        <w:tc>
          <w:tcPr>
            <w:tcW w:w="741" w:type="dxa"/>
            <w:vAlign w:val="bottom"/>
          </w:tcPr>
          <w:p w14:paraId="4485518C" w14:textId="77777777" w:rsidR="007043C5" w:rsidRPr="005A66D8" w:rsidRDefault="007043C5" w:rsidP="00DA2735">
            <w:pPr>
              <w:ind w:hanging="31"/>
              <w:jc w:val="center"/>
              <w:rPr>
                <w:color w:val="000000"/>
                <w:sz w:val="20"/>
              </w:rPr>
            </w:pPr>
            <w:r w:rsidRPr="005A66D8">
              <w:rPr>
                <w:color w:val="000000"/>
                <w:sz w:val="20"/>
              </w:rPr>
              <w:t>6</w:t>
            </w:r>
            <w:r>
              <w:rPr>
                <w:color w:val="000000"/>
                <w:sz w:val="20"/>
              </w:rPr>
              <w:t>,</w:t>
            </w:r>
            <w:r w:rsidRPr="005A66D8">
              <w:rPr>
                <w:color w:val="000000"/>
                <w:sz w:val="20"/>
              </w:rPr>
              <w:t>4</w:t>
            </w:r>
          </w:p>
        </w:tc>
        <w:tc>
          <w:tcPr>
            <w:tcW w:w="741" w:type="dxa"/>
            <w:vAlign w:val="bottom"/>
          </w:tcPr>
          <w:p w14:paraId="4996504F" w14:textId="77777777" w:rsidR="007043C5" w:rsidRPr="005A66D8" w:rsidRDefault="007043C5" w:rsidP="00DA2735">
            <w:pPr>
              <w:ind w:hanging="31"/>
              <w:jc w:val="center"/>
              <w:rPr>
                <w:color w:val="000000"/>
                <w:sz w:val="20"/>
              </w:rPr>
            </w:pPr>
            <w:r w:rsidRPr="005A66D8">
              <w:rPr>
                <w:color w:val="000000"/>
                <w:sz w:val="20"/>
              </w:rPr>
              <w:t>6</w:t>
            </w:r>
            <w:r>
              <w:rPr>
                <w:color w:val="000000"/>
                <w:sz w:val="20"/>
              </w:rPr>
              <w:t>,</w:t>
            </w:r>
            <w:r w:rsidRPr="005A66D8">
              <w:rPr>
                <w:color w:val="000000"/>
                <w:sz w:val="20"/>
              </w:rPr>
              <w:t>3</w:t>
            </w:r>
          </w:p>
        </w:tc>
        <w:tc>
          <w:tcPr>
            <w:tcW w:w="971" w:type="dxa"/>
            <w:vAlign w:val="bottom"/>
          </w:tcPr>
          <w:p w14:paraId="2693C87C" w14:textId="77777777" w:rsidR="007043C5" w:rsidRPr="005A66D8" w:rsidRDefault="007043C5" w:rsidP="00DA2735">
            <w:pPr>
              <w:ind w:hanging="31"/>
              <w:jc w:val="center"/>
              <w:rPr>
                <w:color w:val="000000"/>
                <w:sz w:val="20"/>
              </w:rPr>
            </w:pPr>
            <w:r w:rsidRPr="005A66D8">
              <w:rPr>
                <w:color w:val="000000"/>
                <w:sz w:val="20"/>
              </w:rPr>
              <w:t>6</w:t>
            </w:r>
            <w:r>
              <w:rPr>
                <w:color w:val="000000"/>
                <w:sz w:val="20"/>
              </w:rPr>
              <w:t>,</w:t>
            </w:r>
            <w:r w:rsidRPr="005A66D8">
              <w:rPr>
                <w:color w:val="000000"/>
                <w:sz w:val="20"/>
              </w:rPr>
              <w:t>1</w:t>
            </w:r>
          </w:p>
        </w:tc>
      </w:tr>
      <w:tr w:rsidR="007043C5" w:rsidRPr="001946E0" w14:paraId="0CD303CB" w14:textId="77777777" w:rsidTr="00AA6960">
        <w:trPr>
          <w:jc w:val="center"/>
        </w:trPr>
        <w:tc>
          <w:tcPr>
            <w:tcW w:w="9265" w:type="dxa"/>
            <w:gridSpan w:val="8"/>
          </w:tcPr>
          <w:p w14:paraId="371A73A3" w14:textId="77777777" w:rsidR="007043C5" w:rsidRPr="001946E0" w:rsidRDefault="007043C5" w:rsidP="00DA2735">
            <w:pPr>
              <w:pStyle w:val="tabteksts"/>
              <w:tabs>
                <w:tab w:val="decimal" w:pos="296"/>
              </w:tabs>
              <w:jc w:val="center"/>
              <w:rPr>
                <w:color w:val="000000"/>
              </w:rPr>
            </w:pPr>
            <w:r w:rsidRPr="001946E0">
              <w:rPr>
                <w:b/>
                <w:color w:val="000000"/>
              </w:rPr>
              <w:t>IKP pēc izlietojuma 2000. gada cenās</w:t>
            </w:r>
          </w:p>
        </w:tc>
      </w:tr>
      <w:tr w:rsidR="007043C5" w:rsidRPr="001946E0" w14:paraId="23080E87" w14:textId="77777777" w:rsidTr="00AA6960">
        <w:trPr>
          <w:jc w:val="center"/>
        </w:trPr>
        <w:tc>
          <w:tcPr>
            <w:tcW w:w="3256" w:type="dxa"/>
          </w:tcPr>
          <w:p w14:paraId="1645327A" w14:textId="77777777" w:rsidR="007043C5" w:rsidRPr="001946E0" w:rsidRDefault="007043C5" w:rsidP="00DA2735">
            <w:pPr>
              <w:pStyle w:val="tabteksts"/>
              <w:rPr>
                <w:snapToGrid w:val="0"/>
                <w:color w:val="000000"/>
              </w:rPr>
            </w:pPr>
            <w:r w:rsidRPr="001946E0">
              <w:rPr>
                <w:snapToGrid w:val="0"/>
                <w:color w:val="000000"/>
              </w:rPr>
              <w:t>3. Privātais patēriņš</w:t>
            </w:r>
          </w:p>
        </w:tc>
        <w:tc>
          <w:tcPr>
            <w:tcW w:w="1037" w:type="dxa"/>
          </w:tcPr>
          <w:p w14:paraId="77AE40D8" w14:textId="77777777" w:rsidR="007043C5" w:rsidRPr="001946E0" w:rsidRDefault="007043C5" w:rsidP="00DA2735">
            <w:pPr>
              <w:pStyle w:val="tabteksts"/>
              <w:rPr>
                <w:color w:val="000000"/>
              </w:rPr>
            </w:pPr>
            <w:r w:rsidRPr="001946E0">
              <w:rPr>
                <w:color w:val="000000"/>
              </w:rPr>
              <w:t>P3</w:t>
            </w:r>
          </w:p>
        </w:tc>
        <w:tc>
          <w:tcPr>
            <w:tcW w:w="1037" w:type="dxa"/>
            <w:vAlign w:val="center"/>
          </w:tcPr>
          <w:p w14:paraId="72FA8618" w14:textId="77777777" w:rsidR="007043C5" w:rsidRPr="001946E0" w:rsidRDefault="007043C5" w:rsidP="00DA2735">
            <w:pPr>
              <w:ind w:hanging="31"/>
              <w:jc w:val="center"/>
              <w:rPr>
                <w:color w:val="000000"/>
                <w:sz w:val="20"/>
              </w:rPr>
            </w:pPr>
            <w:r w:rsidRPr="0012300B">
              <w:rPr>
                <w:color w:val="000000"/>
                <w:sz w:val="20"/>
              </w:rPr>
              <w:t>5153</w:t>
            </w:r>
            <w:r>
              <w:rPr>
                <w:color w:val="000000"/>
                <w:sz w:val="20"/>
              </w:rPr>
              <w:t>,</w:t>
            </w:r>
            <w:r w:rsidRPr="0012300B">
              <w:rPr>
                <w:color w:val="000000"/>
                <w:sz w:val="20"/>
              </w:rPr>
              <w:t>3</w:t>
            </w:r>
          </w:p>
        </w:tc>
        <w:tc>
          <w:tcPr>
            <w:tcW w:w="741" w:type="dxa"/>
            <w:vAlign w:val="center"/>
          </w:tcPr>
          <w:p w14:paraId="0FF728A7" w14:textId="77777777" w:rsidR="007043C5" w:rsidRPr="001946E0" w:rsidRDefault="007043C5" w:rsidP="00DA2735">
            <w:pPr>
              <w:ind w:hanging="31"/>
              <w:jc w:val="center"/>
              <w:rPr>
                <w:color w:val="000000"/>
                <w:sz w:val="20"/>
              </w:rPr>
            </w:pPr>
            <w:r>
              <w:rPr>
                <w:color w:val="000000"/>
                <w:sz w:val="20"/>
              </w:rPr>
              <w:t>5,4</w:t>
            </w:r>
          </w:p>
        </w:tc>
        <w:tc>
          <w:tcPr>
            <w:tcW w:w="741" w:type="dxa"/>
            <w:vAlign w:val="center"/>
          </w:tcPr>
          <w:p w14:paraId="17DF51BB" w14:textId="77777777" w:rsidR="007043C5" w:rsidRPr="00AA7A17" w:rsidRDefault="007043C5" w:rsidP="00DA2735">
            <w:pPr>
              <w:ind w:hanging="31"/>
              <w:jc w:val="center"/>
              <w:rPr>
                <w:color w:val="000000"/>
                <w:sz w:val="20"/>
              </w:rPr>
            </w:pPr>
            <w:r w:rsidRPr="00AA7A17">
              <w:rPr>
                <w:color w:val="000000"/>
                <w:sz w:val="20"/>
              </w:rPr>
              <w:t>4</w:t>
            </w:r>
            <w:r>
              <w:rPr>
                <w:color w:val="000000"/>
                <w:sz w:val="20"/>
              </w:rPr>
              <w:t>,</w:t>
            </w:r>
            <w:r w:rsidRPr="00AA7A17">
              <w:rPr>
                <w:color w:val="000000"/>
                <w:sz w:val="20"/>
              </w:rPr>
              <w:t>1</w:t>
            </w:r>
          </w:p>
        </w:tc>
        <w:tc>
          <w:tcPr>
            <w:tcW w:w="741" w:type="dxa"/>
            <w:vAlign w:val="center"/>
          </w:tcPr>
          <w:p w14:paraId="6D4F3C36" w14:textId="77777777" w:rsidR="007043C5" w:rsidRPr="00AA7A17" w:rsidRDefault="007043C5" w:rsidP="00DA2735">
            <w:pPr>
              <w:ind w:hanging="31"/>
              <w:jc w:val="center"/>
              <w:rPr>
                <w:color w:val="000000"/>
                <w:sz w:val="20"/>
              </w:rPr>
            </w:pPr>
            <w:r w:rsidRPr="00AA7A17">
              <w:rPr>
                <w:color w:val="000000"/>
                <w:sz w:val="20"/>
              </w:rPr>
              <w:t>4</w:t>
            </w:r>
            <w:r>
              <w:rPr>
                <w:color w:val="000000"/>
                <w:sz w:val="20"/>
              </w:rPr>
              <w:t>,</w:t>
            </w:r>
            <w:r w:rsidRPr="00AA7A17">
              <w:rPr>
                <w:color w:val="000000"/>
                <w:sz w:val="20"/>
              </w:rPr>
              <w:t>0</w:t>
            </w:r>
          </w:p>
        </w:tc>
        <w:tc>
          <w:tcPr>
            <w:tcW w:w="741" w:type="dxa"/>
            <w:vAlign w:val="center"/>
          </w:tcPr>
          <w:p w14:paraId="13C5D630" w14:textId="77777777" w:rsidR="007043C5" w:rsidRPr="00AA7A17" w:rsidRDefault="007043C5" w:rsidP="00DA2735">
            <w:pPr>
              <w:ind w:hanging="31"/>
              <w:jc w:val="center"/>
              <w:rPr>
                <w:color w:val="000000"/>
                <w:sz w:val="20"/>
              </w:rPr>
            </w:pPr>
            <w:r w:rsidRPr="00AA7A17">
              <w:rPr>
                <w:color w:val="000000"/>
                <w:sz w:val="20"/>
              </w:rPr>
              <w:t>4</w:t>
            </w:r>
            <w:r>
              <w:rPr>
                <w:color w:val="000000"/>
                <w:sz w:val="20"/>
              </w:rPr>
              <w:t>,</w:t>
            </w:r>
            <w:r w:rsidRPr="00AA7A17">
              <w:rPr>
                <w:color w:val="000000"/>
                <w:sz w:val="20"/>
              </w:rPr>
              <w:t>0</w:t>
            </w:r>
          </w:p>
        </w:tc>
        <w:tc>
          <w:tcPr>
            <w:tcW w:w="971" w:type="dxa"/>
            <w:vAlign w:val="center"/>
          </w:tcPr>
          <w:p w14:paraId="27B69893" w14:textId="77777777" w:rsidR="007043C5" w:rsidRPr="00AA7A17" w:rsidRDefault="007043C5" w:rsidP="00DA2735">
            <w:pPr>
              <w:ind w:hanging="31"/>
              <w:jc w:val="center"/>
              <w:rPr>
                <w:color w:val="000000"/>
                <w:sz w:val="20"/>
              </w:rPr>
            </w:pPr>
            <w:r w:rsidRPr="00AA7A17">
              <w:rPr>
                <w:color w:val="000000"/>
                <w:sz w:val="20"/>
              </w:rPr>
              <w:t>4</w:t>
            </w:r>
            <w:r>
              <w:rPr>
                <w:color w:val="000000"/>
                <w:sz w:val="20"/>
              </w:rPr>
              <w:t>,</w:t>
            </w:r>
            <w:r w:rsidRPr="00AA7A17">
              <w:rPr>
                <w:color w:val="000000"/>
                <w:sz w:val="20"/>
              </w:rPr>
              <w:t>0</w:t>
            </w:r>
          </w:p>
        </w:tc>
      </w:tr>
      <w:tr w:rsidR="007043C5" w:rsidRPr="001946E0" w14:paraId="62751FD6" w14:textId="77777777" w:rsidTr="00AA6960">
        <w:trPr>
          <w:jc w:val="center"/>
        </w:trPr>
        <w:tc>
          <w:tcPr>
            <w:tcW w:w="3256" w:type="dxa"/>
          </w:tcPr>
          <w:p w14:paraId="072223B1" w14:textId="77777777" w:rsidR="007043C5" w:rsidRPr="001946E0" w:rsidRDefault="007043C5" w:rsidP="00DA2735">
            <w:pPr>
              <w:pStyle w:val="tabteksts"/>
              <w:rPr>
                <w:snapToGrid w:val="0"/>
                <w:color w:val="000000"/>
              </w:rPr>
            </w:pPr>
            <w:r w:rsidRPr="001946E0">
              <w:rPr>
                <w:snapToGrid w:val="0"/>
                <w:color w:val="000000"/>
              </w:rPr>
              <w:t>4. Sabiedriskais patēriņš</w:t>
            </w:r>
          </w:p>
        </w:tc>
        <w:tc>
          <w:tcPr>
            <w:tcW w:w="1037" w:type="dxa"/>
          </w:tcPr>
          <w:p w14:paraId="43BFFE30" w14:textId="77777777" w:rsidR="007043C5" w:rsidRPr="001946E0" w:rsidRDefault="007043C5" w:rsidP="00DA2735">
            <w:pPr>
              <w:pStyle w:val="tabteksts"/>
              <w:rPr>
                <w:color w:val="000000"/>
              </w:rPr>
            </w:pPr>
            <w:r w:rsidRPr="001946E0">
              <w:rPr>
                <w:color w:val="000000"/>
              </w:rPr>
              <w:t>P3</w:t>
            </w:r>
          </w:p>
        </w:tc>
        <w:tc>
          <w:tcPr>
            <w:tcW w:w="1037" w:type="dxa"/>
            <w:vAlign w:val="center"/>
          </w:tcPr>
          <w:p w14:paraId="37875CD1" w14:textId="77777777" w:rsidR="007043C5" w:rsidRPr="001946E0" w:rsidRDefault="007043C5" w:rsidP="00DA2735">
            <w:pPr>
              <w:ind w:hanging="31"/>
              <w:jc w:val="center"/>
              <w:rPr>
                <w:color w:val="000000"/>
                <w:sz w:val="20"/>
              </w:rPr>
            </w:pPr>
            <w:r w:rsidRPr="0012300B">
              <w:rPr>
                <w:color w:val="000000"/>
                <w:sz w:val="20"/>
              </w:rPr>
              <w:t>1051</w:t>
            </w:r>
            <w:r>
              <w:rPr>
                <w:color w:val="000000"/>
                <w:sz w:val="20"/>
              </w:rPr>
              <w:t>,</w:t>
            </w:r>
            <w:r w:rsidRPr="0012300B">
              <w:rPr>
                <w:color w:val="000000"/>
                <w:sz w:val="20"/>
              </w:rPr>
              <w:t>4</w:t>
            </w:r>
          </w:p>
        </w:tc>
        <w:tc>
          <w:tcPr>
            <w:tcW w:w="741" w:type="dxa"/>
            <w:vAlign w:val="center"/>
          </w:tcPr>
          <w:p w14:paraId="5F008E8C" w14:textId="77777777" w:rsidR="007043C5" w:rsidRPr="001946E0" w:rsidRDefault="007043C5" w:rsidP="00DA2735">
            <w:pPr>
              <w:ind w:hanging="31"/>
              <w:jc w:val="center"/>
              <w:rPr>
                <w:color w:val="000000"/>
                <w:sz w:val="20"/>
              </w:rPr>
            </w:pPr>
            <w:r>
              <w:rPr>
                <w:color w:val="000000"/>
                <w:sz w:val="20"/>
              </w:rPr>
              <w:t>-0,2</w:t>
            </w:r>
          </w:p>
        </w:tc>
        <w:tc>
          <w:tcPr>
            <w:tcW w:w="741" w:type="dxa"/>
            <w:vAlign w:val="center"/>
          </w:tcPr>
          <w:p w14:paraId="33697BC8" w14:textId="77777777" w:rsidR="007043C5" w:rsidRPr="00BE0977" w:rsidRDefault="007043C5" w:rsidP="00DA2735">
            <w:pPr>
              <w:ind w:hanging="31"/>
              <w:jc w:val="center"/>
              <w:rPr>
                <w:color w:val="000000"/>
                <w:sz w:val="20"/>
              </w:rPr>
            </w:pPr>
            <w:r w:rsidRPr="00BE0977">
              <w:rPr>
                <w:color w:val="000000"/>
                <w:sz w:val="20"/>
              </w:rPr>
              <w:t>0</w:t>
            </w:r>
            <w:r>
              <w:rPr>
                <w:color w:val="000000"/>
                <w:sz w:val="20"/>
              </w:rPr>
              <w:t>,</w:t>
            </w:r>
            <w:r w:rsidRPr="00BE0977">
              <w:rPr>
                <w:color w:val="000000"/>
                <w:sz w:val="20"/>
              </w:rPr>
              <w:t>5</w:t>
            </w:r>
          </w:p>
        </w:tc>
        <w:tc>
          <w:tcPr>
            <w:tcW w:w="741" w:type="dxa"/>
            <w:vAlign w:val="center"/>
          </w:tcPr>
          <w:p w14:paraId="70BE8936" w14:textId="77777777" w:rsidR="007043C5" w:rsidRPr="00BE0977" w:rsidRDefault="007043C5" w:rsidP="00DA2735">
            <w:pPr>
              <w:ind w:hanging="31"/>
              <w:jc w:val="center"/>
              <w:rPr>
                <w:color w:val="000000"/>
                <w:sz w:val="20"/>
              </w:rPr>
            </w:pPr>
            <w:r w:rsidRPr="00BE0977">
              <w:rPr>
                <w:color w:val="000000"/>
                <w:sz w:val="20"/>
              </w:rPr>
              <w:t>1</w:t>
            </w:r>
            <w:r>
              <w:rPr>
                <w:color w:val="000000"/>
                <w:sz w:val="20"/>
              </w:rPr>
              <w:t>,</w:t>
            </w:r>
            <w:r w:rsidRPr="00BE0977">
              <w:rPr>
                <w:color w:val="000000"/>
                <w:sz w:val="20"/>
              </w:rPr>
              <w:t>0</w:t>
            </w:r>
          </w:p>
        </w:tc>
        <w:tc>
          <w:tcPr>
            <w:tcW w:w="741" w:type="dxa"/>
            <w:vAlign w:val="center"/>
          </w:tcPr>
          <w:p w14:paraId="58A2C97D" w14:textId="77777777" w:rsidR="007043C5" w:rsidRPr="00BE0977" w:rsidRDefault="007043C5" w:rsidP="00DA2735">
            <w:pPr>
              <w:ind w:hanging="31"/>
              <w:jc w:val="center"/>
              <w:rPr>
                <w:color w:val="000000"/>
                <w:sz w:val="20"/>
              </w:rPr>
            </w:pPr>
            <w:r w:rsidRPr="00BE0977">
              <w:rPr>
                <w:color w:val="000000"/>
                <w:sz w:val="20"/>
              </w:rPr>
              <w:t>1</w:t>
            </w:r>
            <w:r>
              <w:rPr>
                <w:color w:val="000000"/>
                <w:sz w:val="20"/>
              </w:rPr>
              <w:t>,</w:t>
            </w:r>
            <w:r w:rsidRPr="00BE0977">
              <w:rPr>
                <w:color w:val="000000"/>
                <w:sz w:val="20"/>
              </w:rPr>
              <w:t>5</w:t>
            </w:r>
          </w:p>
        </w:tc>
        <w:tc>
          <w:tcPr>
            <w:tcW w:w="971" w:type="dxa"/>
            <w:vAlign w:val="center"/>
          </w:tcPr>
          <w:p w14:paraId="78189766" w14:textId="77777777" w:rsidR="007043C5" w:rsidRPr="00BE0977" w:rsidRDefault="007043C5" w:rsidP="00DA2735">
            <w:pPr>
              <w:ind w:hanging="31"/>
              <w:jc w:val="center"/>
              <w:rPr>
                <w:color w:val="000000"/>
                <w:sz w:val="20"/>
              </w:rPr>
            </w:pPr>
            <w:r w:rsidRPr="00BE0977">
              <w:rPr>
                <w:color w:val="000000"/>
                <w:sz w:val="20"/>
              </w:rPr>
              <w:t>1</w:t>
            </w:r>
            <w:r>
              <w:rPr>
                <w:color w:val="000000"/>
                <w:sz w:val="20"/>
              </w:rPr>
              <w:t>,</w:t>
            </w:r>
            <w:r w:rsidRPr="00BE0977">
              <w:rPr>
                <w:color w:val="000000"/>
                <w:sz w:val="20"/>
              </w:rPr>
              <w:t>5</w:t>
            </w:r>
          </w:p>
        </w:tc>
      </w:tr>
      <w:tr w:rsidR="007043C5" w:rsidRPr="001946E0" w14:paraId="00D26923" w14:textId="77777777" w:rsidTr="00AA6960">
        <w:trPr>
          <w:jc w:val="center"/>
        </w:trPr>
        <w:tc>
          <w:tcPr>
            <w:tcW w:w="3256" w:type="dxa"/>
          </w:tcPr>
          <w:p w14:paraId="42533147" w14:textId="77777777" w:rsidR="007043C5" w:rsidRPr="001946E0" w:rsidRDefault="007043C5" w:rsidP="00DA2735">
            <w:pPr>
              <w:pStyle w:val="tabteksts"/>
              <w:rPr>
                <w:snapToGrid w:val="0"/>
                <w:color w:val="000000"/>
              </w:rPr>
            </w:pPr>
            <w:r w:rsidRPr="001946E0">
              <w:rPr>
                <w:snapToGrid w:val="0"/>
                <w:color w:val="000000"/>
              </w:rPr>
              <w:t>5. Kopējā pamatkapitālā veidošana</w:t>
            </w:r>
          </w:p>
        </w:tc>
        <w:tc>
          <w:tcPr>
            <w:tcW w:w="1037" w:type="dxa"/>
          </w:tcPr>
          <w:p w14:paraId="0C965726" w14:textId="77777777" w:rsidR="007043C5" w:rsidRPr="001946E0" w:rsidRDefault="007043C5" w:rsidP="00DA2735">
            <w:pPr>
              <w:pStyle w:val="tabteksts"/>
              <w:rPr>
                <w:color w:val="000000"/>
              </w:rPr>
            </w:pPr>
            <w:r w:rsidRPr="001946E0">
              <w:rPr>
                <w:color w:val="000000"/>
              </w:rPr>
              <w:t>P51</w:t>
            </w:r>
          </w:p>
        </w:tc>
        <w:tc>
          <w:tcPr>
            <w:tcW w:w="1037" w:type="dxa"/>
            <w:vAlign w:val="center"/>
          </w:tcPr>
          <w:p w14:paraId="7E9A04EC" w14:textId="77777777" w:rsidR="007043C5" w:rsidRPr="001946E0" w:rsidRDefault="007043C5" w:rsidP="00DA2735">
            <w:pPr>
              <w:ind w:hanging="31"/>
              <w:jc w:val="center"/>
              <w:rPr>
                <w:color w:val="000000"/>
                <w:sz w:val="20"/>
              </w:rPr>
            </w:pPr>
            <w:r w:rsidRPr="0012300B">
              <w:rPr>
                <w:color w:val="000000"/>
                <w:sz w:val="20"/>
              </w:rPr>
              <w:t>1992</w:t>
            </w:r>
            <w:r>
              <w:rPr>
                <w:color w:val="000000"/>
                <w:sz w:val="20"/>
              </w:rPr>
              <w:t>,</w:t>
            </w:r>
            <w:r w:rsidRPr="0012300B">
              <w:rPr>
                <w:color w:val="000000"/>
                <w:sz w:val="20"/>
              </w:rPr>
              <w:t>7</w:t>
            </w:r>
          </w:p>
        </w:tc>
        <w:tc>
          <w:tcPr>
            <w:tcW w:w="741" w:type="dxa"/>
            <w:vAlign w:val="center"/>
          </w:tcPr>
          <w:p w14:paraId="75BBD3CF" w14:textId="77777777" w:rsidR="007043C5" w:rsidRPr="001946E0" w:rsidRDefault="007043C5" w:rsidP="00DA2735">
            <w:pPr>
              <w:ind w:hanging="31"/>
              <w:jc w:val="center"/>
              <w:rPr>
                <w:color w:val="000000"/>
                <w:sz w:val="20"/>
              </w:rPr>
            </w:pPr>
            <w:r>
              <w:rPr>
                <w:color w:val="000000"/>
                <w:sz w:val="20"/>
              </w:rPr>
              <w:t>12,3</w:t>
            </w:r>
          </w:p>
        </w:tc>
        <w:tc>
          <w:tcPr>
            <w:tcW w:w="741" w:type="dxa"/>
            <w:vAlign w:val="center"/>
          </w:tcPr>
          <w:p w14:paraId="41B992A0" w14:textId="77777777" w:rsidR="007043C5" w:rsidRPr="0028746E" w:rsidRDefault="007043C5" w:rsidP="00DA2735">
            <w:pPr>
              <w:ind w:hanging="31"/>
              <w:jc w:val="center"/>
              <w:rPr>
                <w:color w:val="000000"/>
                <w:sz w:val="20"/>
              </w:rPr>
            </w:pPr>
            <w:r w:rsidRPr="0028746E">
              <w:rPr>
                <w:color w:val="000000"/>
                <w:sz w:val="20"/>
              </w:rPr>
              <w:t>5</w:t>
            </w:r>
            <w:r>
              <w:rPr>
                <w:color w:val="000000"/>
                <w:sz w:val="20"/>
              </w:rPr>
              <w:t>,</w:t>
            </w:r>
            <w:r w:rsidRPr="0028746E">
              <w:rPr>
                <w:color w:val="000000"/>
                <w:sz w:val="20"/>
              </w:rPr>
              <w:t>2</w:t>
            </w:r>
          </w:p>
        </w:tc>
        <w:tc>
          <w:tcPr>
            <w:tcW w:w="741" w:type="dxa"/>
            <w:vAlign w:val="center"/>
          </w:tcPr>
          <w:p w14:paraId="073AE9A8" w14:textId="77777777" w:rsidR="007043C5" w:rsidRPr="0028746E" w:rsidRDefault="007043C5" w:rsidP="00DA2735">
            <w:pPr>
              <w:ind w:hanging="31"/>
              <w:jc w:val="center"/>
              <w:rPr>
                <w:color w:val="000000"/>
                <w:sz w:val="20"/>
              </w:rPr>
            </w:pPr>
            <w:r w:rsidRPr="0028746E">
              <w:rPr>
                <w:color w:val="000000"/>
                <w:sz w:val="20"/>
              </w:rPr>
              <w:t>6</w:t>
            </w:r>
            <w:r>
              <w:rPr>
                <w:color w:val="000000"/>
                <w:sz w:val="20"/>
              </w:rPr>
              <w:t>,</w:t>
            </w:r>
            <w:r w:rsidRPr="0028746E">
              <w:rPr>
                <w:color w:val="000000"/>
                <w:sz w:val="20"/>
              </w:rPr>
              <w:t>0</w:t>
            </w:r>
          </w:p>
        </w:tc>
        <w:tc>
          <w:tcPr>
            <w:tcW w:w="741" w:type="dxa"/>
            <w:vAlign w:val="center"/>
          </w:tcPr>
          <w:p w14:paraId="7A228A39" w14:textId="77777777" w:rsidR="007043C5" w:rsidRPr="0028746E" w:rsidRDefault="007043C5" w:rsidP="00DA2735">
            <w:pPr>
              <w:ind w:hanging="31"/>
              <w:jc w:val="center"/>
              <w:rPr>
                <w:color w:val="000000"/>
                <w:sz w:val="20"/>
              </w:rPr>
            </w:pPr>
            <w:r w:rsidRPr="0028746E">
              <w:rPr>
                <w:color w:val="000000"/>
                <w:sz w:val="20"/>
              </w:rPr>
              <w:t>6</w:t>
            </w:r>
            <w:r>
              <w:rPr>
                <w:color w:val="000000"/>
                <w:sz w:val="20"/>
              </w:rPr>
              <w:t>,</w:t>
            </w:r>
            <w:r w:rsidRPr="0028746E">
              <w:rPr>
                <w:color w:val="000000"/>
                <w:sz w:val="20"/>
              </w:rPr>
              <w:t>0</w:t>
            </w:r>
          </w:p>
        </w:tc>
        <w:tc>
          <w:tcPr>
            <w:tcW w:w="971" w:type="dxa"/>
            <w:vAlign w:val="center"/>
          </w:tcPr>
          <w:p w14:paraId="1A1DB5C1" w14:textId="77777777" w:rsidR="007043C5" w:rsidRPr="0028746E" w:rsidRDefault="007043C5" w:rsidP="00DA2735">
            <w:pPr>
              <w:ind w:hanging="31"/>
              <w:jc w:val="center"/>
              <w:rPr>
                <w:color w:val="000000"/>
                <w:sz w:val="20"/>
              </w:rPr>
            </w:pPr>
            <w:r w:rsidRPr="0028746E">
              <w:rPr>
                <w:color w:val="000000"/>
                <w:sz w:val="20"/>
              </w:rPr>
              <w:t>6</w:t>
            </w:r>
            <w:r>
              <w:rPr>
                <w:color w:val="000000"/>
                <w:sz w:val="20"/>
              </w:rPr>
              <w:t>,</w:t>
            </w:r>
            <w:r w:rsidRPr="0028746E">
              <w:rPr>
                <w:color w:val="000000"/>
                <w:sz w:val="20"/>
              </w:rPr>
              <w:t>0</w:t>
            </w:r>
          </w:p>
        </w:tc>
      </w:tr>
      <w:tr w:rsidR="007043C5" w:rsidRPr="001946E0" w14:paraId="0C3CD79B" w14:textId="77777777" w:rsidTr="00AA6960">
        <w:trPr>
          <w:jc w:val="center"/>
        </w:trPr>
        <w:tc>
          <w:tcPr>
            <w:tcW w:w="3256" w:type="dxa"/>
          </w:tcPr>
          <w:p w14:paraId="231803C9" w14:textId="77777777" w:rsidR="007043C5" w:rsidRPr="001946E0" w:rsidRDefault="007043C5" w:rsidP="00DA2735">
            <w:pPr>
              <w:pStyle w:val="tabteksts"/>
              <w:rPr>
                <w:snapToGrid w:val="0"/>
                <w:color w:val="000000"/>
              </w:rPr>
            </w:pPr>
            <w:r w:rsidRPr="001946E0">
              <w:rPr>
                <w:snapToGrid w:val="0"/>
                <w:color w:val="000000"/>
              </w:rPr>
              <w:t>6. Krājumu pārmaiņas un vērtslietu iegāde</w:t>
            </w:r>
          </w:p>
        </w:tc>
        <w:tc>
          <w:tcPr>
            <w:tcW w:w="1037" w:type="dxa"/>
          </w:tcPr>
          <w:p w14:paraId="6B5605F8" w14:textId="77777777" w:rsidR="007043C5" w:rsidRPr="001946E0" w:rsidRDefault="007043C5" w:rsidP="00DA2735">
            <w:pPr>
              <w:pStyle w:val="tabteksts"/>
              <w:rPr>
                <w:color w:val="000000"/>
              </w:rPr>
            </w:pPr>
            <w:r w:rsidRPr="001946E0">
              <w:rPr>
                <w:color w:val="000000"/>
              </w:rPr>
              <w:t>P52+P53</w:t>
            </w:r>
          </w:p>
        </w:tc>
        <w:tc>
          <w:tcPr>
            <w:tcW w:w="1037" w:type="dxa"/>
            <w:vAlign w:val="center"/>
          </w:tcPr>
          <w:p w14:paraId="5E2FD92A" w14:textId="77777777" w:rsidR="007043C5" w:rsidRPr="001946E0" w:rsidRDefault="007043C5" w:rsidP="00DA2735">
            <w:pPr>
              <w:ind w:hanging="31"/>
              <w:jc w:val="center"/>
              <w:rPr>
                <w:color w:val="000000"/>
                <w:sz w:val="20"/>
              </w:rPr>
            </w:pPr>
            <w:r w:rsidRPr="0012300B">
              <w:rPr>
                <w:color w:val="000000"/>
                <w:sz w:val="20"/>
              </w:rPr>
              <w:t>-132</w:t>
            </w:r>
            <w:r>
              <w:rPr>
                <w:color w:val="000000"/>
                <w:sz w:val="20"/>
              </w:rPr>
              <w:t>,</w:t>
            </w:r>
            <w:r w:rsidRPr="0012300B">
              <w:rPr>
                <w:color w:val="000000"/>
                <w:sz w:val="20"/>
              </w:rPr>
              <w:t>7</w:t>
            </w:r>
          </w:p>
        </w:tc>
        <w:tc>
          <w:tcPr>
            <w:tcW w:w="741" w:type="dxa"/>
            <w:vAlign w:val="center"/>
          </w:tcPr>
          <w:p w14:paraId="6CAB0F39" w14:textId="77777777" w:rsidR="007043C5" w:rsidRPr="001946E0" w:rsidRDefault="007043C5" w:rsidP="00DA2735">
            <w:pPr>
              <w:ind w:hanging="31"/>
              <w:jc w:val="center"/>
              <w:rPr>
                <w:color w:val="000000"/>
                <w:sz w:val="20"/>
              </w:rPr>
            </w:pPr>
            <w:r w:rsidRPr="0012300B">
              <w:rPr>
                <w:color w:val="000000"/>
                <w:sz w:val="20"/>
              </w:rPr>
              <w:t>-1</w:t>
            </w:r>
            <w:r>
              <w:rPr>
                <w:color w:val="000000"/>
                <w:sz w:val="20"/>
              </w:rPr>
              <w:t>,</w:t>
            </w:r>
            <w:r w:rsidRPr="0012300B">
              <w:rPr>
                <w:color w:val="000000"/>
                <w:sz w:val="20"/>
              </w:rPr>
              <w:t>9</w:t>
            </w:r>
          </w:p>
        </w:tc>
        <w:tc>
          <w:tcPr>
            <w:tcW w:w="741" w:type="dxa"/>
            <w:vAlign w:val="center"/>
          </w:tcPr>
          <w:p w14:paraId="7973FE48" w14:textId="77777777" w:rsidR="007043C5" w:rsidRPr="001946E0" w:rsidRDefault="007043C5" w:rsidP="00DA2735">
            <w:pPr>
              <w:ind w:hanging="31"/>
              <w:jc w:val="center"/>
              <w:rPr>
                <w:color w:val="000000"/>
                <w:sz w:val="20"/>
              </w:rPr>
            </w:pPr>
            <w:r w:rsidRPr="0012300B">
              <w:rPr>
                <w:color w:val="000000"/>
                <w:sz w:val="20"/>
              </w:rPr>
              <w:t>0</w:t>
            </w:r>
            <w:r>
              <w:rPr>
                <w:color w:val="000000"/>
                <w:sz w:val="20"/>
              </w:rPr>
              <w:t>,</w:t>
            </w:r>
            <w:r w:rsidRPr="0012300B">
              <w:rPr>
                <w:color w:val="000000"/>
                <w:sz w:val="20"/>
              </w:rPr>
              <w:t>7</w:t>
            </w:r>
          </w:p>
        </w:tc>
        <w:tc>
          <w:tcPr>
            <w:tcW w:w="741" w:type="dxa"/>
            <w:vAlign w:val="center"/>
          </w:tcPr>
          <w:p w14:paraId="71EF04AB" w14:textId="77777777" w:rsidR="007043C5" w:rsidRPr="001946E0" w:rsidRDefault="007043C5" w:rsidP="00DA2735">
            <w:pPr>
              <w:ind w:hanging="31"/>
              <w:jc w:val="center"/>
              <w:rPr>
                <w:color w:val="000000"/>
                <w:sz w:val="20"/>
              </w:rPr>
            </w:pPr>
            <w:r w:rsidRPr="0012300B">
              <w:rPr>
                <w:color w:val="000000"/>
                <w:sz w:val="20"/>
              </w:rPr>
              <w:t>0</w:t>
            </w:r>
            <w:r>
              <w:rPr>
                <w:color w:val="000000"/>
                <w:sz w:val="20"/>
              </w:rPr>
              <w:t>,</w:t>
            </w:r>
            <w:r w:rsidRPr="0012300B">
              <w:rPr>
                <w:color w:val="000000"/>
                <w:sz w:val="20"/>
              </w:rPr>
              <w:t>5</w:t>
            </w:r>
          </w:p>
        </w:tc>
        <w:tc>
          <w:tcPr>
            <w:tcW w:w="741" w:type="dxa"/>
            <w:vAlign w:val="center"/>
          </w:tcPr>
          <w:p w14:paraId="7992FF57" w14:textId="77777777" w:rsidR="007043C5" w:rsidRPr="001946E0" w:rsidRDefault="007043C5" w:rsidP="00DA2735">
            <w:pPr>
              <w:ind w:hanging="31"/>
              <w:jc w:val="center"/>
              <w:rPr>
                <w:color w:val="000000"/>
                <w:sz w:val="20"/>
              </w:rPr>
            </w:pPr>
            <w:r w:rsidRPr="0012300B">
              <w:rPr>
                <w:color w:val="000000"/>
                <w:sz w:val="20"/>
              </w:rPr>
              <w:t>2</w:t>
            </w:r>
            <w:r>
              <w:rPr>
                <w:color w:val="000000"/>
                <w:sz w:val="20"/>
              </w:rPr>
              <w:t>,</w:t>
            </w:r>
            <w:r w:rsidRPr="0012300B">
              <w:rPr>
                <w:color w:val="000000"/>
                <w:sz w:val="20"/>
              </w:rPr>
              <w:t>7</w:t>
            </w:r>
          </w:p>
        </w:tc>
        <w:tc>
          <w:tcPr>
            <w:tcW w:w="971" w:type="dxa"/>
            <w:vAlign w:val="center"/>
          </w:tcPr>
          <w:p w14:paraId="175AAA1D" w14:textId="77777777" w:rsidR="007043C5" w:rsidRPr="001946E0" w:rsidRDefault="007043C5" w:rsidP="00DA2735">
            <w:pPr>
              <w:ind w:hanging="31"/>
              <w:jc w:val="center"/>
              <w:rPr>
                <w:color w:val="000000"/>
                <w:sz w:val="20"/>
              </w:rPr>
            </w:pPr>
            <w:r w:rsidRPr="0012300B">
              <w:rPr>
                <w:color w:val="000000"/>
                <w:sz w:val="20"/>
              </w:rPr>
              <w:t>-1</w:t>
            </w:r>
            <w:r>
              <w:rPr>
                <w:color w:val="000000"/>
                <w:sz w:val="20"/>
              </w:rPr>
              <w:t>,</w:t>
            </w:r>
            <w:r w:rsidRPr="0012300B">
              <w:rPr>
                <w:color w:val="000000"/>
                <w:sz w:val="20"/>
              </w:rPr>
              <w:t>9</w:t>
            </w:r>
          </w:p>
        </w:tc>
      </w:tr>
      <w:tr w:rsidR="007043C5" w:rsidRPr="001946E0" w14:paraId="3E009166" w14:textId="77777777" w:rsidTr="00AA6960">
        <w:trPr>
          <w:jc w:val="center"/>
        </w:trPr>
        <w:tc>
          <w:tcPr>
            <w:tcW w:w="3256" w:type="dxa"/>
          </w:tcPr>
          <w:p w14:paraId="15280A36" w14:textId="77777777" w:rsidR="007043C5" w:rsidRPr="001946E0" w:rsidRDefault="007043C5" w:rsidP="00DA2735">
            <w:pPr>
              <w:pStyle w:val="tabteksts"/>
              <w:rPr>
                <w:snapToGrid w:val="0"/>
                <w:color w:val="000000"/>
              </w:rPr>
            </w:pPr>
            <w:r w:rsidRPr="001946E0">
              <w:rPr>
                <w:snapToGrid w:val="0"/>
                <w:color w:val="000000"/>
              </w:rPr>
              <w:t>7. Eksports</w:t>
            </w:r>
          </w:p>
        </w:tc>
        <w:tc>
          <w:tcPr>
            <w:tcW w:w="1037" w:type="dxa"/>
          </w:tcPr>
          <w:p w14:paraId="3C1C763C" w14:textId="77777777" w:rsidR="007043C5" w:rsidRPr="001946E0" w:rsidRDefault="007043C5" w:rsidP="00DA2735">
            <w:pPr>
              <w:pStyle w:val="tabteksts"/>
              <w:rPr>
                <w:color w:val="000000"/>
              </w:rPr>
            </w:pPr>
            <w:r w:rsidRPr="001946E0">
              <w:rPr>
                <w:color w:val="000000"/>
              </w:rPr>
              <w:t>P6</w:t>
            </w:r>
          </w:p>
        </w:tc>
        <w:tc>
          <w:tcPr>
            <w:tcW w:w="1037" w:type="dxa"/>
            <w:vAlign w:val="center"/>
          </w:tcPr>
          <w:p w14:paraId="2AF0B39D" w14:textId="77777777" w:rsidR="007043C5" w:rsidRPr="001946E0" w:rsidRDefault="007043C5" w:rsidP="00DA2735">
            <w:pPr>
              <w:ind w:hanging="31"/>
              <w:jc w:val="center"/>
              <w:rPr>
                <w:color w:val="000000"/>
                <w:sz w:val="20"/>
              </w:rPr>
            </w:pPr>
            <w:r w:rsidRPr="0012300B">
              <w:rPr>
                <w:color w:val="000000"/>
                <w:sz w:val="20"/>
              </w:rPr>
              <w:t>4290</w:t>
            </w:r>
            <w:r>
              <w:rPr>
                <w:color w:val="000000"/>
                <w:sz w:val="20"/>
              </w:rPr>
              <w:t>,</w:t>
            </w:r>
            <w:r w:rsidRPr="0012300B">
              <w:rPr>
                <w:color w:val="000000"/>
                <w:sz w:val="20"/>
              </w:rPr>
              <w:t>5</w:t>
            </w:r>
          </w:p>
        </w:tc>
        <w:tc>
          <w:tcPr>
            <w:tcW w:w="741" w:type="dxa"/>
            <w:vAlign w:val="center"/>
          </w:tcPr>
          <w:p w14:paraId="6F276360" w14:textId="77777777" w:rsidR="007043C5" w:rsidRPr="001946E0" w:rsidRDefault="007043C5" w:rsidP="00DA2735">
            <w:pPr>
              <w:ind w:hanging="31"/>
              <w:jc w:val="center"/>
              <w:rPr>
                <w:color w:val="000000"/>
                <w:sz w:val="20"/>
              </w:rPr>
            </w:pPr>
            <w:r>
              <w:rPr>
                <w:color w:val="000000"/>
                <w:sz w:val="20"/>
              </w:rPr>
              <w:t>7,1</w:t>
            </w:r>
          </w:p>
        </w:tc>
        <w:tc>
          <w:tcPr>
            <w:tcW w:w="741" w:type="dxa"/>
            <w:vAlign w:val="center"/>
          </w:tcPr>
          <w:p w14:paraId="551C55CE" w14:textId="77777777" w:rsidR="007043C5" w:rsidRPr="00FF01CE" w:rsidRDefault="007043C5" w:rsidP="00DA2735">
            <w:pPr>
              <w:ind w:hanging="31"/>
              <w:jc w:val="center"/>
              <w:rPr>
                <w:color w:val="000000"/>
                <w:sz w:val="20"/>
              </w:rPr>
            </w:pPr>
            <w:r w:rsidRPr="00FF01CE">
              <w:rPr>
                <w:color w:val="000000"/>
                <w:sz w:val="20"/>
              </w:rPr>
              <w:t>5</w:t>
            </w:r>
            <w:r>
              <w:rPr>
                <w:color w:val="000000"/>
                <w:sz w:val="20"/>
              </w:rPr>
              <w:t>,</w:t>
            </w:r>
            <w:r w:rsidRPr="00FF01CE">
              <w:rPr>
                <w:color w:val="000000"/>
                <w:sz w:val="20"/>
              </w:rPr>
              <w:t>3</w:t>
            </w:r>
          </w:p>
        </w:tc>
        <w:tc>
          <w:tcPr>
            <w:tcW w:w="741" w:type="dxa"/>
            <w:vAlign w:val="center"/>
          </w:tcPr>
          <w:p w14:paraId="3B14AA76" w14:textId="77777777" w:rsidR="007043C5" w:rsidRPr="00FF01CE" w:rsidRDefault="007043C5" w:rsidP="00DA2735">
            <w:pPr>
              <w:ind w:hanging="31"/>
              <w:jc w:val="center"/>
              <w:rPr>
                <w:color w:val="000000"/>
                <w:sz w:val="20"/>
              </w:rPr>
            </w:pPr>
            <w:r w:rsidRPr="00FF01CE">
              <w:rPr>
                <w:color w:val="000000"/>
                <w:sz w:val="20"/>
              </w:rPr>
              <w:t>5</w:t>
            </w:r>
            <w:r>
              <w:rPr>
                <w:color w:val="000000"/>
                <w:sz w:val="20"/>
              </w:rPr>
              <w:t>,</w:t>
            </w:r>
            <w:r w:rsidRPr="00FF01CE">
              <w:rPr>
                <w:color w:val="000000"/>
                <w:sz w:val="20"/>
              </w:rPr>
              <w:t>9</w:t>
            </w:r>
          </w:p>
        </w:tc>
        <w:tc>
          <w:tcPr>
            <w:tcW w:w="741" w:type="dxa"/>
            <w:vAlign w:val="center"/>
          </w:tcPr>
          <w:p w14:paraId="22DC368D" w14:textId="77777777" w:rsidR="007043C5" w:rsidRPr="00FF01CE" w:rsidRDefault="007043C5" w:rsidP="00DA2735">
            <w:pPr>
              <w:ind w:hanging="31"/>
              <w:jc w:val="center"/>
              <w:rPr>
                <w:color w:val="000000"/>
                <w:sz w:val="20"/>
              </w:rPr>
            </w:pPr>
            <w:r w:rsidRPr="00FF01CE">
              <w:rPr>
                <w:color w:val="000000"/>
                <w:sz w:val="20"/>
              </w:rPr>
              <w:t>5</w:t>
            </w:r>
            <w:r>
              <w:rPr>
                <w:color w:val="000000"/>
                <w:sz w:val="20"/>
              </w:rPr>
              <w:t>,</w:t>
            </w:r>
            <w:r w:rsidRPr="00FF01CE">
              <w:rPr>
                <w:color w:val="000000"/>
                <w:sz w:val="20"/>
              </w:rPr>
              <w:t>8</w:t>
            </w:r>
          </w:p>
        </w:tc>
        <w:tc>
          <w:tcPr>
            <w:tcW w:w="971" w:type="dxa"/>
            <w:vAlign w:val="center"/>
          </w:tcPr>
          <w:p w14:paraId="75259636" w14:textId="77777777" w:rsidR="007043C5" w:rsidRPr="00FF01CE" w:rsidRDefault="007043C5" w:rsidP="00DA2735">
            <w:pPr>
              <w:ind w:hanging="31"/>
              <w:jc w:val="center"/>
              <w:rPr>
                <w:color w:val="000000"/>
                <w:sz w:val="20"/>
              </w:rPr>
            </w:pPr>
            <w:r w:rsidRPr="00FF01CE">
              <w:rPr>
                <w:color w:val="000000"/>
                <w:sz w:val="20"/>
              </w:rPr>
              <w:t>5</w:t>
            </w:r>
            <w:r>
              <w:rPr>
                <w:color w:val="000000"/>
                <w:sz w:val="20"/>
              </w:rPr>
              <w:t>,</w:t>
            </w:r>
            <w:r w:rsidRPr="00FF01CE">
              <w:rPr>
                <w:color w:val="000000"/>
                <w:sz w:val="20"/>
              </w:rPr>
              <w:t>9</w:t>
            </w:r>
          </w:p>
        </w:tc>
      </w:tr>
      <w:tr w:rsidR="007043C5" w:rsidRPr="001946E0" w14:paraId="193A0C2B" w14:textId="77777777" w:rsidTr="00AA6960">
        <w:trPr>
          <w:jc w:val="center"/>
        </w:trPr>
        <w:tc>
          <w:tcPr>
            <w:tcW w:w="3256" w:type="dxa"/>
          </w:tcPr>
          <w:p w14:paraId="36D6D298" w14:textId="77777777" w:rsidR="007043C5" w:rsidRPr="001946E0" w:rsidRDefault="007043C5" w:rsidP="00DA2735">
            <w:pPr>
              <w:pStyle w:val="tabteksts"/>
              <w:rPr>
                <w:snapToGrid w:val="0"/>
                <w:color w:val="000000"/>
              </w:rPr>
            </w:pPr>
            <w:r w:rsidRPr="001946E0">
              <w:rPr>
                <w:snapToGrid w:val="0"/>
                <w:color w:val="000000"/>
              </w:rPr>
              <w:t>8. Imports</w:t>
            </w:r>
          </w:p>
        </w:tc>
        <w:tc>
          <w:tcPr>
            <w:tcW w:w="1037" w:type="dxa"/>
          </w:tcPr>
          <w:p w14:paraId="6A59D135" w14:textId="77777777" w:rsidR="007043C5" w:rsidRPr="001946E0" w:rsidRDefault="007043C5" w:rsidP="00DA2735">
            <w:pPr>
              <w:pStyle w:val="tabteksts"/>
              <w:rPr>
                <w:color w:val="000000"/>
              </w:rPr>
            </w:pPr>
            <w:r w:rsidRPr="001946E0">
              <w:rPr>
                <w:color w:val="000000"/>
              </w:rPr>
              <w:t>P7</w:t>
            </w:r>
          </w:p>
        </w:tc>
        <w:tc>
          <w:tcPr>
            <w:tcW w:w="1037" w:type="dxa"/>
            <w:vAlign w:val="center"/>
          </w:tcPr>
          <w:p w14:paraId="12BBBCBE" w14:textId="77777777" w:rsidR="007043C5" w:rsidRPr="001946E0" w:rsidRDefault="007043C5" w:rsidP="00DA2735">
            <w:pPr>
              <w:ind w:hanging="31"/>
              <w:jc w:val="center"/>
              <w:rPr>
                <w:color w:val="000000"/>
                <w:sz w:val="20"/>
              </w:rPr>
            </w:pPr>
            <w:r w:rsidRPr="0012300B">
              <w:rPr>
                <w:color w:val="000000"/>
                <w:sz w:val="20"/>
              </w:rPr>
              <w:t>4867</w:t>
            </w:r>
            <w:r>
              <w:rPr>
                <w:color w:val="000000"/>
                <w:sz w:val="20"/>
              </w:rPr>
              <w:t>,</w:t>
            </w:r>
            <w:r w:rsidRPr="0012300B">
              <w:rPr>
                <w:color w:val="000000"/>
                <w:sz w:val="20"/>
              </w:rPr>
              <w:t>2</w:t>
            </w:r>
          </w:p>
        </w:tc>
        <w:tc>
          <w:tcPr>
            <w:tcW w:w="741" w:type="dxa"/>
            <w:vAlign w:val="center"/>
          </w:tcPr>
          <w:p w14:paraId="47447A5F" w14:textId="77777777" w:rsidR="007043C5" w:rsidRPr="001946E0" w:rsidRDefault="007043C5" w:rsidP="00DA2735">
            <w:pPr>
              <w:ind w:hanging="31"/>
              <w:jc w:val="center"/>
              <w:rPr>
                <w:color w:val="000000"/>
                <w:sz w:val="20"/>
              </w:rPr>
            </w:pPr>
            <w:r>
              <w:rPr>
                <w:color w:val="000000"/>
                <w:sz w:val="20"/>
              </w:rPr>
              <w:t>3,1</w:t>
            </w:r>
          </w:p>
        </w:tc>
        <w:tc>
          <w:tcPr>
            <w:tcW w:w="741" w:type="dxa"/>
            <w:vAlign w:val="center"/>
          </w:tcPr>
          <w:p w14:paraId="291774F1" w14:textId="77777777" w:rsidR="007043C5" w:rsidRPr="00FF01CE" w:rsidRDefault="007043C5" w:rsidP="00DA2735">
            <w:pPr>
              <w:ind w:hanging="31"/>
              <w:jc w:val="center"/>
              <w:rPr>
                <w:color w:val="000000"/>
                <w:sz w:val="20"/>
              </w:rPr>
            </w:pPr>
            <w:r w:rsidRPr="00FF01CE">
              <w:rPr>
                <w:color w:val="000000"/>
                <w:sz w:val="20"/>
              </w:rPr>
              <w:t>5</w:t>
            </w:r>
            <w:r>
              <w:rPr>
                <w:color w:val="000000"/>
                <w:sz w:val="20"/>
              </w:rPr>
              <w:t>,</w:t>
            </w:r>
            <w:r w:rsidRPr="00FF01CE">
              <w:rPr>
                <w:color w:val="000000"/>
                <w:sz w:val="20"/>
              </w:rPr>
              <w:t>2</w:t>
            </w:r>
          </w:p>
        </w:tc>
        <w:tc>
          <w:tcPr>
            <w:tcW w:w="741" w:type="dxa"/>
            <w:vAlign w:val="center"/>
          </w:tcPr>
          <w:p w14:paraId="03EE00A5" w14:textId="77777777" w:rsidR="007043C5" w:rsidRPr="00FF01CE" w:rsidRDefault="007043C5" w:rsidP="00DA2735">
            <w:pPr>
              <w:ind w:hanging="31"/>
              <w:jc w:val="center"/>
              <w:rPr>
                <w:color w:val="000000"/>
                <w:sz w:val="20"/>
              </w:rPr>
            </w:pPr>
            <w:r w:rsidRPr="00FF01CE">
              <w:rPr>
                <w:color w:val="000000"/>
                <w:sz w:val="20"/>
              </w:rPr>
              <w:t>6</w:t>
            </w:r>
            <w:r>
              <w:rPr>
                <w:color w:val="000000"/>
                <w:sz w:val="20"/>
              </w:rPr>
              <w:t>,</w:t>
            </w:r>
            <w:r w:rsidRPr="00FF01CE">
              <w:rPr>
                <w:color w:val="000000"/>
                <w:sz w:val="20"/>
              </w:rPr>
              <w:t>0</w:t>
            </w:r>
          </w:p>
        </w:tc>
        <w:tc>
          <w:tcPr>
            <w:tcW w:w="741" w:type="dxa"/>
            <w:vAlign w:val="center"/>
          </w:tcPr>
          <w:p w14:paraId="5C9B6B2B" w14:textId="77777777" w:rsidR="007043C5" w:rsidRPr="00FF01CE" w:rsidRDefault="007043C5" w:rsidP="00DA2735">
            <w:pPr>
              <w:ind w:hanging="31"/>
              <w:jc w:val="center"/>
              <w:rPr>
                <w:color w:val="000000"/>
                <w:sz w:val="20"/>
              </w:rPr>
            </w:pPr>
            <w:r w:rsidRPr="00FF01CE">
              <w:rPr>
                <w:color w:val="000000"/>
                <w:sz w:val="20"/>
              </w:rPr>
              <w:t>6</w:t>
            </w:r>
            <w:r>
              <w:rPr>
                <w:color w:val="000000"/>
                <w:sz w:val="20"/>
              </w:rPr>
              <w:t>,</w:t>
            </w:r>
            <w:r w:rsidRPr="00FF01CE">
              <w:rPr>
                <w:color w:val="000000"/>
                <w:sz w:val="20"/>
              </w:rPr>
              <w:t>0</w:t>
            </w:r>
          </w:p>
        </w:tc>
        <w:tc>
          <w:tcPr>
            <w:tcW w:w="971" w:type="dxa"/>
            <w:vAlign w:val="center"/>
          </w:tcPr>
          <w:p w14:paraId="516B376C" w14:textId="77777777" w:rsidR="007043C5" w:rsidRPr="00FF01CE" w:rsidRDefault="007043C5" w:rsidP="00DA2735">
            <w:pPr>
              <w:ind w:hanging="31"/>
              <w:jc w:val="center"/>
              <w:rPr>
                <w:color w:val="000000"/>
                <w:sz w:val="20"/>
              </w:rPr>
            </w:pPr>
            <w:r w:rsidRPr="00FF01CE">
              <w:rPr>
                <w:color w:val="000000"/>
                <w:sz w:val="20"/>
              </w:rPr>
              <w:t>6</w:t>
            </w:r>
            <w:r>
              <w:rPr>
                <w:color w:val="000000"/>
                <w:sz w:val="20"/>
              </w:rPr>
              <w:t>,</w:t>
            </w:r>
            <w:r w:rsidRPr="00FF01CE">
              <w:rPr>
                <w:color w:val="000000"/>
                <w:sz w:val="20"/>
              </w:rPr>
              <w:t>0</w:t>
            </w:r>
          </w:p>
        </w:tc>
      </w:tr>
      <w:tr w:rsidR="007043C5" w:rsidRPr="001946E0" w14:paraId="684572FB" w14:textId="77777777" w:rsidTr="00AA6960">
        <w:trPr>
          <w:jc w:val="center"/>
        </w:trPr>
        <w:tc>
          <w:tcPr>
            <w:tcW w:w="9265" w:type="dxa"/>
            <w:gridSpan w:val="8"/>
          </w:tcPr>
          <w:p w14:paraId="62F1909B" w14:textId="77777777" w:rsidR="007043C5" w:rsidRPr="001946E0" w:rsidRDefault="007043C5" w:rsidP="00DA2735">
            <w:pPr>
              <w:pStyle w:val="tabteksts"/>
              <w:jc w:val="center"/>
              <w:rPr>
                <w:rFonts w:eastAsia="Arial Unicode MS"/>
                <w:color w:val="000000"/>
              </w:rPr>
            </w:pPr>
            <w:r w:rsidRPr="001946E0">
              <w:rPr>
                <w:b/>
                <w:snapToGrid w:val="0"/>
                <w:color w:val="000000"/>
              </w:rPr>
              <w:t>Ieguldījums IKP izaugsmē</w:t>
            </w:r>
          </w:p>
        </w:tc>
      </w:tr>
      <w:tr w:rsidR="007043C5" w:rsidRPr="001946E0" w14:paraId="71861901" w14:textId="77777777" w:rsidTr="00AA6960">
        <w:trPr>
          <w:jc w:val="center"/>
        </w:trPr>
        <w:tc>
          <w:tcPr>
            <w:tcW w:w="3256" w:type="dxa"/>
          </w:tcPr>
          <w:p w14:paraId="4B58FDDF" w14:textId="77777777" w:rsidR="007043C5" w:rsidRPr="001946E0" w:rsidRDefault="007043C5" w:rsidP="00DA2735">
            <w:pPr>
              <w:pStyle w:val="tabteksts"/>
              <w:rPr>
                <w:snapToGrid w:val="0"/>
                <w:color w:val="000000"/>
              </w:rPr>
            </w:pPr>
            <w:r w:rsidRPr="001946E0">
              <w:rPr>
                <w:snapToGrid w:val="0"/>
                <w:color w:val="000000"/>
              </w:rPr>
              <w:t>9. Kopējais iekšzemes pieprasījums</w:t>
            </w:r>
          </w:p>
        </w:tc>
        <w:tc>
          <w:tcPr>
            <w:tcW w:w="1037" w:type="dxa"/>
          </w:tcPr>
          <w:p w14:paraId="30102310" w14:textId="77777777" w:rsidR="007043C5" w:rsidRPr="001946E0" w:rsidRDefault="007043C5" w:rsidP="00DA2735">
            <w:pPr>
              <w:pStyle w:val="tabteksts"/>
              <w:rPr>
                <w:color w:val="000000"/>
              </w:rPr>
            </w:pPr>
          </w:p>
        </w:tc>
        <w:tc>
          <w:tcPr>
            <w:tcW w:w="1037" w:type="dxa"/>
            <w:vAlign w:val="center"/>
          </w:tcPr>
          <w:p w14:paraId="761DE87D" w14:textId="77777777" w:rsidR="007043C5" w:rsidRPr="001946E0" w:rsidRDefault="007043C5" w:rsidP="00DA2735">
            <w:pPr>
              <w:jc w:val="center"/>
              <w:rPr>
                <w:color w:val="000000"/>
                <w:sz w:val="20"/>
              </w:rPr>
            </w:pPr>
            <w:r w:rsidRPr="001946E0">
              <w:rPr>
                <w:color w:val="000000"/>
                <w:sz w:val="20"/>
              </w:rPr>
              <w:t>-</w:t>
            </w:r>
          </w:p>
        </w:tc>
        <w:tc>
          <w:tcPr>
            <w:tcW w:w="741" w:type="dxa"/>
            <w:vAlign w:val="bottom"/>
          </w:tcPr>
          <w:p w14:paraId="746CEEC8" w14:textId="77777777" w:rsidR="007043C5" w:rsidRPr="001946E0" w:rsidRDefault="007043C5" w:rsidP="00DA2735">
            <w:pPr>
              <w:ind w:hanging="31"/>
              <w:jc w:val="center"/>
              <w:rPr>
                <w:color w:val="000000"/>
                <w:sz w:val="20"/>
              </w:rPr>
            </w:pPr>
            <w:r w:rsidRPr="00600E15">
              <w:rPr>
                <w:color w:val="000000"/>
                <w:sz w:val="20"/>
              </w:rPr>
              <w:t>6</w:t>
            </w:r>
            <w:r>
              <w:rPr>
                <w:color w:val="000000"/>
                <w:sz w:val="20"/>
              </w:rPr>
              <w:t>,</w:t>
            </w:r>
            <w:r w:rsidRPr="00600E15">
              <w:rPr>
                <w:color w:val="000000"/>
                <w:sz w:val="20"/>
              </w:rPr>
              <w:t>8</w:t>
            </w:r>
          </w:p>
        </w:tc>
        <w:tc>
          <w:tcPr>
            <w:tcW w:w="741" w:type="dxa"/>
            <w:vAlign w:val="bottom"/>
          </w:tcPr>
          <w:p w14:paraId="121153BD" w14:textId="77777777" w:rsidR="007043C5" w:rsidRPr="005A66D8" w:rsidRDefault="007043C5" w:rsidP="00DA2735">
            <w:pPr>
              <w:ind w:hanging="31"/>
              <w:jc w:val="center"/>
              <w:rPr>
                <w:color w:val="000000"/>
                <w:sz w:val="20"/>
              </w:rPr>
            </w:pPr>
            <w:r w:rsidRPr="005A66D8">
              <w:rPr>
                <w:color w:val="000000"/>
                <w:sz w:val="20"/>
              </w:rPr>
              <w:t>4</w:t>
            </w:r>
            <w:r>
              <w:rPr>
                <w:color w:val="000000"/>
                <w:sz w:val="20"/>
              </w:rPr>
              <w:t>,</w:t>
            </w:r>
            <w:r w:rsidRPr="005A66D8">
              <w:rPr>
                <w:color w:val="000000"/>
                <w:sz w:val="20"/>
              </w:rPr>
              <w:t>3</w:t>
            </w:r>
          </w:p>
        </w:tc>
        <w:tc>
          <w:tcPr>
            <w:tcW w:w="741" w:type="dxa"/>
            <w:vAlign w:val="bottom"/>
          </w:tcPr>
          <w:p w14:paraId="3DC62E7C" w14:textId="77777777" w:rsidR="007043C5" w:rsidRPr="005A66D8" w:rsidRDefault="007043C5" w:rsidP="00DA2735">
            <w:pPr>
              <w:ind w:hanging="31"/>
              <w:jc w:val="center"/>
              <w:rPr>
                <w:color w:val="000000"/>
                <w:sz w:val="20"/>
              </w:rPr>
            </w:pPr>
            <w:r w:rsidRPr="005A66D8">
              <w:rPr>
                <w:color w:val="000000"/>
                <w:sz w:val="20"/>
              </w:rPr>
              <w:t>4</w:t>
            </w:r>
            <w:r>
              <w:rPr>
                <w:color w:val="000000"/>
                <w:sz w:val="20"/>
              </w:rPr>
              <w:t>,</w:t>
            </w:r>
            <w:r w:rsidRPr="005A66D8">
              <w:rPr>
                <w:color w:val="000000"/>
                <w:sz w:val="20"/>
              </w:rPr>
              <w:t>5</w:t>
            </w:r>
          </w:p>
        </w:tc>
        <w:tc>
          <w:tcPr>
            <w:tcW w:w="741" w:type="dxa"/>
            <w:vAlign w:val="bottom"/>
          </w:tcPr>
          <w:p w14:paraId="76F2270E" w14:textId="77777777" w:rsidR="007043C5" w:rsidRPr="005A66D8" w:rsidRDefault="007043C5" w:rsidP="00DA2735">
            <w:pPr>
              <w:ind w:hanging="31"/>
              <w:jc w:val="center"/>
              <w:rPr>
                <w:color w:val="000000"/>
                <w:sz w:val="20"/>
              </w:rPr>
            </w:pPr>
            <w:r w:rsidRPr="005A66D8">
              <w:rPr>
                <w:color w:val="000000"/>
                <w:sz w:val="20"/>
              </w:rPr>
              <w:t>4</w:t>
            </w:r>
            <w:r>
              <w:rPr>
                <w:color w:val="000000"/>
                <w:sz w:val="20"/>
              </w:rPr>
              <w:t>,</w:t>
            </w:r>
            <w:r w:rsidRPr="005A66D8">
              <w:rPr>
                <w:color w:val="000000"/>
                <w:sz w:val="20"/>
              </w:rPr>
              <w:t>6</w:t>
            </w:r>
          </w:p>
        </w:tc>
        <w:tc>
          <w:tcPr>
            <w:tcW w:w="971" w:type="dxa"/>
            <w:vAlign w:val="bottom"/>
          </w:tcPr>
          <w:p w14:paraId="42D14663" w14:textId="77777777" w:rsidR="007043C5" w:rsidRPr="005A66D8" w:rsidRDefault="007043C5" w:rsidP="00DA2735">
            <w:pPr>
              <w:ind w:hanging="31"/>
              <w:jc w:val="center"/>
              <w:rPr>
                <w:color w:val="000000"/>
                <w:sz w:val="20"/>
              </w:rPr>
            </w:pPr>
            <w:r w:rsidRPr="005A66D8">
              <w:rPr>
                <w:color w:val="000000"/>
                <w:sz w:val="20"/>
              </w:rPr>
              <w:t>4</w:t>
            </w:r>
            <w:r>
              <w:rPr>
                <w:color w:val="000000"/>
                <w:sz w:val="20"/>
              </w:rPr>
              <w:t>,</w:t>
            </w:r>
            <w:r w:rsidRPr="005A66D8">
              <w:rPr>
                <w:color w:val="000000"/>
                <w:sz w:val="20"/>
              </w:rPr>
              <w:t>6</w:t>
            </w:r>
          </w:p>
        </w:tc>
      </w:tr>
      <w:tr w:rsidR="007043C5" w:rsidRPr="001946E0" w14:paraId="4C19D792" w14:textId="77777777" w:rsidTr="00AA6960">
        <w:trPr>
          <w:jc w:val="center"/>
        </w:trPr>
        <w:tc>
          <w:tcPr>
            <w:tcW w:w="3256" w:type="dxa"/>
          </w:tcPr>
          <w:p w14:paraId="407A41C9" w14:textId="77777777" w:rsidR="007043C5" w:rsidRPr="001946E0" w:rsidRDefault="007043C5" w:rsidP="00DA2735">
            <w:pPr>
              <w:pStyle w:val="tabteksts"/>
              <w:rPr>
                <w:color w:val="000000"/>
              </w:rPr>
            </w:pPr>
            <w:r w:rsidRPr="001946E0">
              <w:rPr>
                <w:color w:val="000000"/>
              </w:rPr>
              <w:t xml:space="preserve">10. </w:t>
            </w:r>
            <w:r w:rsidRPr="001946E0">
              <w:rPr>
                <w:snapToGrid w:val="0"/>
                <w:color w:val="000000"/>
              </w:rPr>
              <w:t xml:space="preserve">Krājumu pārmaiņas </w:t>
            </w:r>
            <w:r w:rsidRPr="001946E0">
              <w:rPr>
                <w:color w:val="000000"/>
              </w:rPr>
              <w:t xml:space="preserve">un vērtslietu iegāde </w:t>
            </w:r>
          </w:p>
        </w:tc>
        <w:tc>
          <w:tcPr>
            <w:tcW w:w="1037" w:type="dxa"/>
          </w:tcPr>
          <w:p w14:paraId="2D3A90C4" w14:textId="77777777" w:rsidR="007043C5" w:rsidRPr="001946E0" w:rsidRDefault="007043C5" w:rsidP="00DA2735">
            <w:pPr>
              <w:pStyle w:val="tabteksts"/>
              <w:rPr>
                <w:color w:val="000000"/>
              </w:rPr>
            </w:pPr>
            <w:r w:rsidRPr="001946E0">
              <w:rPr>
                <w:color w:val="000000"/>
              </w:rPr>
              <w:t>P52+P53</w:t>
            </w:r>
          </w:p>
        </w:tc>
        <w:tc>
          <w:tcPr>
            <w:tcW w:w="1037" w:type="dxa"/>
            <w:vAlign w:val="center"/>
          </w:tcPr>
          <w:p w14:paraId="3AD07363" w14:textId="77777777" w:rsidR="007043C5" w:rsidRPr="001946E0" w:rsidRDefault="007043C5" w:rsidP="00DA2735">
            <w:pPr>
              <w:jc w:val="center"/>
              <w:rPr>
                <w:color w:val="000000"/>
                <w:sz w:val="20"/>
              </w:rPr>
            </w:pPr>
            <w:r w:rsidRPr="001946E0">
              <w:rPr>
                <w:color w:val="000000"/>
                <w:sz w:val="20"/>
              </w:rPr>
              <w:t>-</w:t>
            </w:r>
          </w:p>
        </w:tc>
        <w:tc>
          <w:tcPr>
            <w:tcW w:w="741" w:type="dxa"/>
            <w:vAlign w:val="bottom"/>
          </w:tcPr>
          <w:p w14:paraId="69E7820A" w14:textId="77777777" w:rsidR="007043C5" w:rsidRPr="001946E0" w:rsidRDefault="007043C5" w:rsidP="00DA2735">
            <w:pPr>
              <w:ind w:hanging="31"/>
              <w:jc w:val="center"/>
              <w:rPr>
                <w:color w:val="000000"/>
                <w:sz w:val="20"/>
              </w:rPr>
            </w:pPr>
            <w:r w:rsidRPr="00600E15">
              <w:rPr>
                <w:color w:val="000000"/>
                <w:sz w:val="20"/>
              </w:rPr>
              <w:t>-3</w:t>
            </w:r>
            <w:r>
              <w:rPr>
                <w:color w:val="000000"/>
                <w:sz w:val="20"/>
              </w:rPr>
              <w:t>,</w:t>
            </w:r>
            <w:r w:rsidRPr="00600E15">
              <w:rPr>
                <w:color w:val="000000"/>
                <w:sz w:val="20"/>
              </w:rPr>
              <w:t>2</w:t>
            </w:r>
          </w:p>
        </w:tc>
        <w:tc>
          <w:tcPr>
            <w:tcW w:w="741" w:type="dxa"/>
            <w:vAlign w:val="bottom"/>
          </w:tcPr>
          <w:p w14:paraId="7174BB1B"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0</w:t>
            </w:r>
          </w:p>
        </w:tc>
        <w:tc>
          <w:tcPr>
            <w:tcW w:w="741" w:type="dxa"/>
            <w:vAlign w:val="bottom"/>
          </w:tcPr>
          <w:p w14:paraId="263AF638"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0</w:t>
            </w:r>
          </w:p>
        </w:tc>
        <w:tc>
          <w:tcPr>
            <w:tcW w:w="741" w:type="dxa"/>
            <w:vAlign w:val="bottom"/>
          </w:tcPr>
          <w:p w14:paraId="3F047C1D"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0</w:t>
            </w:r>
          </w:p>
        </w:tc>
        <w:tc>
          <w:tcPr>
            <w:tcW w:w="971" w:type="dxa"/>
            <w:vAlign w:val="bottom"/>
          </w:tcPr>
          <w:p w14:paraId="2A1A4019"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0</w:t>
            </w:r>
          </w:p>
        </w:tc>
      </w:tr>
      <w:tr w:rsidR="007043C5" w:rsidRPr="001946E0" w14:paraId="3938FF5B" w14:textId="77777777" w:rsidTr="00AA6960">
        <w:trPr>
          <w:jc w:val="center"/>
        </w:trPr>
        <w:tc>
          <w:tcPr>
            <w:tcW w:w="3256" w:type="dxa"/>
          </w:tcPr>
          <w:p w14:paraId="166FE9BD" w14:textId="77777777" w:rsidR="007043C5" w:rsidRPr="001946E0" w:rsidRDefault="007043C5" w:rsidP="00DA2735">
            <w:pPr>
              <w:pStyle w:val="tabteksts"/>
              <w:rPr>
                <w:color w:val="000000"/>
              </w:rPr>
            </w:pPr>
            <w:r w:rsidRPr="001946E0">
              <w:rPr>
                <w:color w:val="000000"/>
              </w:rPr>
              <w:t>11. Preču un pakalpojumu ārējā sektora bilance</w:t>
            </w:r>
          </w:p>
        </w:tc>
        <w:tc>
          <w:tcPr>
            <w:tcW w:w="1037" w:type="dxa"/>
          </w:tcPr>
          <w:p w14:paraId="5E66A823" w14:textId="77777777" w:rsidR="007043C5" w:rsidRPr="001946E0" w:rsidRDefault="007043C5" w:rsidP="00DA2735">
            <w:pPr>
              <w:pStyle w:val="tabteksts"/>
              <w:rPr>
                <w:color w:val="000000"/>
              </w:rPr>
            </w:pPr>
            <w:r w:rsidRPr="001946E0">
              <w:rPr>
                <w:color w:val="000000"/>
              </w:rPr>
              <w:t>B11</w:t>
            </w:r>
          </w:p>
        </w:tc>
        <w:tc>
          <w:tcPr>
            <w:tcW w:w="1037" w:type="dxa"/>
            <w:vAlign w:val="center"/>
          </w:tcPr>
          <w:p w14:paraId="234D3490" w14:textId="77777777" w:rsidR="007043C5" w:rsidRPr="001946E0" w:rsidRDefault="007043C5" w:rsidP="00DA2735">
            <w:pPr>
              <w:jc w:val="center"/>
              <w:rPr>
                <w:color w:val="000000"/>
                <w:sz w:val="20"/>
              </w:rPr>
            </w:pPr>
            <w:r w:rsidRPr="001946E0">
              <w:rPr>
                <w:color w:val="000000"/>
                <w:sz w:val="20"/>
              </w:rPr>
              <w:t>-</w:t>
            </w:r>
          </w:p>
        </w:tc>
        <w:tc>
          <w:tcPr>
            <w:tcW w:w="741" w:type="dxa"/>
            <w:vAlign w:val="bottom"/>
          </w:tcPr>
          <w:p w14:paraId="63E636BA" w14:textId="77777777" w:rsidR="007043C5" w:rsidRPr="001946E0" w:rsidRDefault="007043C5" w:rsidP="00DA2735">
            <w:pPr>
              <w:ind w:hanging="31"/>
              <w:jc w:val="center"/>
              <w:rPr>
                <w:color w:val="000000"/>
                <w:sz w:val="20"/>
              </w:rPr>
            </w:pPr>
            <w:r w:rsidRPr="00600E15">
              <w:rPr>
                <w:color w:val="000000"/>
                <w:sz w:val="20"/>
              </w:rPr>
              <w:t>2</w:t>
            </w:r>
            <w:r>
              <w:rPr>
                <w:color w:val="000000"/>
                <w:sz w:val="20"/>
              </w:rPr>
              <w:t>,</w:t>
            </w:r>
            <w:r w:rsidRPr="00600E15">
              <w:rPr>
                <w:color w:val="000000"/>
                <w:sz w:val="20"/>
              </w:rPr>
              <w:t>0</w:t>
            </w:r>
          </w:p>
        </w:tc>
        <w:tc>
          <w:tcPr>
            <w:tcW w:w="741" w:type="dxa"/>
            <w:vAlign w:val="bottom"/>
          </w:tcPr>
          <w:p w14:paraId="11CE632D"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3</w:t>
            </w:r>
          </w:p>
        </w:tc>
        <w:tc>
          <w:tcPr>
            <w:tcW w:w="741" w:type="dxa"/>
            <w:vAlign w:val="bottom"/>
          </w:tcPr>
          <w:p w14:paraId="35BF7483"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5</w:t>
            </w:r>
          </w:p>
        </w:tc>
        <w:tc>
          <w:tcPr>
            <w:tcW w:w="741" w:type="dxa"/>
            <w:vAlign w:val="bottom"/>
          </w:tcPr>
          <w:p w14:paraId="0CE5A427"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6</w:t>
            </w:r>
          </w:p>
        </w:tc>
        <w:tc>
          <w:tcPr>
            <w:tcW w:w="971" w:type="dxa"/>
            <w:vAlign w:val="bottom"/>
          </w:tcPr>
          <w:p w14:paraId="60D7287C" w14:textId="77777777" w:rsidR="007043C5" w:rsidRPr="005A66D8" w:rsidRDefault="007043C5" w:rsidP="00DA2735">
            <w:pPr>
              <w:ind w:hanging="31"/>
              <w:jc w:val="center"/>
              <w:rPr>
                <w:color w:val="000000"/>
                <w:sz w:val="20"/>
              </w:rPr>
            </w:pPr>
            <w:r w:rsidRPr="005A66D8">
              <w:rPr>
                <w:color w:val="000000"/>
                <w:sz w:val="20"/>
              </w:rPr>
              <w:t>-0</w:t>
            </w:r>
            <w:r>
              <w:rPr>
                <w:color w:val="000000"/>
                <w:sz w:val="20"/>
              </w:rPr>
              <w:t>,</w:t>
            </w:r>
            <w:r w:rsidRPr="005A66D8">
              <w:rPr>
                <w:color w:val="000000"/>
                <w:sz w:val="20"/>
              </w:rPr>
              <w:t>6</w:t>
            </w:r>
          </w:p>
        </w:tc>
      </w:tr>
    </w:tbl>
    <w:p w14:paraId="5AA90586" w14:textId="77777777" w:rsidR="007043C5" w:rsidRDefault="007043C5" w:rsidP="00185EE1">
      <w:pPr>
        <w:spacing w:after="0"/>
      </w:pPr>
    </w:p>
    <w:p w14:paraId="2145B9C0" w14:textId="77777777" w:rsidR="007043C5" w:rsidRPr="008937F3" w:rsidRDefault="007043C5" w:rsidP="001D4221">
      <w:pPr>
        <w:suppressAutoHyphens/>
        <w:ind w:firstLine="720"/>
      </w:pPr>
      <w:r>
        <w:t>Vidējā termiņā p</w:t>
      </w:r>
      <w:r w:rsidRPr="008937F3">
        <w:t xml:space="preserve">rivātā patēriņa pieaugums </w:t>
      </w:r>
      <w:r>
        <w:t>ir</w:t>
      </w:r>
      <w:r w:rsidRPr="008937F3">
        <w:t xml:space="preserve"> </w:t>
      </w:r>
      <w:r>
        <w:t>cieši saistīts ar</w:t>
      </w:r>
      <w:r w:rsidRPr="008937F3">
        <w:t xml:space="preserve"> iedzīvotāju ienākumu izmaiņām. </w:t>
      </w:r>
      <w:r>
        <w:t>Sagaidāms, ka prognožu periodā reālā privātā patēriņa izmaiņas būs līdzvērtīgas reālā IKP pieaugumam</w:t>
      </w:r>
      <w:r w:rsidRPr="00BE0977">
        <w:t xml:space="preserve">. </w:t>
      </w:r>
      <w:r w:rsidRPr="00BE0977">
        <w:rPr>
          <w:szCs w:val="24"/>
        </w:rPr>
        <w:t xml:space="preserve">Privātā patēriņa straujāku atjaunošanos ierobežos joprojām augstais bezdarba līmenis un </w:t>
      </w:r>
      <w:r>
        <w:rPr>
          <w:szCs w:val="24"/>
        </w:rPr>
        <w:t>joprojām augstais</w:t>
      </w:r>
      <w:r w:rsidRPr="00BE0977">
        <w:rPr>
          <w:szCs w:val="24"/>
        </w:rPr>
        <w:t xml:space="preserve"> mājsaimniecību parādu slogs. </w:t>
      </w:r>
      <w:r w:rsidRPr="00BE0977">
        <w:t>Augstais bezdarba l</w:t>
      </w:r>
      <w:r w:rsidRPr="008937F3">
        <w:t>īmeni</w:t>
      </w:r>
      <w:r>
        <w:t>s bremzēs algu pieaugumu, un sagaidāms, ka</w:t>
      </w:r>
      <w:r w:rsidRPr="008937F3">
        <w:t xml:space="preserve"> darba algas </w:t>
      </w:r>
      <w:r>
        <w:t xml:space="preserve">izmaiņas </w:t>
      </w:r>
      <w:r w:rsidRPr="008937F3">
        <w:t xml:space="preserve">vidējā termiņā </w:t>
      </w:r>
      <w:r>
        <w:t>nepārsniegs</w:t>
      </w:r>
      <w:r w:rsidRPr="008937F3">
        <w:t xml:space="preserve"> produktivitātes</w:t>
      </w:r>
      <w:r>
        <w:t xml:space="preserve"> pieaugumu. Tomēr no 2013. gada Latvijā pakāpeniski </w:t>
      </w:r>
      <w:r w:rsidR="00C73D54">
        <w:t>tiek</w:t>
      </w:r>
      <w:r>
        <w:t xml:space="preserve"> samazināts iedzīvotāju ienākumu nodoklis, kas palielinās iedzīvotāju ienākumus un sekmēs privātā patēriņa pieaugumu. Scenārija ietvaros tiek pieņemts, ka nav gaidāmas būtiskas izmaiņas mājsaimniecību uzkrājumu līmenī un kreditēšanas tendencēs, kā rezultātā privātā patēriņa pieaugums faktiskajās cenās būs vienāds ar algu fonda izmaiņām. </w:t>
      </w:r>
    </w:p>
    <w:p w14:paraId="0AF3CCF3" w14:textId="77777777" w:rsidR="007043C5" w:rsidRDefault="007043C5" w:rsidP="001D4221">
      <w:pPr>
        <w:ind w:firstLine="720"/>
      </w:pPr>
      <w:r>
        <w:t>Sabiedriskā patēriņa izmaiņas vidējā termiņā atspoguļos izvēlēto fiskālo politiku</w:t>
      </w:r>
      <w:r w:rsidRPr="005869E7">
        <w:t>. Saskaņā ar Latvijas izvirzītajiem mērķiem</w:t>
      </w:r>
      <w:r>
        <w:t xml:space="preserve"> vidējā termiņā Latvija</w:t>
      </w:r>
      <w:r w:rsidRPr="005869E7">
        <w:t xml:space="preserve"> turpinās</w:t>
      </w:r>
      <w:r>
        <w:t xml:space="preserve"> </w:t>
      </w:r>
      <w:r w:rsidR="0030767E">
        <w:t>ievērot iz</w:t>
      </w:r>
      <w:r w:rsidR="004C797A">
        <w:t>devumu pieauguma ierobežojumus s</w:t>
      </w:r>
      <w:r w:rsidR="0030767E">
        <w:t>askaņā ar Stabilitātes un Izaugsmes paktu</w:t>
      </w:r>
      <w:r>
        <w:t>, vienlaikus mazinot nodokļu slogu tautsaimniecībā. Tādējādi</w:t>
      </w:r>
      <w:r w:rsidR="004C797A">
        <w:t xml:space="preserve"> </w:t>
      </w:r>
      <w:r>
        <w:t>sabiedriskā patēriņa</w:t>
      </w:r>
      <w:r w:rsidRPr="005869E7">
        <w:t xml:space="preserve"> pieaugums </w:t>
      </w:r>
      <w:r>
        <w:t xml:space="preserve">vidējā termiņā </w:t>
      </w:r>
      <w:r w:rsidRPr="005869E7">
        <w:t>būs</w:t>
      </w:r>
      <w:r>
        <w:t xml:space="preserve"> būtiski lēnāks</w:t>
      </w:r>
      <w:r w:rsidRPr="005869E7">
        <w:t xml:space="preserve"> nekā IKP izaugsmes tempi.</w:t>
      </w:r>
    </w:p>
    <w:p w14:paraId="460A43B8" w14:textId="77777777" w:rsidR="005F00E5" w:rsidRPr="00B51348" w:rsidRDefault="007043C5" w:rsidP="00DC2EC0">
      <w:pPr>
        <w:ind w:firstLine="720"/>
      </w:pPr>
      <w:r>
        <w:t xml:space="preserve">Pēdējo divu gadu laikā Latvijā bija vērojams straujš investīciju pieaugums un kopš krīzes zemākā punkta investīciju apjoms palielinājies par 43,7%. Neskatoties uz šo izcilo pieaugumu, krīzes laikā kritums bija ļoti liels un 2012. gadā investīciju apjoms Latvijā bija tikai 2004. gada līmenī. </w:t>
      </w:r>
      <w:r w:rsidRPr="00DC2EC0">
        <w:t xml:space="preserve">Īstermiņā investīciju dinamiku ietekmēs komercbanku piesardzīgā kreditēšanas politika, bet privātā sektora investīcijas noteiks uzņēmēju nogaidošais noskaņojums attiecībā uz nākotnes perspektīvām, gaidot situācijas uzlabošanos </w:t>
      </w:r>
      <w:proofErr w:type="spellStart"/>
      <w:r w:rsidRPr="00DC2EC0">
        <w:t>eirozonā</w:t>
      </w:r>
      <w:proofErr w:type="spellEnd"/>
      <w:r w:rsidRPr="00DC2EC0">
        <w:t xml:space="preserve">. </w:t>
      </w:r>
      <w:r>
        <w:t>Vidējā termiņā tiek prognozēts gan</w:t>
      </w:r>
      <w:r w:rsidRPr="00DC13C3">
        <w:t xml:space="preserve"> iekšēj</w:t>
      </w:r>
      <w:r>
        <w:t>ā, gan</w:t>
      </w:r>
      <w:r w:rsidRPr="00DC13C3">
        <w:t xml:space="preserve"> ārēj</w:t>
      </w:r>
      <w:r>
        <w:t>ā</w:t>
      </w:r>
      <w:r w:rsidRPr="00DC13C3">
        <w:t xml:space="preserve"> pieprasījum</w:t>
      </w:r>
      <w:r>
        <w:t>a pieaugums</w:t>
      </w:r>
      <w:r w:rsidRPr="00DC13C3">
        <w:t xml:space="preserve">, </w:t>
      </w:r>
      <w:r>
        <w:t xml:space="preserve">kas kopā ar </w:t>
      </w:r>
      <w:r w:rsidRPr="00DC13C3">
        <w:t>augst</w:t>
      </w:r>
      <w:r>
        <w:t>ajiem jaudu noslodzes līmeņiem</w:t>
      </w:r>
      <w:r w:rsidRPr="00DC13C3">
        <w:t xml:space="preserve"> atsevišķās apstrādes rūpniecības apakšnozarēs</w:t>
      </w:r>
      <w:r>
        <w:t xml:space="preserve"> nozīmēs nepieciešamību pēc papildus investīcijām</w:t>
      </w:r>
      <w:r w:rsidRPr="00DC13C3">
        <w:t xml:space="preserve">. </w:t>
      </w:r>
      <w:r>
        <w:t>Ņemot vērā zemo investīciju līmeni, p</w:t>
      </w:r>
      <w:r w:rsidRPr="00DC13C3">
        <w:t xml:space="preserve">aredzams, ka </w:t>
      </w:r>
      <w:r w:rsidRPr="00DC13C3">
        <w:lastRenderedPageBreak/>
        <w:t xml:space="preserve">investīciju īpatsvars IKP turpinās palielināties, tomēr </w:t>
      </w:r>
      <w:r>
        <w:t xml:space="preserve">vidējā termiņā </w:t>
      </w:r>
      <w:r w:rsidRPr="00DC13C3">
        <w:t xml:space="preserve">tas </w:t>
      </w:r>
      <w:r>
        <w:t>saglabāsies zem pirmskrīzes līmeņa</w:t>
      </w:r>
      <w:r w:rsidRPr="00DC13C3">
        <w:t>.</w:t>
      </w:r>
      <w:r w:rsidRPr="00DC2EC0">
        <w:t xml:space="preserve"> </w:t>
      </w:r>
    </w:p>
    <w:p w14:paraId="12D4C196" w14:textId="77777777" w:rsidR="00DC2EC0" w:rsidRDefault="00DC2EC0" w:rsidP="00AA6960">
      <w:pPr>
        <w:pStyle w:val="H4"/>
        <w:ind w:left="0"/>
        <w:rPr>
          <w:rFonts w:ascii="Times New Roman" w:hAnsi="Times New Roman"/>
          <w:sz w:val="24"/>
          <w:szCs w:val="24"/>
        </w:rPr>
      </w:pPr>
    </w:p>
    <w:p w14:paraId="071365DF" w14:textId="77777777" w:rsidR="007043C5" w:rsidRPr="008B22D1" w:rsidRDefault="007043C5" w:rsidP="007043C5">
      <w:pPr>
        <w:pStyle w:val="H4"/>
        <w:rPr>
          <w:rFonts w:ascii="Times New Roman" w:hAnsi="Times New Roman"/>
          <w:sz w:val="24"/>
          <w:szCs w:val="24"/>
        </w:rPr>
      </w:pPr>
      <w:r w:rsidRPr="008B22D1">
        <w:rPr>
          <w:rFonts w:ascii="Times New Roman" w:hAnsi="Times New Roman"/>
          <w:sz w:val="24"/>
          <w:szCs w:val="24"/>
        </w:rPr>
        <w:t>Ārējais sektors</w:t>
      </w:r>
    </w:p>
    <w:p w14:paraId="0E37CF57" w14:textId="77777777" w:rsidR="007043C5" w:rsidRPr="00AE0FD9" w:rsidRDefault="007043C5" w:rsidP="001D4221">
      <w:r w:rsidRPr="00AE0FD9">
        <w:t>Pēc būtiskām tekošā konta svārstībām, ko noteica finanšu krīzes izraisītās ārējās nesabalansētības korekcijas, tekošais konts ir atgriezies Latvijas tautsaimniecībai atbilstošā ilgtspējīgā līmenī – jau otro gadu pēc kārtas tekošā konta saldo ir bijis tuvs sabalansētam ar nelielu deficītu. Ja straujās lejupslīdes laikā izmaiņas tekošajā kontā noteica ienākumu konta svārstības, tad pēdējos divos gados tekošā konta izmaiņas pamatā nosaka preču un pakalpojumu eksporta un importa izmaiņas. Neskatoties uz to, ka preču un pakalpojumu eksporta apjomi turpināja ievērojami pieaugt, 2012. gadā tekošais konts saglabāja nelielu deficītu -1,7% apmērā no prognozētā IKP, kas ir neliels uzlabojums salīdzinājumā ar 2011. gadu, kad deficīts veidoja 2,2% no IKP. Šāds tekošā konta deficīts nerada bažas par tā finansēšanu un ilgtspēju, jo to pilnībā nosedz ārvalstu tiešo investīciju ieplūdes Latvijā un no ES fondiem saņemto līdzekļu ieplūdes kapitāla kontā. Arī prognožu periodā (2013.-2016. gads) sagaidāms, ka tekošais konts būs tuvs sabalansētam</w:t>
      </w:r>
      <w:r w:rsidR="00185EE1">
        <w:t>,</w:t>
      </w:r>
      <w:r w:rsidRPr="00AE0FD9">
        <w:t xml:space="preserve"> nelielu deficītu noteiks investīciju nepieciešamība tautsaimniecības izaugsmei.</w:t>
      </w:r>
    </w:p>
    <w:p w14:paraId="0E1A0058" w14:textId="77777777" w:rsidR="007043C5" w:rsidRPr="00AE0FD9" w:rsidRDefault="007043C5" w:rsidP="001D4221">
      <w:r w:rsidRPr="00AE0FD9">
        <w:t>Importa apjomi ir tieši atkarīgi no iekšzemes pieprasījuma, ko veido privātais un valdības patēriņš, investīcijas, kā arī eksporta, kas tieši ietekmē starppatēriņa preču importu. Lai arī salīdzinoši straujo importa pieaugumu 2012. gadā pamatā noteica kapitāla un starppatēriņa preču imports, tomēr gada otrajā pusē investīciju aktivitātes mazinājās, kad</w:t>
      </w:r>
      <w:r w:rsidR="0041664E">
        <w:t>,</w:t>
      </w:r>
      <w:r w:rsidRPr="00AE0FD9">
        <w:t xml:space="preserve"> pieaugošu ārējo risku rezultātā, uzņēmēji ieņēma nogaidošu pozīciju investīciju projektu realizēšanā. </w:t>
      </w:r>
    </w:p>
    <w:p w14:paraId="168BEB3D" w14:textId="77777777" w:rsidR="007043C5" w:rsidRPr="00AE0FD9" w:rsidRDefault="007043C5" w:rsidP="001D4221">
      <w:r w:rsidRPr="00AE0FD9">
        <w:t xml:space="preserve">Stabilizējoties situācijai pasaules ekonomikā, investīciju apjomi, lai arī lēnāk nekā iepriekš, turpinās pieaugt, ko, pirmkārt, noteiks nepieciešamība pēc lielākajām ražošanas jaudām produktivitātes celšanai, </w:t>
      </w:r>
      <w:r w:rsidR="0041664E">
        <w:t>otrkārt,</w:t>
      </w:r>
      <w:r w:rsidRPr="00AE0FD9">
        <w:t xml:space="preserve"> iesākto investīciju projektu turpināšana. Investīciju pieaugumu papildus ietekmēs ES fondu plānošanas perioda beigu tuvošanās, kad līdzekļu apguves tempi, visticamāk, kļūs straujāki. Vienlaikus ienākumi no eksporta un situācijas uzlabošanās darba tirgū veicinās privātā patēriņa pieaugumu, kas</w:t>
      </w:r>
      <w:r w:rsidR="00A2034E">
        <w:t>,</w:t>
      </w:r>
      <w:r w:rsidRPr="00AE0FD9">
        <w:t xml:space="preserve"> tādējādi, ņemot vērā lielo importa preču īpatsvaru patēriņa struktūrā, dos augšupvērstu efektu importa pieaugumā. Balstoties uz iepriekš minētajiem pieņēmumiem, prognozējams, ka preču un pakalpojumu imports faktiskajās cenās 2013. gadā palielināsies par 6,2%, bet 2014. gadā – par 7,0%. </w:t>
      </w:r>
    </w:p>
    <w:p w14:paraId="10CC50A4" w14:textId="77777777" w:rsidR="007043C5" w:rsidRPr="00AE0FD9" w:rsidRDefault="007043C5" w:rsidP="001D4221">
      <w:r w:rsidRPr="00AE0FD9">
        <w:t xml:space="preserve">Neskatoties uz negatīvo ārējo fonu, ko pamatā noteica </w:t>
      </w:r>
      <w:proofErr w:type="spellStart"/>
      <w:r w:rsidRPr="00AE0FD9">
        <w:t>eirozonas</w:t>
      </w:r>
      <w:proofErr w:type="spellEnd"/>
      <w:r w:rsidRPr="00AE0FD9">
        <w:t xml:space="preserve"> valstu izaugsmes tempu palēnināšanās, Latvijas ražotāju uzlabotās konkurētspējas, eksporta tirgu diversifikācijas, kā arī vienreizēju faktoru rezultātā 2012. gadā eksporta apjomi turpināja palielināties un gada otrajā pusē sasniedza vēsturiski augstāko līmeni.</w:t>
      </w:r>
    </w:p>
    <w:p w14:paraId="093E5004" w14:textId="77777777" w:rsidR="005F323B" w:rsidRDefault="007043C5" w:rsidP="00AA6960">
      <w:r w:rsidRPr="00AE0FD9">
        <w:t xml:space="preserve">2013. gadā eksporta izaugsme būs cieši saistīta ar globālās ekonomikas attīstību. Lai arī </w:t>
      </w:r>
      <w:r w:rsidR="00E910F9">
        <w:t>EK</w:t>
      </w:r>
      <w:r w:rsidRPr="00AE0FD9">
        <w:t xml:space="preserve"> publicētās prognozes par ekonomiskās situāciju Eiropā liecina, ka mazinājušies akūtie </w:t>
      </w:r>
      <w:proofErr w:type="spellStart"/>
      <w:r w:rsidRPr="00AE0FD9">
        <w:t>eirozonas</w:t>
      </w:r>
      <w:proofErr w:type="spellEnd"/>
      <w:r w:rsidRPr="00AE0FD9">
        <w:t xml:space="preserve"> valstu parādu krīzes radītie riski, prognozējams, ka ārējais pieprasījums 2013. gadā saglabāsies zemā līmenī. Saglabājoties vājam ārējam pieprasījumam, turpinās palielināties </w:t>
      </w:r>
      <w:proofErr w:type="spellStart"/>
      <w:r w:rsidRPr="00AE0FD9">
        <w:t>ārpuscenas</w:t>
      </w:r>
      <w:proofErr w:type="spellEnd"/>
      <w:r w:rsidRPr="00AE0FD9">
        <w:t xml:space="preserve"> konkurētspējas (eksporta kvalitāte, komplicētība u.c.) faktoru nozīme tirgus daļu palielināšanā. Ja iepriekš konkurētspējas pieaugums notika uz izmaksu samazināšanās rēķina, likvidējot plaisu starp atalgojumu un produktivitāti, ko noteica nozīmīgās korekcijas darba tirgū, turpmāk uz darbaspēka izmaksu samazināšanos balstītās konkurētspējas uzlabošanas iespējas ir izsmeltas. Tādēļ, lai turpmāk nodrošinātu Latvijas eksporta konkurētspēju, izšķiroša loma būs spējai palielināt produktivitāti, kvalitatīvi uzlabojot arī eksporta struktūru. Uzlabojot konkurētspēju ražotāji turpinās diversificēt preču un pakalpojumu klāstu un paplašināt eksporta tirgu ģeogrāfiju. </w:t>
      </w:r>
      <w:r w:rsidR="00E910F9">
        <w:t>E</w:t>
      </w:r>
      <w:r w:rsidRPr="00AE0FD9">
        <w:t xml:space="preserve">ksporta nozaru koksnes un metāla izstrādājumu </w:t>
      </w:r>
      <w:r w:rsidRPr="00AE0FD9">
        <w:lastRenderedPageBreak/>
        <w:t xml:space="preserve">eksporta apjomu pieaugums turpinās samazināties, jo, pirmkārt, tās ir vairāk pakļautas ārējai konjuktūrai, otrkārt, nozaru potenciāla izmantošana būs atkarīga no tā, cik veiksmīgi tiks risinātas nozaru iekšējās problēmas. Lielo nozaru izaugsmes palēnināšanās noteiks, ka turpinās pieaugt mazo nozaru īpatsvars kopējā eksportā. Preču un pakalpojumu eksporta pieaugums faktiskajās cenās 2013. gadā tiek prognozēts 6,4% apmērā, bet 2014. gadā 7,0% apmērā. </w:t>
      </w:r>
    </w:p>
    <w:p w14:paraId="369051EA" w14:textId="77777777" w:rsidR="00AA6960" w:rsidRDefault="00AA6960" w:rsidP="00AA6960"/>
    <w:p w14:paraId="59A35B24" w14:textId="77777777" w:rsidR="007043C5" w:rsidRPr="009856BE" w:rsidRDefault="007043C5" w:rsidP="007043C5">
      <w:pPr>
        <w:pStyle w:val="H4"/>
        <w:rPr>
          <w:rFonts w:ascii="Times New Roman" w:hAnsi="Times New Roman"/>
          <w:sz w:val="24"/>
          <w:szCs w:val="24"/>
        </w:rPr>
      </w:pPr>
      <w:r w:rsidRPr="009856BE">
        <w:rPr>
          <w:rFonts w:ascii="Times New Roman" w:hAnsi="Times New Roman"/>
          <w:sz w:val="24"/>
          <w:szCs w:val="24"/>
        </w:rPr>
        <w:t>Inflācija</w:t>
      </w:r>
    </w:p>
    <w:p w14:paraId="6AEC6BD0" w14:textId="77777777" w:rsidR="007043C5" w:rsidRDefault="007043C5" w:rsidP="007043C5">
      <w:r w:rsidRPr="0010112E">
        <w:t>2012. gads kopumā ir noslēdzies ar 2,3% gada vidējo inflāciju</w:t>
      </w:r>
      <w:r>
        <w:t>. C</w:t>
      </w:r>
      <w:r w:rsidRPr="0010112E">
        <w:t>enu dinamiku 2012. gadā raksturo vāja iekšējā tirgus iet</w:t>
      </w:r>
      <w:r>
        <w:t>ekme uz patēriņa cenām un l</w:t>
      </w:r>
      <w:r w:rsidRPr="0010112E">
        <w:t>īdz ar to arī ir atbilstoši zema ietekme no pamatinflācijas uz gada inflāciju. Pārsvarā inflāciju radīja energoresursu cenu pieaugums, kas</w:t>
      </w:r>
      <w:r>
        <w:t xml:space="preserve"> tiešā veidā atspoguļojās komunālo maksājumu tarifos un degvielas cenās.</w:t>
      </w:r>
    </w:p>
    <w:p w14:paraId="0AF0EE72" w14:textId="77777777" w:rsidR="007043C5" w:rsidRDefault="007043C5" w:rsidP="007043C5">
      <w:r w:rsidRPr="00360639">
        <w:rPr>
          <w:noProof/>
          <w:lang w:eastAsia="lv-LV"/>
        </w:rPr>
        <w:drawing>
          <wp:inline distT="0" distB="0" distL="0" distR="0" wp14:anchorId="51B4CAFC" wp14:editId="1FDC0D8D">
            <wp:extent cx="5274310" cy="295658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2956581"/>
                    </a:xfrm>
                    <a:prstGeom prst="rect">
                      <a:avLst/>
                    </a:prstGeom>
                    <a:noFill/>
                    <a:ln>
                      <a:noFill/>
                    </a:ln>
                  </pic:spPr>
                </pic:pic>
              </a:graphicData>
            </a:graphic>
          </wp:inline>
        </w:drawing>
      </w:r>
    </w:p>
    <w:p w14:paraId="57F843D5" w14:textId="77777777" w:rsidR="007043C5" w:rsidRPr="00921454" w:rsidRDefault="007043C5" w:rsidP="007043C5">
      <w:pPr>
        <w:jc w:val="center"/>
        <w:rPr>
          <w:rFonts w:eastAsia="EUAlbertina-Bold-Identity-H"/>
          <w:szCs w:val="24"/>
        </w:rPr>
      </w:pPr>
      <w:r w:rsidRPr="00921454">
        <w:rPr>
          <w:rFonts w:eastAsia="EUAlbertina-Bold-Identity-H"/>
          <w:szCs w:val="24"/>
        </w:rPr>
        <w:t>2.</w:t>
      </w:r>
      <w:r>
        <w:rPr>
          <w:rFonts w:eastAsia="EUAlbertina-Bold-Identity-H"/>
          <w:szCs w:val="24"/>
        </w:rPr>
        <w:t>3</w:t>
      </w:r>
      <w:r w:rsidRPr="00921454">
        <w:rPr>
          <w:rFonts w:eastAsia="EUAlbertina-Bold-Identity-H"/>
          <w:szCs w:val="24"/>
        </w:rPr>
        <w:t xml:space="preserve">. Patēriņa cenu dinamika, pret iepriekšējā gada atbilstošo mēnesi, % </w:t>
      </w:r>
    </w:p>
    <w:p w14:paraId="6A4F39F6" w14:textId="77777777" w:rsidR="007043C5" w:rsidRDefault="007043C5" w:rsidP="001D4221">
      <w:r w:rsidRPr="00E402D0">
        <w:t>Cenu dinamiku Latvijā 2013. gadā noteiks samērā vāj</w:t>
      </w:r>
      <w:r>
        <w:t>ā</w:t>
      </w:r>
      <w:r w:rsidRPr="00E402D0">
        <w:t xml:space="preserve"> </w:t>
      </w:r>
      <w:r w:rsidRPr="0010112E">
        <w:t xml:space="preserve">ekonomikas </w:t>
      </w:r>
      <w:r>
        <w:t>attīstība</w:t>
      </w:r>
      <w:r w:rsidRPr="0010112E">
        <w:t xml:space="preserve"> </w:t>
      </w:r>
      <w:r w:rsidR="00F33ECF">
        <w:t>ES</w:t>
      </w:r>
      <w:r w:rsidRPr="0010112E">
        <w:t xml:space="preserve">, nodrošinot atbilstošu zemas inflācijas vidi. </w:t>
      </w:r>
      <w:r w:rsidRPr="007A25F5">
        <w:t>Paredzēt izmaiņas pasaules pārtikas cenu un energoresursu cenu dinamikā 2013. gadā nav pamata. Pamatinflācija</w:t>
      </w:r>
      <w:r w:rsidRPr="00E402D0">
        <w:t xml:space="preserve"> 2013. gada pirmajā pusē vēl arvien turēsies zemā līmenī, </w:t>
      </w:r>
      <w:r>
        <w:t xml:space="preserve">savukārt </w:t>
      </w:r>
      <w:r w:rsidRPr="00E402D0">
        <w:t>2013. gada otrajā pusē un 2014. gadā</w:t>
      </w:r>
      <w:r>
        <w:t xml:space="preserve"> tā </w:t>
      </w:r>
      <w:r w:rsidRPr="00E402D0">
        <w:t xml:space="preserve">varētu </w:t>
      </w:r>
      <w:r>
        <w:t xml:space="preserve">atgriezties pie normāla pieauguma - </w:t>
      </w:r>
      <w:r w:rsidRPr="007A25F5">
        <w:t>aptuveni 2,5%,</w:t>
      </w:r>
      <w:r>
        <w:t xml:space="preserve"> kas ir atbilstoši sabalansētai izaugsmei.  </w:t>
      </w:r>
    </w:p>
    <w:p w14:paraId="7C6F8EAB" w14:textId="77777777" w:rsidR="007043C5" w:rsidRDefault="007043C5" w:rsidP="001D4221">
      <w:r w:rsidRPr="00E402D0">
        <w:t xml:space="preserve">Jau kopš 2012. gada septembra Latvija izpilda Māstrihtas kritēriju, un ir </w:t>
      </w:r>
      <w:r>
        <w:t>sa</w:t>
      </w:r>
      <w:r w:rsidRPr="00E402D0">
        <w:t>gaidāms, ka Latvijas gada vidējās inflācijas rādītājs būs zem ats</w:t>
      </w:r>
      <w:r>
        <w:t xml:space="preserve">auces vērtības visu 2013. gadu un uz novērtējuma brīdi. Pastāv liela varbūtība, ka Latvija būs valsts ar trešo zemāko inflāciju </w:t>
      </w:r>
      <w:r w:rsidR="00F33ECF">
        <w:t>ES</w:t>
      </w:r>
      <w:r>
        <w:t xml:space="preserve"> jeb viena no kritēriju nosakošajām valstīm.</w:t>
      </w:r>
    </w:p>
    <w:p w14:paraId="5EC1436F" w14:textId="77777777" w:rsidR="007043C5" w:rsidRPr="005869E7" w:rsidRDefault="007043C5" w:rsidP="007043C5">
      <w:pPr>
        <w:ind w:firstLine="0"/>
      </w:pPr>
    </w:p>
    <w:p w14:paraId="3744E958" w14:textId="77777777" w:rsidR="007043C5" w:rsidRPr="009856BE" w:rsidRDefault="007043C5" w:rsidP="007043C5">
      <w:pPr>
        <w:pStyle w:val="H4"/>
        <w:rPr>
          <w:rFonts w:ascii="Times New Roman" w:hAnsi="Times New Roman"/>
          <w:sz w:val="24"/>
          <w:szCs w:val="24"/>
        </w:rPr>
      </w:pPr>
      <w:r w:rsidRPr="009856BE">
        <w:rPr>
          <w:rFonts w:ascii="Times New Roman" w:hAnsi="Times New Roman"/>
          <w:sz w:val="24"/>
          <w:szCs w:val="24"/>
        </w:rPr>
        <w:t>Darba tirgus</w:t>
      </w:r>
    </w:p>
    <w:p w14:paraId="69B89DA6" w14:textId="77777777" w:rsidR="007043C5" w:rsidRDefault="007043C5" w:rsidP="001D4221">
      <w:r w:rsidRPr="009A3783">
        <w:t>Situāciju darba tirgū pašlaik nosaka Latvijas ekonomikas atgūšanās no krīzes un pēdējos gados vērojamā</w:t>
      </w:r>
      <w:r>
        <w:t xml:space="preserve"> spēcīgā ekonomikas izaugsme. Tautsaimniecībā nodarbināto iedzīvotāju skaits palielinās jau otro gadu pēc kārtas, un 2012.gadā tas ir pieaudzis par 2,8%, sasniedzot 885,6 tūkstošus. Neskatoties uz šo pieaugumu, strādājošo iedzīvotāju skaits joprojām ir būtiski mazāks nekā tika fiksēts 2007.gadā, kad bija sasniegti visu laiku augstākie nodarbinātības rādītāji.  Atpalicība no iepriekšējo gadu rādītajiem saistīta gan ar 2011.gadā </w:t>
      </w:r>
      <w:r>
        <w:lastRenderedPageBreak/>
        <w:t xml:space="preserve">veikto tautas skaitīšanu, kas uzrādīja lielāku iedzīvotāju skaita samazināšanos emigrācijas rezultātā, kas vēl nav iekļauta iepriekšējo gadu nodarbinātības datos, gan ar salīdzinoši lēno jaunu darba vietu veidošanās procesu, kad ekonomikas izaugsme tiek sasniegta, vairāk pateicoties produktivitātes, nevis nodarbinātības pieaugumam. </w:t>
      </w:r>
    </w:p>
    <w:p w14:paraId="6A84CA7C" w14:textId="77777777" w:rsidR="007043C5" w:rsidRDefault="007043C5" w:rsidP="001D4221">
      <w:r>
        <w:t>Nodarbināto iedzīvotāju skaits 2012.gadā audzis galvenokārt privātajā sektorā, kamēr sabiedriskajā sektorā aizņemto darba vietu skaits nav palielinājies, bet vispārējās valdības sektorā fiksēts samazinājums par 1,1%. Atšķirīgā strādājošo skaita dinamika izriet no krīzes laikā piedzīvotajām izmaiņām, kad privātā sektora uzņēmēji deva priekšroku darba vietu skaita, nevis darba samaksas samazināšanai, kamēr sabiedriskajā sektorā vairāk tika samazināta darba samaksa. Pašlaik notiek atgriešanās pie iepriekšējo gadu nodarbinātības struktūras ar lielāku privātā sektora īpatsvaru, kuru stimulē arī zemais darba samaksas līmenis vispārējās valdības sektorā.</w:t>
      </w:r>
    </w:p>
    <w:p w14:paraId="0358E771" w14:textId="77777777" w:rsidR="007043C5" w:rsidRDefault="007043C5" w:rsidP="001D4221">
      <w:r>
        <w:t>Palielinoties nodarbinātībai, darba meklētāju īpatsvars 2012.gadā ir samazinājies līdz 14,9% no ekonomiski aktīvajiem iedzīvotājiem, kas ir par 1,3 procentpunktiem mazāk nekā 2011.gadā. Lai gan kritums nav pārāk straujš, papildus pozitīvs faktors ir tas, ka bezdarba līmeņa samazināšanās ir sasniegta vienlaikus ar darbaspējas vecuma iedzīvotāju ekonomiskās aktivitātes palielināšanos. Lai gan kopējais iedzīvotāju skaits 15-74 gadu vecuma grupā ir sarucis par 1,3%, ekonomiski aktīvo iedzīvotāju skaits 2012.gadā audzis par 1,3%, atspoguļojot situācijas uzlabošanos darba tirgū, kad darba meklētāju rindās atgriežas cilvēki, kas iepriekš bija atmetuši cerības atrast darbu.</w:t>
      </w:r>
    </w:p>
    <w:p w14:paraId="04B39F37" w14:textId="77777777" w:rsidR="007043C5" w:rsidRDefault="007043C5" w:rsidP="001D4221">
      <w:r>
        <w:t xml:space="preserve">Arī tuvākajos gados situāciju </w:t>
      </w:r>
      <w:r w:rsidRPr="005869E7">
        <w:t xml:space="preserve">darba tirgū turpinās pozitīvi ietekmēt ekonomikas izaugsme </w:t>
      </w:r>
      <w:r>
        <w:t>–</w:t>
      </w:r>
      <w:r w:rsidRPr="005869E7">
        <w:t xml:space="preserve"> nodarbināto iedzīvotāju skaits turpinās palielināties un darba meklētāju īpatsvars saruks. Tomēr šīs izmaiņas nebūs straujas un 201</w:t>
      </w:r>
      <w:r>
        <w:t>3.</w:t>
      </w:r>
      <w:r w:rsidRPr="005869E7">
        <w:t xml:space="preserve">gadā nodarbinātības pieaugumu palēninās </w:t>
      </w:r>
      <w:proofErr w:type="spellStart"/>
      <w:r w:rsidRPr="005869E7">
        <w:t>eirozonas</w:t>
      </w:r>
      <w:proofErr w:type="spellEnd"/>
      <w:r>
        <w:t xml:space="preserve"> ekonomiskās lejupslīdes izraisītie</w:t>
      </w:r>
      <w:r w:rsidRPr="005869E7">
        <w:t xml:space="preserve"> </w:t>
      </w:r>
      <w:r>
        <w:t>lēnākie</w:t>
      </w:r>
      <w:r w:rsidRPr="005869E7">
        <w:t xml:space="preserve"> Latvijas ekonomikas izaugsmes tempi</w:t>
      </w:r>
      <w:r>
        <w:t xml:space="preserve">. Situāciju </w:t>
      </w:r>
      <w:proofErr w:type="spellStart"/>
      <w:r>
        <w:t>jūtamāk</w:t>
      </w:r>
      <w:proofErr w:type="spellEnd"/>
      <w:r>
        <w:t xml:space="preserve"> sāks ietekmēt arī darbspējas vecuma iedzīvotāju skaita samazināšanās, un arī pēc 2013.gada</w:t>
      </w:r>
      <w:r w:rsidRPr="005869E7">
        <w:t xml:space="preserve"> nodarbināto iedzīvot</w:t>
      </w:r>
      <w:r>
        <w:t>āju skaita pieaugums būs mērens. Bezdarba līmeņa samazināšanos tuvākajos gados vājinās arī izmaiņas darbspējīgo iedzīvotāju vecuma struktūrā, kad</w:t>
      </w:r>
      <w:r w:rsidR="00F33ECF">
        <w:t>,</w:t>
      </w:r>
      <w:r>
        <w:t xml:space="preserve"> samazinoties ekonomiski mazāk aktīvo jauniešu (15-24 gadi) īpatsvaram starp visiem darbspējas vecuma iedzīvotājiem, palielināsies kopējais ekonomiskās aktivitātes līmenis.</w:t>
      </w:r>
    </w:p>
    <w:p w14:paraId="79EFA731" w14:textId="77777777" w:rsidR="007043C5" w:rsidRPr="005869E7" w:rsidRDefault="007043C5" w:rsidP="001D4221">
      <w:r w:rsidRPr="005869E7">
        <w:t>Paredzams, ka 201</w:t>
      </w:r>
      <w:r>
        <w:t>3.</w:t>
      </w:r>
      <w:r w:rsidRPr="005869E7">
        <w:t xml:space="preserve">gadā tautsaimniecībā nodarbināto iedzīvotāju skaits palielināsies par </w:t>
      </w:r>
      <w:r>
        <w:t>1,4</w:t>
      </w:r>
      <w:r w:rsidRPr="005869E7">
        <w:t>%, kamēr trīs nākamajos gados tas augs vidēji par 1,</w:t>
      </w:r>
      <w:r>
        <w:t>3</w:t>
      </w:r>
      <w:r w:rsidRPr="005869E7">
        <w:t xml:space="preserve">% gadā. Līdz </w:t>
      </w:r>
      <w:r>
        <w:t>ar to IKP</w:t>
      </w:r>
      <w:r w:rsidRPr="005869E7">
        <w:t xml:space="preserve"> pieaugumu</w:t>
      </w:r>
      <w:r w:rsidR="00F33ECF">
        <w:t>,</w:t>
      </w:r>
      <w:r w:rsidRPr="005869E7">
        <w:t xml:space="preserve"> </w:t>
      </w:r>
      <w:r>
        <w:t>tāpat kā iepriekšējos gados</w:t>
      </w:r>
      <w:r w:rsidR="00F33ECF">
        <w:t>,</w:t>
      </w:r>
      <w:r w:rsidRPr="005869E7">
        <w:t xml:space="preserve"> vairāk nodrošin</w:t>
      </w:r>
      <w:r>
        <w:t xml:space="preserve">ās produktivitātes, </w:t>
      </w:r>
      <w:r w:rsidRPr="005869E7">
        <w:t>nevis strādājošo skaita pieaugums</w:t>
      </w:r>
      <w:r>
        <w:t>.</w:t>
      </w:r>
    </w:p>
    <w:p w14:paraId="79EDF510" w14:textId="77777777" w:rsidR="007043C5" w:rsidRPr="00F4634E" w:rsidRDefault="007043C5" w:rsidP="007043C5">
      <w:pPr>
        <w:ind w:firstLine="0"/>
        <w:jc w:val="center"/>
      </w:pPr>
      <w:r w:rsidRPr="00F4634E">
        <w:rPr>
          <w:noProof/>
          <w:lang w:eastAsia="lv-LV"/>
        </w:rPr>
        <w:lastRenderedPageBreak/>
        <w:drawing>
          <wp:inline distT="0" distB="0" distL="0" distR="0" wp14:anchorId="58009231" wp14:editId="28F555F1">
            <wp:extent cx="4889800" cy="288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800" cy="2880000"/>
                    </a:xfrm>
                    <a:prstGeom prst="rect">
                      <a:avLst/>
                    </a:prstGeom>
                    <a:noFill/>
                    <a:ln>
                      <a:noFill/>
                    </a:ln>
                  </pic:spPr>
                </pic:pic>
              </a:graphicData>
            </a:graphic>
          </wp:inline>
        </w:drawing>
      </w:r>
    </w:p>
    <w:p w14:paraId="38DF672A" w14:textId="77777777" w:rsidR="007043C5" w:rsidRDefault="007043C5" w:rsidP="007043C5">
      <w:pPr>
        <w:pStyle w:val="Zpar"/>
        <w:spacing w:after="120"/>
        <w:ind w:left="0" w:right="-57" w:firstLine="0"/>
        <w:jc w:val="center"/>
        <w:rPr>
          <w:rFonts w:ascii="Times New Roman" w:hAnsi="Times New Roman"/>
          <w:i w:val="0"/>
          <w:sz w:val="24"/>
        </w:rPr>
      </w:pPr>
      <w:r w:rsidRPr="00F4634E">
        <w:rPr>
          <w:rFonts w:ascii="Times New Roman" w:hAnsi="Times New Roman"/>
          <w:i w:val="0"/>
          <w:noProof/>
          <w:sz w:val="24"/>
        </w:rPr>
        <w:t>2.</w:t>
      </w:r>
      <w:r>
        <w:rPr>
          <w:rFonts w:ascii="Times New Roman" w:hAnsi="Times New Roman"/>
          <w:i w:val="0"/>
          <w:noProof/>
          <w:sz w:val="24"/>
        </w:rPr>
        <w:t>4</w:t>
      </w:r>
      <w:r w:rsidRPr="00F4634E">
        <w:rPr>
          <w:rFonts w:ascii="Times New Roman" w:hAnsi="Times New Roman"/>
          <w:i w:val="0"/>
          <w:noProof/>
          <w:sz w:val="24"/>
        </w:rPr>
        <w:t>. att.</w:t>
      </w:r>
      <w:r w:rsidRPr="00F4634E">
        <w:rPr>
          <w:rFonts w:ascii="Times New Roman" w:hAnsi="Times New Roman"/>
          <w:i w:val="0"/>
          <w:sz w:val="24"/>
        </w:rPr>
        <w:t xml:space="preserve"> Nodarbinātība un bezdarbs 2011.–2016.gadā</w:t>
      </w:r>
    </w:p>
    <w:p w14:paraId="6D8595F0" w14:textId="77777777" w:rsidR="007043C5" w:rsidRPr="00F4634E" w:rsidRDefault="007043C5" w:rsidP="007043C5">
      <w:r w:rsidRPr="005869E7">
        <w:t>Līdz ar nodarbinātības pakāpenisku paaugstināšanos bezdarba līmenis vidējā termiņā pazemināsies, ko papildus ietekmēs arī darbspējas vecuma i</w:t>
      </w:r>
      <w:r>
        <w:t xml:space="preserve">edzīvotāju skaita samazināšanās, </w:t>
      </w:r>
      <w:r w:rsidRPr="005869E7">
        <w:t>tostarp emigrācijas rezultātā.</w:t>
      </w:r>
      <w:r>
        <w:t xml:space="preserve"> 2013.gadā sagaidāma darba meklētāju īpatsvara samazināšanās līdz 12,6% no ekonomiski aktīvajiem iedzīvotājiem, bet jau no 2015.gada bezdarba līmenis būs samazinājies zem 10%. Vienlaikus ar kopējā bezdarba līmeņa samazināšanos </w:t>
      </w:r>
      <w:r w:rsidRPr="005869E7">
        <w:t>saglabāsies salīdzinoši liels ilgstošo bezdarbnieku skaits un augsts to īpatsvars starp visiem bezdarbniekiem</w:t>
      </w:r>
      <w:r>
        <w:t>, norādot uz</w:t>
      </w:r>
      <w:r w:rsidRPr="00655303">
        <w:t xml:space="preserve"> </w:t>
      </w:r>
      <w:r w:rsidRPr="005869E7">
        <w:t>pieprasījuma un piedāvājuma neatbilstību darba tirgū un strukturālā bezdarba riskiem,</w:t>
      </w:r>
      <w:r>
        <w:t xml:space="preserve"> kas perspektīvā var izraisīt</w:t>
      </w:r>
      <w:r w:rsidRPr="00655303">
        <w:t xml:space="preserve"> </w:t>
      </w:r>
      <w:r w:rsidRPr="005869E7">
        <w:t>kvalificēta darbaspēka trūkumu atsevišķās profesijās un nozarēs.</w:t>
      </w:r>
    </w:p>
    <w:p w14:paraId="38D616AB" w14:textId="77777777" w:rsidR="007043C5" w:rsidRDefault="007043C5" w:rsidP="007043C5">
      <w:r w:rsidRPr="005869E7">
        <w:t>Ekonomiskās krīzes laikā uzņēmumiem būtiski samazinot strādājošo skaitu, racionalizējot darba procesus un ieviešot jaunas tehnoloģijas, kopš 2010. gada tautsaimniecībā ir atsācies produktivitātes pieaugums</w:t>
      </w:r>
      <w:r>
        <w:t>. Paredzams, ka produktivitātes pieaugums pēdējos divos gados sasniegtajos tempos saglabāsies arī laika posmā līdz 2016.gadam. Pēdējos četros gados produktivitāte tautsaimniecībā ir augusi straujāk par strādājošo reālo darba samaksu, veicinot Latvijas konkurētspējas pieaugumu ārējos tirgos, un sagaidāms, ka arī turpmākajos gados darba samaksas pieaugums nepārsniegs produktivitātes pieaugumu.</w:t>
      </w:r>
    </w:p>
    <w:p w14:paraId="083068FA" w14:textId="77777777" w:rsidR="007043C5" w:rsidRPr="009856BE" w:rsidRDefault="007043C5" w:rsidP="007043C5">
      <w:pPr>
        <w:pStyle w:val="H2"/>
        <w:rPr>
          <w:rFonts w:ascii="Times New Roman" w:hAnsi="Times New Roman"/>
          <w:szCs w:val="32"/>
        </w:rPr>
      </w:pPr>
      <w:bookmarkStart w:id="12" w:name="_Toc354671213"/>
      <w:r w:rsidRPr="009856BE">
        <w:rPr>
          <w:rFonts w:ascii="Times New Roman" w:hAnsi="Times New Roman"/>
          <w:szCs w:val="32"/>
        </w:rPr>
        <w:t>2.</w:t>
      </w:r>
      <w:r>
        <w:rPr>
          <w:rFonts w:ascii="Times New Roman" w:hAnsi="Times New Roman"/>
          <w:szCs w:val="32"/>
        </w:rPr>
        <w:t>4</w:t>
      </w:r>
      <w:r w:rsidRPr="009856BE">
        <w:rPr>
          <w:rFonts w:ascii="Times New Roman" w:hAnsi="Times New Roman"/>
          <w:szCs w:val="32"/>
        </w:rPr>
        <w:t>. Dalība Valūtas kursa mehānismā II</w:t>
      </w:r>
      <w:bookmarkEnd w:id="12"/>
    </w:p>
    <w:p w14:paraId="443803E7" w14:textId="532ABB97" w:rsidR="007043C5" w:rsidRDefault="007043C5" w:rsidP="001D4221">
      <w:pPr>
        <w:pStyle w:val="Normal11pt"/>
        <w:spacing w:after="120" w:line="240" w:lineRule="auto"/>
        <w:ind w:firstLine="567"/>
        <w:rPr>
          <w:b w:val="0"/>
          <w:noProof/>
          <w:sz w:val="24"/>
          <w:szCs w:val="24"/>
          <w:lang w:val="lv-LV"/>
        </w:rPr>
      </w:pPr>
      <w:r>
        <w:rPr>
          <w:b w:val="0"/>
          <w:noProof/>
          <w:sz w:val="24"/>
          <w:szCs w:val="24"/>
          <w:lang w:val="lv-LV"/>
        </w:rPr>
        <w:t xml:space="preserve">Latvija pievienojās Valūtas kursa mehānismam II 2005. gada 2. maijā, vienpusēji apņemoties ievērot pieļaujamās valūtas kursa svārstību robežas +/-1% ap centrālo paritātes kursu (1 EUR = 0.702804 LVL). </w:t>
      </w:r>
      <w:r w:rsidR="00702D7B">
        <w:rPr>
          <w:b w:val="0"/>
          <w:noProof/>
          <w:sz w:val="24"/>
          <w:szCs w:val="24"/>
          <w:lang w:val="lv-LV"/>
        </w:rPr>
        <w:t>LB</w:t>
      </w:r>
      <w:r w:rsidR="005F00E5">
        <w:rPr>
          <w:b w:val="0"/>
          <w:noProof/>
          <w:sz w:val="24"/>
          <w:szCs w:val="24"/>
          <w:lang w:val="lv-LV"/>
        </w:rPr>
        <w:t xml:space="preserve"> </w:t>
      </w:r>
      <w:r>
        <w:rPr>
          <w:b w:val="0"/>
          <w:noProof/>
          <w:sz w:val="24"/>
          <w:szCs w:val="24"/>
          <w:lang w:val="lv-LV"/>
        </w:rPr>
        <w:t xml:space="preserve">turpinās īstenot pašreizējo fiksēta valūtas kursa politiku līdz Latvijas uzņemšanai Ekonomikas un monetārajā savienībā.  </w:t>
      </w:r>
    </w:p>
    <w:p w14:paraId="33FAA0E4" w14:textId="77777777" w:rsidR="007043C5" w:rsidRDefault="007043C5" w:rsidP="001D4221">
      <w:pPr>
        <w:pStyle w:val="Normal11pt"/>
        <w:spacing w:after="120" w:line="240" w:lineRule="auto"/>
        <w:ind w:firstLine="567"/>
        <w:rPr>
          <w:b w:val="0"/>
          <w:noProof/>
          <w:sz w:val="24"/>
          <w:szCs w:val="24"/>
          <w:lang w:val="lv-LV"/>
        </w:rPr>
      </w:pPr>
      <w:r>
        <w:rPr>
          <w:b w:val="0"/>
          <w:noProof/>
          <w:sz w:val="24"/>
          <w:szCs w:val="24"/>
          <w:lang w:val="lv-LV"/>
        </w:rPr>
        <w:t xml:space="preserve">Fiskālā konsolidācija un veiktās strukturālās reformas ir ļāvušas pārstrukturēt un līdzsvarot ekonomiku, novēršot iepriekšējos straujās izaugsmes gados uzkrāto nesabalansētību. Tautsaimniecība sāka atgūties no recesijas jau 2010. gadā, bet kopš 2011. gada Latvijā vērojama veselīga un strauja izaugsme. ES/SVF vadītā </w:t>
      </w:r>
      <w:r w:rsidR="00654239">
        <w:rPr>
          <w:b w:val="0"/>
          <w:noProof/>
          <w:sz w:val="24"/>
          <w:szCs w:val="24"/>
          <w:lang w:val="lv-LV"/>
        </w:rPr>
        <w:t>Aizdevuma</w:t>
      </w:r>
      <w:r>
        <w:rPr>
          <w:b w:val="0"/>
          <w:noProof/>
          <w:sz w:val="24"/>
          <w:szCs w:val="24"/>
          <w:lang w:val="lv-LV"/>
        </w:rPr>
        <w:t xml:space="preserve"> programma, kas palīdzēja atjaunot uzticību finanšu tirgos, veiksmīgi noslēdzās 2011. gada beigās. 2012. gadā Latvija sekmīgi emitēja obligācijas starptautiskajos tirgos, ilgtermiņa un arī īstermiņa procentu likmēm sasniedzot jaunus vēsturiski zemākos līmeņus. </w:t>
      </w:r>
    </w:p>
    <w:p w14:paraId="30FB1ADA" w14:textId="77777777" w:rsidR="007043C5" w:rsidRDefault="007043C5" w:rsidP="001D4221">
      <w:pPr>
        <w:pStyle w:val="Normal11pt"/>
        <w:spacing w:after="120" w:line="240" w:lineRule="auto"/>
        <w:ind w:firstLine="567"/>
        <w:rPr>
          <w:b w:val="0"/>
          <w:noProof/>
          <w:sz w:val="24"/>
          <w:szCs w:val="24"/>
          <w:lang w:val="lv-LV"/>
        </w:rPr>
      </w:pPr>
      <w:r>
        <w:rPr>
          <w:b w:val="0"/>
          <w:noProof/>
          <w:sz w:val="24"/>
          <w:szCs w:val="24"/>
          <w:lang w:val="lv-LV"/>
        </w:rPr>
        <w:lastRenderedPageBreak/>
        <w:t xml:space="preserve">Latvijas izvēlētā krīzes pārvarēšanas stratēģija ir izrādījusies veiksmīga un tautsaimniecība ir pietiekami elastīga, lai dažu gadu laikā atgūtu konkurētspēju un pārtaptu no krīzes skartas valsts par vienu no straujāk augošajām ekonomikām Eiropā. Latvijai augsts ekonomikas pieauguma temps turpinājās arī 2012. gadā neskatoties uz to, ka eirozonā kopumā 2012. gadā bija recesija. </w:t>
      </w:r>
    </w:p>
    <w:p w14:paraId="2C41F6BC" w14:textId="77777777" w:rsidR="007043C5" w:rsidRDefault="007043C5" w:rsidP="001D4221">
      <w:pPr>
        <w:pStyle w:val="Normal11pt"/>
        <w:spacing w:after="120" w:line="240" w:lineRule="auto"/>
        <w:ind w:firstLine="567"/>
        <w:rPr>
          <w:b w:val="0"/>
          <w:noProof/>
          <w:sz w:val="24"/>
          <w:szCs w:val="24"/>
          <w:lang w:val="lv-LV"/>
        </w:rPr>
      </w:pPr>
      <w:r>
        <w:rPr>
          <w:b w:val="0"/>
          <w:noProof/>
          <w:sz w:val="24"/>
          <w:szCs w:val="24"/>
          <w:lang w:val="lv-LV"/>
        </w:rPr>
        <w:t xml:space="preserve">Kas attiecas uz politisko apņemšanos, atrodoties VKM II, veikta apjomīga fiskālā konsolidācija un strukturālās reformas, lai koriģētu pagātnē izveidoto nesabalansētību un veicinātu makroekonomisko stabilitāti un izaugsmi. Kopš 2008. gada veiktas ievērojamas fiskālās korekcijas un strukturālās reformas, savukārt 2013. gada janvārī Latvija pieņēma </w:t>
      </w:r>
      <w:r w:rsidR="005F00E5">
        <w:rPr>
          <w:b w:val="0"/>
          <w:noProof/>
          <w:sz w:val="24"/>
          <w:szCs w:val="24"/>
          <w:lang w:val="lv-LV"/>
        </w:rPr>
        <w:t>FDL</w:t>
      </w:r>
      <w:r>
        <w:rPr>
          <w:b w:val="0"/>
          <w:noProof/>
          <w:sz w:val="24"/>
          <w:szCs w:val="24"/>
          <w:lang w:val="lv-LV"/>
        </w:rPr>
        <w:t>, lai nodrošinātu fiskālo ilgtspēju arī turpmāk un neatkārtotu procikliskās fiskālās politikas kļūdas. Latvijas valdības īstenotie pasākumi sekmēja darba samaksas dinamiku, kas veicināja ekonomiskās vides ilgtspēju. Pēdējos gados notikusī izmaksu optimizācija un darba ražīguma paaugstināšana veicinājusi darba samaksas un ražīguma kāpuma atšķirības samazināšanos. Notikusi relatīvā cenu līmeņa korekcija, panākot būtisku inflācijas mazināšanos. 2013. gada janvārī Latvijā bija 3. zemākā gada inflācija starp ES dalībvalstīm. Preču tirgus cenu gaidas neliecina par cenu korekciju palielinājuma virzienā, savukārt iekšzemes pieprasījuma izaugsme ir mērena. Vidējā termiņā, turpinoties sabalansētai ekonomikas izaugsmei, darba tirgus elastīgums ļaus saglabāt zemu inflāciju veselīgas un salīdzinoši straujas ekonomiskās izaugsmes apstākļos. Pirms krīzes vērojamā tekošā konta nesabalansētība tika ātri novērsta, un tā bilance atgriezās ilgtspējīgā līmenī. Ierobežotu tekošā konta deficītu arī turpmāk ļaus saglabāt atgūtā eksporta konkurētspēja un turpmāks Latvijas eksporta tirgus daļu pieaugums galvenajās tirdzniecības partnervalstīs.</w:t>
      </w:r>
    </w:p>
    <w:p w14:paraId="79A36675" w14:textId="77777777" w:rsidR="007043C5" w:rsidRDefault="005F00E5" w:rsidP="001D4221">
      <w:pPr>
        <w:pStyle w:val="Normal11pt"/>
        <w:spacing w:after="120" w:line="240" w:lineRule="auto"/>
        <w:ind w:firstLine="567"/>
        <w:rPr>
          <w:b w:val="0"/>
          <w:noProof/>
          <w:sz w:val="24"/>
          <w:szCs w:val="24"/>
          <w:lang w:val="lv-LV"/>
        </w:rPr>
      </w:pPr>
      <w:r>
        <w:rPr>
          <w:b w:val="0"/>
          <w:noProof/>
          <w:sz w:val="24"/>
          <w:szCs w:val="24"/>
          <w:lang w:val="lv-LV"/>
        </w:rPr>
        <w:t>LB</w:t>
      </w:r>
      <w:r w:rsidR="007043C5">
        <w:rPr>
          <w:b w:val="0"/>
          <w:noProof/>
          <w:sz w:val="24"/>
          <w:szCs w:val="24"/>
          <w:lang w:val="lv-LV"/>
        </w:rPr>
        <w:t xml:space="preserve"> monetārās politikas instrumenti pēdējo gadu laikā ir tikuši harmonizēti un kopumā ir līdzīgi ECB izmantotajiem. Ņemot vērā lata piesaisti </w:t>
      </w:r>
      <w:r w:rsidR="007043C5" w:rsidRPr="005F00E5">
        <w:rPr>
          <w:b w:val="0"/>
          <w:i/>
          <w:noProof/>
          <w:sz w:val="24"/>
          <w:szCs w:val="24"/>
          <w:lang w:val="lv-LV"/>
        </w:rPr>
        <w:t>euro</w:t>
      </w:r>
      <w:r w:rsidR="007043C5">
        <w:rPr>
          <w:b w:val="0"/>
          <w:noProof/>
          <w:sz w:val="24"/>
          <w:szCs w:val="24"/>
          <w:lang w:val="lv-LV"/>
        </w:rPr>
        <w:t xml:space="preserve">, </w:t>
      </w:r>
      <w:r>
        <w:rPr>
          <w:b w:val="0"/>
          <w:noProof/>
          <w:sz w:val="24"/>
          <w:szCs w:val="24"/>
          <w:lang w:val="lv-LV"/>
        </w:rPr>
        <w:t>LB</w:t>
      </w:r>
      <w:r w:rsidR="007043C5">
        <w:rPr>
          <w:b w:val="0"/>
          <w:noProof/>
          <w:sz w:val="24"/>
          <w:szCs w:val="24"/>
          <w:lang w:val="lv-LV"/>
        </w:rPr>
        <w:t xml:space="preserve"> likviditāti nacionālajā valūtā piedāvā ierobežotā apjomā, lai nodrošinātu monetārās bāzes pilnīgu segumu ar ārvalstu valūtu un zelta rezervēm, un kredītiestādes izmanto ārvalstu valūtas intervences </w:t>
      </w:r>
      <w:r>
        <w:rPr>
          <w:b w:val="0"/>
          <w:noProof/>
          <w:sz w:val="24"/>
          <w:szCs w:val="24"/>
          <w:lang w:val="lv-LV"/>
        </w:rPr>
        <w:t>LB</w:t>
      </w:r>
      <w:r w:rsidR="007043C5">
        <w:rPr>
          <w:b w:val="0"/>
          <w:noProof/>
          <w:sz w:val="24"/>
          <w:szCs w:val="24"/>
          <w:lang w:val="lv-LV"/>
        </w:rPr>
        <w:t>, lai iegūtu ilgtermiņa resursus no centrālās bankas nacionālajā valūtā. Pēc pievienošanās EMS Latvija sāks izmantot visu ECB monetārās politikas instrumentu klāstu.</w:t>
      </w:r>
    </w:p>
    <w:p w14:paraId="0C9E8062" w14:textId="77777777" w:rsidR="007043C5" w:rsidRDefault="007043C5" w:rsidP="001D4221">
      <w:pPr>
        <w:pStyle w:val="Normal11pt"/>
        <w:spacing w:after="120" w:line="240" w:lineRule="auto"/>
        <w:ind w:firstLine="567"/>
        <w:rPr>
          <w:b w:val="0"/>
          <w:noProof/>
          <w:sz w:val="24"/>
          <w:szCs w:val="24"/>
          <w:lang w:val="lv-LV"/>
        </w:rPr>
      </w:pPr>
      <w:r>
        <w:rPr>
          <w:b w:val="0"/>
          <w:noProof/>
          <w:sz w:val="24"/>
          <w:szCs w:val="24"/>
          <w:lang w:val="lv-LV"/>
        </w:rPr>
        <w:t xml:space="preserve">Iekšzemes cenu spiedienam samazinoties, 2012. gadā </w:t>
      </w:r>
      <w:r w:rsidR="005F00E5">
        <w:rPr>
          <w:b w:val="0"/>
          <w:noProof/>
          <w:sz w:val="24"/>
          <w:szCs w:val="24"/>
          <w:lang w:val="lv-LV"/>
        </w:rPr>
        <w:t>LB</w:t>
      </w:r>
      <w:r>
        <w:rPr>
          <w:b w:val="0"/>
          <w:noProof/>
          <w:sz w:val="24"/>
          <w:szCs w:val="24"/>
          <w:lang w:val="lv-LV"/>
        </w:rPr>
        <w:t xml:space="preserve"> divos piegājienos samazināja refinansēšanas likmi no 3.5% līdz 3 un līdz 2.5%. Procentu likme noguldījumu iespējai uz nakti tika samazināta no 0.25% līdz 0.05%, bet noguldījumu iespējas uz 7 dienām likme tika samazināta attiecīgi no 0.375% līdz 0.075%. Aizdevumu iespējas uz nakti procentu likme, aizdevumu izmantojot ne vairāk kā 5 darba dienas iepriekšējās 30 dienās, tika samazināta trijos soļos no 7.5% līdz 3.0%. 2012. gada sākumā </w:t>
      </w:r>
      <w:r w:rsidR="005F00E5">
        <w:rPr>
          <w:b w:val="0"/>
          <w:noProof/>
          <w:sz w:val="24"/>
          <w:szCs w:val="24"/>
          <w:lang w:val="lv-LV"/>
        </w:rPr>
        <w:t>LB</w:t>
      </w:r>
      <w:r>
        <w:rPr>
          <w:b w:val="0"/>
          <w:noProof/>
          <w:sz w:val="24"/>
          <w:szCs w:val="24"/>
          <w:lang w:val="lv-LV"/>
        </w:rPr>
        <w:t xml:space="preserve"> par vienu procenta punktu samazināja rezervju normu: banku saistībām ar termiņu ilgāku par diviem gadiem – no 3% uz 2%, bet pārējām rezervju bāzē ietvertajām saistībām – no 5% un 4%. </w:t>
      </w:r>
    </w:p>
    <w:p w14:paraId="37AFD60A" w14:textId="77777777" w:rsidR="007043C5" w:rsidRDefault="007043C5" w:rsidP="00A84569">
      <w:pPr>
        <w:pStyle w:val="Normal11pt"/>
        <w:spacing w:line="240" w:lineRule="auto"/>
        <w:ind w:firstLine="567"/>
        <w:rPr>
          <w:b w:val="0"/>
          <w:noProof/>
          <w:sz w:val="24"/>
          <w:szCs w:val="24"/>
          <w:lang w:val="lv-LV"/>
        </w:rPr>
      </w:pPr>
      <w:r>
        <w:rPr>
          <w:b w:val="0"/>
          <w:noProof/>
          <w:sz w:val="24"/>
          <w:szCs w:val="24"/>
          <w:lang w:val="lv-LV"/>
        </w:rPr>
        <w:t xml:space="preserve">Par riska uztveres mazināšanos finanšu tirgos liecina lata naudas tirgus procentu likmju tuvošanās atbilstošajām </w:t>
      </w:r>
      <w:r w:rsidRPr="00E54AB9">
        <w:rPr>
          <w:b w:val="0"/>
          <w:i/>
          <w:noProof/>
          <w:sz w:val="24"/>
          <w:szCs w:val="24"/>
          <w:lang w:val="lv-LV"/>
        </w:rPr>
        <w:t>euro</w:t>
      </w:r>
      <w:r>
        <w:rPr>
          <w:b w:val="0"/>
          <w:noProof/>
          <w:sz w:val="24"/>
          <w:szCs w:val="24"/>
          <w:lang w:val="lv-LV"/>
        </w:rPr>
        <w:t xml:space="preserve"> naudas tirgus procentu likmēm (2013. gada marta pirmajā nedēļā 6 mēnešu RIGIBOR indekss bija samazinājies līdz 0.70%, 3 mēnešu RIGIBOR indekss – līdz 0.47%). 2012. gada decembrī Latvija emitēja 7 gadu obligācijas 1.25 miljardu ASV dolāru apmērā ar vidējo ienesīguma likmi 2.889%, kas ir vēsturiski zemākā vērtspapīru ienesīguma procentu likme kopš Latvija veic publiskus aizņēmumus starptautiskajos finanšu tirgos. Emisijas uzcenojums virs attiecīgā termiņa ASV valdības vērtspapīriem bija 188 bāzes punkti. Latvijas atgūtā piekļuve starptautiskajiem finanšu tirgus resursiem ļāva Latvijai pirms termiņa atmaksāt visu atlikušo SVF kredītu, kas bija daļa no </w:t>
      </w:r>
      <w:r w:rsidR="005F00E5">
        <w:rPr>
          <w:b w:val="0"/>
          <w:noProof/>
          <w:sz w:val="24"/>
          <w:szCs w:val="24"/>
          <w:lang w:val="lv-LV"/>
        </w:rPr>
        <w:t>Aizdevuma</w:t>
      </w:r>
      <w:r>
        <w:rPr>
          <w:b w:val="0"/>
          <w:noProof/>
          <w:sz w:val="24"/>
          <w:szCs w:val="24"/>
          <w:lang w:val="lv-LV"/>
        </w:rPr>
        <w:t xml:space="preserve"> programmas. Savukārt vietējā tirgū emitētās latu 10 gadu obligācijas vidējā likme samazinājās no 5.30% 2012. gada aprīlī līdz 3.20% 2012. gada oktobra beigās.</w:t>
      </w:r>
    </w:p>
    <w:p w14:paraId="6FB31E70" w14:textId="77777777" w:rsidR="007043C5" w:rsidRDefault="007043C5" w:rsidP="007043C5">
      <w:pPr>
        <w:pStyle w:val="Normal11pt"/>
        <w:spacing w:line="240" w:lineRule="auto"/>
        <w:rPr>
          <w:b w:val="0"/>
          <w:noProof/>
          <w:sz w:val="24"/>
          <w:szCs w:val="24"/>
          <w:lang w:val="lv-LV"/>
        </w:rPr>
      </w:pPr>
    </w:p>
    <w:p w14:paraId="45A3A29A" w14:textId="77777777" w:rsidR="007043C5" w:rsidRDefault="007043C5" w:rsidP="007043C5">
      <w:pPr>
        <w:jc w:val="right"/>
        <w:rPr>
          <w:szCs w:val="24"/>
        </w:rPr>
      </w:pPr>
      <w:r>
        <w:rPr>
          <w:szCs w:val="24"/>
        </w:rPr>
        <w:lastRenderedPageBreak/>
        <w:t xml:space="preserve">2.3. tabula </w:t>
      </w:r>
      <w:r w:rsidR="005F00E5">
        <w:rPr>
          <w:noProof/>
          <w:szCs w:val="24"/>
        </w:rPr>
        <w:t>LB</w:t>
      </w:r>
      <w:r>
        <w:rPr>
          <w:noProof/>
          <w:szCs w:val="24"/>
        </w:rPr>
        <w:t xml:space="preserve"> gada vidējās īstermiņa (starpbanku tirgus 3-mēnešu procentu likme) un ilgtermiņa (valdības 10-gadu obligāciju peļņas likme) procentu likmes prognoze</w:t>
      </w:r>
    </w:p>
    <w:tbl>
      <w:tblPr>
        <w:tblW w:w="74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340"/>
        <w:gridCol w:w="1028"/>
        <w:gridCol w:w="1028"/>
        <w:gridCol w:w="1028"/>
        <w:gridCol w:w="1028"/>
      </w:tblGrid>
      <w:tr w:rsidR="007043C5" w14:paraId="72778615" w14:textId="77777777" w:rsidTr="00AA6960">
        <w:trPr>
          <w:trHeight w:val="255"/>
          <w:jc w:val="center"/>
        </w:trPr>
        <w:tc>
          <w:tcPr>
            <w:tcW w:w="3340" w:type="dxa"/>
            <w:vAlign w:val="bottom"/>
          </w:tcPr>
          <w:p w14:paraId="31A1C7C9" w14:textId="77777777" w:rsidR="007043C5" w:rsidRDefault="007043C5" w:rsidP="00DA2735">
            <w:pPr>
              <w:jc w:val="right"/>
              <w:rPr>
                <w:sz w:val="20"/>
                <w:szCs w:val="24"/>
              </w:rPr>
            </w:pPr>
          </w:p>
        </w:tc>
        <w:tc>
          <w:tcPr>
            <w:tcW w:w="1028" w:type="dxa"/>
            <w:vAlign w:val="bottom"/>
            <w:hideMark/>
          </w:tcPr>
          <w:p w14:paraId="267A3BB1" w14:textId="77777777" w:rsidR="007043C5" w:rsidRDefault="007043C5" w:rsidP="00DA2735">
            <w:pPr>
              <w:ind w:firstLine="0"/>
              <w:jc w:val="right"/>
              <w:rPr>
                <w:sz w:val="20"/>
                <w:szCs w:val="24"/>
              </w:rPr>
            </w:pPr>
            <w:r>
              <w:rPr>
                <w:sz w:val="20"/>
                <w:szCs w:val="24"/>
              </w:rPr>
              <w:t>2013</w:t>
            </w:r>
          </w:p>
        </w:tc>
        <w:tc>
          <w:tcPr>
            <w:tcW w:w="1028" w:type="dxa"/>
            <w:noWrap/>
            <w:vAlign w:val="bottom"/>
            <w:hideMark/>
          </w:tcPr>
          <w:p w14:paraId="3A50CEB1" w14:textId="77777777" w:rsidR="007043C5" w:rsidRDefault="007043C5" w:rsidP="00DA2735">
            <w:pPr>
              <w:ind w:firstLine="0"/>
              <w:jc w:val="right"/>
              <w:rPr>
                <w:sz w:val="20"/>
                <w:szCs w:val="24"/>
              </w:rPr>
            </w:pPr>
            <w:r>
              <w:rPr>
                <w:sz w:val="20"/>
                <w:szCs w:val="24"/>
              </w:rPr>
              <w:t>2014</w:t>
            </w:r>
          </w:p>
        </w:tc>
        <w:tc>
          <w:tcPr>
            <w:tcW w:w="1028" w:type="dxa"/>
            <w:noWrap/>
            <w:vAlign w:val="bottom"/>
            <w:hideMark/>
          </w:tcPr>
          <w:p w14:paraId="49162A87" w14:textId="77777777" w:rsidR="007043C5" w:rsidRDefault="007043C5" w:rsidP="00DA2735">
            <w:pPr>
              <w:ind w:hanging="3"/>
              <w:jc w:val="right"/>
              <w:rPr>
                <w:sz w:val="20"/>
                <w:szCs w:val="24"/>
              </w:rPr>
            </w:pPr>
            <w:r>
              <w:rPr>
                <w:sz w:val="20"/>
                <w:szCs w:val="24"/>
              </w:rPr>
              <w:t>2015</w:t>
            </w:r>
          </w:p>
        </w:tc>
        <w:tc>
          <w:tcPr>
            <w:tcW w:w="1028" w:type="dxa"/>
            <w:noWrap/>
            <w:vAlign w:val="bottom"/>
            <w:hideMark/>
          </w:tcPr>
          <w:p w14:paraId="726A48CB" w14:textId="77777777" w:rsidR="007043C5" w:rsidRDefault="007043C5" w:rsidP="00DA2735">
            <w:pPr>
              <w:ind w:hanging="5"/>
              <w:jc w:val="right"/>
              <w:rPr>
                <w:sz w:val="20"/>
                <w:szCs w:val="24"/>
              </w:rPr>
            </w:pPr>
            <w:r>
              <w:rPr>
                <w:sz w:val="20"/>
                <w:szCs w:val="24"/>
              </w:rPr>
              <w:t>2016</w:t>
            </w:r>
          </w:p>
        </w:tc>
      </w:tr>
      <w:tr w:rsidR="007043C5" w14:paraId="19F625AE" w14:textId="77777777" w:rsidTr="00AA6960">
        <w:trPr>
          <w:trHeight w:val="255"/>
          <w:jc w:val="center"/>
        </w:trPr>
        <w:tc>
          <w:tcPr>
            <w:tcW w:w="3340" w:type="dxa"/>
            <w:vAlign w:val="bottom"/>
            <w:hideMark/>
          </w:tcPr>
          <w:p w14:paraId="6E5FDB06" w14:textId="77777777" w:rsidR="007043C5" w:rsidRDefault="007043C5" w:rsidP="00DA2735">
            <w:pPr>
              <w:jc w:val="right"/>
              <w:rPr>
                <w:sz w:val="20"/>
                <w:szCs w:val="24"/>
              </w:rPr>
            </w:pPr>
            <w:r>
              <w:rPr>
                <w:noProof/>
                <w:sz w:val="20"/>
                <w:szCs w:val="24"/>
              </w:rPr>
              <w:t>Īstermiņa likme (%)</w:t>
            </w:r>
          </w:p>
        </w:tc>
        <w:tc>
          <w:tcPr>
            <w:tcW w:w="1028" w:type="dxa"/>
            <w:vAlign w:val="bottom"/>
            <w:hideMark/>
          </w:tcPr>
          <w:p w14:paraId="6E6257B5" w14:textId="77777777" w:rsidR="007043C5" w:rsidRDefault="007043C5" w:rsidP="00DA2735">
            <w:pPr>
              <w:ind w:firstLine="0"/>
              <w:jc w:val="right"/>
              <w:rPr>
                <w:sz w:val="20"/>
                <w:szCs w:val="24"/>
              </w:rPr>
            </w:pPr>
            <w:r>
              <w:rPr>
                <w:sz w:val="20"/>
                <w:szCs w:val="24"/>
              </w:rPr>
              <w:t>0.25</w:t>
            </w:r>
          </w:p>
        </w:tc>
        <w:tc>
          <w:tcPr>
            <w:tcW w:w="1028" w:type="dxa"/>
            <w:noWrap/>
            <w:vAlign w:val="bottom"/>
            <w:hideMark/>
          </w:tcPr>
          <w:p w14:paraId="4DCBB590" w14:textId="77777777" w:rsidR="007043C5" w:rsidRDefault="007043C5" w:rsidP="00DA2735">
            <w:pPr>
              <w:ind w:firstLine="0"/>
              <w:jc w:val="right"/>
              <w:rPr>
                <w:sz w:val="20"/>
                <w:szCs w:val="24"/>
              </w:rPr>
            </w:pPr>
            <w:r>
              <w:rPr>
                <w:sz w:val="20"/>
                <w:szCs w:val="24"/>
              </w:rPr>
              <w:t>0.35</w:t>
            </w:r>
          </w:p>
        </w:tc>
        <w:tc>
          <w:tcPr>
            <w:tcW w:w="1028" w:type="dxa"/>
            <w:noWrap/>
            <w:vAlign w:val="bottom"/>
            <w:hideMark/>
          </w:tcPr>
          <w:p w14:paraId="1B012411" w14:textId="77777777" w:rsidR="007043C5" w:rsidRDefault="007043C5" w:rsidP="00DA2735">
            <w:pPr>
              <w:ind w:hanging="3"/>
              <w:jc w:val="right"/>
              <w:rPr>
                <w:sz w:val="20"/>
                <w:szCs w:val="24"/>
              </w:rPr>
            </w:pPr>
            <w:r>
              <w:rPr>
                <w:sz w:val="20"/>
                <w:szCs w:val="24"/>
              </w:rPr>
              <w:t>0.60 </w:t>
            </w:r>
          </w:p>
        </w:tc>
        <w:tc>
          <w:tcPr>
            <w:tcW w:w="1028" w:type="dxa"/>
            <w:noWrap/>
            <w:vAlign w:val="bottom"/>
            <w:hideMark/>
          </w:tcPr>
          <w:p w14:paraId="15D14FFC" w14:textId="77777777" w:rsidR="007043C5" w:rsidRDefault="007043C5" w:rsidP="00DA2735">
            <w:pPr>
              <w:ind w:hanging="5"/>
              <w:jc w:val="right"/>
              <w:rPr>
                <w:sz w:val="20"/>
                <w:szCs w:val="24"/>
              </w:rPr>
            </w:pPr>
            <w:r>
              <w:rPr>
                <w:sz w:val="20"/>
                <w:szCs w:val="24"/>
              </w:rPr>
              <w:t>1.00</w:t>
            </w:r>
          </w:p>
        </w:tc>
      </w:tr>
      <w:tr w:rsidR="007043C5" w14:paraId="4DF94DA7" w14:textId="77777777" w:rsidTr="00AA6960">
        <w:trPr>
          <w:trHeight w:val="255"/>
          <w:jc w:val="center"/>
        </w:trPr>
        <w:tc>
          <w:tcPr>
            <w:tcW w:w="3340" w:type="dxa"/>
            <w:vAlign w:val="bottom"/>
            <w:hideMark/>
          </w:tcPr>
          <w:p w14:paraId="1310415B" w14:textId="77777777" w:rsidR="007043C5" w:rsidRDefault="007043C5" w:rsidP="00DA2735">
            <w:pPr>
              <w:jc w:val="right"/>
              <w:rPr>
                <w:sz w:val="20"/>
                <w:szCs w:val="24"/>
              </w:rPr>
            </w:pPr>
            <w:r>
              <w:rPr>
                <w:noProof/>
                <w:sz w:val="20"/>
                <w:szCs w:val="24"/>
              </w:rPr>
              <w:t>Ilgtermiņa likme (%)</w:t>
            </w:r>
          </w:p>
        </w:tc>
        <w:tc>
          <w:tcPr>
            <w:tcW w:w="1028" w:type="dxa"/>
            <w:vAlign w:val="bottom"/>
            <w:hideMark/>
          </w:tcPr>
          <w:p w14:paraId="71A7FBEC" w14:textId="77777777" w:rsidR="007043C5" w:rsidRDefault="007043C5" w:rsidP="00DA2735">
            <w:pPr>
              <w:ind w:firstLine="0"/>
              <w:jc w:val="right"/>
              <w:rPr>
                <w:sz w:val="20"/>
                <w:szCs w:val="24"/>
              </w:rPr>
            </w:pPr>
            <w:r>
              <w:rPr>
                <w:sz w:val="20"/>
                <w:szCs w:val="24"/>
              </w:rPr>
              <w:t>3.20</w:t>
            </w:r>
          </w:p>
        </w:tc>
        <w:tc>
          <w:tcPr>
            <w:tcW w:w="1028" w:type="dxa"/>
            <w:noWrap/>
            <w:vAlign w:val="bottom"/>
            <w:hideMark/>
          </w:tcPr>
          <w:p w14:paraId="547891F5" w14:textId="77777777" w:rsidR="007043C5" w:rsidRDefault="007043C5" w:rsidP="00DA2735">
            <w:pPr>
              <w:ind w:firstLine="0"/>
              <w:jc w:val="right"/>
              <w:rPr>
                <w:sz w:val="20"/>
                <w:szCs w:val="24"/>
              </w:rPr>
            </w:pPr>
            <w:r>
              <w:rPr>
                <w:sz w:val="20"/>
                <w:szCs w:val="24"/>
              </w:rPr>
              <w:t>3.30</w:t>
            </w:r>
          </w:p>
        </w:tc>
        <w:tc>
          <w:tcPr>
            <w:tcW w:w="1028" w:type="dxa"/>
            <w:noWrap/>
            <w:vAlign w:val="bottom"/>
            <w:hideMark/>
          </w:tcPr>
          <w:p w14:paraId="30843C58" w14:textId="77777777" w:rsidR="007043C5" w:rsidRDefault="007043C5" w:rsidP="00DA2735">
            <w:pPr>
              <w:ind w:hanging="3"/>
              <w:jc w:val="right"/>
              <w:rPr>
                <w:sz w:val="20"/>
                <w:szCs w:val="24"/>
              </w:rPr>
            </w:pPr>
            <w:r>
              <w:rPr>
                <w:sz w:val="20"/>
                <w:szCs w:val="24"/>
              </w:rPr>
              <w:t>3.40</w:t>
            </w:r>
          </w:p>
        </w:tc>
        <w:tc>
          <w:tcPr>
            <w:tcW w:w="1028" w:type="dxa"/>
            <w:noWrap/>
            <w:vAlign w:val="bottom"/>
            <w:hideMark/>
          </w:tcPr>
          <w:p w14:paraId="5C0BDBBA" w14:textId="77777777" w:rsidR="007043C5" w:rsidRDefault="007043C5" w:rsidP="00DA2735">
            <w:pPr>
              <w:ind w:hanging="5"/>
              <w:jc w:val="right"/>
              <w:rPr>
                <w:sz w:val="20"/>
                <w:szCs w:val="24"/>
              </w:rPr>
            </w:pPr>
            <w:r>
              <w:rPr>
                <w:sz w:val="20"/>
                <w:szCs w:val="24"/>
              </w:rPr>
              <w:t>3.50</w:t>
            </w:r>
          </w:p>
        </w:tc>
      </w:tr>
    </w:tbl>
    <w:p w14:paraId="7024ECC3" w14:textId="77777777" w:rsidR="007043C5" w:rsidRDefault="007043C5" w:rsidP="007043C5"/>
    <w:p w14:paraId="539BE0A9" w14:textId="77777777" w:rsidR="007043C5" w:rsidRDefault="005F00E5" w:rsidP="007043C5">
      <w:r>
        <w:t>LB</w:t>
      </w:r>
      <w:r w:rsidR="007043C5">
        <w:t xml:space="preserve"> neprognozē nominālo kursu attīstību. Pieņemot, ka individuālu valūtu nominālā kursa vērtības saglabājas līdzšinējā līmenī (2013. gada februāra līmenī), 2013. gada lata nominālais efektīvais kurss būtu par 0.2% augstāks nekā vidēji 2012. gadā; 2014. gadā pret iepriekšējo gadu </w:t>
      </w:r>
      <w:r w:rsidR="007043C5">
        <w:rPr>
          <w:noProof/>
          <w:szCs w:val="24"/>
        </w:rPr>
        <w:t xml:space="preserve">– </w:t>
      </w:r>
      <w:r w:rsidR="007043C5">
        <w:t xml:space="preserve">0%. </w:t>
      </w:r>
    </w:p>
    <w:p w14:paraId="1E069BEC" w14:textId="77777777" w:rsidR="007043C5" w:rsidRPr="009856BE" w:rsidRDefault="007043C5" w:rsidP="002D62B9">
      <w:pPr>
        <w:pStyle w:val="H2"/>
        <w:rPr>
          <w:rFonts w:ascii="Times New Roman" w:hAnsi="Times New Roman"/>
          <w:szCs w:val="32"/>
        </w:rPr>
      </w:pPr>
    </w:p>
    <w:p w14:paraId="7E986F1E" w14:textId="77777777" w:rsidR="00AF1E4C" w:rsidRDefault="00283B8B" w:rsidP="002D62B9">
      <w:pPr>
        <w:pStyle w:val="PIRMAIS"/>
        <w:tabs>
          <w:tab w:val="clear" w:pos="567"/>
        </w:tabs>
        <w:ind w:left="426" w:hanging="426"/>
      </w:pPr>
      <w:bookmarkStart w:id="13" w:name="_Toc284924047"/>
      <w:bookmarkStart w:id="14" w:name="_Toc354671214"/>
      <w:bookmarkEnd w:id="9"/>
      <w:r>
        <w:lastRenderedPageBreak/>
        <w:t xml:space="preserve">3. </w:t>
      </w:r>
      <w:r w:rsidR="000F6956" w:rsidRPr="009C61B1">
        <w:t>Strukturālo reformu ietekme uz tautsaimniecību un valsts finansēm</w:t>
      </w:r>
      <w:bookmarkStart w:id="15" w:name="_Toc251917330"/>
      <w:bookmarkStart w:id="16" w:name="_Toc290024499"/>
      <w:bookmarkEnd w:id="13"/>
      <w:bookmarkEnd w:id="14"/>
    </w:p>
    <w:p w14:paraId="38EBCF8E" w14:textId="77777777" w:rsidR="002B225F" w:rsidRDefault="002B225F" w:rsidP="002D62B9">
      <w:pPr>
        <w:rPr>
          <w:szCs w:val="24"/>
        </w:rPr>
      </w:pPr>
      <w:bookmarkStart w:id="17" w:name="_Toc284924048"/>
      <w:bookmarkEnd w:id="15"/>
      <w:bookmarkEnd w:id="16"/>
    </w:p>
    <w:p w14:paraId="49864597" w14:textId="77777777" w:rsidR="00AB33D1" w:rsidRPr="004A4E17" w:rsidRDefault="00AB33D1" w:rsidP="00AB33D1">
      <w:pPr>
        <w:spacing w:before="120" w:after="0"/>
        <w:rPr>
          <w:szCs w:val="24"/>
        </w:rPr>
      </w:pPr>
      <w:bookmarkStart w:id="18" w:name="_Toc291159205"/>
      <w:bookmarkStart w:id="19" w:name="_Toc120504686"/>
      <w:bookmarkStart w:id="20" w:name="_Toc284924052"/>
      <w:bookmarkEnd w:id="17"/>
      <w:r w:rsidRPr="004A4E17">
        <w:rPr>
          <w:szCs w:val="24"/>
        </w:rPr>
        <w:t xml:space="preserve">Lai sasniegtu vispārējās valdības budžeta mērķus, tajā pašā laikā nodrošinot apstākļus ekonomikas izaugsmei vidējā termiņā, Latvijas valdība turpina īstenot strukturālās reformas šādos galvenajos virzienos: </w:t>
      </w:r>
    </w:p>
    <w:p w14:paraId="3F2884E0" w14:textId="77777777" w:rsidR="00AB33D1" w:rsidRPr="004A4E17" w:rsidRDefault="00AB33D1" w:rsidP="00AB33D1">
      <w:pPr>
        <w:pStyle w:val="ListParagraph"/>
        <w:numPr>
          <w:ilvl w:val="0"/>
          <w:numId w:val="14"/>
        </w:numPr>
        <w:spacing w:before="120" w:after="0" w:line="240" w:lineRule="auto"/>
        <w:ind w:left="0" w:firstLine="567"/>
        <w:jc w:val="both"/>
        <w:rPr>
          <w:rFonts w:ascii="Times New Roman" w:hAnsi="Times New Roman"/>
          <w:sz w:val="24"/>
          <w:szCs w:val="24"/>
        </w:rPr>
      </w:pPr>
      <w:r w:rsidRPr="004A4E17">
        <w:rPr>
          <w:rFonts w:ascii="Times New Roman" w:hAnsi="Times New Roman"/>
          <w:sz w:val="24"/>
          <w:szCs w:val="24"/>
        </w:rPr>
        <w:t>Finanšu stabilitāte</w:t>
      </w:r>
    </w:p>
    <w:p w14:paraId="107E691C" w14:textId="77777777" w:rsidR="00AB33D1" w:rsidRPr="004A4E17" w:rsidRDefault="00AB33D1" w:rsidP="00AB33D1">
      <w:pPr>
        <w:pStyle w:val="ListParagraph"/>
        <w:numPr>
          <w:ilvl w:val="0"/>
          <w:numId w:val="14"/>
        </w:numPr>
        <w:spacing w:before="120" w:after="0" w:line="240" w:lineRule="auto"/>
        <w:ind w:left="0" w:firstLine="567"/>
        <w:jc w:val="both"/>
        <w:rPr>
          <w:rFonts w:ascii="Times New Roman" w:hAnsi="Times New Roman"/>
          <w:sz w:val="24"/>
          <w:szCs w:val="24"/>
        </w:rPr>
      </w:pPr>
      <w:r w:rsidRPr="004A4E17">
        <w:rPr>
          <w:rFonts w:ascii="Times New Roman" w:hAnsi="Times New Roman"/>
          <w:sz w:val="24"/>
          <w:szCs w:val="24"/>
        </w:rPr>
        <w:t xml:space="preserve">Konkurētspējas veicināšana </w:t>
      </w:r>
    </w:p>
    <w:p w14:paraId="5C930194" w14:textId="77777777" w:rsidR="00AB33D1" w:rsidRPr="004A4E17" w:rsidRDefault="00AB33D1" w:rsidP="00AB33D1">
      <w:pPr>
        <w:pStyle w:val="ListParagraph"/>
        <w:numPr>
          <w:ilvl w:val="0"/>
          <w:numId w:val="14"/>
        </w:numPr>
        <w:spacing w:before="120" w:after="0" w:line="240" w:lineRule="auto"/>
        <w:ind w:left="0" w:firstLine="567"/>
        <w:jc w:val="both"/>
        <w:rPr>
          <w:rFonts w:ascii="Times New Roman" w:hAnsi="Times New Roman"/>
          <w:sz w:val="24"/>
          <w:szCs w:val="24"/>
        </w:rPr>
      </w:pPr>
      <w:r w:rsidRPr="004A4E17">
        <w:rPr>
          <w:rFonts w:ascii="Times New Roman" w:hAnsi="Times New Roman"/>
          <w:sz w:val="24"/>
          <w:szCs w:val="24"/>
        </w:rPr>
        <w:t xml:space="preserve">Sabalansēta sociālā sistēma un nodarbinātība </w:t>
      </w:r>
    </w:p>
    <w:p w14:paraId="0EB083A1" w14:textId="77777777" w:rsidR="00AB33D1" w:rsidRPr="004A4E17" w:rsidRDefault="00AB33D1" w:rsidP="00AB33D1">
      <w:pPr>
        <w:pStyle w:val="ListParagraph"/>
        <w:numPr>
          <w:ilvl w:val="0"/>
          <w:numId w:val="14"/>
        </w:numPr>
        <w:spacing w:before="120" w:after="0" w:line="240" w:lineRule="auto"/>
        <w:ind w:left="0" w:firstLine="567"/>
        <w:jc w:val="both"/>
        <w:rPr>
          <w:rFonts w:ascii="Times New Roman" w:hAnsi="Times New Roman"/>
          <w:sz w:val="24"/>
          <w:szCs w:val="24"/>
        </w:rPr>
      </w:pPr>
      <w:r w:rsidRPr="004A4E17">
        <w:rPr>
          <w:rFonts w:ascii="Times New Roman" w:hAnsi="Times New Roman"/>
          <w:sz w:val="24"/>
          <w:szCs w:val="24"/>
        </w:rPr>
        <w:t xml:space="preserve">Veselības aprūpe </w:t>
      </w:r>
    </w:p>
    <w:p w14:paraId="24B66A71" w14:textId="77777777" w:rsidR="00AB33D1" w:rsidRPr="004A4E17" w:rsidRDefault="00AB33D1" w:rsidP="00AB33D1">
      <w:pPr>
        <w:pStyle w:val="ListParagraph"/>
        <w:numPr>
          <w:ilvl w:val="0"/>
          <w:numId w:val="14"/>
        </w:numPr>
        <w:spacing w:before="120" w:after="0" w:line="240" w:lineRule="auto"/>
        <w:ind w:left="0" w:firstLine="567"/>
        <w:jc w:val="both"/>
        <w:rPr>
          <w:rFonts w:ascii="Times New Roman" w:hAnsi="Times New Roman"/>
          <w:sz w:val="24"/>
          <w:szCs w:val="24"/>
        </w:rPr>
      </w:pPr>
      <w:r w:rsidRPr="004A4E17">
        <w:rPr>
          <w:rFonts w:ascii="Times New Roman" w:hAnsi="Times New Roman"/>
          <w:sz w:val="24"/>
          <w:szCs w:val="24"/>
        </w:rPr>
        <w:t xml:space="preserve">Izglītība un zinātne </w:t>
      </w:r>
    </w:p>
    <w:p w14:paraId="051E3850" w14:textId="77777777" w:rsidR="00AB33D1" w:rsidRPr="004A4E17" w:rsidRDefault="00AB33D1" w:rsidP="00AB33D1">
      <w:pPr>
        <w:spacing w:before="120" w:after="0"/>
        <w:rPr>
          <w:szCs w:val="24"/>
        </w:rPr>
      </w:pPr>
      <w:r w:rsidRPr="004A4E17">
        <w:rPr>
          <w:szCs w:val="24"/>
        </w:rPr>
        <w:t>Konverģences programmā iekļautās reformas ir vērstas gan uz izaugsmes veicināšanu, gan budžeta līdzekļu efektīvāku izmantošanu, nodrošinot budžeta deficīta samazināšanu. Konverģences programmā iekļautajām strukturālajām reformām būs tieša ietekme uz Latvijas tautsaimniecības attīstību un valsts finansēm. Tomēr, ņemot vērā, ka atsevišķās reformu jomās vēl notiek aktīvas diskusijas par optimālākajiem risinājumiem un konkrēti lēmumi vēl nav pieņemti, šobrīd nav iespējams aprēķināt pilnīgu un precīzu visu reformu ietekmi uz ekonomiku un valsts finansēm. Jāatzīmē, ka reformu īstenošanā liela nozīme ir pieejamajam ES fondu finansējumam.</w:t>
      </w:r>
    </w:p>
    <w:p w14:paraId="7362FE92" w14:textId="77777777" w:rsidR="00AB33D1" w:rsidRPr="004A4E17" w:rsidRDefault="00AB33D1" w:rsidP="00AB33D1">
      <w:pPr>
        <w:spacing w:before="120" w:after="0"/>
        <w:rPr>
          <w:szCs w:val="24"/>
        </w:rPr>
      </w:pPr>
      <w:r w:rsidRPr="004A4E17">
        <w:rPr>
          <w:szCs w:val="24"/>
        </w:rPr>
        <w:t xml:space="preserve">Plašāk strukturālo reformu virzieni, kā arī plānotie pasākumi 2013.-2016. gadam, ir aprakstīti </w:t>
      </w:r>
      <w:r w:rsidR="004A04CA">
        <w:rPr>
          <w:szCs w:val="24"/>
        </w:rPr>
        <w:t>NRP</w:t>
      </w:r>
      <w:r w:rsidRPr="004A4E17">
        <w:rPr>
          <w:szCs w:val="24"/>
        </w:rPr>
        <w:t xml:space="preserve">. </w:t>
      </w:r>
    </w:p>
    <w:p w14:paraId="37CD1901" w14:textId="77777777" w:rsidR="00AB33D1" w:rsidRPr="004A4E17" w:rsidRDefault="00AB33D1" w:rsidP="00AB33D1">
      <w:pPr>
        <w:spacing w:before="120" w:after="0"/>
        <w:rPr>
          <w:szCs w:val="24"/>
        </w:rPr>
      </w:pPr>
      <w:r w:rsidRPr="004A4E17">
        <w:rPr>
          <w:szCs w:val="24"/>
        </w:rPr>
        <w:t xml:space="preserve">Sadaļa ir sagatavota, izmantojot no Valsts kancelejas un nozaru ministrijām saņemto informāciju. </w:t>
      </w:r>
    </w:p>
    <w:p w14:paraId="52451FD7" w14:textId="77777777" w:rsidR="00AB33D1" w:rsidRPr="004A04CA" w:rsidRDefault="00AB33D1" w:rsidP="00AB33D1">
      <w:pPr>
        <w:pStyle w:val="H3"/>
        <w:spacing w:before="360" w:after="0"/>
        <w:ind w:left="0" w:firstLine="567"/>
        <w:rPr>
          <w:rFonts w:ascii="Times New Roman" w:hAnsi="Times New Roman"/>
          <w:sz w:val="32"/>
          <w:szCs w:val="32"/>
        </w:rPr>
      </w:pPr>
      <w:bookmarkStart w:id="21" w:name="_Toc354671215"/>
      <w:bookmarkStart w:id="22" w:name="_Toc291075981"/>
      <w:r w:rsidRPr="004A04CA">
        <w:rPr>
          <w:rFonts w:ascii="Times New Roman" w:hAnsi="Times New Roman"/>
          <w:sz w:val="32"/>
          <w:szCs w:val="32"/>
        </w:rPr>
        <w:t>3.1. Finanšu stabilitāte</w:t>
      </w:r>
      <w:bookmarkEnd w:id="21"/>
    </w:p>
    <w:p w14:paraId="40E36B33" w14:textId="77777777" w:rsidR="00AB33D1" w:rsidRPr="004A04CA" w:rsidRDefault="00AB33D1" w:rsidP="00642049">
      <w:pPr>
        <w:pStyle w:val="ListParagraph"/>
        <w:spacing w:before="120" w:after="0" w:line="240" w:lineRule="auto"/>
        <w:ind w:left="0" w:firstLine="360"/>
        <w:contextualSpacing w:val="0"/>
        <w:jc w:val="both"/>
        <w:rPr>
          <w:rFonts w:ascii="Times New Roman" w:hAnsi="Times New Roman"/>
          <w:sz w:val="24"/>
          <w:szCs w:val="24"/>
        </w:rPr>
      </w:pPr>
      <w:r w:rsidRPr="004A04CA">
        <w:rPr>
          <w:rFonts w:ascii="Times New Roman" w:hAnsi="Times New Roman"/>
          <w:noProof/>
          <w:sz w:val="24"/>
          <w:szCs w:val="24"/>
          <w:u w:val="single"/>
        </w:rPr>
        <w:t>Fiskālās disciplīnas stiprināšana</w:t>
      </w:r>
      <w:r w:rsidRPr="004A04CA">
        <w:rPr>
          <w:rFonts w:ascii="Times New Roman" w:hAnsi="Times New Roman"/>
          <w:noProof/>
          <w:sz w:val="24"/>
          <w:szCs w:val="24"/>
        </w:rPr>
        <w:t xml:space="preserve">. </w:t>
      </w:r>
      <w:r w:rsidRPr="004A04CA">
        <w:rPr>
          <w:rFonts w:ascii="Times New Roman" w:hAnsi="Times New Roman"/>
          <w:sz w:val="24"/>
          <w:szCs w:val="24"/>
        </w:rPr>
        <w:t xml:space="preserve">Pasākuma mērķis ir nacionālā tiesiskā regulējuma stiprināšana, lai nodrošinātu ilgtspējīgas, </w:t>
      </w:r>
      <w:proofErr w:type="spellStart"/>
      <w:r w:rsidRPr="004A04CA">
        <w:rPr>
          <w:rFonts w:ascii="Times New Roman" w:hAnsi="Times New Roman"/>
          <w:sz w:val="24"/>
          <w:szCs w:val="24"/>
        </w:rPr>
        <w:t>pretcikliskas</w:t>
      </w:r>
      <w:proofErr w:type="spellEnd"/>
      <w:r w:rsidRPr="004A04CA">
        <w:rPr>
          <w:rFonts w:ascii="Times New Roman" w:hAnsi="Times New Roman"/>
          <w:sz w:val="24"/>
          <w:szCs w:val="24"/>
        </w:rPr>
        <w:t xml:space="preserve"> fiskālās politikas veidošanu, stiprinot vidēja termiņa budžeta plānošanu, kā arī paredzot skaidrus nosacījumus fiskālo mērķu definēšanai. No 2013.gada 6.marta ir spēkā FDL un v</w:t>
      </w:r>
      <w:r w:rsidRPr="004A04CA">
        <w:rPr>
          <w:rFonts w:ascii="Times New Roman" w:hAnsi="Times New Roman"/>
          <w:color w:val="000000" w:themeColor="text1"/>
          <w:sz w:val="24"/>
          <w:szCs w:val="24"/>
          <w:lang w:eastAsia="lv-LV"/>
        </w:rPr>
        <w:t>idēja termiņa budžeta ietvara likums 2014.-2016.</w:t>
      </w:r>
      <w:r w:rsidRPr="00865197">
        <w:rPr>
          <w:rFonts w:ascii="Times New Roman" w:hAnsi="Times New Roman"/>
          <w:color w:val="000000" w:themeColor="text1"/>
          <w:sz w:val="24"/>
          <w:szCs w:val="24"/>
          <w:lang w:eastAsia="lv-LV"/>
        </w:rPr>
        <w:t xml:space="preserve">gadam tiks izstrādāts saskaņā ar FDL prasībām. </w:t>
      </w:r>
      <w:r w:rsidRPr="00865197">
        <w:rPr>
          <w:rFonts w:ascii="Times New Roman" w:hAnsi="Times New Roman"/>
          <w:sz w:val="24"/>
          <w:szCs w:val="24"/>
        </w:rPr>
        <w:t xml:space="preserve">FDL un </w:t>
      </w:r>
      <w:r w:rsidRPr="00865197">
        <w:rPr>
          <w:rFonts w:ascii="Times New Roman" w:hAnsi="Times New Roman"/>
          <w:noProof/>
          <w:sz w:val="24"/>
          <w:szCs w:val="24"/>
        </w:rPr>
        <w:t xml:space="preserve">vidējā termiņa budžeta ietvara likuma ikgadējas izstrādes </w:t>
      </w:r>
      <w:r w:rsidRPr="00865197">
        <w:rPr>
          <w:rFonts w:ascii="Times New Roman" w:hAnsi="Times New Roman"/>
          <w:sz w:val="24"/>
          <w:szCs w:val="24"/>
        </w:rPr>
        <w:t xml:space="preserve"> ietekme uz valsts budžetu, kā arī uz tautsaimniecību ir vērtējamā kā būtiska, jo paredz </w:t>
      </w:r>
      <w:proofErr w:type="spellStart"/>
      <w:r w:rsidRPr="00865197">
        <w:rPr>
          <w:rFonts w:ascii="Times New Roman" w:hAnsi="Times New Roman"/>
          <w:sz w:val="24"/>
          <w:szCs w:val="24"/>
        </w:rPr>
        <w:t>pretciklisku</w:t>
      </w:r>
      <w:proofErr w:type="spellEnd"/>
      <w:r w:rsidRPr="00865197">
        <w:rPr>
          <w:rFonts w:ascii="Times New Roman" w:hAnsi="Times New Roman"/>
          <w:sz w:val="24"/>
          <w:szCs w:val="24"/>
        </w:rPr>
        <w:t xml:space="preserve"> fiskālo politiku, fiskālās disciplīnas ievērošanu un vidēja termiņa budžeta plānošanu, kas ilgtermiņā nodrošinās stabilu un ilgtspējīgu valsts finanšu attīstību</w:t>
      </w:r>
      <w:r w:rsidR="00AF5CCD" w:rsidRPr="00865197">
        <w:rPr>
          <w:rFonts w:ascii="Times New Roman" w:hAnsi="Times New Roman"/>
          <w:sz w:val="24"/>
          <w:lang w:val="lv-LV"/>
        </w:rPr>
        <w:t xml:space="preserve">. </w:t>
      </w:r>
      <w:r w:rsidRPr="00865197">
        <w:rPr>
          <w:rFonts w:ascii="Times New Roman" w:hAnsi="Times New Roman"/>
          <w:noProof/>
          <w:sz w:val="24"/>
          <w:szCs w:val="24"/>
        </w:rPr>
        <w:t xml:space="preserve">Stingrāka fiskālā regulējuma rezultātā tiks nodrošināta valsts finanšu stabilitāte ilgtermiņā un sekmēta vispārējās valdības budžeta deficīta un valsts parāda apmēra atbilstība Māstrihtas kritērijiem un Stabilitātes un izaugsmes pakta prasībām. </w:t>
      </w:r>
      <w:r w:rsidRPr="00865197">
        <w:rPr>
          <w:rFonts w:ascii="Times New Roman" w:hAnsi="Times New Roman"/>
          <w:sz w:val="24"/>
          <w:szCs w:val="24"/>
        </w:rPr>
        <w:t>Jaunais fiskālais regulējums paredz arī finanšu rezervju uzkrāšanu krīzes situācijām, kas ļaus nodrošināties ar iekšējiem finanšu resursiem un mazinās nepieciešamību veikt aizņēmumus ārējos finanšu tirgos. Tāpat ir svarīgi atzīmēt</w:t>
      </w:r>
      <w:r w:rsidRPr="004A04CA">
        <w:rPr>
          <w:rFonts w:ascii="Times New Roman" w:hAnsi="Times New Roman"/>
          <w:sz w:val="24"/>
          <w:szCs w:val="24"/>
        </w:rPr>
        <w:t>, ka fiskālās politikas plānošana vidējā termiņā nozīmē paredzamu nodokļu un valsts budžeta izdevumu politiku, rada prognozējamu uzņēmējdarbības vidi, tādējādi atvieglojot gan vietējo, gan ārvalstu uzņēmēju darbības plānošanu un ilgtermiņa lēmumu pieņemšanu.</w:t>
      </w:r>
    </w:p>
    <w:p w14:paraId="6F94532C" w14:textId="4A0D736E" w:rsidR="00E22700" w:rsidRPr="00E22700" w:rsidRDefault="00E22700" w:rsidP="00E22700">
      <w:pPr>
        <w:pStyle w:val="ListParagraph"/>
        <w:spacing w:before="120" w:after="0" w:line="240" w:lineRule="auto"/>
        <w:ind w:left="0" w:firstLine="709"/>
        <w:contextualSpacing w:val="0"/>
        <w:jc w:val="both"/>
        <w:rPr>
          <w:rFonts w:ascii="Times New Roman" w:hAnsi="Times New Roman"/>
          <w:sz w:val="24"/>
          <w:szCs w:val="24"/>
        </w:rPr>
      </w:pPr>
      <w:r w:rsidRPr="00E22700">
        <w:rPr>
          <w:rFonts w:ascii="Times New Roman" w:hAnsi="Times New Roman"/>
          <w:sz w:val="24"/>
          <w:szCs w:val="24"/>
          <w:u w:val="single"/>
        </w:rPr>
        <w:t>Sociālās apdrošināšanas sistēmas attīstība</w:t>
      </w:r>
      <w:r w:rsidRPr="00E22700">
        <w:rPr>
          <w:rFonts w:ascii="Times New Roman" w:hAnsi="Times New Roman"/>
          <w:sz w:val="24"/>
          <w:szCs w:val="24"/>
        </w:rPr>
        <w:t xml:space="preserve">. Pasākuma mērķis ir nodrošināt sociālās apdrošināšanas sistēmas stabilitāti vidējā un ilgtermiņā. Pasākums paredz sociālās apdrošināšanas sistēmas izdevumu pārstrukturēšanu, lai pielāgotos demogrāfiskajām </w:t>
      </w:r>
      <w:r w:rsidRPr="00E22700">
        <w:rPr>
          <w:rFonts w:ascii="Times New Roman" w:hAnsi="Times New Roman"/>
          <w:sz w:val="24"/>
          <w:szCs w:val="24"/>
        </w:rPr>
        <w:lastRenderedPageBreak/>
        <w:t xml:space="preserve">tendencēm un nodrošinātu sistēmas ilgtspēju. Lai nodrošinātu iepriekšminēto mērķu sasniegšanu, </w:t>
      </w:r>
      <w:r w:rsidR="00C0704C">
        <w:rPr>
          <w:rFonts w:ascii="Times New Roman" w:hAnsi="Times New Roman"/>
          <w:sz w:val="24"/>
          <w:szCs w:val="24"/>
        </w:rPr>
        <w:t>2012.gadā stājās spēkā grozījum</w:t>
      </w:r>
      <w:r w:rsidR="00C0704C">
        <w:rPr>
          <w:rFonts w:ascii="Times New Roman" w:hAnsi="Times New Roman"/>
          <w:sz w:val="24"/>
          <w:szCs w:val="24"/>
          <w:lang w:val="lv-LV"/>
        </w:rPr>
        <w:t>i</w:t>
      </w:r>
      <w:r w:rsidRPr="00E22700">
        <w:rPr>
          <w:rFonts w:ascii="Times New Roman" w:hAnsi="Times New Roman"/>
          <w:sz w:val="24"/>
          <w:szCs w:val="24"/>
        </w:rPr>
        <w:t xml:space="preserve"> likumā „Par valsts pensijām” paredzot šādas būtiskākās izmaiņas:</w:t>
      </w:r>
    </w:p>
    <w:p w14:paraId="2847C269" w14:textId="360A1A4A" w:rsidR="0030767E" w:rsidRPr="00E22700" w:rsidRDefault="0030767E" w:rsidP="0030767E">
      <w:pPr>
        <w:pStyle w:val="ListParagraph"/>
        <w:numPr>
          <w:ilvl w:val="0"/>
          <w:numId w:val="16"/>
        </w:numPr>
        <w:spacing w:before="120" w:after="0" w:line="240" w:lineRule="auto"/>
        <w:jc w:val="both"/>
        <w:rPr>
          <w:rFonts w:ascii="Times New Roman" w:hAnsi="Times New Roman"/>
          <w:sz w:val="24"/>
          <w:szCs w:val="24"/>
        </w:rPr>
      </w:pPr>
      <w:r w:rsidRPr="00E22700">
        <w:rPr>
          <w:rFonts w:ascii="Times New Roman" w:hAnsi="Times New Roman"/>
          <w:sz w:val="24"/>
          <w:szCs w:val="24"/>
        </w:rPr>
        <w:t>Pensionēšanās vecuma pakāpeniska paaugstināšana līdz 65 gadiem ar 2014.gada 1.janvāri: katru gadu par 3 mēnešiem līdz tiks sasniegti 65 gadi 2025.gadā. Fiskālā ietekme: ietaupījums 2014.g</w:t>
      </w:r>
      <w:r w:rsidR="00E54AB9">
        <w:rPr>
          <w:rFonts w:ascii="Times New Roman" w:hAnsi="Times New Roman"/>
          <w:sz w:val="24"/>
          <w:szCs w:val="24"/>
        </w:rPr>
        <w:t>adā 7,9 milj.latu (11,3 milj. </w:t>
      </w:r>
      <w:proofErr w:type="spellStart"/>
      <w:r w:rsidR="00E54AB9" w:rsidRPr="00E54AB9">
        <w:rPr>
          <w:rFonts w:ascii="Times New Roman" w:hAnsi="Times New Roman"/>
          <w:i/>
          <w:sz w:val="24"/>
          <w:szCs w:val="24"/>
        </w:rPr>
        <w:t>e</w:t>
      </w:r>
      <w:r w:rsidR="00E54AB9" w:rsidRPr="00E54AB9">
        <w:rPr>
          <w:rFonts w:ascii="Times New Roman" w:hAnsi="Times New Roman"/>
          <w:i/>
          <w:sz w:val="24"/>
          <w:szCs w:val="24"/>
          <w:lang w:val="lv-LV"/>
        </w:rPr>
        <w:t>u</w:t>
      </w:r>
      <w:r w:rsidRPr="00E54AB9">
        <w:rPr>
          <w:rFonts w:ascii="Times New Roman" w:hAnsi="Times New Roman"/>
          <w:i/>
          <w:sz w:val="24"/>
          <w:szCs w:val="24"/>
        </w:rPr>
        <w:t>ro</w:t>
      </w:r>
      <w:proofErr w:type="spellEnd"/>
      <w:r w:rsidRPr="00E22700">
        <w:rPr>
          <w:rFonts w:ascii="Times New Roman" w:hAnsi="Times New Roman"/>
          <w:sz w:val="24"/>
          <w:szCs w:val="24"/>
        </w:rPr>
        <w:t>) un 2015.ga</w:t>
      </w:r>
      <w:r w:rsidR="00E54AB9">
        <w:rPr>
          <w:rFonts w:ascii="Times New Roman" w:hAnsi="Times New Roman"/>
          <w:sz w:val="24"/>
          <w:szCs w:val="24"/>
        </w:rPr>
        <w:t>dā 17,0 milj.latu (24,2 milj. </w:t>
      </w:r>
      <w:proofErr w:type="spellStart"/>
      <w:r w:rsidR="00E54AB9" w:rsidRPr="00E54AB9">
        <w:rPr>
          <w:rFonts w:ascii="Times New Roman" w:hAnsi="Times New Roman"/>
          <w:i/>
          <w:sz w:val="24"/>
          <w:szCs w:val="24"/>
        </w:rPr>
        <w:t>e</w:t>
      </w:r>
      <w:r w:rsidR="00E54AB9" w:rsidRPr="00E54AB9">
        <w:rPr>
          <w:rFonts w:ascii="Times New Roman" w:hAnsi="Times New Roman"/>
          <w:i/>
          <w:sz w:val="24"/>
          <w:szCs w:val="24"/>
          <w:lang w:val="lv-LV"/>
        </w:rPr>
        <w:t>u</w:t>
      </w:r>
      <w:r w:rsidRPr="00E54AB9">
        <w:rPr>
          <w:rFonts w:ascii="Times New Roman" w:hAnsi="Times New Roman"/>
          <w:i/>
          <w:sz w:val="24"/>
          <w:szCs w:val="24"/>
        </w:rPr>
        <w:t>ro</w:t>
      </w:r>
      <w:proofErr w:type="spellEnd"/>
      <w:r w:rsidRPr="00E22700">
        <w:rPr>
          <w:rFonts w:ascii="Times New Roman" w:hAnsi="Times New Roman"/>
          <w:sz w:val="24"/>
          <w:szCs w:val="24"/>
        </w:rPr>
        <w:t>);</w:t>
      </w:r>
    </w:p>
    <w:p w14:paraId="63FA00B2" w14:textId="39EE78EA" w:rsidR="0030767E" w:rsidRPr="00E22700" w:rsidRDefault="0030767E" w:rsidP="0030767E">
      <w:pPr>
        <w:pStyle w:val="ListParagraph"/>
        <w:numPr>
          <w:ilvl w:val="0"/>
          <w:numId w:val="16"/>
        </w:numPr>
        <w:spacing w:before="120" w:after="0" w:line="240" w:lineRule="auto"/>
        <w:jc w:val="both"/>
        <w:rPr>
          <w:rFonts w:ascii="Times New Roman" w:hAnsi="Times New Roman"/>
          <w:sz w:val="24"/>
          <w:szCs w:val="24"/>
        </w:rPr>
      </w:pPr>
      <w:r w:rsidRPr="00E22700">
        <w:rPr>
          <w:rFonts w:ascii="Times New Roman" w:hAnsi="Times New Roman"/>
          <w:sz w:val="24"/>
          <w:szCs w:val="24"/>
        </w:rPr>
        <w:t>Vienlaicīgi ar pensionēšanās vecuma paaugstināšanu, priekšlaicīgās pensionēšanās vecuma paaugstināšana sākot ar 2014.gada 1.janvāri. Fiskālā ietekme: ietaupījums 2014.</w:t>
      </w:r>
      <w:r w:rsidR="00E54AB9">
        <w:rPr>
          <w:rFonts w:ascii="Times New Roman" w:hAnsi="Times New Roman"/>
          <w:sz w:val="24"/>
          <w:szCs w:val="24"/>
        </w:rPr>
        <w:t>gadā 1,3 milj.latu (1,8 milj. </w:t>
      </w:r>
      <w:proofErr w:type="spellStart"/>
      <w:r w:rsidR="00E54AB9" w:rsidRPr="00E54AB9">
        <w:rPr>
          <w:rFonts w:ascii="Times New Roman" w:hAnsi="Times New Roman"/>
          <w:i/>
          <w:sz w:val="24"/>
          <w:szCs w:val="24"/>
        </w:rPr>
        <w:t>e</w:t>
      </w:r>
      <w:r w:rsidR="00E54AB9" w:rsidRPr="00E54AB9">
        <w:rPr>
          <w:rFonts w:ascii="Times New Roman" w:hAnsi="Times New Roman"/>
          <w:i/>
          <w:sz w:val="24"/>
          <w:szCs w:val="24"/>
          <w:lang w:val="lv-LV"/>
        </w:rPr>
        <w:t>u</w:t>
      </w:r>
      <w:r w:rsidRPr="00E54AB9">
        <w:rPr>
          <w:rFonts w:ascii="Times New Roman" w:hAnsi="Times New Roman"/>
          <w:i/>
          <w:sz w:val="24"/>
          <w:szCs w:val="24"/>
        </w:rPr>
        <w:t>ro</w:t>
      </w:r>
      <w:proofErr w:type="spellEnd"/>
      <w:r w:rsidRPr="00E22700">
        <w:rPr>
          <w:rFonts w:ascii="Times New Roman" w:hAnsi="Times New Roman"/>
          <w:sz w:val="24"/>
          <w:szCs w:val="24"/>
        </w:rPr>
        <w:t>) un 2015.gadā 2,7 milj.latu (3,8 milj. </w:t>
      </w:r>
      <w:proofErr w:type="spellStart"/>
      <w:r w:rsidR="00E54AB9" w:rsidRPr="00E54AB9">
        <w:rPr>
          <w:rFonts w:ascii="Times New Roman" w:hAnsi="Times New Roman"/>
          <w:i/>
          <w:sz w:val="24"/>
          <w:szCs w:val="24"/>
        </w:rPr>
        <w:t>e</w:t>
      </w:r>
      <w:r w:rsidR="00E54AB9" w:rsidRPr="00E54AB9">
        <w:rPr>
          <w:rFonts w:ascii="Times New Roman" w:hAnsi="Times New Roman"/>
          <w:i/>
          <w:sz w:val="24"/>
          <w:szCs w:val="24"/>
          <w:lang w:val="lv-LV"/>
        </w:rPr>
        <w:t>u</w:t>
      </w:r>
      <w:r w:rsidR="00E54AB9" w:rsidRPr="00E54AB9">
        <w:rPr>
          <w:rFonts w:ascii="Times New Roman" w:hAnsi="Times New Roman"/>
          <w:i/>
          <w:sz w:val="24"/>
          <w:szCs w:val="24"/>
        </w:rPr>
        <w:t>ro</w:t>
      </w:r>
      <w:proofErr w:type="spellEnd"/>
      <w:r w:rsidRPr="00E22700">
        <w:rPr>
          <w:rFonts w:ascii="Times New Roman" w:hAnsi="Times New Roman"/>
          <w:sz w:val="24"/>
          <w:szCs w:val="24"/>
        </w:rPr>
        <w:t>);</w:t>
      </w:r>
    </w:p>
    <w:p w14:paraId="08F9A29B" w14:textId="0326BD96" w:rsidR="0030767E" w:rsidRPr="00E22700" w:rsidRDefault="0030767E" w:rsidP="0030767E">
      <w:pPr>
        <w:pStyle w:val="ListParagraph"/>
        <w:numPr>
          <w:ilvl w:val="0"/>
          <w:numId w:val="16"/>
        </w:numPr>
        <w:spacing w:before="120" w:after="0" w:line="240" w:lineRule="auto"/>
        <w:jc w:val="both"/>
        <w:rPr>
          <w:rFonts w:ascii="Times New Roman" w:hAnsi="Times New Roman"/>
          <w:sz w:val="24"/>
          <w:szCs w:val="24"/>
        </w:rPr>
      </w:pPr>
      <w:r w:rsidRPr="00E22700">
        <w:rPr>
          <w:rFonts w:ascii="Times New Roman" w:hAnsi="Times New Roman"/>
          <w:sz w:val="24"/>
          <w:szCs w:val="24"/>
        </w:rPr>
        <w:t>Minimālā apdrošināšanas stāža palielināšana tiesībām uz valsts vecuma pensiju līdz 15 gadiem, sākot ar 2014.gada 1.janvāri, un līdz 20 gadiem, sākot ar 2025.gada 1.janvāri. Fiskālā ietekme: ietaupījums 2014.gadā 0,1 milj.latu (0,1 milj. </w:t>
      </w:r>
      <w:proofErr w:type="spellStart"/>
      <w:r w:rsidR="00E54AB9" w:rsidRPr="00E54AB9">
        <w:rPr>
          <w:rFonts w:ascii="Times New Roman" w:hAnsi="Times New Roman"/>
          <w:i/>
          <w:sz w:val="24"/>
          <w:szCs w:val="24"/>
        </w:rPr>
        <w:t>e</w:t>
      </w:r>
      <w:r w:rsidR="00E54AB9" w:rsidRPr="00E54AB9">
        <w:rPr>
          <w:rFonts w:ascii="Times New Roman" w:hAnsi="Times New Roman"/>
          <w:i/>
          <w:sz w:val="24"/>
          <w:szCs w:val="24"/>
          <w:lang w:val="lv-LV"/>
        </w:rPr>
        <w:t>u</w:t>
      </w:r>
      <w:r w:rsidR="00E54AB9" w:rsidRPr="00E54AB9">
        <w:rPr>
          <w:rFonts w:ascii="Times New Roman" w:hAnsi="Times New Roman"/>
          <w:i/>
          <w:sz w:val="24"/>
          <w:szCs w:val="24"/>
        </w:rPr>
        <w:t>ro</w:t>
      </w:r>
      <w:proofErr w:type="spellEnd"/>
      <w:r w:rsidRPr="00E22700">
        <w:rPr>
          <w:rFonts w:ascii="Times New Roman" w:hAnsi="Times New Roman"/>
          <w:sz w:val="24"/>
          <w:szCs w:val="24"/>
        </w:rPr>
        <w:t>) un 2015.gadā 0,3 milj.latu (0,4 milj. </w:t>
      </w:r>
      <w:proofErr w:type="spellStart"/>
      <w:r w:rsidR="00E54AB9" w:rsidRPr="00E54AB9">
        <w:rPr>
          <w:rFonts w:ascii="Times New Roman" w:hAnsi="Times New Roman"/>
          <w:i/>
          <w:sz w:val="24"/>
          <w:szCs w:val="24"/>
        </w:rPr>
        <w:t>e</w:t>
      </w:r>
      <w:r w:rsidR="00E54AB9" w:rsidRPr="00E54AB9">
        <w:rPr>
          <w:rFonts w:ascii="Times New Roman" w:hAnsi="Times New Roman"/>
          <w:i/>
          <w:sz w:val="24"/>
          <w:szCs w:val="24"/>
          <w:lang w:val="lv-LV"/>
        </w:rPr>
        <w:t>u</w:t>
      </w:r>
      <w:r w:rsidR="00E54AB9" w:rsidRPr="00E54AB9">
        <w:rPr>
          <w:rFonts w:ascii="Times New Roman" w:hAnsi="Times New Roman"/>
          <w:i/>
          <w:sz w:val="24"/>
          <w:szCs w:val="24"/>
        </w:rPr>
        <w:t>ro</w:t>
      </w:r>
      <w:proofErr w:type="spellEnd"/>
      <w:r w:rsidRPr="00E22700">
        <w:rPr>
          <w:rFonts w:ascii="Times New Roman" w:hAnsi="Times New Roman"/>
          <w:sz w:val="24"/>
          <w:szCs w:val="24"/>
        </w:rPr>
        <w:t>);</w:t>
      </w:r>
    </w:p>
    <w:p w14:paraId="6BDFC409" w14:textId="77777777" w:rsidR="00E22700" w:rsidRPr="00E22700" w:rsidRDefault="00E22700" w:rsidP="00E22700">
      <w:pPr>
        <w:pStyle w:val="ListParagraph"/>
        <w:numPr>
          <w:ilvl w:val="0"/>
          <w:numId w:val="16"/>
        </w:numPr>
        <w:spacing w:before="120" w:after="0" w:line="240" w:lineRule="auto"/>
        <w:jc w:val="both"/>
        <w:rPr>
          <w:rFonts w:ascii="Times New Roman" w:hAnsi="Times New Roman"/>
          <w:sz w:val="24"/>
          <w:szCs w:val="24"/>
        </w:rPr>
      </w:pPr>
      <w:r w:rsidRPr="00E22700">
        <w:rPr>
          <w:rFonts w:ascii="Times New Roman" w:hAnsi="Times New Roman"/>
          <w:sz w:val="24"/>
          <w:szCs w:val="24"/>
        </w:rPr>
        <w:t xml:space="preserve">Sociālās apdrošināšanas speciālā budžeta atslogošana no tam neraksturīgām (ar sociālās apdrošināšanas iemaksām nesegtām) izmaksām – piemaksas pie vecuma un invaliditātes pensijām, to izmaksu virzot uz valsts pamatbudžetu, sākot ar 2014.gadu. </w:t>
      </w:r>
    </w:p>
    <w:p w14:paraId="02708229" w14:textId="25F6FDE0" w:rsidR="00E22700" w:rsidRPr="00E22700" w:rsidRDefault="00E22700" w:rsidP="00E22700">
      <w:pPr>
        <w:spacing w:before="120" w:after="0"/>
        <w:rPr>
          <w:szCs w:val="24"/>
        </w:rPr>
      </w:pPr>
      <w:r w:rsidRPr="00E22700">
        <w:rPr>
          <w:szCs w:val="24"/>
        </w:rPr>
        <w:t>Tāpat 2012.gadā tika pieņemti grozījumi Valsts fondēto pensiju likumā, paredzot, ka sociālās apdrošināšanas iemaksu likme valsts fondēto pensiju shēmā 2013.gadā ir 4%, 2014.gadā ir 4%, 2015.gadā ir 5%</w:t>
      </w:r>
      <w:r w:rsidR="00C7620F">
        <w:rPr>
          <w:szCs w:val="24"/>
        </w:rPr>
        <w:t>, 2016.gadā</w:t>
      </w:r>
      <w:r w:rsidRPr="00E22700">
        <w:rPr>
          <w:szCs w:val="24"/>
        </w:rPr>
        <w:t xml:space="preserve"> un turpmāk – 6%. Saistībā ar iemaksu likmes valsts fondēto pensiju shēmā palielināšanu, salīdzinot ar 2012.gadā noteikto iemaksu likmi (2%), sociālās apdrošināšanas iemaksas valsts speciālajā budžetā pret 2012.gada budžetā plānoto samazinātos par 59,7 milj. latu (85,0 milj.</w:t>
      </w:r>
      <w:r w:rsidR="00E54AB9" w:rsidRPr="00E54AB9">
        <w:rPr>
          <w:i/>
          <w:szCs w:val="24"/>
        </w:rPr>
        <w:t xml:space="preserve"> </w:t>
      </w:r>
      <w:proofErr w:type="spellStart"/>
      <w:r w:rsidR="00E54AB9" w:rsidRPr="00E54AB9">
        <w:rPr>
          <w:i/>
          <w:szCs w:val="24"/>
        </w:rPr>
        <w:t>euro</w:t>
      </w:r>
      <w:proofErr w:type="spellEnd"/>
      <w:r w:rsidRPr="00E22700">
        <w:rPr>
          <w:szCs w:val="24"/>
        </w:rPr>
        <w:t>) 2013.gadā, 93,3 milj. latu (132,8 milj.</w:t>
      </w:r>
      <w:r w:rsidR="00E54AB9" w:rsidRPr="00E54AB9">
        <w:rPr>
          <w:i/>
          <w:szCs w:val="24"/>
        </w:rPr>
        <w:t xml:space="preserve"> </w:t>
      </w:r>
      <w:proofErr w:type="spellStart"/>
      <w:r w:rsidR="00E54AB9" w:rsidRPr="00E54AB9">
        <w:rPr>
          <w:i/>
          <w:szCs w:val="24"/>
        </w:rPr>
        <w:t>euro</w:t>
      </w:r>
      <w:proofErr w:type="spellEnd"/>
      <w:r w:rsidRPr="00E22700">
        <w:rPr>
          <w:szCs w:val="24"/>
        </w:rPr>
        <w:t>) 2014.gadā un 130,3 milj. latu (185,4 milj.</w:t>
      </w:r>
      <w:r w:rsidR="00E54AB9" w:rsidRPr="00E54AB9">
        <w:rPr>
          <w:i/>
          <w:szCs w:val="24"/>
        </w:rPr>
        <w:t xml:space="preserve"> </w:t>
      </w:r>
      <w:proofErr w:type="spellStart"/>
      <w:r w:rsidR="00E54AB9" w:rsidRPr="00E54AB9">
        <w:rPr>
          <w:i/>
          <w:szCs w:val="24"/>
        </w:rPr>
        <w:t>euro</w:t>
      </w:r>
      <w:proofErr w:type="spellEnd"/>
      <w:r w:rsidRPr="00E22700">
        <w:rPr>
          <w:szCs w:val="24"/>
        </w:rPr>
        <w:t>) 2015.gadā.</w:t>
      </w:r>
    </w:p>
    <w:p w14:paraId="313E2029" w14:textId="77777777" w:rsidR="00AB33D1" w:rsidRPr="00C82D6F" w:rsidRDefault="00AB33D1" w:rsidP="00AB33D1">
      <w:pPr>
        <w:pStyle w:val="H3"/>
        <w:spacing w:before="360" w:after="0"/>
        <w:ind w:left="0" w:firstLine="567"/>
        <w:rPr>
          <w:rFonts w:ascii="Times New Roman" w:hAnsi="Times New Roman"/>
          <w:sz w:val="32"/>
          <w:szCs w:val="32"/>
        </w:rPr>
      </w:pPr>
      <w:bookmarkStart w:id="23" w:name="_Toc354671216"/>
      <w:r w:rsidRPr="00C82D6F">
        <w:rPr>
          <w:rFonts w:ascii="Times New Roman" w:hAnsi="Times New Roman"/>
          <w:sz w:val="32"/>
          <w:szCs w:val="32"/>
        </w:rPr>
        <w:t>3.2. Konkurētspējas veicināšana</w:t>
      </w:r>
      <w:bookmarkEnd w:id="22"/>
      <w:bookmarkEnd w:id="23"/>
      <w:r w:rsidRPr="00C82D6F">
        <w:rPr>
          <w:rFonts w:ascii="Times New Roman" w:hAnsi="Times New Roman"/>
          <w:sz w:val="32"/>
          <w:szCs w:val="32"/>
        </w:rPr>
        <w:t xml:space="preserve"> </w:t>
      </w:r>
    </w:p>
    <w:p w14:paraId="37648064" w14:textId="77777777" w:rsidR="00AB33D1" w:rsidRPr="00FF2E0A" w:rsidRDefault="00AB33D1" w:rsidP="00AB33D1">
      <w:pPr>
        <w:spacing w:before="120" w:after="0"/>
        <w:rPr>
          <w:b/>
          <w:i/>
        </w:rPr>
      </w:pPr>
      <w:r w:rsidRPr="00FF2E0A">
        <w:rPr>
          <w:b/>
          <w:i/>
        </w:rPr>
        <w:t>3.2.1. Uzņēmējdarbības vide, t.sk. valsts pārvaldes modernizācija</w:t>
      </w:r>
    </w:p>
    <w:p w14:paraId="259E4F5A" w14:textId="77777777" w:rsidR="00AB33D1" w:rsidRPr="00C82D6F" w:rsidRDefault="00AB33D1" w:rsidP="00642049">
      <w:pPr>
        <w:spacing w:before="120"/>
        <w:ind w:firstLine="360"/>
        <w:rPr>
          <w:szCs w:val="24"/>
        </w:rPr>
      </w:pPr>
      <w:r w:rsidRPr="00C82D6F">
        <w:rPr>
          <w:szCs w:val="24"/>
          <w:u w:val="single"/>
        </w:rPr>
        <w:t>Administratīvo šķēršļu mazināšana.</w:t>
      </w:r>
      <w:r w:rsidRPr="00C82D6F">
        <w:rPr>
          <w:szCs w:val="24"/>
        </w:rPr>
        <w:t xml:space="preserve"> Pasākuma mērķis ir sadarbībā ar uzņēmējiem pilnveidot uzņēmējdarbības vides regulējošo normatīvo aktu bāzi un attīstīt uzņēmēju vajadzībām atbilstošus elektroniskos pakalpojumus. 2012. gadā</w:t>
      </w:r>
      <w:r w:rsidRPr="00C82D6F">
        <w:rPr>
          <w:b/>
          <w:szCs w:val="24"/>
        </w:rPr>
        <w:t xml:space="preserve"> </w:t>
      </w:r>
      <w:r w:rsidRPr="00C82D6F">
        <w:rPr>
          <w:szCs w:val="24"/>
        </w:rPr>
        <w:t>veikti šādi nozīmīgi pasākumi:</w:t>
      </w:r>
    </w:p>
    <w:p w14:paraId="4556ED10" w14:textId="4A98287E" w:rsidR="00AB33D1" w:rsidRPr="00AF5CCD" w:rsidRDefault="00AB33D1" w:rsidP="007D72A1">
      <w:pPr>
        <w:pStyle w:val="ListParagraph"/>
        <w:numPr>
          <w:ilvl w:val="0"/>
          <w:numId w:val="18"/>
        </w:numPr>
        <w:spacing w:before="120" w:after="0" w:line="240" w:lineRule="auto"/>
        <w:ind w:left="714" w:hanging="357"/>
        <w:jc w:val="both"/>
        <w:rPr>
          <w:rFonts w:ascii="Times New Roman" w:hAnsi="Times New Roman"/>
          <w:sz w:val="24"/>
          <w:szCs w:val="24"/>
        </w:rPr>
      </w:pPr>
      <w:r w:rsidRPr="00C82D6F">
        <w:rPr>
          <w:rFonts w:ascii="Times New Roman" w:hAnsi="Times New Roman"/>
          <w:sz w:val="24"/>
          <w:szCs w:val="24"/>
        </w:rPr>
        <w:t xml:space="preserve">Ieviesta uzņēmumu elektroniskā reģistrēšana Komercreģistrā ar portāla </w:t>
      </w:r>
      <w:hyperlink r:id="rId59" w:history="1">
        <w:r w:rsidRPr="00C82D6F">
          <w:rPr>
            <w:rStyle w:val="Hyperlink"/>
            <w:rFonts w:ascii="Times New Roman" w:hAnsi="Times New Roman"/>
            <w:sz w:val="24"/>
            <w:szCs w:val="24"/>
          </w:rPr>
          <w:t>www.latvija.lv</w:t>
        </w:r>
      </w:hyperlink>
      <w:r w:rsidRPr="00C82D6F">
        <w:rPr>
          <w:rFonts w:ascii="Times New Roman" w:hAnsi="Times New Roman"/>
          <w:sz w:val="24"/>
          <w:szCs w:val="24"/>
        </w:rPr>
        <w:t xml:space="preserve"> starpniecību, uzņēmēja e-iesniegums arī ietver pieteikšanos nodokļa maksātāja statusa iegūšanai </w:t>
      </w:r>
      <w:r w:rsidR="00485817" w:rsidRPr="00AF5CCD">
        <w:rPr>
          <w:rFonts w:ascii="Times New Roman" w:hAnsi="Times New Roman"/>
          <w:sz w:val="24"/>
          <w:lang w:val="lv-LV"/>
        </w:rPr>
        <w:t>V</w:t>
      </w:r>
      <w:r w:rsidRPr="00C82D6F">
        <w:rPr>
          <w:rFonts w:ascii="Times New Roman" w:hAnsi="Times New Roman"/>
          <w:sz w:val="24"/>
          <w:szCs w:val="24"/>
        </w:rPr>
        <w:t xml:space="preserve">ID, </w:t>
      </w:r>
      <w:r w:rsidRPr="00AF5CCD">
        <w:rPr>
          <w:rFonts w:ascii="Times New Roman" w:hAnsi="Times New Roman"/>
          <w:sz w:val="24"/>
          <w:szCs w:val="24"/>
        </w:rPr>
        <w:t>līdz ar to uzņēmējdarbību var uzsākt jau nākamajā dienā;</w:t>
      </w:r>
    </w:p>
    <w:p w14:paraId="32D14F96" w14:textId="77777777" w:rsidR="007D72A1" w:rsidRPr="007D72A1" w:rsidRDefault="007D72A1" w:rsidP="007D72A1">
      <w:pPr>
        <w:numPr>
          <w:ilvl w:val="0"/>
          <w:numId w:val="18"/>
        </w:numPr>
        <w:spacing w:after="0"/>
        <w:ind w:left="714" w:hanging="357"/>
        <w:rPr>
          <w:iCs/>
          <w:szCs w:val="24"/>
        </w:rPr>
      </w:pPr>
      <w:r w:rsidRPr="007D72A1">
        <w:rPr>
          <w:iCs/>
          <w:szCs w:val="24"/>
          <w:lang w:val="x-none"/>
        </w:rPr>
        <w:t xml:space="preserve">Saeimā </w:t>
      </w:r>
      <w:r w:rsidRPr="007D72A1">
        <w:rPr>
          <w:iCs/>
          <w:szCs w:val="24"/>
        </w:rPr>
        <w:t>3</w:t>
      </w:r>
      <w:r w:rsidRPr="007D72A1">
        <w:rPr>
          <w:iCs/>
          <w:szCs w:val="24"/>
          <w:lang w:val="x-none"/>
        </w:rPr>
        <w:t>.lasījumā tiek skatīts Būvniecības likumprojekts, kas paredz samazināt būvniecības procesa ilgumu</w:t>
      </w:r>
      <w:r w:rsidRPr="007D72A1">
        <w:rPr>
          <w:iCs/>
          <w:szCs w:val="24"/>
        </w:rPr>
        <w:t>.</w:t>
      </w:r>
    </w:p>
    <w:p w14:paraId="22E6FFFE" w14:textId="77777777" w:rsidR="00AB33D1" w:rsidRPr="00C82D6F" w:rsidRDefault="00AB33D1" w:rsidP="007D72A1">
      <w:pPr>
        <w:pStyle w:val="ListParagraph"/>
        <w:numPr>
          <w:ilvl w:val="0"/>
          <w:numId w:val="18"/>
        </w:numPr>
        <w:spacing w:after="0" w:line="240" w:lineRule="auto"/>
        <w:ind w:left="714" w:hanging="357"/>
        <w:jc w:val="both"/>
        <w:rPr>
          <w:rFonts w:ascii="Times New Roman" w:hAnsi="Times New Roman"/>
          <w:sz w:val="24"/>
          <w:szCs w:val="24"/>
        </w:rPr>
      </w:pPr>
      <w:r w:rsidRPr="00AF5CCD">
        <w:rPr>
          <w:rFonts w:ascii="Times New Roman" w:hAnsi="Times New Roman"/>
          <w:color w:val="000000"/>
          <w:sz w:val="24"/>
          <w:szCs w:val="24"/>
        </w:rPr>
        <w:t>Ieviesta e-kase – uzņēmumiem nav jāsniedz izziņas valsts iestādēs</w:t>
      </w:r>
      <w:r w:rsidRPr="00C82D6F">
        <w:rPr>
          <w:rFonts w:ascii="Times New Roman" w:hAnsi="Times New Roman"/>
          <w:color w:val="000000"/>
          <w:sz w:val="24"/>
          <w:szCs w:val="24"/>
        </w:rPr>
        <w:t xml:space="preserve"> par veikto nodokļu, nodevu un maksas pakalpojumu nomaksu, tāpat, pateicoties līdz šim vienkāršotajām prasībām nodokļu jomā samazinājies uzņēmējiem nodokļu nomaksa</w:t>
      </w:r>
      <w:r w:rsidR="00485817" w:rsidRPr="00AF5CCD">
        <w:rPr>
          <w:rFonts w:ascii="Times New Roman" w:hAnsi="Times New Roman"/>
          <w:color w:val="000000"/>
          <w:sz w:val="24"/>
          <w:lang w:val="lv-LV"/>
        </w:rPr>
        <w:t>i</w:t>
      </w:r>
      <w:r w:rsidRPr="00C82D6F">
        <w:rPr>
          <w:rFonts w:ascii="Times New Roman" w:hAnsi="Times New Roman"/>
          <w:color w:val="000000"/>
          <w:sz w:val="24"/>
          <w:szCs w:val="24"/>
        </w:rPr>
        <w:t xml:space="preserve"> nepieciešamais laiks no 290 līdz 260 stundām;</w:t>
      </w:r>
    </w:p>
    <w:p w14:paraId="12F7663A" w14:textId="77777777" w:rsidR="00AB33D1" w:rsidRPr="00C82D6F" w:rsidRDefault="00AB33D1" w:rsidP="00C82D6F">
      <w:pPr>
        <w:pStyle w:val="ListParagraph"/>
        <w:numPr>
          <w:ilvl w:val="0"/>
          <w:numId w:val="18"/>
        </w:numPr>
        <w:spacing w:before="120" w:after="120" w:line="240" w:lineRule="auto"/>
        <w:jc w:val="both"/>
        <w:rPr>
          <w:rFonts w:ascii="Times New Roman" w:hAnsi="Times New Roman"/>
          <w:sz w:val="24"/>
          <w:szCs w:val="24"/>
        </w:rPr>
      </w:pPr>
      <w:r w:rsidRPr="00C82D6F">
        <w:rPr>
          <w:rFonts w:ascii="Times New Roman" w:hAnsi="Times New Roman"/>
          <w:sz w:val="24"/>
          <w:szCs w:val="24"/>
        </w:rPr>
        <w:t>Saīsināts komersanta reģistrēšanas l</w:t>
      </w:r>
      <w:r w:rsidR="00642049">
        <w:rPr>
          <w:rFonts w:ascii="Times New Roman" w:hAnsi="Times New Roman"/>
          <w:sz w:val="24"/>
          <w:szCs w:val="24"/>
        </w:rPr>
        <w:t>aiks</w:t>
      </w:r>
      <w:r w:rsidR="00642049" w:rsidRPr="00AF5CCD">
        <w:rPr>
          <w:rFonts w:ascii="Times New Roman" w:hAnsi="Times New Roman"/>
          <w:sz w:val="24"/>
          <w:lang w:val="lv-LV"/>
        </w:rPr>
        <w:t xml:space="preserve"> </w:t>
      </w:r>
      <w:r w:rsidR="00485817" w:rsidRPr="00AF5CCD">
        <w:rPr>
          <w:rFonts w:ascii="Times New Roman" w:hAnsi="Times New Roman"/>
          <w:sz w:val="24"/>
          <w:lang w:val="lv-LV"/>
        </w:rPr>
        <w:t>VID</w:t>
      </w:r>
      <w:r w:rsidRPr="00C82D6F">
        <w:rPr>
          <w:rFonts w:ascii="Times New Roman" w:hAnsi="Times New Roman"/>
          <w:sz w:val="24"/>
          <w:szCs w:val="24"/>
        </w:rPr>
        <w:t xml:space="preserve"> pievienotās vērtības nodokļa maksātāju reģistrā no 10 darbdienām uz 5 darbdienām, saskaņā ar izmaiņām </w:t>
      </w:r>
      <w:r w:rsidRPr="00C82D6F">
        <w:rPr>
          <w:rFonts w:ascii="Times New Roman" w:hAnsi="Times New Roman"/>
          <w:i/>
          <w:sz w:val="24"/>
          <w:szCs w:val="24"/>
        </w:rPr>
        <w:t>Pievienotās vērtības nodokļa likumā</w:t>
      </w:r>
      <w:r w:rsidRPr="00C82D6F">
        <w:rPr>
          <w:rFonts w:ascii="Times New Roman" w:hAnsi="Times New Roman"/>
          <w:sz w:val="24"/>
          <w:szCs w:val="24"/>
        </w:rPr>
        <w:t>, kas stājās spēkā 2013.gada 1.janvārī;</w:t>
      </w:r>
    </w:p>
    <w:p w14:paraId="38198654" w14:textId="77777777" w:rsidR="00AB33D1" w:rsidRPr="00C82D6F" w:rsidRDefault="00AB33D1" w:rsidP="00C82D6F">
      <w:pPr>
        <w:pStyle w:val="ListParagraph"/>
        <w:numPr>
          <w:ilvl w:val="0"/>
          <w:numId w:val="18"/>
        </w:numPr>
        <w:spacing w:before="120" w:after="120" w:line="240" w:lineRule="auto"/>
        <w:jc w:val="both"/>
        <w:rPr>
          <w:rFonts w:ascii="Times New Roman" w:hAnsi="Times New Roman"/>
          <w:sz w:val="24"/>
          <w:szCs w:val="24"/>
        </w:rPr>
      </w:pPr>
      <w:r w:rsidRPr="00C82D6F">
        <w:rPr>
          <w:rFonts w:ascii="Times New Roman" w:hAnsi="Times New Roman"/>
          <w:color w:val="000000"/>
          <w:sz w:val="24"/>
          <w:szCs w:val="24"/>
        </w:rPr>
        <w:t xml:space="preserve">Lai uzņēmējiem radītu visās pašvaldībās vienādas prasības reklāmas izvietošanas un ekspluatācijas jomās publiskajā </w:t>
      </w:r>
      <w:proofErr w:type="spellStart"/>
      <w:r w:rsidRPr="00C82D6F">
        <w:rPr>
          <w:rFonts w:ascii="Times New Roman" w:hAnsi="Times New Roman"/>
          <w:color w:val="000000"/>
          <w:sz w:val="24"/>
          <w:szCs w:val="24"/>
        </w:rPr>
        <w:t>ārtelpā</w:t>
      </w:r>
      <w:proofErr w:type="spellEnd"/>
      <w:r w:rsidRPr="00C82D6F">
        <w:rPr>
          <w:rFonts w:ascii="Times New Roman" w:hAnsi="Times New Roman"/>
          <w:color w:val="000000"/>
          <w:sz w:val="24"/>
          <w:szCs w:val="24"/>
        </w:rPr>
        <w:t xml:space="preserve">, kā arī samazinātu administratīvo slogu šī pakalpojuma saņemšanā, 2012.gadā tika apstiprināti un stājās spēkā noteikumi, kas nosaka vienotu reklāmas atļauju saņemšanas kārtību reklāmas izvietošanai publiskās vietās. </w:t>
      </w:r>
    </w:p>
    <w:p w14:paraId="46431464" w14:textId="77777777" w:rsidR="00AB33D1" w:rsidRPr="00C82D6F" w:rsidRDefault="00AB33D1" w:rsidP="00642049">
      <w:pPr>
        <w:spacing w:before="120"/>
        <w:ind w:firstLine="360"/>
        <w:rPr>
          <w:szCs w:val="24"/>
        </w:rPr>
      </w:pPr>
      <w:r w:rsidRPr="00C82D6F">
        <w:rPr>
          <w:szCs w:val="24"/>
        </w:rPr>
        <w:lastRenderedPageBreak/>
        <w:t xml:space="preserve">2013. gadā sadarbībā ar uzņēmējiem tiek turpināts darbs pie uzņēmējdarbības vides regulējošo normatīvo aktu bāzes sakārtošanas, piemēram, šķīrējtiesu regulējuma ieviešanas, jaunu e-pakalpojumu un vienas pieturas aģentūras principa nodrošināšanas būvniecības un nekustamā īpašuma jomās. </w:t>
      </w:r>
    </w:p>
    <w:p w14:paraId="16720BEF" w14:textId="77777777" w:rsidR="00AB33D1" w:rsidRPr="00C82D6F" w:rsidRDefault="00AB33D1" w:rsidP="00642049">
      <w:pPr>
        <w:pStyle w:val="ListParagraph"/>
        <w:spacing w:before="120" w:after="0" w:line="240" w:lineRule="auto"/>
        <w:ind w:left="0" w:firstLine="720"/>
        <w:contextualSpacing w:val="0"/>
        <w:jc w:val="both"/>
        <w:rPr>
          <w:rFonts w:ascii="Times New Roman" w:hAnsi="Times New Roman"/>
          <w:sz w:val="24"/>
          <w:szCs w:val="24"/>
        </w:rPr>
      </w:pPr>
      <w:r w:rsidRPr="00C82D6F">
        <w:rPr>
          <w:rFonts w:ascii="Times New Roman" w:hAnsi="Times New Roman"/>
          <w:sz w:val="24"/>
          <w:szCs w:val="24"/>
          <w:u w:val="single"/>
        </w:rPr>
        <w:t>Uzņēmējdarbības infrastruktūras attīstība</w:t>
      </w:r>
      <w:r w:rsidRPr="00C82D6F">
        <w:rPr>
          <w:rFonts w:ascii="Times New Roman" w:hAnsi="Times New Roman"/>
          <w:sz w:val="24"/>
          <w:szCs w:val="24"/>
        </w:rPr>
        <w:t>. Pasākuma mērķis ir valsts un pašvaldību infrastruktūras sakārtošanas programmas īstenošana, lai veiktu investīcijas uzņēmējdarbības atbalsta infrastruktūras attīstībā un tādējādi sekmējot uzņēmējdarbības attīstību un darba vietu radīšanu pašvaldību teritorijās. Programmas ietvaros tiks atbalstīta industriālo zonu izveide un atjaunošana, paplašināšana un publiskās infrastruktūras pielāgošana investīciju piesaistei apstrādes rūpniecībā, t.sk. publiskās infrastruktūras attīstība un atbalsts nepieciešamo inženierkomunikāciju pieslēgumu izveidei nacionālas un reģionālas nozīmes attīstības centros. 2013.gadā tiks izstrādāti kritēriji atbalsta piešķiršanai pašvaldībām projektu īstenošanai, lai reģionālas un nacionālas nozīmes attīstības centru pašvaldības no 2014.gada varētu pieteikties finansējumam industriālo zonu attīstībai.</w:t>
      </w:r>
    </w:p>
    <w:p w14:paraId="30408DDE" w14:textId="2D176FC6" w:rsidR="00AB33D1" w:rsidRPr="00C82D6F" w:rsidRDefault="00AB33D1" w:rsidP="00642049">
      <w:pPr>
        <w:spacing w:before="120" w:after="0"/>
        <w:ind w:firstLine="720"/>
        <w:rPr>
          <w:szCs w:val="24"/>
        </w:rPr>
      </w:pPr>
      <w:r w:rsidRPr="00C82D6F">
        <w:rPr>
          <w:bCs/>
          <w:szCs w:val="24"/>
          <w:u w:val="single"/>
        </w:rPr>
        <w:t>Darbaspēka nodokļu mazināšana</w:t>
      </w:r>
      <w:r w:rsidRPr="00C82D6F">
        <w:rPr>
          <w:bCs/>
          <w:szCs w:val="24"/>
        </w:rPr>
        <w:t xml:space="preserve">. </w:t>
      </w:r>
      <w:r w:rsidRPr="00C82D6F">
        <w:rPr>
          <w:szCs w:val="24"/>
        </w:rPr>
        <w:t>Pasākuma mērķis ir paaugstināt Latvijas uzņēmēju konkurētspēju, samazinot darbaspēka nodokļu slogu līdz pārējo Baltijas valstu līmenim. 2012.gada 24.maijā pieņemti grozījumi likumā „Par iedzīvotāju ienākuma nodokli”, kas paredz, ka trīs gadu laikā iedzīvotāju ienākumu nodokļa likme tiks samazināta par pieciem procentpunktiem – no 25% līdz 20%. 2013.gadā iedzīvotāju ienākuma nodokļa pamatlikme likme ir 24%, no 2014.gada - 22%, bet 2015.gadā – 20%. Izmaiņu ietekme ir ieņēmumu no iedzīvotāju ienākumu nodokļa samazinājums pa</w:t>
      </w:r>
      <w:r w:rsidR="00E54AB9">
        <w:rPr>
          <w:szCs w:val="24"/>
        </w:rPr>
        <w:t>r 30,5 milj. latu (43,4 milj. </w:t>
      </w:r>
      <w:proofErr w:type="spellStart"/>
      <w:r w:rsidR="00E54AB9" w:rsidRPr="00E54AB9">
        <w:rPr>
          <w:i/>
          <w:szCs w:val="24"/>
        </w:rPr>
        <w:t>eu</w:t>
      </w:r>
      <w:r w:rsidRPr="00E54AB9">
        <w:rPr>
          <w:i/>
          <w:szCs w:val="24"/>
        </w:rPr>
        <w:t>ro</w:t>
      </w:r>
      <w:proofErr w:type="spellEnd"/>
      <w:r w:rsidRPr="00C82D6F">
        <w:rPr>
          <w:szCs w:val="24"/>
        </w:rPr>
        <w:t>) 2013.gadā, par 98,1 milj. latu (139,6 milj. </w:t>
      </w:r>
      <w:proofErr w:type="spellStart"/>
      <w:r w:rsidR="00E54AB9" w:rsidRPr="00E54AB9">
        <w:rPr>
          <w:i/>
          <w:szCs w:val="24"/>
        </w:rPr>
        <w:t>euro</w:t>
      </w:r>
      <w:proofErr w:type="spellEnd"/>
      <w:r w:rsidRPr="00C82D6F">
        <w:rPr>
          <w:szCs w:val="24"/>
        </w:rPr>
        <w:t>) 2014.gadā un par 173,3 milj. latu (246,6 milj. </w:t>
      </w:r>
      <w:proofErr w:type="spellStart"/>
      <w:r w:rsidR="00E54AB9" w:rsidRPr="00E54AB9">
        <w:rPr>
          <w:i/>
          <w:szCs w:val="24"/>
        </w:rPr>
        <w:t>euro</w:t>
      </w:r>
      <w:proofErr w:type="spellEnd"/>
      <w:r w:rsidRPr="00C82D6F">
        <w:rPr>
          <w:szCs w:val="24"/>
        </w:rPr>
        <w:t>) 2015.gadā. 2012.gada 6.novembrī pieņemti "Noteikumi par mēneša neapliekamā minimuma un nodokļa atvieglojuma apmēru iedzīvotāju ienākuma nodokļa aprēķināšanai", kuros paredzēts, ka ar 2013.gada 1.jūliju iedzīvotāju ienākuma nodokļa atvieglojuma par apgādībā esošu personu apmērs būs 80,0 lati (113,8 </w:t>
      </w:r>
      <w:r w:rsidR="00E54AB9" w:rsidRPr="00E54AB9">
        <w:rPr>
          <w:i/>
          <w:szCs w:val="24"/>
        </w:rPr>
        <w:t>euro</w:t>
      </w:r>
      <w:r w:rsidRPr="00C82D6F">
        <w:rPr>
          <w:szCs w:val="24"/>
        </w:rPr>
        <w:t>) mēnesī. Fiskālā ietekme ir ieņēmumu samazinājums par 3,4 milj. latu (4,8 milj. </w:t>
      </w:r>
      <w:r w:rsidR="00E54AB9" w:rsidRPr="00E54AB9">
        <w:rPr>
          <w:i/>
          <w:szCs w:val="24"/>
        </w:rPr>
        <w:t>euro</w:t>
      </w:r>
      <w:r w:rsidRPr="00C82D6F">
        <w:rPr>
          <w:szCs w:val="24"/>
        </w:rPr>
        <w:t>) 2013.gadā, par 7,6 milj. latu (10,8 milj. </w:t>
      </w:r>
      <w:proofErr w:type="spellStart"/>
      <w:r w:rsidR="00E54AB9" w:rsidRPr="00E54AB9">
        <w:rPr>
          <w:i/>
          <w:szCs w:val="24"/>
        </w:rPr>
        <w:t>euro</w:t>
      </w:r>
      <w:proofErr w:type="spellEnd"/>
      <w:r w:rsidRPr="00C82D6F">
        <w:rPr>
          <w:szCs w:val="24"/>
        </w:rPr>
        <w:t>) 2014.gadā</w:t>
      </w:r>
      <w:r w:rsidR="00EE1B6A">
        <w:rPr>
          <w:szCs w:val="24"/>
        </w:rPr>
        <w:t>,</w:t>
      </w:r>
      <w:r w:rsidRPr="00C82D6F">
        <w:rPr>
          <w:szCs w:val="24"/>
        </w:rPr>
        <w:t xml:space="preserve">par 6,9 </w:t>
      </w:r>
      <w:proofErr w:type="spellStart"/>
      <w:r w:rsidRPr="00C82D6F">
        <w:rPr>
          <w:szCs w:val="24"/>
        </w:rPr>
        <w:t>milj</w:t>
      </w:r>
      <w:proofErr w:type="spellEnd"/>
      <w:r w:rsidRPr="00C82D6F">
        <w:rPr>
          <w:szCs w:val="24"/>
        </w:rPr>
        <w:t>. latu (9,8 milj. </w:t>
      </w:r>
      <w:r w:rsidR="00E54AB9" w:rsidRPr="00E54AB9">
        <w:rPr>
          <w:i/>
          <w:szCs w:val="24"/>
        </w:rPr>
        <w:t>euro</w:t>
      </w:r>
      <w:r w:rsidRPr="00C82D6F">
        <w:rPr>
          <w:szCs w:val="24"/>
        </w:rPr>
        <w:t xml:space="preserve">) </w:t>
      </w:r>
      <w:r w:rsidR="0030767E" w:rsidRPr="00C82D6F">
        <w:rPr>
          <w:szCs w:val="24"/>
        </w:rPr>
        <w:t>2015.gadā</w:t>
      </w:r>
      <w:r w:rsidR="00EE1B6A">
        <w:rPr>
          <w:szCs w:val="24"/>
        </w:rPr>
        <w:t xml:space="preserve"> un par 7,6 milj. latu (10,8 milj. </w:t>
      </w:r>
      <w:proofErr w:type="spellStart"/>
      <w:r w:rsidR="00E54AB9" w:rsidRPr="00E54AB9">
        <w:rPr>
          <w:i/>
          <w:szCs w:val="24"/>
        </w:rPr>
        <w:t>euro</w:t>
      </w:r>
      <w:proofErr w:type="spellEnd"/>
      <w:r w:rsidR="00EE1B6A">
        <w:rPr>
          <w:szCs w:val="24"/>
        </w:rPr>
        <w:t>) 2016. gadā</w:t>
      </w:r>
      <w:r w:rsidRPr="00C82D6F">
        <w:rPr>
          <w:szCs w:val="24"/>
        </w:rPr>
        <w:t>.</w:t>
      </w:r>
      <w:r w:rsidRPr="00C82D6F">
        <w:rPr>
          <w:color w:val="FF0000"/>
          <w:szCs w:val="24"/>
        </w:rPr>
        <w:t xml:space="preserve"> </w:t>
      </w:r>
      <w:r w:rsidRPr="00C82D6F">
        <w:rPr>
          <w:color w:val="000000"/>
          <w:szCs w:val="24"/>
        </w:rPr>
        <w:t xml:space="preserve">Lai mazinātu sociālo nevienlīdzību, 2014.gada </w:t>
      </w:r>
      <w:r w:rsidRPr="00C82D6F">
        <w:rPr>
          <w:szCs w:val="24"/>
        </w:rPr>
        <w:t>budžeta procesa ietvaros, ņemot vērā valsts budžeta fiskālās iespējas, tiks skatīti jautājumi par minimālās mēneša darba samaksas, ar nodokli neapliekamā minimuma un atvieglojuma par apgādībā esošu personu paaugstināšanu.</w:t>
      </w:r>
    </w:p>
    <w:p w14:paraId="378F4069" w14:textId="5EA0EDFC" w:rsidR="002C4465" w:rsidRPr="002F29B6" w:rsidRDefault="00AB33D1" w:rsidP="00642049">
      <w:pPr>
        <w:spacing w:before="120" w:after="0"/>
        <w:ind w:firstLine="720"/>
        <w:rPr>
          <w:szCs w:val="24"/>
        </w:rPr>
      </w:pPr>
      <w:r w:rsidRPr="00C82D6F">
        <w:rPr>
          <w:bCs/>
          <w:szCs w:val="24"/>
          <w:u w:val="single"/>
        </w:rPr>
        <w:t>Ēnu ekonomikas apkarošana.</w:t>
      </w:r>
      <w:r w:rsidRPr="00C82D6F">
        <w:rPr>
          <w:szCs w:val="24"/>
        </w:rPr>
        <w:t xml:space="preserve">  Ēnu ekonomika ietekmē ne tikai valsts budžeta ieņēmumus, bet arī kropļo uzņēmējdarbības vidi, galvenokārt radot nevienlīdzīgus konkurences apstākļus uzņēmēju starpā. Attiecīgi šīs problēmas risināšana ir jāpastiprina, izstrādājot arvien jaunus priekšlikumus ēnu ekonomikas apkarošanai. 2010.gadā tika sagatavots </w:t>
      </w:r>
      <w:r w:rsidR="005133CA">
        <w:rPr>
          <w:szCs w:val="24"/>
        </w:rPr>
        <w:t>Plāns</w:t>
      </w:r>
      <w:r w:rsidRPr="00C82D6F">
        <w:rPr>
          <w:szCs w:val="24"/>
        </w:rPr>
        <w:t xml:space="preserve">. Plāns vairakkārt ir precizēts un papildināts ar jauniem pasākumiem. Plānā ir noteikti galvenie virzieni ēnu ekonomikas apkarošanai: administratīvā sloga mazināšana, efektīvāka kontrolējošo iestāžu darbības nodrošināšana, sankciju piemērošana, sadarbība ar sociālajiem partneriem, uzņēmējdarbības pārejas </w:t>
      </w:r>
      <w:r w:rsidRPr="002F29B6">
        <w:rPr>
          <w:szCs w:val="24"/>
        </w:rPr>
        <w:t xml:space="preserve">veicināšana no nereģistrētās uz reģistrēto ekonomiku un atbalsts godīgajiem uzņēmējiem u.c. Kopā Plānā šobrīd ir iekļauti 66 pasākumi, no kuriem uz 2013.gada 1.janvāri bija izpildīti pilnībā 63 pasākumi un 3 pasākumu izpilde turpinās. </w:t>
      </w:r>
    </w:p>
    <w:p w14:paraId="0DA6CFEB" w14:textId="77777777" w:rsidR="002C4465" w:rsidRPr="002F29B6" w:rsidRDefault="002C4465" w:rsidP="002C4465">
      <w:pPr>
        <w:spacing w:before="120" w:after="0"/>
        <w:ind w:firstLine="720"/>
        <w:rPr>
          <w:szCs w:val="24"/>
        </w:rPr>
      </w:pPr>
      <w:r w:rsidRPr="002F29B6">
        <w:rPr>
          <w:szCs w:val="24"/>
        </w:rPr>
        <w:t xml:space="preserve">2013.gadā plānots pabeigt vairākus iesāktos uzdevumus, kas nav iekļauti minētajā Plānā, bet tika identificēti, vērtējot dažādus nodokļu aspektus. Tiks uzlabota uzņēmumu reģistrācijas kārtība, t.i., tiks mazinātas iespējas reģistrēt uzņēmumus tādām personām, kuras iepriekš ir nodarbojušās ar uzņēmējdarbību un radījušas zaudējumus valsts ekonomikā, vienlaikus lielāka vērība tiks pievēsta reģistrēšanas procesā arī tajos gadījumos, kad uzņēmumam kā juridisko adresi norādīs riska adresi. Pēc būtības šie pasākumi mazinās </w:t>
      </w:r>
      <w:r w:rsidRPr="002F29B6">
        <w:rPr>
          <w:szCs w:val="24"/>
        </w:rPr>
        <w:lastRenderedPageBreak/>
        <w:t>„fiktīvo” uzņēmumu rašanos, kuri lielākoties tiek dibināti dalībai nodokļu krāpšanas shēmās, tādējādi samazinot nodokļu izkrāpšanas riskus (samazināsies no valsts budžeta atmaksātais nodokļu apjoms). Īpaša uzmanība tiks pievērsta cīņai ar tiem nodokļu maksātājiem, kuri nodokļu jomā esošo regulējumu nepiemēro atbilstoši tā ekonomiskai būtībai, piemēram, nepamatoti aizdevumi uzņēmuma valdes locekļiem u.c. Šobrīd tiek vērtēts, kā veidot nodokļu regulējumu gadījumos, kad uzņēmumā visus darbus veic valdes locekļi, bet nevienam no tiem netiek noteikta darba samaksa. Lielāka uzmanība tiks pievērsta tam, lai visi ieņēmumi būtu reģistrēti tirdzniecības vai pakalpojumu sniegšanas vietās, t.i., pastiprinātas prasības kases aparātu, kases sistēmu, specializēto ierīču vai iekārtu izmantošanā.</w:t>
      </w:r>
    </w:p>
    <w:p w14:paraId="538320B1" w14:textId="77777777" w:rsidR="002C4465" w:rsidRPr="002F29B6" w:rsidRDefault="002C4465" w:rsidP="002C4465">
      <w:pPr>
        <w:spacing w:before="120" w:after="0"/>
        <w:ind w:firstLine="720"/>
        <w:rPr>
          <w:szCs w:val="24"/>
        </w:rPr>
      </w:pPr>
      <w:r w:rsidRPr="002F29B6">
        <w:rPr>
          <w:szCs w:val="24"/>
        </w:rPr>
        <w:t xml:space="preserve"> Pēc veiktajiem aprēķiniem, no 2014.-2016. gadam plānots papildus iekasēt 28 milj. latu, veicot ēnu ekonomikas apkarošanas pasākumus.</w:t>
      </w:r>
    </w:p>
    <w:p w14:paraId="688A1A96" w14:textId="77777777" w:rsidR="002C4465" w:rsidRPr="002F29B6" w:rsidRDefault="002C4465" w:rsidP="002C4465">
      <w:pPr>
        <w:spacing w:after="0"/>
        <w:ind w:firstLine="720"/>
        <w:rPr>
          <w:szCs w:val="24"/>
        </w:rPr>
      </w:pPr>
      <w:r w:rsidRPr="002F29B6">
        <w:rPr>
          <w:szCs w:val="24"/>
        </w:rPr>
        <w:t>Papildus ieņēmumi no ēnu ekonomikas apkarošanas pasākumiem, milj. latu</w:t>
      </w:r>
      <w:r w:rsidRPr="002F29B6">
        <w:rPr>
          <w:szCs w:val="24"/>
        </w:rPr>
        <w:tab/>
      </w:r>
    </w:p>
    <w:tbl>
      <w:tblPr>
        <w:tblStyle w:val="TableGrid"/>
        <w:tblW w:w="0" w:type="auto"/>
        <w:tblInd w:w="108" w:type="dxa"/>
        <w:tblLook w:val="04A0" w:firstRow="1" w:lastRow="0" w:firstColumn="1" w:lastColumn="0" w:noHBand="0" w:noVBand="1"/>
      </w:tblPr>
      <w:tblGrid>
        <w:gridCol w:w="1439"/>
        <w:gridCol w:w="1548"/>
        <w:gridCol w:w="1548"/>
        <w:gridCol w:w="1548"/>
        <w:gridCol w:w="1548"/>
        <w:gridCol w:w="1441"/>
      </w:tblGrid>
      <w:tr w:rsidR="002F29B6" w:rsidRPr="002F29B6" w14:paraId="59EABE37" w14:textId="77777777" w:rsidTr="00D77BA7">
        <w:tc>
          <w:tcPr>
            <w:tcW w:w="1439" w:type="dxa"/>
          </w:tcPr>
          <w:p w14:paraId="152AE91A" w14:textId="77777777" w:rsidR="002C4465" w:rsidRPr="002F29B6" w:rsidRDefault="002C4465" w:rsidP="00BF5B35">
            <w:pPr>
              <w:spacing w:after="0"/>
              <w:ind w:firstLine="0"/>
              <w:rPr>
                <w:szCs w:val="24"/>
              </w:rPr>
            </w:pPr>
            <w:r w:rsidRPr="002F29B6">
              <w:rPr>
                <w:szCs w:val="24"/>
              </w:rPr>
              <w:t>Pasākums</w:t>
            </w:r>
          </w:p>
        </w:tc>
        <w:tc>
          <w:tcPr>
            <w:tcW w:w="1548" w:type="dxa"/>
          </w:tcPr>
          <w:p w14:paraId="2A3D408C" w14:textId="77777777" w:rsidR="002C4465" w:rsidRPr="002F29B6" w:rsidRDefault="002C4465" w:rsidP="00BF5B35">
            <w:pPr>
              <w:spacing w:after="0"/>
              <w:ind w:firstLine="0"/>
              <w:rPr>
                <w:szCs w:val="24"/>
              </w:rPr>
            </w:pPr>
            <w:r w:rsidRPr="002F29B6">
              <w:rPr>
                <w:szCs w:val="24"/>
              </w:rPr>
              <w:t>PVN</w:t>
            </w:r>
          </w:p>
        </w:tc>
        <w:tc>
          <w:tcPr>
            <w:tcW w:w="1548" w:type="dxa"/>
          </w:tcPr>
          <w:p w14:paraId="0AE1F3E2" w14:textId="77777777" w:rsidR="002C4465" w:rsidRPr="002F29B6" w:rsidRDefault="002C4465" w:rsidP="00BF5B35">
            <w:pPr>
              <w:spacing w:after="0"/>
              <w:ind w:firstLine="0"/>
              <w:rPr>
                <w:szCs w:val="24"/>
              </w:rPr>
            </w:pPr>
            <w:r w:rsidRPr="002F29B6">
              <w:rPr>
                <w:szCs w:val="24"/>
              </w:rPr>
              <w:t>IIN</w:t>
            </w:r>
          </w:p>
        </w:tc>
        <w:tc>
          <w:tcPr>
            <w:tcW w:w="1548" w:type="dxa"/>
          </w:tcPr>
          <w:p w14:paraId="1955E159" w14:textId="77777777" w:rsidR="002C4465" w:rsidRPr="002F29B6" w:rsidRDefault="002C4465" w:rsidP="00BF5B35">
            <w:pPr>
              <w:spacing w:after="0"/>
              <w:ind w:firstLine="0"/>
              <w:rPr>
                <w:szCs w:val="24"/>
              </w:rPr>
            </w:pPr>
            <w:r w:rsidRPr="002F29B6">
              <w:rPr>
                <w:szCs w:val="24"/>
              </w:rPr>
              <w:t>SOC*</w:t>
            </w:r>
          </w:p>
        </w:tc>
        <w:tc>
          <w:tcPr>
            <w:tcW w:w="1548" w:type="dxa"/>
          </w:tcPr>
          <w:p w14:paraId="0EB2C84F" w14:textId="77777777" w:rsidR="002C4465" w:rsidRPr="002F29B6" w:rsidRDefault="002C4465" w:rsidP="00BF5B35">
            <w:pPr>
              <w:spacing w:after="0"/>
              <w:ind w:firstLine="0"/>
              <w:rPr>
                <w:szCs w:val="24"/>
              </w:rPr>
            </w:pPr>
            <w:r w:rsidRPr="002F29B6">
              <w:rPr>
                <w:szCs w:val="24"/>
              </w:rPr>
              <w:t>UIN</w:t>
            </w:r>
          </w:p>
        </w:tc>
        <w:tc>
          <w:tcPr>
            <w:tcW w:w="1441" w:type="dxa"/>
          </w:tcPr>
          <w:p w14:paraId="7BBB4248" w14:textId="77777777" w:rsidR="002C4465" w:rsidRPr="002F29B6" w:rsidRDefault="002C4465" w:rsidP="00BF5B35">
            <w:pPr>
              <w:spacing w:after="0"/>
              <w:ind w:firstLine="0"/>
              <w:rPr>
                <w:szCs w:val="24"/>
              </w:rPr>
            </w:pPr>
            <w:r w:rsidRPr="002F29B6">
              <w:rPr>
                <w:szCs w:val="24"/>
              </w:rPr>
              <w:t>KOPĀ</w:t>
            </w:r>
          </w:p>
        </w:tc>
      </w:tr>
      <w:tr w:rsidR="002F29B6" w:rsidRPr="002F29B6" w14:paraId="06DA096B" w14:textId="77777777" w:rsidTr="00D77BA7">
        <w:tc>
          <w:tcPr>
            <w:tcW w:w="1439" w:type="dxa"/>
          </w:tcPr>
          <w:p w14:paraId="1D9019C7" w14:textId="77777777" w:rsidR="002C4465" w:rsidRPr="002F29B6" w:rsidRDefault="002C4465" w:rsidP="00BF5B35">
            <w:pPr>
              <w:spacing w:after="0"/>
              <w:ind w:firstLine="0"/>
              <w:rPr>
                <w:szCs w:val="24"/>
              </w:rPr>
            </w:pPr>
            <w:r w:rsidRPr="002F29B6">
              <w:rPr>
                <w:szCs w:val="24"/>
              </w:rPr>
              <w:t>2014</w:t>
            </w:r>
          </w:p>
        </w:tc>
        <w:tc>
          <w:tcPr>
            <w:tcW w:w="1548" w:type="dxa"/>
          </w:tcPr>
          <w:p w14:paraId="3C3999F2" w14:textId="77777777" w:rsidR="002C4465" w:rsidRPr="002F29B6" w:rsidRDefault="002C4465" w:rsidP="00BF5B35">
            <w:pPr>
              <w:spacing w:after="0"/>
              <w:ind w:firstLine="0"/>
              <w:rPr>
                <w:szCs w:val="24"/>
              </w:rPr>
            </w:pPr>
            <w:r w:rsidRPr="002F29B6">
              <w:rPr>
                <w:szCs w:val="24"/>
              </w:rPr>
              <w:t>9,2</w:t>
            </w:r>
          </w:p>
        </w:tc>
        <w:tc>
          <w:tcPr>
            <w:tcW w:w="1548" w:type="dxa"/>
          </w:tcPr>
          <w:p w14:paraId="08D3AAAA" w14:textId="77777777" w:rsidR="002C4465" w:rsidRPr="002F29B6" w:rsidRDefault="002C4465" w:rsidP="00BF5B35">
            <w:pPr>
              <w:spacing w:after="0"/>
              <w:ind w:firstLine="0"/>
              <w:rPr>
                <w:szCs w:val="24"/>
              </w:rPr>
            </w:pPr>
            <w:r w:rsidRPr="002F29B6">
              <w:rPr>
                <w:szCs w:val="24"/>
              </w:rPr>
              <w:t>4,8</w:t>
            </w:r>
          </w:p>
        </w:tc>
        <w:tc>
          <w:tcPr>
            <w:tcW w:w="1548" w:type="dxa"/>
          </w:tcPr>
          <w:p w14:paraId="3B46F5C1" w14:textId="77777777" w:rsidR="002C4465" w:rsidRPr="002F29B6" w:rsidRDefault="002C4465" w:rsidP="00BF5B35">
            <w:pPr>
              <w:spacing w:after="0"/>
              <w:ind w:firstLine="0"/>
              <w:rPr>
                <w:szCs w:val="24"/>
              </w:rPr>
            </w:pPr>
            <w:r w:rsidRPr="002F29B6">
              <w:rPr>
                <w:szCs w:val="24"/>
              </w:rPr>
              <w:t>6,0</w:t>
            </w:r>
          </w:p>
        </w:tc>
        <w:tc>
          <w:tcPr>
            <w:tcW w:w="1548" w:type="dxa"/>
          </w:tcPr>
          <w:p w14:paraId="2C4EB738" w14:textId="77777777" w:rsidR="002C4465" w:rsidRPr="002F29B6" w:rsidRDefault="002C4465" w:rsidP="00BF5B35">
            <w:pPr>
              <w:spacing w:after="0"/>
              <w:ind w:firstLine="0"/>
              <w:rPr>
                <w:szCs w:val="24"/>
              </w:rPr>
            </w:pPr>
            <w:r w:rsidRPr="002F29B6">
              <w:rPr>
                <w:szCs w:val="24"/>
              </w:rPr>
              <w:t>3,0</w:t>
            </w:r>
          </w:p>
        </w:tc>
        <w:tc>
          <w:tcPr>
            <w:tcW w:w="1441" w:type="dxa"/>
          </w:tcPr>
          <w:p w14:paraId="62D7AB78" w14:textId="77777777" w:rsidR="002C4465" w:rsidRPr="002F29B6" w:rsidRDefault="002C4465" w:rsidP="00BF5B35">
            <w:pPr>
              <w:spacing w:after="0"/>
              <w:ind w:firstLine="0"/>
              <w:rPr>
                <w:szCs w:val="24"/>
              </w:rPr>
            </w:pPr>
            <w:r w:rsidRPr="002F29B6">
              <w:rPr>
                <w:szCs w:val="24"/>
              </w:rPr>
              <w:t>23,0</w:t>
            </w:r>
          </w:p>
        </w:tc>
      </w:tr>
      <w:tr w:rsidR="002F29B6" w:rsidRPr="002F29B6" w14:paraId="4A857559" w14:textId="77777777" w:rsidTr="00D77BA7">
        <w:tc>
          <w:tcPr>
            <w:tcW w:w="1439" w:type="dxa"/>
          </w:tcPr>
          <w:p w14:paraId="75A7F3C8" w14:textId="77777777" w:rsidR="002C4465" w:rsidRPr="002F29B6" w:rsidRDefault="002C4465" w:rsidP="00BF5B35">
            <w:pPr>
              <w:spacing w:after="0"/>
              <w:ind w:firstLine="0"/>
              <w:rPr>
                <w:szCs w:val="24"/>
              </w:rPr>
            </w:pPr>
            <w:r w:rsidRPr="002F29B6">
              <w:rPr>
                <w:szCs w:val="24"/>
              </w:rPr>
              <w:t>2015</w:t>
            </w:r>
          </w:p>
        </w:tc>
        <w:tc>
          <w:tcPr>
            <w:tcW w:w="1548" w:type="dxa"/>
          </w:tcPr>
          <w:p w14:paraId="47403C69" w14:textId="77777777" w:rsidR="002C4465" w:rsidRPr="002F29B6" w:rsidRDefault="002C4465" w:rsidP="00BF5B35">
            <w:pPr>
              <w:spacing w:after="0"/>
              <w:ind w:firstLine="0"/>
              <w:rPr>
                <w:szCs w:val="24"/>
              </w:rPr>
            </w:pPr>
            <w:r w:rsidRPr="002F29B6">
              <w:rPr>
                <w:szCs w:val="24"/>
              </w:rPr>
              <w:t>11,2</w:t>
            </w:r>
          </w:p>
        </w:tc>
        <w:tc>
          <w:tcPr>
            <w:tcW w:w="1548" w:type="dxa"/>
          </w:tcPr>
          <w:p w14:paraId="065A729F" w14:textId="77777777" w:rsidR="002C4465" w:rsidRPr="002F29B6" w:rsidRDefault="002C4465" w:rsidP="00BF5B35">
            <w:pPr>
              <w:spacing w:after="0"/>
              <w:ind w:firstLine="0"/>
              <w:rPr>
                <w:szCs w:val="24"/>
              </w:rPr>
            </w:pPr>
            <w:r w:rsidRPr="002F29B6">
              <w:rPr>
                <w:szCs w:val="24"/>
              </w:rPr>
              <w:t>4,6</w:t>
            </w:r>
          </w:p>
        </w:tc>
        <w:tc>
          <w:tcPr>
            <w:tcW w:w="1548" w:type="dxa"/>
          </w:tcPr>
          <w:p w14:paraId="56EBF582" w14:textId="77777777" w:rsidR="002C4465" w:rsidRPr="002F29B6" w:rsidRDefault="002C4465" w:rsidP="00BF5B35">
            <w:pPr>
              <w:spacing w:after="0"/>
              <w:ind w:firstLine="0"/>
              <w:rPr>
                <w:szCs w:val="24"/>
              </w:rPr>
            </w:pPr>
            <w:r w:rsidRPr="002F29B6">
              <w:rPr>
                <w:szCs w:val="24"/>
              </w:rPr>
              <w:t>6,3</w:t>
            </w:r>
          </w:p>
        </w:tc>
        <w:tc>
          <w:tcPr>
            <w:tcW w:w="1548" w:type="dxa"/>
          </w:tcPr>
          <w:p w14:paraId="35365B76" w14:textId="77777777" w:rsidR="002C4465" w:rsidRPr="002F29B6" w:rsidRDefault="002C4465" w:rsidP="00BF5B35">
            <w:pPr>
              <w:spacing w:after="0"/>
              <w:ind w:firstLine="0"/>
              <w:rPr>
                <w:szCs w:val="24"/>
              </w:rPr>
            </w:pPr>
            <w:r w:rsidRPr="002F29B6">
              <w:rPr>
                <w:szCs w:val="24"/>
              </w:rPr>
              <w:t>5,0</w:t>
            </w:r>
          </w:p>
        </w:tc>
        <w:tc>
          <w:tcPr>
            <w:tcW w:w="1441" w:type="dxa"/>
          </w:tcPr>
          <w:p w14:paraId="015F928A" w14:textId="77777777" w:rsidR="002C4465" w:rsidRPr="002F29B6" w:rsidRDefault="002C4465" w:rsidP="00BF5B35">
            <w:pPr>
              <w:spacing w:after="0"/>
              <w:ind w:firstLine="0"/>
              <w:rPr>
                <w:szCs w:val="24"/>
              </w:rPr>
            </w:pPr>
            <w:r w:rsidRPr="002F29B6">
              <w:rPr>
                <w:szCs w:val="24"/>
              </w:rPr>
              <w:t>27,1</w:t>
            </w:r>
          </w:p>
        </w:tc>
      </w:tr>
      <w:tr w:rsidR="002F29B6" w:rsidRPr="002F29B6" w14:paraId="502AF1E4" w14:textId="77777777" w:rsidTr="00D77BA7">
        <w:tc>
          <w:tcPr>
            <w:tcW w:w="1439" w:type="dxa"/>
          </w:tcPr>
          <w:p w14:paraId="7CF3C087" w14:textId="77777777" w:rsidR="002C4465" w:rsidRPr="002F29B6" w:rsidRDefault="002C4465" w:rsidP="00BF5B35">
            <w:pPr>
              <w:spacing w:after="0"/>
              <w:ind w:firstLine="0"/>
              <w:rPr>
                <w:szCs w:val="24"/>
              </w:rPr>
            </w:pPr>
            <w:r w:rsidRPr="002F29B6">
              <w:rPr>
                <w:szCs w:val="24"/>
              </w:rPr>
              <w:t>2016</w:t>
            </w:r>
          </w:p>
        </w:tc>
        <w:tc>
          <w:tcPr>
            <w:tcW w:w="1548" w:type="dxa"/>
          </w:tcPr>
          <w:p w14:paraId="2E2E079C" w14:textId="77777777" w:rsidR="002C4465" w:rsidRPr="002F29B6" w:rsidRDefault="002C4465" w:rsidP="00BF5B35">
            <w:pPr>
              <w:spacing w:after="0"/>
              <w:ind w:firstLine="0"/>
              <w:rPr>
                <w:szCs w:val="24"/>
              </w:rPr>
            </w:pPr>
            <w:r w:rsidRPr="002F29B6">
              <w:rPr>
                <w:szCs w:val="24"/>
              </w:rPr>
              <w:t>11,8</w:t>
            </w:r>
          </w:p>
        </w:tc>
        <w:tc>
          <w:tcPr>
            <w:tcW w:w="1548" w:type="dxa"/>
          </w:tcPr>
          <w:p w14:paraId="36E6BC38" w14:textId="77777777" w:rsidR="002C4465" w:rsidRPr="002F29B6" w:rsidRDefault="002C4465" w:rsidP="00BF5B35">
            <w:pPr>
              <w:spacing w:after="0"/>
              <w:ind w:firstLine="0"/>
              <w:rPr>
                <w:szCs w:val="24"/>
              </w:rPr>
            </w:pPr>
            <w:r w:rsidRPr="002F29B6">
              <w:rPr>
                <w:szCs w:val="24"/>
              </w:rPr>
              <w:t>4,7</w:t>
            </w:r>
          </w:p>
        </w:tc>
        <w:tc>
          <w:tcPr>
            <w:tcW w:w="1548" w:type="dxa"/>
          </w:tcPr>
          <w:p w14:paraId="4CCF944C" w14:textId="77777777" w:rsidR="002C4465" w:rsidRPr="002F29B6" w:rsidRDefault="002C4465" w:rsidP="00BF5B35">
            <w:pPr>
              <w:spacing w:after="0"/>
              <w:ind w:firstLine="0"/>
              <w:rPr>
                <w:szCs w:val="24"/>
              </w:rPr>
            </w:pPr>
            <w:r w:rsidRPr="002F29B6">
              <w:rPr>
                <w:szCs w:val="24"/>
              </w:rPr>
              <w:t>6,2</w:t>
            </w:r>
          </w:p>
        </w:tc>
        <w:tc>
          <w:tcPr>
            <w:tcW w:w="1548" w:type="dxa"/>
          </w:tcPr>
          <w:p w14:paraId="52790D49" w14:textId="77777777" w:rsidR="002C4465" w:rsidRPr="002F29B6" w:rsidRDefault="002C4465" w:rsidP="00BF5B35">
            <w:pPr>
              <w:spacing w:after="0"/>
              <w:ind w:firstLine="0"/>
              <w:rPr>
                <w:szCs w:val="24"/>
              </w:rPr>
            </w:pPr>
            <w:r w:rsidRPr="002F29B6">
              <w:rPr>
                <w:szCs w:val="24"/>
              </w:rPr>
              <w:t>5,3</w:t>
            </w:r>
          </w:p>
        </w:tc>
        <w:tc>
          <w:tcPr>
            <w:tcW w:w="1441" w:type="dxa"/>
          </w:tcPr>
          <w:p w14:paraId="08FF9605" w14:textId="77777777" w:rsidR="002C4465" w:rsidRPr="002F29B6" w:rsidRDefault="002C4465" w:rsidP="00BF5B35">
            <w:pPr>
              <w:spacing w:after="0"/>
              <w:ind w:firstLine="0"/>
              <w:rPr>
                <w:szCs w:val="24"/>
              </w:rPr>
            </w:pPr>
            <w:r w:rsidRPr="002F29B6">
              <w:rPr>
                <w:szCs w:val="24"/>
              </w:rPr>
              <w:t>28,0</w:t>
            </w:r>
          </w:p>
        </w:tc>
      </w:tr>
    </w:tbl>
    <w:p w14:paraId="1A8E9AE3" w14:textId="77777777" w:rsidR="002C4465" w:rsidRPr="002F29B6" w:rsidRDefault="002C4465" w:rsidP="002C4465">
      <w:pPr>
        <w:spacing w:after="0"/>
        <w:ind w:firstLine="720"/>
        <w:jc w:val="right"/>
        <w:rPr>
          <w:szCs w:val="24"/>
        </w:rPr>
      </w:pPr>
      <w:r w:rsidRPr="002F29B6">
        <w:rPr>
          <w:szCs w:val="24"/>
        </w:rPr>
        <w:tab/>
      </w:r>
      <w:r w:rsidRPr="002F29B6">
        <w:rPr>
          <w:szCs w:val="24"/>
        </w:rPr>
        <w:tab/>
      </w:r>
      <w:r w:rsidRPr="002F29B6">
        <w:rPr>
          <w:szCs w:val="24"/>
        </w:rPr>
        <w:tab/>
        <w:t>* VSAOI bez fondētajām</w:t>
      </w:r>
    </w:p>
    <w:p w14:paraId="6BD8AEE2" w14:textId="77777777" w:rsidR="00AB33D1" w:rsidRPr="002F29B6" w:rsidRDefault="00AB33D1" w:rsidP="00642049">
      <w:pPr>
        <w:spacing w:before="120" w:after="0"/>
        <w:ind w:firstLine="720"/>
        <w:rPr>
          <w:bCs/>
          <w:szCs w:val="24"/>
        </w:rPr>
      </w:pPr>
      <w:r w:rsidRPr="002F29B6">
        <w:rPr>
          <w:szCs w:val="24"/>
        </w:rPr>
        <w:t>2012.gada laikā veikti un tiek turpināti vairāki nozīmīgi pasākumi, kā piemēram:</w:t>
      </w:r>
    </w:p>
    <w:p w14:paraId="72BA0BAF" w14:textId="66004351" w:rsidR="00AB33D1" w:rsidRPr="00E54AB9" w:rsidRDefault="00AB33D1" w:rsidP="00C82D6F">
      <w:pPr>
        <w:pStyle w:val="ListParagraph"/>
        <w:numPr>
          <w:ilvl w:val="0"/>
          <w:numId w:val="17"/>
        </w:numPr>
        <w:spacing w:before="120" w:after="0" w:line="240" w:lineRule="auto"/>
        <w:jc w:val="both"/>
        <w:rPr>
          <w:rFonts w:ascii="Times New Roman" w:hAnsi="Times New Roman"/>
          <w:sz w:val="24"/>
          <w:szCs w:val="24"/>
        </w:rPr>
      </w:pPr>
      <w:r w:rsidRPr="002F29B6">
        <w:rPr>
          <w:rFonts w:ascii="Times New Roman" w:hAnsi="Times New Roman"/>
          <w:sz w:val="24"/>
          <w:szCs w:val="24"/>
        </w:rPr>
        <w:t xml:space="preserve">2011.gada 15.decembrī stājās spēkā Fizisko personu mantiskā stāvokļa un nedeklarēto ienākumu deklarēšanas likums. Līdz 2012.gada 31.decembrim VID iesniegtas 132 033 mantiskā stāvokļa </w:t>
      </w:r>
      <w:r w:rsidRPr="00C82D6F">
        <w:rPr>
          <w:rFonts w:ascii="Times New Roman" w:hAnsi="Times New Roman"/>
          <w:sz w:val="24"/>
          <w:szCs w:val="24"/>
        </w:rPr>
        <w:t>deklarācijas. Par iepriekš nedeklarētiem ienākumiem aprēķināts maksājamais iedzīvotāju ienākuma nodoklis 675,2 tūkst. latu (960,7 tūkst</w:t>
      </w:r>
      <w:r w:rsidRPr="00E54AB9">
        <w:rPr>
          <w:rFonts w:ascii="Times New Roman" w:hAnsi="Times New Roman"/>
          <w:sz w:val="24"/>
          <w:szCs w:val="24"/>
        </w:rPr>
        <w:t>.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apmērā, no kuriem maksājumi budžetā ir veikti 672,2 tūkst. latu (956,6 tūkst.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xml:space="preserve">)  apmērā; </w:t>
      </w:r>
    </w:p>
    <w:p w14:paraId="665F34E1" w14:textId="77777777" w:rsidR="00AB33D1" w:rsidRPr="00C82D6F" w:rsidRDefault="00AB33D1" w:rsidP="00C82D6F">
      <w:pPr>
        <w:pStyle w:val="ListParagraph"/>
        <w:numPr>
          <w:ilvl w:val="0"/>
          <w:numId w:val="17"/>
        </w:numPr>
        <w:spacing w:before="120" w:after="0" w:line="240" w:lineRule="auto"/>
        <w:jc w:val="both"/>
        <w:rPr>
          <w:rFonts w:ascii="Times New Roman" w:hAnsi="Times New Roman"/>
          <w:sz w:val="24"/>
          <w:szCs w:val="24"/>
        </w:rPr>
      </w:pPr>
      <w:r w:rsidRPr="00E54AB9">
        <w:rPr>
          <w:rFonts w:ascii="Times New Roman" w:hAnsi="Times New Roman"/>
          <w:sz w:val="24"/>
          <w:szCs w:val="24"/>
        </w:rPr>
        <w:t>pieņemts Nodokļu atbalsta pasākuma</w:t>
      </w:r>
      <w:r w:rsidRPr="00C82D6F">
        <w:rPr>
          <w:rFonts w:ascii="Times New Roman" w:hAnsi="Times New Roman"/>
          <w:sz w:val="24"/>
          <w:szCs w:val="24"/>
        </w:rPr>
        <w:t xml:space="preserve"> likums un tas paredz vienreiz veicamu pasākumu nokavējuma naudas un daļējas soda naudas dzēšanu tiem nodokļu maksātājiem, kas līdz noteiktam brīdim samaksās nodokļu pamatparādu;</w:t>
      </w:r>
    </w:p>
    <w:p w14:paraId="6D7C82C3" w14:textId="77777777" w:rsidR="00AB33D1" w:rsidRPr="00C82D6F" w:rsidRDefault="00AB33D1" w:rsidP="00C82D6F">
      <w:pPr>
        <w:pStyle w:val="ListParagraph"/>
        <w:numPr>
          <w:ilvl w:val="0"/>
          <w:numId w:val="17"/>
        </w:numPr>
        <w:spacing w:before="120" w:after="0" w:line="240" w:lineRule="auto"/>
        <w:jc w:val="both"/>
        <w:rPr>
          <w:rFonts w:ascii="Times New Roman" w:hAnsi="Times New Roman"/>
          <w:sz w:val="24"/>
          <w:szCs w:val="24"/>
        </w:rPr>
      </w:pPr>
      <w:r w:rsidRPr="00C82D6F">
        <w:rPr>
          <w:rFonts w:ascii="Times New Roman" w:hAnsi="Times New Roman"/>
          <w:sz w:val="24"/>
          <w:szCs w:val="24"/>
        </w:rPr>
        <w:t>apstiprināta „Koncepcija par mazo uzņēmumu nodokļa maksāšanas režīmu konsolidāciju un vienkāršošanu”;</w:t>
      </w:r>
    </w:p>
    <w:p w14:paraId="5CB169AD" w14:textId="77777777" w:rsidR="00AB33D1" w:rsidRPr="00C82D6F" w:rsidRDefault="00AB33D1" w:rsidP="00C82D6F">
      <w:pPr>
        <w:pStyle w:val="ListParagraph"/>
        <w:numPr>
          <w:ilvl w:val="0"/>
          <w:numId w:val="17"/>
        </w:numPr>
        <w:spacing w:before="120" w:after="0" w:line="240" w:lineRule="auto"/>
        <w:jc w:val="both"/>
        <w:rPr>
          <w:rFonts w:ascii="Times New Roman" w:hAnsi="Times New Roman"/>
          <w:sz w:val="24"/>
          <w:szCs w:val="24"/>
        </w:rPr>
      </w:pPr>
      <w:r w:rsidRPr="00C82D6F">
        <w:rPr>
          <w:rFonts w:ascii="Times New Roman" w:hAnsi="Times New Roman"/>
          <w:sz w:val="24"/>
          <w:szCs w:val="24"/>
        </w:rPr>
        <w:t xml:space="preserve">papildināts likums „Par nodokļiem un nodevām” ar normu, kuras mērķis ir novērst </w:t>
      </w:r>
      <w:proofErr w:type="spellStart"/>
      <w:r w:rsidRPr="00C82D6F">
        <w:rPr>
          <w:rFonts w:ascii="Times New Roman" w:hAnsi="Times New Roman"/>
          <w:sz w:val="24"/>
          <w:szCs w:val="24"/>
        </w:rPr>
        <w:t>mikrouzņēmumu</w:t>
      </w:r>
      <w:proofErr w:type="spellEnd"/>
      <w:r w:rsidRPr="00C82D6F">
        <w:rPr>
          <w:rFonts w:ascii="Times New Roman" w:hAnsi="Times New Roman"/>
          <w:sz w:val="24"/>
          <w:szCs w:val="24"/>
        </w:rPr>
        <w:t xml:space="preserve"> nodokļa režīma izmantošanu nodokļu plānošanai, paredzot, ka turpmāk darījumi tiks vērtēti kopumā;</w:t>
      </w:r>
    </w:p>
    <w:p w14:paraId="1D2FEEFC" w14:textId="77777777" w:rsidR="00AB33D1" w:rsidRPr="00C82D6F" w:rsidRDefault="00AB33D1" w:rsidP="00C82D6F">
      <w:pPr>
        <w:pStyle w:val="ListParagraph"/>
        <w:numPr>
          <w:ilvl w:val="0"/>
          <w:numId w:val="17"/>
        </w:numPr>
        <w:spacing w:before="120" w:after="0" w:line="240" w:lineRule="auto"/>
        <w:jc w:val="both"/>
        <w:rPr>
          <w:rFonts w:ascii="Times New Roman" w:hAnsi="Times New Roman"/>
          <w:sz w:val="24"/>
          <w:szCs w:val="24"/>
        </w:rPr>
      </w:pPr>
      <w:r w:rsidRPr="00C82D6F">
        <w:rPr>
          <w:rFonts w:ascii="Times New Roman" w:hAnsi="Times New Roman"/>
          <w:sz w:val="24"/>
          <w:szCs w:val="24"/>
        </w:rPr>
        <w:t>2013.gada 1.janvārī stājās spēkā likums pastiprinot sankcijas par nodokļu un citu maksājumu reģistrēšanas elektronisko ierīču un iekārtu neuzstādīšanu un neizmantošanu vai to lietošanas kārtību neievērošanu un noteikta atbildība par pretlikumīgu iejaukšanos kases aparātu un kases sistēmu programmatūrās;</w:t>
      </w:r>
    </w:p>
    <w:p w14:paraId="52F00AEB" w14:textId="64EA23C1" w:rsidR="00AB33D1" w:rsidRPr="00C82D6F" w:rsidRDefault="00AB33D1" w:rsidP="00C82D6F">
      <w:pPr>
        <w:pStyle w:val="ListParagraph"/>
        <w:numPr>
          <w:ilvl w:val="0"/>
          <w:numId w:val="17"/>
        </w:numPr>
        <w:spacing w:before="120" w:after="0" w:line="240" w:lineRule="auto"/>
        <w:jc w:val="both"/>
        <w:rPr>
          <w:rFonts w:ascii="Times New Roman" w:hAnsi="Times New Roman"/>
          <w:sz w:val="24"/>
          <w:szCs w:val="24"/>
        </w:rPr>
      </w:pPr>
      <w:r w:rsidRPr="00C82D6F">
        <w:rPr>
          <w:rFonts w:ascii="Times New Roman" w:hAnsi="Times New Roman"/>
          <w:sz w:val="24"/>
          <w:szCs w:val="24"/>
        </w:rPr>
        <w:t>sagatavoti grozījumi, kas paredz personai – valdes loceklim</w:t>
      </w:r>
      <w:r w:rsidR="009D4B21">
        <w:rPr>
          <w:rFonts w:ascii="Times New Roman" w:hAnsi="Times New Roman"/>
          <w:sz w:val="24"/>
          <w:szCs w:val="24"/>
          <w:lang w:val="lv-LV"/>
        </w:rPr>
        <w:t>,</w:t>
      </w:r>
      <w:r w:rsidRPr="00C82D6F">
        <w:rPr>
          <w:rFonts w:ascii="Times New Roman" w:hAnsi="Times New Roman"/>
          <w:sz w:val="24"/>
          <w:szCs w:val="24"/>
        </w:rPr>
        <w:t xml:space="preserve"> noteikt papildsoda „tiesību atņemšana ieņemt noteiktus amatus komercsabiedrībās” piemērošanas iespēju par būtiskiem pārkāpumiem finanšu jomā;</w:t>
      </w:r>
    </w:p>
    <w:p w14:paraId="5DDFBD40" w14:textId="77777777" w:rsidR="00AB33D1" w:rsidRPr="00C82D6F" w:rsidRDefault="00AB33D1" w:rsidP="00C82D6F">
      <w:pPr>
        <w:pStyle w:val="ListParagraph"/>
        <w:numPr>
          <w:ilvl w:val="0"/>
          <w:numId w:val="17"/>
        </w:numPr>
        <w:spacing w:before="120" w:after="0" w:line="240" w:lineRule="auto"/>
        <w:jc w:val="both"/>
        <w:rPr>
          <w:rFonts w:ascii="Times New Roman" w:hAnsi="Times New Roman"/>
          <w:sz w:val="24"/>
          <w:szCs w:val="24"/>
        </w:rPr>
      </w:pPr>
      <w:r w:rsidRPr="00C82D6F">
        <w:rPr>
          <w:rFonts w:ascii="Times New Roman" w:hAnsi="Times New Roman"/>
          <w:sz w:val="24"/>
          <w:szCs w:val="24"/>
        </w:rPr>
        <w:t>atbalstīti grozījumi likumā „Par nodokļiem un nodevām”, kas paredz V</w:t>
      </w:r>
      <w:r w:rsidR="00485817" w:rsidRPr="00225345">
        <w:rPr>
          <w:rFonts w:ascii="Times New Roman" w:hAnsi="Times New Roman"/>
          <w:sz w:val="24"/>
          <w:lang w:val="lv-LV"/>
        </w:rPr>
        <w:t>VID</w:t>
      </w:r>
      <w:r w:rsidRPr="00C82D6F">
        <w:rPr>
          <w:rFonts w:ascii="Times New Roman" w:hAnsi="Times New Roman"/>
          <w:sz w:val="24"/>
          <w:szCs w:val="24"/>
        </w:rPr>
        <w:t xml:space="preserve"> tiesības apturēt nodokļu maksātāja saimniecisko darbību;</w:t>
      </w:r>
    </w:p>
    <w:p w14:paraId="6B6C1EF5" w14:textId="77777777" w:rsidR="00AB33D1" w:rsidRPr="00C82D6F" w:rsidRDefault="00AB33D1" w:rsidP="00C82D6F">
      <w:pPr>
        <w:pStyle w:val="ListParagraph"/>
        <w:numPr>
          <w:ilvl w:val="0"/>
          <w:numId w:val="17"/>
        </w:numPr>
        <w:spacing w:before="120" w:after="0" w:line="240" w:lineRule="auto"/>
        <w:jc w:val="both"/>
        <w:rPr>
          <w:rFonts w:ascii="Times New Roman" w:hAnsi="Times New Roman"/>
          <w:sz w:val="24"/>
          <w:szCs w:val="24"/>
        </w:rPr>
      </w:pPr>
      <w:r w:rsidRPr="00C82D6F">
        <w:rPr>
          <w:rFonts w:ascii="Times New Roman" w:hAnsi="Times New Roman"/>
          <w:sz w:val="24"/>
          <w:szCs w:val="24"/>
        </w:rPr>
        <w:t>likumā „Par nodokļiem un nodevām” precizēti paredzētie skaidras naudas lietošanas ierobežojumi;</w:t>
      </w:r>
    </w:p>
    <w:p w14:paraId="2DEC8D9F" w14:textId="77777777" w:rsidR="002C4465" w:rsidRPr="00085F95" w:rsidRDefault="002C4465" w:rsidP="002C4465">
      <w:pPr>
        <w:pStyle w:val="ListParagraph"/>
        <w:numPr>
          <w:ilvl w:val="0"/>
          <w:numId w:val="17"/>
        </w:numPr>
        <w:spacing w:before="120" w:after="0" w:line="240" w:lineRule="auto"/>
        <w:jc w:val="both"/>
        <w:rPr>
          <w:rFonts w:ascii="Times New Roman" w:hAnsi="Times New Roman"/>
          <w:sz w:val="24"/>
          <w:szCs w:val="24"/>
        </w:rPr>
      </w:pPr>
      <w:r w:rsidRPr="002C4465">
        <w:rPr>
          <w:rFonts w:ascii="Times New Roman" w:hAnsi="Times New Roman"/>
          <w:sz w:val="24"/>
          <w:szCs w:val="24"/>
        </w:rPr>
        <w:t>2013.gada 16.aprīlī MK sēdē apstiprināts Veselības ministrijas izstrādātais koncepcijas projekts par veselības aprūpes sistēmas finansēšanas modeli, kas paredz Latvijā izveidot jaunu veselības aprūpes finansēšanas sistēmu, ieviešot valsts veselības obligāto apdrošināšanu</w:t>
      </w:r>
      <w:r w:rsidRPr="00085F95">
        <w:rPr>
          <w:rFonts w:ascii="Times New Roman" w:hAnsi="Times New Roman"/>
          <w:sz w:val="24"/>
          <w:szCs w:val="24"/>
          <w:lang w:val="lv-LV"/>
        </w:rPr>
        <w:t>.</w:t>
      </w:r>
      <w:r w:rsidRPr="00085F95">
        <w:rPr>
          <w:rFonts w:ascii="Times New Roman" w:hAnsi="Times New Roman"/>
          <w:sz w:val="24"/>
          <w:szCs w:val="24"/>
        </w:rPr>
        <w:t xml:space="preserve"> </w:t>
      </w:r>
      <w:r w:rsidRPr="00085F95">
        <w:rPr>
          <w:rFonts w:ascii="Times New Roman" w:hAnsi="Times New Roman"/>
          <w:sz w:val="24"/>
          <w:szCs w:val="24"/>
          <w:lang w:val="lv-LV"/>
        </w:rPr>
        <w:t xml:space="preserve">Koncepcijas projekta ieviešana motivēs personas maksāt </w:t>
      </w:r>
      <w:r w:rsidRPr="00085F95">
        <w:rPr>
          <w:rFonts w:ascii="Times New Roman" w:hAnsi="Times New Roman"/>
          <w:sz w:val="24"/>
          <w:szCs w:val="24"/>
        </w:rPr>
        <w:t>nodokļus un izvairīties saņemt „aplokšņu algas”</w:t>
      </w:r>
      <w:r w:rsidRPr="00085F95">
        <w:rPr>
          <w:rFonts w:ascii="Times New Roman" w:hAnsi="Times New Roman"/>
          <w:sz w:val="24"/>
          <w:szCs w:val="24"/>
          <w:lang w:val="lv-LV"/>
        </w:rPr>
        <w:t>, tādējādi iegūstot plānveida veselības aprūpes saņemšanā</w:t>
      </w:r>
      <w:r w:rsidRPr="00085F95">
        <w:rPr>
          <w:rFonts w:ascii="Times New Roman" w:hAnsi="Times New Roman"/>
          <w:sz w:val="24"/>
          <w:szCs w:val="24"/>
        </w:rPr>
        <w:t>;</w:t>
      </w:r>
    </w:p>
    <w:p w14:paraId="6701E6E6" w14:textId="77777777" w:rsidR="00AB33D1" w:rsidRPr="00C82D6F" w:rsidRDefault="00AB33D1" w:rsidP="00C82D6F">
      <w:pPr>
        <w:pStyle w:val="ListParagraph"/>
        <w:numPr>
          <w:ilvl w:val="0"/>
          <w:numId w:val="17"/>
        </w:numPr>
        <w:spacing w:before="120" w:after="0" w:line="240" w:lineRule="auto"/>
        <w:jc w:val="both"/>
        <w:rPr>
          <w:rFonts w:ascii="Times New Roman" w:hAnsi="Times New Roman"/>
          <w:color w:val="FF0000"/>
          <w:sz w:val="24"/>
          <w:szCs w:val="24"/>
        </w:rPr>
      </w:pPr>
      <w:r w:rsidRPr="00085F95">
        <w:rPr>
          <w:rFonts w:ascii="Times New Roman" w:hAnsi="Times New Roman"/>
          <w:sz w:val="24"/>
          <w:szCs w:val="24"/>
          <w:lang w:eastAsia="lv-LV"/>
        </w:rPr>
        <w:lastRenderedPageBreak/>
        <w:t xml:space="preserve">2012.gada 7.jūlijā tika uzsākta nodokļu maksātāju </w:t>
      </w:r>
      <w:r w:rsidRPr="00C82D6F">
        <w:rPr>
          <w:rFonts w:ascii="Times New Roman" w:hAnsi="Times New Roman"/>
          <w:sz w:val="24"/>
          <w:szCs w:val="24"/>
          <w:lang w:eastAsia="lv-LV"/>
        </w:rPr>
        <w:t>pieteikšanās Padziļinātās sadarbības programmas dalībnieka statusam. Tās mērķis ir radīt sistēmu, kurā uzņēmumi, kas ir pierādījuši savu izcilību attieksmē pret valsti, no valsts puses saņem īpašu attieksmi un pretimnākošu sadarbību. Piemēram, iespēju piemērot akcīzes nodokļa vispārējā nodrošinājuma samazinājumu 100% apmērā, atvieglotu kārtību, kādā iegūst tiesības izmantot TIR procedūras un saņemt TIR karnetes, atvieglotus nosacījumus saistībā ar nodokļu parāda galvojumu preču muitošanai, kā arī r</w:t>
      </w:r>
      <w:r w:rsidRPr="00C82D6F">
        <w:rPr>
          <w:rFonts w:ascii="Times New Roman" w:hAnsi="Times New Roman"/>
          <w:sz w:val="24"/>
          <w:szCs w:val="24"/>
        </w:rPr>
        <w:t>eģistrētam pievienotās vērtības nodokļa maksātājam, kas darbojas kā fiskālais pārstāvis, attiecībā uz apliecinājumā norādāmo iespējamā pievienotās vērtības  nodokļa parāda segšanai paredzamo apmēru.</w:t>
      </w:r>
    </w:p>
    <w:p w14:paraId="4F03F319" w14:textId="77777777" w:rsidR="00AB33D1" w:rsidRPr="00C82D6F" w:rsidRDefault="00AB33D1" w:rsidP="00642049">
      <w:pPr>
        <w:spacing w:before="120" w:after="0"/>
        <w:ind w:firstLine="720"/>
        <w:rPr>
          <w:szCs w:val="24"/>
          <w:lang w:eastAsia="lv-LV"/>
        </w:rPr>
      </w:pPr>
      <w:r w:rsidRPr="00C82D6F">
        <w:rPr>
          <w:szCs w:val="24"/>
          <w:lang w:eastAsia="lv-LV"/>
        </w:rPr>
        <w:t>Ar 2012.gada 1.janvāri likumā „Par pievienotās vērtības nodokli” tika noteikts, ka pievienotās  vērtības nodokli par šajā likumā minētajiem būvniecības pakalpojumiem, kas sniegti iekšzemē, valsts budžetā maksā būvniecības pakalpojumu saņēmējs, ja būvniecības pakalpojumu sniedzējs un būvniecības pakalpoj</w:t>
      </w:r>
      <w:r w:rsidR="004C797A">
        <w:rPr>
          <w:szCs w:val="24"/>
          <w:lang w:eastAsia="lv-LV"/>
        </w:rPr>
        <w:t xml:space="preserve">umu saņēmējs ir ar pievienotās </w:t>
      </w:r>
      <w:r w:rsidRPr="00C82D6F">
        <w:rPr>
          <w:szCs w:val="24"/>
          <w:lang w:eastAsia="lv-LV"/>
        </w:rPr>
        <w:t xml:space="preserve">vērtības nodokli apliekamās personas. </w:t>
      </w:r>
      <w:r w:rsidR="000E281E">
        <w:rPr>
          <w:szCs w:val="24"/>
          <w:lang w:eastAsia="lv-LV"/>
        </w:rPr>
        <w:t xml:space="preserve">Šī </w:t>
      </w:r>
      <w:r w:rsidRPr="00C82D6F">
        <w:rPr>
          <w:szCs w:val="24"/>
          <w:lang w:eastAsia="lv-LV"/>
        </w:rPr>
        <w:t xml:space="preserve">kārtība būvniecības pakalpojumu sfērā </w:t>
      </w:r>
      <w:r w:rsidR="000E281E">
        <w:rPr>
          <w:szCs w:val="24"/>
          <w:lang w:eastAsia="lv-LV"/>
        </w:rPr>
        <w:t xml:space="preserve">tika ieviesta, lai cīnītos </w:t>
      </w:r>
      <w:r w:rsidRPr="00C82D6F">
        <w:rPr>
          <w:szCs w:val="24"/>
          <w:lang w:eastAsia="lv-LV"/>
        </w:rPr>
        <w:t>ar</w:t>
      </w:r>
      <w:r w:rsidR="000E281E">
        <w:rPr>
          <w:szCs w:val="24"/>
          <w:lang w:eastAsia="lv-LV"/>
        </w:rPr>
        <w:t xml:space="preserve"> </w:t>
      </w:r>
      <w:proofErr w:type="spellStart"/>
      <w:r w:rsidR="000E281E">
        <w:rPr>
          <w:szCs w:val="24"/>
          <w:lang w:eastAsia="lv-LV"/>
        </w:rPr>
        <w:t>krāpniecību</w:t>
      </w:r>
      <w:proofErr w:type="spellEnd"/>
      <w:r w:rsidR="000E281E">
        <w:rPr>
          <w:szCs w:val="24"/>
          <w:lang w:eastAsia="lv-LV"/>
        </w:rPr>
        <w:t xml:space="preserve"> pievienotās vērtības nodokļa jomā</w:t>
      </w:r>
      <w:r w:rsidRPr="00C82D6F">
        <w:rPr>
          <w:szCs w:val="24"/>
          <w:lang w:eastAsia="lv-LV"/>
        </w:rPr>
        <w:t xml:space="preserve">. </w:t>
      </w:r>
    </w:p>
    <w:p w14:paraId="6591F559" w14:textId="63847493" w:rsidR="00AB33D1" w:rsidRPr="00C82D6F" w:rsidRDefault="00AB33D1" w:rsidP="00642049">
      <w:pPr>
        <w:spacing w:before="120" w:after="0"/>
        <w:ind w:firstLine="720"/>
        <w:rPr>
          <w:szCs w:val="24"/>
          <w:lang w:eastAsia="lv-LV"/>
        </w:rPr>
      </w:pPr>
      <w:r w:rsidRPr="00C82D6F">
        <w:rPr>
          <w:szCs w:val="24"/>
          <w:lang w:eastAsia="lv-LV"/>
        </w:rPr>
        <w:t xml:space="preserve">Tika pārskatīts ierobežojums nodokļu atbrīvojumu piemērošanai akcīzes precēm, kuras fiziskās personas ieved no trešajām valstīm. Tādējādi ar 2012.gada 1.janvāri tika paredzēts, ka fiziskā persona no trešajām valstīm var ievest akcīzes preces, </w:t>
      </w:r>
      <w:r w:rsidR="009D4B21">
        <w:rPr>
          <w:szCs w:val="24"/>
          <w:lang w:eastAsia="lv-LV"/>
        </w:rPr>
        <w:t>piemērojot nodokļu atbrīvojumus</w:t>
      </w:r>
      <w:r w:rsidRPr="00C82D6F">
        <w:rPr>
          <w:szCs w:val="24"/>
          <w:lang w:eastAsia="lv-LV"/>
        </w:rPr>
        <w:t xml:space="preserve"> ne biežāk kā vienu reizi 7 dienās (līdz tam - ne biežāk kā reizi dienā)  un minētais ierobežojums attiecas gan uz fizisko personu, gan uz transportlīdzekli, kas nav komerciāls. Lai ierobežotu iespējas izvairīties no akcīzes nodokļa piemērošanas produktiem, kurus var izmantot par degvielu vai kurināmo, ar 2012.gada 1.februāri akcīzes nodokli piemēro noteiktām eļļas grupām, izņemot eļļas slēgtā iepakojumā, kura tilpums nepārsniedz 250 litrus.</w:t>
      </w:r>
    </w:p>
    <w:p w14:paraId="2B7E4D6C" w14:textId="77777777" w:rsidR="00AB33D1" w:rsidRPr="00C82D6F" w:rsidRDefault="00AB33D1" w:rsidP="00642049">
      <w:pPr>
        <w:spacing w:before="120" w:after="0"/>
        <w:ind w:firstLine="720"/>
        <w:rPr>
          <w:szCs w:val="24"/>
        </w:rPr>
      </w:pPr>
      <w:r w:rsidRPr="00C82D6F">
        <w:rPr>
          <w:szCs w:val="24"/>
          <w:u w:val="single"/>
        </w:rPr>
        <w:t>Cilvēkresursu attīstības koncepcija.</w:t>
      </w:r>
      <w:r w:rsidRPr="00C82D6F">
        <w:rPr>
          <w:szCs w:val="24"/>
        </w:rPr>
        <w:t xml:space="preserve"> Pasākuma mērķis – profesionāli, motivēti un godīgi valsts pārvaldē nodarbinātie un tā sasniegšanai ir piedāvāti vairāki rīcības virzieni: nodarbināto tiesisko attiecību pilnveidošana (civildienesta sistēmas reforma) un augstākā līmeņa vadītāju kompetenču attīstīšana, darba samaksas un sociālo garantiju sistēmas pilnveidošana, motivācijas sistēmas un profesionālās pilnveides pasākumu nodrošināšana. Koncepcijā piedāvātie pasākumi ir īstenojami esošo budžeta līdzekļu ietvaros vai līdzfinansējot no </w:t>
      </w:r>
      <w:r w:rsidR="002D6F2B">
        <w:rPr>
          <w:szCs w:val="24"/>
        </w:rPr>
        <w:t>ES</w:t>
      </w:r>
      <w:r w:rsidRPr="00C82D6F">
        <w:rPr>
          <w:szCs w:val="24"/>
        </w:rPr>
        <w:t xml:space="preserve"> fondu līdzekļiem. Valsts pārvaldes prioritātes cilvēkresursu attīstības jomā 2013.gadā būs saistītas ar valsts pārvaldē nodarbināto tiesisko attiecību pilnveidošanu (likumprojekts par valsts dienestu), darba izpildes novērtēšanas sistēmas ieviešanu, amatu klasifikācijas (darba samaksas) sistēmas  pilnveidošanu, profesionālās izaugsmes pasākumu atjaunošanu, e-pārvaldības veicināšanu </w:t>
      </w:r>
      <w:proofErr w:type="spellStart"/>
      <w:r w:rsidRPr="00C82D6F">
        <w:rPr>
          <w:szCs w:val="24"/>
        </w:rPr>
        <w:t>personālvadībā</w:t>
      </w:r>
      <w:proofErr w:type="spellEnd"/>
      <w:r w:rsidRPr="00C82D6F">
        <w:rPr>
          <w:szCs w:val="24"/>
        </w:rPr>
        <w:t xml:space="preserve"> un cilvēkresursu vadības stratēģiskās lomas stiprināšanu. </w:t>
      </w:r>
    </w:p>
    <w:p w14:paraId="276CE5E7" w14:textId="77777777" w:rsidR="00485817" w:rsidRPr="00225345" w:rsidRDefault="00AB33D1" w:rsidP="00642049">
      <w:pPr>
        <w:pStyle w:val="ListParagraph"/>
        <w:spacing w:before="120" w:after="0" w:line="240" w:lineRule="auto"/>
        <w:ind w:left="0" w:firstLine="720"/>
        <w:jc w:val="both"/>
        <w:rPr>
          <w:rFonts w:ascii="Times New Roman" w:hAnsi="Times New Roman"/>
          <w:sz w:val="24"/>
          <w:lang w:val="lv-LV"/>
        </w:rPr>
      </w:pPr>
      <w:r w:rsidRPr="00C82D6F">
        <w:rPr>
          <w:rFonts w:ascii="Times New Roman" w:hAnsi="Times New Roman"/>
          <w:sz w:val="24"/>
          <w:szCs w:val="24"/>
          <w:u w:val="single"/>
        </w:rPr>
        <w:t>E-pārvaldes un e-pakalpojumu attīstība.</w:t>
      </w:r>
      <w:r w:rsidRPr="00C82D6F">
        <w:rPr>
          <w:rFonts w:ascii="Times New Roman" w:hAnsi="Times New Roman"/>
          <w:sz w:val="24"/>
          <w:szCs w:val="24"/>
        </w:rPr>
        <w:t xml:space="preserve"> Pasākumu mērķis ir padarīt efektīvākus valsts pārvaldes procesus, nodrošinot pieejamākus valsts pakalpojumus iedzīvotājiem un komersantiem. Laika periodā no 2012. līdz 2014. gadam paredzēta pilnīgāka elektroniskās informācijas un dokumentu aprite starp iestādēm, valsts informācijas tehnoloģiju standarta pakalpojumu konsolidācija un centralizācija, valsts informāciju sistēmu sadarbības attīstīšana. Paredzēta atteikšanās no reģistrācijas apliecību, darbības atļauju un licenču izsniegšanas papīra formā, kā arī centralizētas elektronisko iepirkumu sistēmas izmantošanas un attīstības nodrošināšana. 2012. gadā vienotajā valsts un pašvaldību pakalpojumu portālā </w:t>
      </w:r>
      <w:hyperlink r:id="rId60" w:history="1">
        <w:r w:rsidR="00485817" w:rsidRPr="00CE6370">
          <w:rPr>
            <w:rStyle w:val="Hyperlink"/>
            <w:rFonts w:ascii="Times New Roman" w:hAnsi="Times New Roman"/>
            <w:sz w:val="24"/>
            <w:szCs w:val="24"/>
          </w:rPr>
          <w:t>www.latvija.lv</w:t>
        </w:r>
      </w:hyperlink>
    </w:p>
    <w:p w14:paraId="17BC9534" w14:textId="77777777" w:rsidR="00AB33D1" w:rsidRPr="00C82D6F" w:rsidRDefault="00AB33D1" w:rsidP="00C82D6F">
      <w:pPr>
        <w:pStyle w:val="ListParagraph"/>
        <w:spacing w:before="120" w:after="0" w:line="240" w:lineRule="auto"/>
        <w:ind w:left="0"/>
        <w:jc w:val="both"/>
        <w:rPr>
          <w:rFonts w:ascii="Times New Roman" w:hAnsi="Times New Roman"/>
          <w:sz w:val="24"/>
          <w:szCs w:val="24"/>
        </w:rPr>
      </w:pPr>
      <w:r w:rsidRPr="00C82D6F">
        <w:rPr>
          <w:rFonts w:ascii="Times New Roman" w:hAnsi="Times New Roman"/>
          <w:sz w:val="24"/>
          <w:szCs w:val="24"/>
        </w:rPr>
        <w:t xml:space="preserve">nodrošināta pieeja 52 e-pakalpojumiem un ieviesti 11 jauni e-pakalpojumi. Veikti grozījumi Iesniegumu likumā, paredzot vienotā iesnieguma izskatīšanu, ja tas normatīvajos aktos noteiktajā kārtībā ir parakstīts ar elektronisko parakstu, kā arī izstrādāts Fizisko personu elektroniskās identifikācijas likumprojekts, kura mērķis ir noteikt fizisko personu </w:t>
      </w:r>
      <w:r w:rsidRPr="00C82D6F">
        <w:rPr>
          <w:rFonts w:ascii="Times New Roman" w:hAnsi="Times New Roman"/>
          <w:sz w:val="24"/>
          <w:szCs w:val="24"/>
        </w:rPr>
        <w:lastRenderedPageBreak/>
        <w:t>elektroniskās identifikācijas tiesisko statusu elektroniskajā vidē. Pasākumu rezultātā valsts pārvaldes pakalpojumu saņemšana uzņēmējiem un iedzīvotājiem kļūs vienkāršotāka, ātrāka, attālināta, palielināsies iedzīvotāju un komersantu īpatsvars, kas izmanto internetu sadarbībai ar valsts un pašvaldību iestādēm, samazināsies izmaksas un tiks panākta lielāka caurskatāmība valsts pārvaldes iepirkuma procesos.</w:t>
      </w:r>
    </w:p>
    <w:p w14:paraId="38B4ADE7" w14:textId="77777777" w:rsidR="00AB33D1" w:rsidRPr="00C82D6F" w:rsidRDefault="00AB33D1" w:rsidP="00642049">
      <w:pPr>
        <w:pStyle w:val="ListParagraph"/>
        <w:spacing w:before="120" w:after="0" w:line="240" w:lineRule="auto"/>
        <w:ind w:left="0" w:firstLine="720"/>
        <w:contextualSpacing w:val="0"/>
        <w:jc w:val="both"/>
        <w:rPr>
          <w:rFonts w:ascii="Times New Roman" w:hAnsi="Times New Roman"/>
          <w:sz w:val="24"/>
          <w:szCs w:val="24"/>
        </w:rPr>
      </w:pPr>
      <w:r w:rsidRPr="00C82D6F">
        <w:rPr>
          <w:rFonts w:ascii="Times New Roman" w:hAnsi="Times New Roman"/>
          <w:sz w:val="24"/>
          <w:szCs w:val="24"/>
          <w:u w:val="single"/>
        </w:rPr>
        <w:t xml:space="preserve"> „Vienas pieturas aģentūras” principa ieviešana valsts un pašvaldību pakalpojumu sniegšanā</w:t>
      </w:r>
      <w:r w:rsidRPr="00C82D6F">
        <w:rPr>
          <w:rFonts w:ascii="Times New Roman" w:hAnsi="Times New Roman"/>
          <w:sz w:val="24"/>
          <w:szCs w:val="24"/>
        </w:rPr>
        <w:t xml:space="preserve">. Pasākumu mērķis ir valsts un pašvaldību pakalpojumu piegādes pilnveidošana, attīstot pakalpojumu piekļuves punktus klātienē un elektroniski, attīstot vienotu, uz personu vērstu pakalpojumu sniegšanas kultūru, kas ļauj apmierināt personu vajadzības vienuviet arī tad, ja tā sniegšanā ir iesaistītas vairākas institūcijas. 2012.gada laikā izstrādāts Publisko pakalpojumu sistēmas pilnveides koncepcijas projekts. Koncepcija paredz izstrādāt Publisko pakalpojumu likumu, pakārtotos normatīvos aktus, veicināt e-pakalpojumu un IKT koplietošanas rīku attīstību, izstrādāt vienotu publisko pakalpojumu izmaksu uzskaites un pārskatu sniegšanas kārtību, īstenot klientu apkalpošanas centru tīkla pilotprojekta izveidi atbilstoši vienas pieturas aģentūras principam, kā arī nodrošināt politikas izstrādi un ieviešanas koordināciju. 2014.gada 2.janvārī plānots uzsākt </w:t>
      </w:r>
      <w:proofErr w:type="spellStart"/>
      <w:r w:rsidRPr="00C82D6F">
        <w:rPr>
          <w:rFonts w:ascii="Times New Roman" w:hAnsi="Times New Roman"/>
          <w:sz w:val="24"/>
          <w:szCs w:val="24"/>
        </w:rPr>
        <w:t>izmēģinājumprojektu</w:t>
      </w:r>
      <w:proofErr w:type="spellEnd"/>
      <w:r w:rsidRPr="00C82D6F">
        <w:rPr>
          <w:rFonts w:ascii="Times New Roman" w:hAnsi="Times New Roman"/>
          <w:sz w:val="24"/>
          <w:szCs w:val="24"/>
        </w:rPr>
        <w:t xml:space="preserve">, pārbaudot vienotu klātienes klientu apkalpošanas centru idejas dzīvotspēju un nosakot piemērotāko sadarbības modeli institūciju starpā. Klientu apkalpošanas centru tīkla </w:t>
      </w:r>
      <w:proofErr w:type="spellStart"/>
      <w:r w:rsidRPr="00C82D6F">
        <w:rPr>
          <w:rFonts w:ascii="Times New Roman" w:hAnsi="Times New Roman"/>
          <w:sz w:val="24"/>
          <w:szCs w:val="24"/>
        </w:rPr>
        <w:t>izmēģinājumprojekts</w:t>
      </w:r>
      <w:proofErr w:type="spellEnd"/>
      <w:r w:rsidRPr="00C82D6F">
        <w:rPr>
          <w:rFonts w:ascii="Times New Roman" w:hAnsi="Times New Roman"/>
          <w:sz w:val="24"/>
          <w:szCs w:val="24"/>
        </w:rPr>
        <w:t xml:space="preserve"> tiks īstenots iestāžu esošo budžeta līdzekļu ietvaros.</w:t>
      </w:r>
    </w:p>
    <w:p w14:paraId="068051BC" w14:textId="77777777" w:rsidR="00AB33D1" w:rsidRPr="00C82D6F" w:rsidRDefault="00AB33D1" w:rsidP="00642049">
      <w:pPr>
        <w:spacing w:before="120" w:after="0"/>
        <w:ind w:firstLine="720"/>
        <w:rPr>
          <w:szCs w:val="24"/>
        </w:rPr>
      </w:pPr>
      <w:r w:rsidRPr="00C82D6F">
        <w:rPr>
          <w:szCs w:val="24"/>
          <w:u w:val="single"/>
        </w:rPr>
        <w:t>Publisko personu kapitāla daļu un kapitālsabiedrību pārvaldības un publisko personu komercdarbības reforma.</w:t>
      </w:r>
      <w:r w:rsidRPr="00C82D6F">
        <w:rPr>
          <w:szCs w:val="24"/>
        </w:rPr>
        <w:t xml:space="preserve"> Pasākuma mērķis ir nodrošināt efektīvāku un labas korporatīvās pārvaldības principiem atbilstošu publisko personu kapitāla daļu un kapitālsabiedrību pārvaldi, kā arī pārvērtēt publiskas personas līdzdalības nepieciešamību un nosacījumus kapitālsabiedrībās. </w:t>
      </w:r>
      <w:r w:rsidR="00901F3F">
        <w:rPr>
          <w:szCs w:val="24"/>
        </w:rPr>
        <w:t>MK</w:t>
      </w:r>
      <w:r w:rsidRPr="00C82D6F">
        <w:rPr>
          <w:szCs w:val="24"/>
        </w:rPr>
        <w:t xml:space="preserve"> 2012.gada 15.maijā atbalstīja sagatavoto Publisko personu komercdarbības koncepciju un Valsts kapitāla daļu pārvaldības koncepciju. Lai ieviestu minētajās koncepcijās </w:t>
      </w:r>
      <w:r w:rsidR="00901F3F">
        <w:rPr>
          <w:szCs w:val="24"/>
        </w:rPr>
        <w:t>MK</w:t>
      </w:r>
      <w:r w:rsidRPr="00C82D6F">
        <w:rPr>
          <w:szCs w:val="24"/>
        </w:rPr>
        <w:t xml:space="preserve"> atbalstītos risinājumu variantus, ir izstrādāts likumprojekts „Publisko personu kapitālsabiedrību un kapitāla daļu pārvaldības likums” un tam pakārtotie grozījumi normatīvajos aktos. Plānotās publisko personu komercdarbības un kapitāla daļu pārvaldības reformas paredz, ka:</w:t>
      </w:r>
    </w:p>
    <w:p w14:paraId="03CC5279" w14:textId="77777777" w:rsidR="00AB33D1" w:rsidRPr="00C82D6F" w:rsidRDefault="00AB33D1" w:rsidP="00C82D6F">
      <w:pPr>
        <w:pStyle w:val="ListParagraph"/>
        <w:numPr>
          <w:ilvl w:val="0"/>
          <w:numId w:val="15"/>
        </w:numPr>
        <w:spacing w:before="120" w:after="0" w:line="240" w:lineRule="auto"/>
        <w:jc w:val="both"/>
        <w:rPr>
          <w:rFonts w:ascii="Times New Roman" w:hAnsi="Times New Roman"/>
          <w:sz w:val="24"/>
          <w:szCs w:val="24"/>
        </w:rPr>
      </w:pPr>
      <w:r w:rsidRPr="00C82D6F">
        <w:rPr>
          <w:rFonts w:ascii="Times New Roman" w:hAnsi="Times New Roman"/>
          <w:sz w:val="24"/>
          <w:szCs w:val="24"/>
        </w:rPr>
        <w:t>publiska persona var iegūt līdzdalību kapitālsabiedrībā tirgus nepilnības gadījumā vai stratēģiski svarīgā nozarē stratēģiski svarīgu aktīvu pārvaldīšanas nolūkā;</w:t>
      </w:r>
    </w:p>
    <w:p w14:paraId="50848FC6" w14:textId="77777777" w:rsidR="00AB33D1" w:rsidRPr="00C82D6F" w:rsidRDefault="00AB33D1" w:rsidP="00C82D6F">
      <w:pPr>
        <w:pStyle w:val="ListParagraph"/>
        <w:numPr>
          <w:ilvl w:val="0"/>
          <w:numId w:val="15"/>
        </w:numPr>
        <w:spacing w:before="120" w:after="0" w:line="240" w:lineRule="auto"/>
        <w:jc w:val="both"/>
        <w:rPr>
          <w:rFonts w:ascii="Times New Roman" w:hAnsi="Times New Roman"/>
          <w:sz w:val="24"/>
          <w:szCs w:val="24"/>
        </w:rPr>
      </w:pPr>
      <w:r w:rsidRPr="00C82D6F">
        <w:rPr>
          <w:rFonts w:ascii="Times New Roman" w:hAnsi="Times New Roman"/>
          <w:sz w:val="24"/>
          <w:szCs w:val="24"/>
        </w:rPr>
        <w:t xml:space="preserve">regulāri pārvērtējama publiskas personas līdzdalības nepieciešamība kapitālsabiedrībās; </w:t>
      </w:r>
    </w:p>
    <w:p w14:paraId="088C7207" w14:textId="77777777" w:rsidR="00AB33D1" w:rsidRPr="00C82D6F" w:rsidRDefault="00901F3F" w:rsidP="00C82D6F">
      <w:pPr>
        <w:pStyle w:val="ListParagraph"/>
        <w:numPr>
          <w:ilvl w:val="0"/>
          <w:numId w:val="15"/>
        </w:numPr>
        <w:spacing w:before="120" w:after="0" w:line="240" w:lineRule="auto"/>
        <w:jc w:val="both"/>
        <w:rPr>
          <w:rFonts w:ascii="Times New Roman" w:hAnsi="Times New Roman"/>
          <w:sz w:val="24"/>
          <w:szCs w:val="24"/>
        </w:rPr>
      </w:pPr>
      <w:r w:rsidRPr="00225345">
        <w:rPr>
          <w:rFonts w:ascii="Times New Roman" w:hAnsi="Times New Roman"/>
          <w:sz w:val="24"/>
          <w:lang w:val="lv-LV"/>
        </w:rPr>
        <w:t xml:space="preserve">jāievieš </w:t>
      </w:r>
      <w:r w:rsidR="00AB33D1" w:rsidRPr="00C82D6F">
        <w:rPr>
          <w:rFonts w:ascii="Times New Roman" w:hAnsi="Times New Roman"/>
          <w:sz w:val="24"/>
          <w:szCs w:val="24"/>
        </w:rPr>
        <w:t>valsts kapitāla daļu pārvaldības daļēji centralizēt</w:t>
      </w:r>
      <w:r w:rsidRPr="00225345">
        <w:rPr>
          <w:rFonts w:ascii="Times New Roman" w:hAnsi="Times New Roman"/>
          <w:sz w:val="24"/>
          <w:lang w:val="lv-LV"/>
        </w:rPr>
        <w:t>s</w:t>
      </w:r>
      <w:r w:rsidR="00AB33D1" w:rsidRPr="00C82D6F">
        <w:rPr>
          <w:rFonts w:ascii="Times New Roman" w:hAnsi="Times New Roman"/>
          <w:sz w:val="24"/>
          <w:szCs w:val="24"/>
        </w:rPr>
        <w:t xml:space="preserve"> mode</w:t>
      </w:r>
      <w:r w:rsidRPr="00225345">
        <w:rPr>
          <w:rFonts w:ascii="Times New Roman" w:hAnsi="Times New Roman"/>
          <w:sz w:val="24"/>
          <w:lang w:val="lv-LV"/>
        </w:rPr>
        <w:t>lis</w:t>
      </w:r>
      <w:r w:rsidR="00AB33D1" w:rsidRPr="00C82D6F">
        <w:rPr>
          <w:rFonts w:ascii="Times New Roman" w:hAnsi="Times New Roman"/>
          <w:sz w:val="24"/>
          <w:szCs w:val="24"/>
        </w:rPr>
        <w:t>, izveidojot centralizēto pārvaldības institūciju;</w:t>
      </w:r>
    </w:p>
    <w:p w14:paraId="0EFF3AE2" w14:textId="77777777" w:rsidR="00AB33D1" w:rsidRPr="00C82D6F" w:rsidRDefault="00AB33D1" w:rsidP="00C82D6F">
      <w:pPr>
        <w:pStyle w:val="ListParagraph"/>
        <w:numPr>
          <w:ilvl w:val="0"/>
          <w:numId w:val="15"/>
        </w:numPr>
        <w:spacing w:before="120" w:after="0" w:line="240" w:lineRule="auto"/>
        <w:jc w:val="both"/>
        <w:rPr>
          <w:rFonts w:ascii="Times New Roman" w:hAnsi="Times New Roman"/>
          <w:sz w:val="24"/>
          <w:szCs w:val="24"/>
        </w:rPr>
      </w:pPr>
      <w:r w:rsidRPr="00C82D6F">
        <w:rPr>
          <w:rFonts w:ascii="Times New Roman" w:hAnsi="Times New Roman"/>
          <w:sz w:val="24"/>
          <w:szCs w:val="24"/>
        </w:rPr>
        <w:t xml:space="preserve">definējami valsts kapitāla ieguldījuma finanšu un </w:t>
      </w:r>
      <w:proofErr w:type="spellStart"/>
      <w:r w:rsidRPr="00C82D6F">
        <w:rPr>
          <w:rFonts w:ascii="Times New Roman" w:hAnsi="Times New Roman"/>
          <w:sz w:val="24"/>
          <w:szCs w:val="24"/>
        </w:rPr>
        <w:t>nefinanšu</w:t>
      </w:r>
      <w:proofErr w:type="spellEnd"/>
      <w:r w:rsidRPr="00C82D6F">
        <w:rPr>
          <w:rFonts w:ascii="Times New Roman" w:hAnsi="Times New Roman"/>
          <w:sz w:val="24"/>
          <w:szCs w:val="24"/>
        </w:rPr>
        <w:t xml:space="preserve"> mērķi un katru gadu jāizvērtē sasniegtie rezultāti; </w:t>
      </w:r>
    </w:p>
    <w:p w14:paraId="70829663" w14:textId="77777777" w:rsidR="00AB33D1" w:rsidRPr="00C82D6F" w:rsidRDefault="00AB33D1" w:rsidP="00C82D6F">
      <w:pPr>
        <w:pStyle w:val="ListParagraph"/>
        <w:numPr>
          <w:ilvl w:val="0"/>
          <w:numId w:val="15"/>
        </w:numPr>
        <w:spacing w:before="120" w:after="0" w:line="240" w:lineRule="auto"/>
        <w:jc w:val="both"/>
        <w:rPr>
          <w:rFonts w:ascii="Times New Roman" w:hAnsi="Times New Roman"/>
          <w:sz w:val="24"/>
          <w:szCs w:val="24"/>
        </w:rPr>
      </w:pPr>
      <w:r w:rsidRPr="00C82D6F">
        <w:rPr>
          <w:rFonts w:ascii="Times New Roman" w:hAnsi="Times New Roman"/>
          <w:sz w:val="24"/>
          <w:szCs w:val="24"/>
        </w:rPr>
        <w:t xml:space="preserve">diferencējama piemērojamo dividenžu politika ilgtermiņā atbilstoši katras kapitālsabiedrības mērķiem; </w:t>
      </w:r>
    </w:p>
    <w:p w14:paraId="5CD04D33" w14:textId="77777777" w:rsidR="00AB33D1" w:rsidRPr="00C82D6F" w:rsidRDefault="00AB33D1" w:rsidP="00C82D6F">
      <w:pPr>
        <w:pStyle w:val="ListParagraph"/>
        <w:numPr>
          <w:ilvl w:val="0"/>
          <w:numId w:val="15"/>
        </w:numPr>
        <w:spacing w:before="120" w:after="0" w:line="240" w:lineRule="auto"/>
        <w:jc w:val="both"/>
        <w:rPr>
          <w:rFonts w:ascii="Times New Roman" w:hAnsi="Times New Roman"/>
          <w:sz w:val="24"/>
          <w:szCs w:val="24"/>
        </w:rPr>
      </w:pPr>
      <w:r w:rsidRPr="00C82D6F">
        <w:rPr>
          <w:rFonts w:ascii="Times New Roman" w:hAnsi="Times New Roman"/>
          <w:sz w:val="24"/>
          <w:szCs w:val="24"/>
        </w:rPr>
        <w:t>jānodrošina, lai informācija par publisko personu kapitāla daļu pārvaldību ir atklāta, caurskatāma un pieejama;</w:t>
      </w:r>
    </w:p>
    <w:p w14:paraId="3E2E7378" w14:textId="77777777" w:rsidR="00AB33D1" w:rsidRPr="00C82D6F" w:rsidRDefault="00AB33D1" w:rsidP="00C82D6F">
      <w:pPr>
        <w:pStyle w:val="ListParagraph"/>
        <w:numPr>
          <w:ilvl w:val="0"/>
          <w:numId w:val="15"/>
        </w:numPr>
        <w:spacing w:before="120" w:after="0" w:line="240" w:lineRule="auto"/>
        <w:jc w:val="both"/>
        <w:rPr>
          <w:rFonts w:ascii="Times New Roman" w:hAnsi="Times New Roman"/>
          <w:sz w:val="24"/>
          <w:szCs w:val="24"/>
        </w:rPr>
      </w:pPr>
      <w:r w:rsidRPr="00C82D6F">
        <w:rPr>
          <w:rFonts w:ascii="Times New Roman" w:hAnsi="Times New Roman"/>
          <w:sz w:val="24"/>
          <w:szCs w:val="24"/>
        </w:rPr>
        <w:t xml:space="preserve">kapitālsabiedrībās ieviešama motivējoša atalgojuma politika, kas sasaistāma ar darbības rezultātiem; </w:t>
      </w:r>
    </w:p>
    <w:p w14:paraId="1710A98C" w14:textId="77777777" w:rsidR="00AB33D1" w:rsidRPr="00C82D6F" w:rsidRDefault="00AB33D1" w:rsidP="00C82D6F">
      <w:pPr>
        <w:pStyle w:val="ListParagraph"/>
        <w:numPr>
          <w:ilvl w:val="0"/>
          <w:numId w:val="15"/>
        </w:numPr>
        <w:spacing w:before="120" w:after="0" w:line="240" w:lineRule="auto"/>
        <w:jc w:val="both"/>
        <w:rPr>
          <w:rFonts w:ascii="Times New Roman" w:hAnsi="Times New Roman"/>
          <w:sz w:val="24"/>
          <w:szCs w:val="24"/>
        </w:rPr>
      </w:pPr>
      <w:r w:rsidRPr="00C82D6F">
        <w:rPr>
          <w:rFonts w:ascii="Times New Roman" w:hAnsi="Times New Roman"/>
          <w:sz w:val="24"/>
          <w:szCs w:val="24"/>
        </w:rPr>
        <w:t xml:space="preserve">padomes un valdes locekļi tiek izvirzīti, izmantojot valdes un padomes locekļu kandidātu datubāzi, balstoties uz profesionalitātes un kompetences kritērijiem. </w:t>
      </w:r>
    </w:p>
    <w:p w14:paraId="7545295C" w14:textId="77777777" w:rsidR="00AB33D1" w:rsidRPr="00C82D6F" w:rsidRDefault="00AB33D1" w:rsidP="00C82D6F">
      <w:pPr>
        <w:spacing w:before="120" w:after="0"/>
        <w:rPr>
          <w:szCs w:val="24"/>
        </w:rPr>
      </w:pPr>
      <w:r w:rsidRPr="00C82D6F">
        <w:rPr>
          <w:szCs w:val="24"/>
        </w:rPr>
        <w:t xml:space="preserve">Lai ieviestu MK apstiprinātos risinājumus, 2013.gadā tiks izstrādāti un apstiprināti atbilstoši normatīvie akti un plānots, ka ar 2014.gada 1.janvāri tiks sakārtota sistēma publisko personu kapitāla daļu pārvaldībai, tajā skaitā izveidota un sākusi darbu centralizētā pārvaldības institūcija. </w:t>
      </w:r>
    </w:p>
    <w:p w14:paraId="7950B5E4" w14:textId="77777777" w:rsidR="00AB33D1" w:rsidRPr="00FF2E0A" w:rsidRDefault="00AB33D1" w:rsidP="00AB33D1">
      <w:pPr>
        <w:spacing w:before="120" w:after="0"/>
        <w:rPr>
          <w:szCs w:val="24"/>
        </w:rPr>
      </w:pPr>
      <w:r w:rsidRPr="00FF2E0A">
        <w:rPr>
          <w:b/>
          <w:i/>
        </w:rPr>
        <w:lastRenderedPageBreak/>
        <w:t>3.2.2. Produktīvo investīciju un eksporta veicināšana</w:t>
      </w:r>
    </w:p>
    <w:p w14:paraId="285ED541" w14:textId="77777777" w:rsidR="00AB33D1" w:rsidRDefault="00AB33D1" w:rsidP="00642049">
      <w:pPr>
        <w:spacing w:before="120" w:after="0"/>
        <w:rPr>
          <w:szCs w:val="24"/>
        </w:rPr>
      </w:pPr>
      <w:r w:rsidRPr="00FF2E0A">
        <w:rPr>
          <w:szCs w:val="24"/>
          <w:u w:val="single"/>
        </w:rPr>
        <w:t>Uzņēmumu pieeja finanšu resursiem.</w:t>
      </w:r>
      <w:r w:rsidRPr="00FF2E0A">
        <w:rPr>
          <w:szCs w:val="24"/>
        </w:rPr>
        <w:t xml:space="preserve"> Pasākuma mērķis ir nodrošināt finanšu resursus komercdarbības uzsākšanai un attīstībai. 2012. gadā uzņēmējiem tika piedāvāts plašs finanšu instrumentu klāsts, tajā skaitā aizdevumi un individuālās garantijas (LGA, LHZB). 2013. gadā uzņēmumiem tiek nodrošināta piekļuve finanšu resursiem, sniedzot atbalstu uzņēmējiem, lai uzlabotu to konkurētspēju un veicinātu izaugsmi. Pasākuma rezultātā palielināsies piekļuve finansējumam, tiks veicināta jaunu uzņēmumu rašanās, biznesa iemaņu iegūšana, biznesa vides attīstība, kā arī tiks sekmēta jaunu tirgu apgūšana un uzņēmumu nostiprināšanās esošajos tirgos. </w:t>
      </w:r>
    </w:p>
    <w:p w14:paraId="5927E7F8" w14:textId="77777777" w:rsidR="00AB33D1" w:rsidRPr="00FF2E0A" w:rsidRDefault="00AB33D1" w:rsidP="00642049">
      <w:pPr>
        <w:spacing w:before="120" w:after="0"/>
        <w:rPr>
          <w:szCs w:val="24"/>
        </w:rPr>
      </w:pPr>
      <w:r w:rsidRPr="00FF2E0A">
        <w:rPr>
          <w:szCs w:val="24"/>
          <w:u w:val="single"/>
        </w:rPr>
        <w:t>Atbalsts ārējo tirgu apguvei</w:t>
      </w:r>
      <w:r w:rsidRPr="00FF2E0A">
        <w:rPr>
          <w:szCs w:val="24"/>
        </w:rPr>
        <w:t>. Pasākuma mērķis ir palielināt Latvijas eksporta apjomus un diversificēt eksporta tirgus, sniedzot tiešos eksporta atbalsta pakalpojumus komersantiem (apmācības, konsultācijas, semināri par ārvalstu tirgiem un sadarbības iespējām, atbalsts dalībai izstādēs u.c.).</w:t>
      </w:r>
      <w:r w:rsidRPr="00FF2E0A">
        <w:rPr>
          <w:noProof/>
          <w:szCs w:val="24"/>
        </w:rPr>
        <w:t xml:space="preserve"> </w:t>
      </w:r>
      <w:r w:rsidRPr="00FF2E0A">
        <w:rPr>
          <w:szCs w:val="24"/>
        </w:rPr>
        <w:t xml:space="preserve">Pasākumiem ir paredzēts ES fondu līdzfinansējums. 2012. gadā, atbilstoši plānotajam, tika īstenoti tiešie eksporta atbalsta pakalpojumi komersantiem, kā arī tika </w:t>
      </w:r>
      <w:r w:rsidRPr="00FF2E0A">
        <w:rPr>
          <w:noProof/>
          <w:szCs w:val="24"/>
        </w:rPr>
        <w:t xml:space="preserve">paplašināts Latvijas Ārējo ekonomisko </w:t>
      </w:r>
      <w:r w:rsidRPr="00FF2E0A">
        <w:rPr>
          <w:szCs w:val="24"/>
        </w:rPr>
        <w:t>pārstāvniecību tīkls (</w:t>
      </w:r>
      <w:r w:rsidRPr="00FF2E0A">
        <w:rPr>
          <w:noProof/>
          <w:szCs w:val="24"/>
        </w:rPr>
        <w:t>Japānā, Norvēģijā un Ķīnā</w:t>
      </w:r>
      <w:r w:rsidRPr="00FF2E0A">
        <w:rPr>
          <w:szCs w:val="24"/>
        </w:rPr>
        <w:t xml:space="preserve">). 2013. gadā tiks turpināta atbalsta sniegšana komersantiem ārējo tirgu apguvei. </w:t>
      </w:r>
    </w:p>
    <w:p w14:paraId="6AFAE843" w14:textId="159CCC3D" w:rsidR="00AB33D1" w:rsidRDefault="00AB33D1" w:rsidP="00642049">
      <w:pPr>
        <w:spacing w:before="120" w:after="0"/>
        <w:rPr>
          <w:bCs/>
          <w:szCs w:val="24"/>
        </w:rPr>
      </w:pPr>
      <w:r w:rsidRPr="00FF2E0A">
        <w:rPr>
          <w:szCs w:val="24"/>
          <w:u w:val="single"/>
        </w:rPr>
        <w:t>Atbalsts mazajiem un vidējiem uzņēmumiem</w:t>
      </w:r>
      <w:r w:rsidRPr="00FF2E0A">
        <w:rPr>
          <w:szCs w:val="24"/>
        </w:rPr>
        <w:t>.</w:t>
      </w:r>
      <w:r w:rsidRPr="00FF2E0A">
        <w:rPr>
          <w:bCs/>
          <w:szCs w:val="24"/>
          <w:lang w:eastAsia="lv-LV"/>
        </w:rPr>
        <w:t xml:space="preserve"> Pasākuma mērķis ir ar </w:t>
      </w:r>
      <w:proofErr w:type="spellStart"/>
      <w:r w:rsidRPr="00FF2E0A">
        <w:rPr>
          <w:bCs/>
          <w:szCs w:val="24"/>
          <w:lang w:eastAsia="lv-LV"/>
        </w:rPr>
        <w:t>mikrokreditēšanas</w:t>
      </w:r>
      <w:proofErr w:type="spellEnd"/>
      <w:r w:rsidRPr="00FF2E0A">
        <w:rPr>
          <w:bCs/>
          <w:szCs w:val="24"/>
          <w:lang w:eastAsia="lv-LV"/>
        </w:rPr>
        <w:t xml:space="preserve"> programmu palīdzību sniegt finansiālu atbalstu mazajiem un vidējiem uzņēmumiem. „Latvijas mazo un vidējo komersantu </w:t>
      </w:r>
      <w:proofErr w:type="spellStart"/>
      <w:r w:rsidRPr="00FF2E0A">
        <w:rPr>
          <w:bCs/>
          <w:szCs w:val="24"/>
          <w:lang w:eastAsia="lv-LV"/>
        </w:rPr>
        <w:t>mikrokreditēšanas</w:t>
      </w:r>
      <w:proofErr w:type="spellEnd"/>
      <w:r w:rsidRPr="00FF2E0A">
        <w:rPr>
          <w:bCs/>
          <w:szCs w:val="24"/>
          <w:lang w:eastAsia="lv-LV"/>
        </w:rPr>
        <w:t xml:space="preserve"> programmas” ietvaros līdz </w:t>
      </w:r>
      <w:r w:rsidRPr="00FF2E0A">
        <w:rPr>
          <w:bCs/>
          <w:szCs w:val="24"/>
        </w:rPr>
        <w:t xml:space="preserve">2012.gada novembra beigām tika piešķirti 683 aizdevumi gandrīz 33,0 milj. latu </w:t>
      </w:r>
      <w:r w:rsidRPr="00FF2E0A">
        <w:t>(47,0 milj. </w:t>
      </w:r>
      <w:proofErr w:type="spellStart"/>
      <w:r w:rsidR="00E54AB9" w:rsidRPr="00E54AB9">
        <w:rPr>
          <w:i/>
          <w:szCs w:val="24"/>
        </w:rPr>
        <w:t>euro</w:t>
      </w:r>
      <w:proofErr w:type="spellEnd"/>
      <w:r w:rsidRPr="00FF2E0A">
        <w:t>)</w:t>
      </w:r>
      <w:r w:rsidRPr="00FF2E0A">
        <w:rPr>
          <w:szCs w:val="24"/>
        </w:rPr>
        <w:t xml:space="preserve"> </w:t>
      </w:r>
      <w:r w:rsidRPr="00FF2E0A">
        <w:rPr>
          <w:bCs/>
          <w:szCs w:val="24"/>
        </w:rPr>
        <w:t xml:space="preserve">apmērā, tai skaitā jau izsniegto aizdevumu apjoms veido 27,7 milj. latu </w:t>
      </w:r>
      <w:r w:rsidRPr="00FF2E0A">
        <w:t>(39,4 milj. </w:t>
      </w:r>
      <w:proofErr w:type="spellStart"/>
      <w:r w:rsidR="00E54AB9" w:rsidRPr="00E54AB9">
        <w:rPr>
          <w:i/>
          <w:szCs w:val="24"/>
        </w:rPr>
        <w:t>euro</w:t>
      </w:r>
      <w:proofErr w:type="spellEnd"/>
      <w:r w:rsidRPr="00FF2E0A">
        <w:t>)</w:t>
      </w:r>
      <w:r w:rsidRPr="00FF2E0A">
        <w:rPr>
          <w:bCs/>
          <w:szCs w:val="24"/>
          <w:lang w:eastAsia="lv-LV"/>
        </w:rPr>
        <w:t xml:space="preserve">. </w:t>
      </w:r>
      <w:r w:rsidRPr="00FF2E0A">
        <w:rPr>
          <w:bCs/>
          <w:szCs w:val="24"/>
        </w:rPr>
        <w:t>Kopš 2011. gada oktobra „</w:t>
      </w:r>
      <w:r w:rsidRPr="00FF2E0A">
        <w:rPr>
          <w:bCs/>
          <w:szCs w:val="24"/>
          <w:lang w:eastAsia="lv-LV"/>
        </w:rPr>
        <w:t xml:space="preserve">Latvijas mazo un vidējo komersantu </w:t>
      </w:r>
      <w:proofErr w:type="spellStart"/>
      <w:r w:rsidRPr="00FF2E0A">
        <w:rPr>
          <w:bCs/>
          <w:szCs w:val="24"/>
          <w:lang w:eastAsia="lv-LV"/>
        </w:rPr>
        <w:t>mikrokreditēšanas</w:t>
      </w:r>
      <w:proofErr w:type="spellEnd"/>
      <w:r w:rsidRPr="00FF2E0A">
        <w:rPr>
          <w:bCs/>
          <w:szCs w:val="24"/>
          <w:lang w:eastAsia="lv-LV"/>
        </w:rPr>
        <w:t xml:space="preserve"> programmu” </w:t>
      </w:r>
      <w:r w:rsidRPr="00FF2E0A">
        <w:rPr>
          <w:bCs/>
          <w:szCs w:val="24"/>
        </w:rPr>
        <w:t xml:space="preserve">aizstāj jauna programma – „Latvijas un Šveices </w:t>
      </w:r>
      <w:proofErr w:type="spellStart"/>
      <w:r w:rsidRPr="00FF2E0A">
        <w:rPr>
          <w:bCs/>
          <w:szCs w:val="24"/>
        </w:rPr>
        <w:t>mikrokreditēšanas</w:t>
      </w:r>
      <w:proofErr w:type="spellEnd"/>
      <w:r w:rsidRPr="00FF2E0A">
        <w:rPr>
          <w:bCs/>
          <w:szCs w:val="24"/>
        </w:rPr>
        <w:t xml:space="preserve"> programma” un tā darbosies līdz 2015. gada jūnijam. Programmas ietvaros līdz 2012.gada beigām piešķirti aizdevumi 3,5 milj. latu </w:t>
      </w:r>
      <w:r w:rsidRPr="00FF2E0A">
        <w:t>(5,0 milj. </w:t>
      </w:r>
      <w:proofErr w:type="spellStart"/>
      <w:r w:rsidR="00E54AB9" w:rsidRPr="00E54AB9">
        <w:rPr>
          <w:i/>
          <w:szCs w:val="24"/>
        </w:rPr>
        <w:t>euro</w:t>
      </w:r>
      <w:proofErr w:type="spellEnd"/>
      <w:r w:rsidRPr="00FF2E0A">
        <w:t>)</w:t>
      </w:r>
      <w:r w:rsidRPr="00FF2E0A">
        <w:rPr>
          <w:szCs w:val="24"/>
        </w:rPr>
        <w:t xml:space="preserve"> </w:t>
      </w:r>
      <w:r w:rsidRPr="00FF2E0A">
        <w:rPr>
          <w:bCs/>
          <w:szCs w:val="24"/>
        </w:rPr>
        <w:t xml:space="preserve">ampērā. </w:t>
      </w:r>
    </w:p>
    <w:p w14:paraId="36AD4402" w14:textId="77777777" w:rsidR="00AB33D1" w:rsidRPr="00FF2E0A" w:rsidRDefault="00AB33D1" w:rsidP="00AB33D1">
      <w:pPr>
        <w:spacing w:before="120" w:after="0"/>
        <w:rPr>
          <w:szCs w:val="24"/>
        </w:rPr>
      </w:pPr>
      <w:r w:rsidRPr="00FF2E0A">
        <w:rPr>
          <w:b/>
          <w:i/>
        </w:rPr>
        <w:t>3.2.3. Inovācijas, pētniecība un attīstība</w:t>
      </w:r>
    </w:p>
    <w:p w14:paraId="3016C955" w14:textId="7AF61317" w:rsidR="00AB33D1" w:rsidRPr="00FF2E0A" w:rsidRDefault="00AB33D1" w:rsidP="00642049">
      <w:pPr>
        <w:spacing w:before="120" w:after="0"/>
        <w:rPr>
          <w:szCs w:val="24"/>
        </w:rPr>
      </w:pPr>
      <w:r w:rsidRPr="00FF2E0A">
        <w:rPr>
          <w:bCs/>
          <w:szCs w:val="24"/>
          <w:u w:val="single"/>
        </w:rPr>
        <w:t>Uzņēmumu un zinātnieku ilgtermiņa sadarbības platformas izveide</w:t>
      </w:r>
      <w:r w:rsidRPr="00FF2E0A">
        <w:rPr>
          <w:szCs w:val="24"/>
          <w:u w:val="single"/>
        </w:rPr>
        <w:t>.</w:t>
      </w:r>
      <w:r w:rsidRPr="00FF2E0A">
        <w:rPr>
          <w:szCs w:val="24"/>
        </w:rPr>
        <w:t xml:space="preserve"> Pasākuma mērķis ir izveidot ietvaru zinātnieku un uzņēmēju efektīvākai sadarbībai, vienlaicīgi pilnveidojot pētniecības infrastruktūru un atbalstot kopīgu pētījumu veikšanu. 2012.gadā tika turpināta ES struktūrfondu programmu „Kompetences centri” un „Tehnoloģiju pārneses kontaktpunkti” īstenošana, kuru ietvaros tika atbalstīti 6 kompetences centri un 8 tehnoloģiju pārneses kontaktpunktu darbība. Līdz 2015.gada beigām minēto aktivitāšu īstenošanai plānots ieguldīt 39,3 milj. latu </w:t>
      </w:r>
      <w:r w:rsidRPr="00FF2E0A">
        <w:t>(55,9 milj. </w:t>
      </w:r>
      <w:proofErr w:type="spellStart"/>
      <w:r w:rsidR="00E54AB9" w:rsidRPr="00E54AB9">
        <w:rPr>
          <w:i/>
          <w:szCs w:val="24"/>
        </w:rPr>
        <w:t>euro</w:t>
      </w:r>
      <w:proofErr w:type="spellEnd"/>
      <w:r w:rsidRPr="00FF2E0A">
        <w:t>)</w:t>
      </w:r>
      <w:r w:rsidRPr="00FF2E0A">
        <w:rPr>
          <w:szCs w:val="24"/>
        </w:rPr>
        <w:t xml:space="preserve"> ES struktūrfondu finansējuma, kas varētu piesaistīt papildus vēl 20</w:t>
      </w:r>
      <w:r>
        <w:rPr>
          <w:szCs w:val="24"/>
        </w:rPr>
        <w:t>,0</w:t>
      </w:r>
      <w:r w:rsidRPr="00FF2E0A">
        <w:rPr>
          <w:szCs w:val="24"/>
        </w:rPr>
        <w:t xml:space="preserve"> milj. latu</w:t>
      </w:r>
      <w:r>
        <w:rPr>
          <w:szCs w:val="24"/>
        </w:rPr>
        <w:t xml:space="preserve"> </w:t>
      </w:r>
      <w:r>
        <w:t>(79,5</w:t>
      </w:r>
      <w:r w:rsidRPr="00FF2E0A">
        <w:t> milj. </w:t>
      </w:r>
      <w:proofErr w:type="spellStart"/>
      <w:r w:rsidR="00E54AB9" w:rsidRPr="00E54AB9">
        <w:rPr>
          <w:i/>
          <w:szCs w:val="24"/>
        </w:rPr>
        <w:t>euro</w:t>
      </w:r>
      <w:proofErr w:type="spellEnd"/>
      <w:r w:rsidRPr="00FF2E0A">
        <w:t>)</w:t>
      </w:r>
      <w:r>
        <w:rPr>
          <w:szCs w:val="24"/>
        </w:rPr>
        <w:t xml:space="preserve"> </w:t>
      </w:r>
      <w:r w:rsidRPr="00FF2E0A">
        <w:rPr>
          <w:szCs w:val="24"/>
        </w:rPr>
        <w:t>privātā sektora līdzfinansējuma. No 2012. gada līdz 2015. gadam</w:t>
      </w:r>
      <w:r w:rsidRPr="00FF2E0A">
        <w:rPr>
          <w:b/>
          <w:szCs w:val="24"/>
        </w:rPr>
        <w:t xml:space="preserve"> </w:t>
      </w:r>
      <w:r w:rsidRPr="00FF2E0A">
        <w:rPr>
          <w:szCs w:val="24"/>
        </w:rPr>
        <w:t xml:space="preserve">tiks īstenota no ES struktūrfondiem līdzfinansēta „Klasteru programma”, kuras darbības rezultātā tiks atbalstīti 11 klasteri. Pasākuma rezultātā palielināsies privātā sektora ieguldījumi pētniecībā un attīstībā, kā arī atbalstīto komersantu apgrozījums un nodarbināto skaits. </w:t>
      </w:r>
    </w:p>
    <w:p w14:paraId="75369C17" w14:textId="7F27F4C4" w:rsidR="00AB33D1" w:rsidRPr="00FF2E0A" w:rsidRDefault="00AB33D1" w:rsidP="00642049">
      <w:pPr>
        <w:spacing w:before="120" w:after="0"/>
        <w:rPr>
          <w:szCs w:val="24"/>
        </w:rPr>
      </w:pPr>
      <w:r w:rsidRPr="00FF2E0A">
        <w:rPr>
          <w:szCs w:val="24"/>
          <w:u w:val="single"/>
        </w:rPr>
        <w:t>Atbalsts inovatīvu komersantu attīstībai</w:t>
      </w:r>
      <w:r w:rsidRPr="00FF2E0A">
        <w:rPr>
          <w:szCs w:val="24"/>
        </w:rPr>
        <w:t xml:space="preserve">. Lai sniegtu atbalstu inovatīviem komersantiem jaunu produktu un tehnoloģiju izstrādei un ieviešanai ražošanā un palielinātu inovatīvo uzņēmumu skaitu, 2012.gadā tika turpināta atbalstīto projektu īstenošana ES struktūrfondu programmās „Jaunu produktu un tehnoloģiju izstrāde”, „Jaunu produktu un tehnoloģiju ieviešana ražošanā”, „Augstas pievienotās vērtības investīcijas”, kā arī uzsākta „Mikro, mazo un vidējo komersantu jaunu produktu un tehnoloģiju attīstības programmas” īstenošana. Minēto aktivitāšu īstenošanai līdz 2015.gada beigām plānots ieguldīt 115,0 milj. latu </w:t>
      </w:r>
      <w:r w:rsidRPr="00FF2E0A">
        <w:t>(163,6 milj. </w:t>
      </w:r>
      <w:proofErr w:type="spellStart"/>
      <w:r w:rsidR="00E54AB9" w:rsidRPr="00E54AB9">
        <w:rPr>
          <w:i/>
          <w:szCs w:val="24"/>
        </w:rPr>
        <w:t>euro</w:t>
      </w:r>
      <w:proofErr w:type="spellEnd"/>
      <w:r w:rsidRPr="00FF2E0A">
        <w:t>)</w:t>
      </w:r>
      <w:r w:rsidRPr="00FF2E0A">
        <w:rPr>
          <w:szCs w:val="24"/>
        </w:rPr>
        <w:t xml:space="preserve">, kas varētu piesaistīt 143,6 milj. latu </w:t>
      </w:r>
      <w:r w:rsidRPr="00FF2E0A">
        <w:t>(204,3 milj. </w:t>
      </w:r>
      <w:proofErr w:type="spellStart"/>
      <w:r w:rsidR="00E54AB9" w:rsidRPr="00E54AB9">
        <w:rPr>
          <w:i/>
          <w:szCs w:val="24"/>
        </w:rPr>
        <w:t>euro</w:t>
      </w:r>
      <w:proofErr w:type="spellEnd"/>
      <w:r w:rsidRPr="00FF2E0A">
        <w:t>)</w:t>
      </w:r>
      <w:r w:rsidRPr="00FF2E0A">
        <w:rPr>
          <w:szCs w:val="24"/>
        </w:rPr>
        <w:t xml:space="preserve"> privātā sektora līdzfinansējuma. Vienlaikus 2012.gadā tika veikti sagatavošanās darbi praktiskai Norvēģijas finanšu instrumenta programmas „Inovācijas „zaļās” ražošanas jomā” ieviešanai 2013.gadā, </w:t>
      </w:r>
      <w:r w:rsidRPr="00FF2E0A">
        <w:rPr>
          <w:szCs w:val="24"/>
        </w:rPr>
        <w:lastRenderedPageBreak/>
        <w:t xml:space="preserve">un kopumā līdz 2016.gadam šajā programmā tiks ieguldīti 7,9 milj. latu </w:t>
      </w:r>
      <w:r w:rsidRPr="00FF2E0A">
        <w:t>(11,2 milj. </w:t>
      </w:r>
      <w:proofErr w:type="spellStart"/>
      <w:r w:rsidR="00E54AB9" w:rsidRPr="00E54AB9">
        <w:rPr>
          <w:i/>
          <w:szCs w:val="24"/>
        </w:rPr>
        <w:t>euro</w:t>
      </w:r>
      <w:proofErr w:type="spellEnd"/>
      <w:r w:rsidRPr="00FF2E0A">
        <w:t>)</w:t>
      </w:r>
      <w:r w:rsidRPr="00FF2E0A">
        <w:rPr>
          <w:szCs w:val="24"/>
        </w:rPr>
        <w:t xml:space="preserve"> no Norvēģijas finanšu instrumenta un 0,9 milj. latu </w:t>
      </w:r>
      <w:r w:rsidRPr="00FF2E0A">
        <w:t>(1,3 milj. </w:t>
      </w:r>
      <w:proofErr w:type="spellStart"/>
      <w:r w:rsidR="00E54AB9" w:rsidRPr="00E54AB9">
        <w:rPr>
          <w:i/>
          <w:szCs w:val="24"/>
        </w:rPr>
        <w:t>euro</w:t>
      </w:r>
      <w:proofErr w:type="spellEnd"/>
      <w:r w:rsidRPr="00FF2E0A">
        <w:t>)</w:t>
      </w:r>
      <w:r w:rsidRPr="00FF2E0A">
        <w:rPr>
          <w:szCs w:val="24"/>
        </w:rPr>
        <w:t xml:space="preserve"> valsts budžeta finansējuma.</w:t>
      </w:r>
      <w:r w:rsidRPr="00FF2E0A">
        <w:rPr>
          <w:bCs/>
          <w:szCs w:val="24"/>
          <w:lang w:eastAsia="lv-LV"/>
        </w:rPr>
        <w:t xml:space="preserve"> Pasākumu rezultātā palielināsies apstrādes rūpniecības, augsto tehnoloģiju pakalpojumu nozares izlaid</w:t>
      </w:r>
      <w:r w:rsidRPr="00FF2E0A">
        <w:rPr>
          <w:szCs w:val="24"/>
        </w:rPr>
        <w:t xml:space="preserve">es un eksporta apjomi, palielināsies privātā sektora ieguldījumi pētniecībā un attīstībā, kā arī atbalstīto komersantu apgrozījums un nodarbināto skaits. </w:t>
      </w:r>
    </w:p>
    <w:p w14:paraId="4B0F12DE" w14:textId="77777777" w:rsidR="00AB33D1" w:rsidRPr="00FF2E0A" w:rsidRDefault="00AB33D1" w:rsidP="00AB33D1">
      <w:pPr>
        <w:spacing w:before="120" w:after="0"/>
        <w:rPr>
          <w:szCs w:val="24"/>
        </w:rPr>
      </w:pPr>
      <w:r w:rsidRPr="00FF2E0A">
        <w:rPr>
          <w:b/>
          <w:i/>
        </w:rPr>
        <w:t>3.2.4. Transports un enerģētika</w:t>
      </w:r>
    </w:p>
    <w:p w14:paraId="1C53B9E0" w14:textId="58D45154" w:rsidR="00AB33D1" w:rsidRPr="000E754C" w:rsidRDefault="00AB33D1" w:rsidP="00642049">
      <w:pPr>
        <w:pStyle w:val="ListParagraph"/>
        <w:spacing w:before="120" w:after="0" w:line="240" w:lineRule="auto"/>
        <w:ind w:left="0" w:firstLine="567"/>
        <w:jc w:val="both"/>
        <w:rPr>
          <w:rFonts w:ascii="Times New Roman" w:hAnsi="Times New Roman"/>
          <w:sz w:val="24"/>
          <w:szCs w:val="24"/>
        </w:rPr>
      </w:pPr>
      <w:r w:rsidRPr="000E754C">
        <w:rPr>
          <w:rFonts w:ascii="Times New Roman" w:hAnsi="Times New Roman"/>
          <w:sz w:val="24"/>
          <w:szCs w:val="24"/>
          <w:u w:val="single"/>
        </w:rPr>
        <w:t>Transports un infrastruktūra.</w:t>
      </w:r>
      <w:r w:rsidRPr="000E754C">
        <w:rPr>
          <w:rFonts w:ascii="Times New Roman" w:hAnsi="Times New Roman"/>
          <w:sz w:val="24"/>
          <w:szCs w:val="24"/>
        </w:rPr>
        <w:t xml:space="preserve"> Pasākuma mērķis ir loģistikas pakalpojumu konkurētspējas paaugstināšana un ES ārējās robežas caurlaides spējas nodrošināšana atbilstoši potenciālai kravas un pasažieru transporta plūsmai. Galvenie darbības virzieni 2011.–2013. gadā ir dzelzceļa, autoceļu, ostu un gaisa transporta infrastruktūras rekonstrukcija un uzlabošana, kā arī </w:t>
      </w:r>
      <w:r w:rsidRPr="000E754C">
        <w:rPr>
          <w:rFonts w:ascii="Times New Roman" w:hAnsi="Times New Roman"/>
          <w:color w:val="000000"/>
          <w:sz w:val="24"/>
          <w:szCs w:val="24"/>
          <w:lang w:eastAsia="lv-LV"/>
        </w:rPr>
        <w:t xml:space="preserve">Starptautiskās </w:t>
      </w:r>
      <w:r w:rsidRPr="00E54AB9">
        <w:rPr>
          <w:rFonts w:ascii="Times New Roman" w:hAnsi="Times New Roman"/>
          <w:color w:val="000000"/>
          <w:sz w:val="24"/>
          <w:szCs w:val="24"/>
          <w:lang w:eastAsia="lv-LV"/>
        </w:rPr>
        <w:t>kravu loģistikas un ostu informācijas sistēmas</w:t>
      </w:r>
      <w:r w:rsidRPr="00E54AB9">
        <w:rPr>
          <w:rFonts w:ascii="Times New Roman" w:hAnsi="Times New Roman"/>
          <w:sz w:val="24"/>
          <w:szCs w:val="24"/>
        </w:rPr>
        <w:t xml:space="preserve"> izveide. Kopējais publiskais finansējums 2011.-2013. gadam ir 329,9 milj. latu (469,4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2014.-2016.gadam ir 101,1 milj. latu (143,9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(tai skaitā 2007.-2013.gada projektu pabeigšanai), kā arī 2014.–2020.gada perioda finansējums, kurš transporta infrastruktūras attīstībai patlaban visam 2014.-2020.gada periodam iezīmēts Nacionālajā attīstības plānā 1 768,1 milj. latu (2515,8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apmērā. Būtiskākie</w:t>
      </w:r>
      <w:r w:rsidRPr="000E754C">
        <w:rPr>
          <w:rFonts w:ascii="Times New Roman" w:hAnsi="Times New Roman"/>
          <w:sz w:val="24"/>
          <w:szCs w:val="24"/>
        </w:rPr>
        <w:t xml:space="preserve"> pasākumi, ko jaunā perioda finansējuma ietvaros ir plānots pabeigt līdz 2016.gadam - Vienotas vilcienu kustības plānošanas un vadības sistēmas ieviešana, kā arī molu un pieejas kanālu rekonstrukcija Rīgas ostā.</w:t>
      </w:r>
    </w:p>
    <w:p w14:paraId="530E7714" w14:textId="6E50A370" w:rsidR="00AB33D1" w:rsidRPr="000E754C" w:rsidRDefault="00AB33D1" w:rsidP="00642049">
      <w:pPr>
        <w:spacing w:before="120" w:after="0"/>
        <w:rPr>
          <w:szCs w:val="24"/>
        </w:rPr>
      </w:pPr>
      <w:r w:rsidRPr="000E754C">
        <w:rPr>
          <w:szCs w:val="24"/>
          <w:u w:val="single"/>
        </w:rPr>
        <w:t>Enerģētika un klimata pārmaiņas.</w:t>
      </w:r>
      <w:r w:rsidRPr="000E754C">
        <w:rPr>
          <w:szCs w:val="24"/>
        </w:rPr>
        <w:t xml:space="preserve"> Ekonomikas ministrija ir izstrādājusi ilgtermiņa redzējumu Latvijas enerģētikas politikas attīstībā –Stratēģija 2030 veidā. Stratēģijā 2030 par galveno mērķi ir  noteikta Latvijas konkurētspējas rādītāju veicināšana, vienlaicīgi sekmējot tādus enerģētikas politikas attīstības pasākumus, kas veicinātu pakāpenisku, izmaksu ziņā efektīvu un videi draudzīgu vietējo energoresursu izmantošanas pieaugumu un klimata mērķu sasniegšanu. Energoefektivitātes paaugstināšana</w:t>
      </w:r>
      <w:r w:rsidRPr="000E754C">
        <w:rPr>
          <w:i/>
          <w:szCs w:val="24"/>
        </w:rPr>
        <w:t xml:space="preserve"> </w:t>
      </w:r>
      <w:r w:rsidRPr="000E754C">
        <w:rPr>
          <w:szCs w:val="24"/>
        </w:rPr>
        <w:t>Stratēģijas 2030 periodā ir noteikta kā nacionāla prioritāte. Zems energoefektivitātes līmenis rada gan enerģētiskās drošības, gan ilgtspējas, gan konkurētspējas riskus, taču šī līmeņa paaugstināšana ir ātrākais un izmaksu ziņā efektīvākais risku samazināšanas veids, vienlaicīgi radot papildu darbavietas un veicinot izaugsmi.</w:t>
      </w:r>
    </w:p>
    <w:p w14:paraId="6CFB16A6" w14:textId="1F95A9AD" w:rsidR="00AB33D1" w:rsidRPr="000E754C" w:rsidRDefault="00AB33D1" w:rsidP="000E754C">
      <w:pPr>
        <w:autoSpaceDE w:val="0"/>
        <w:autoSpaceDN w:val="0"/>
        <w:adjustRightInd w:val="0"/>
        <w:spacing w:before="120" w:after="60"/>
        <w:rPr>
          <w:rFonts w:eastAsiaTheme="minorHAnsi"/>
          <w:color w:val="000000"/>
          <w:szCs w:val="24"/>
        </w:rPr>
      </w:pPr>
      <w:r w:rsidRPr="000E754C">
        <w:rPr>
          <w:szCs w:val="24"/>
          <w:u w:val="single"/>
        </w:rPr>
        <w:t>Energoefektivitātes paaugstināšana</w:t>
      </w:r>
      <w:r w:rsidRPr="000E754C">
        <w:rPr>
          <w:szCs w:val="24"/>
        </w:rPr>
        <w:t xml:space="preserve">. Pasākuma mērķis ir nodrošināt lielāku enerģijas ietaupījumu ēkās un transporta sektorā, kā arī būtiski paaugstināt siltumenerģijas ražošanas efektivitāti, samazināt siltumenerģijas zudumus pārvades un sadales sistēmās un sekmēt fosilo kurināmo veidu aizvietošanu ar atjaunojamajiem energoresursiem. 2009. – 2013. gadā kopējais pieejamais ES finansējums daudzdzīvokļu māju </w:t>
      </w:r>
      <w:proofErr w:type="spellStart"/>
      <w:r w:rsidRPr="000E754C">
        <w:rPr>
          <w:szCs w:val="24"/>
        </w:rPr>
        <w:t>siltumnoturības</w:t>
      </w:r>
      <w:proofErr w:type="spellEnd"/>
      <w:r w:rsidRPr="000E754C">
        <w:rPr>
          <w:szCs w:val="24"/>
        </w:rPr>
        <w:t xml:space="preserve"> uzlabošanai ir 52,7 milj. latu (75,0 milj. </w:t>
      </w:r>
      <w:proofErr w:type="spellStart"/>
      <w:r w:rsidR="00E54AB9" w:rsidRPr="00E54AB9">
        <w:rPr>
          <w:i/>
          <w:szCs w:val="24"/>
        </w:rPr>
        <w:t>euro</w:t>
      </w:r>
      <w:proofErr w:type="spellEnd"/>
      <w:r w:rsidR="00E54AB9" w:rsidRPr="000E754C">
        <w:rPr>
          <w:szCs w:val="24"/>
        </w:rPr>
        <w:t xml:space="preserve"> </w:t>
      </w:r>
      <w:r w:rsidRPr="000E754C">
        <w:rPr>
          <w:szCs w:val="24"/>
        </w:rPr>
        <w:t xml:space="preserve">Papildus 2012.gadā tika piešķirts </w:t>
      </w:r>
      <w:proofErr w:type="spellStart"/>
      <w:r w:rsidRPr="000E754C">
        <w:rPr>
          <w:szCs w:val="24"/>
        </w:rPr>
        <w:t>virssaistību</w:t>
      </w:r>
      <w:proofErr w:type="spellEnd"/>
      <w:r w:rsidRPr="000E754C">
        <w:rPr>
          <w:szCs w:val="24"/>
        </w:rPr>
        <w:t xml:space="preserve"> finansējums 15,0 milj. latu (21,3 milj. </w:t>
      </w:r>
      <w:proofErr w:type="spellStart"/>
      <w:r w:rsidR="00E54AB9" w:rsidRPr="00E54AB9">
        <w:rPr>
          <w:i/>
          <w:szCs w:val="24"/>
        </w:rPr>
        <w:t>euro</w:t>
      </w:r>
      <w:proofErr w:type="spellEnd"/>
      <w:r w:rsidRPr="000E754C">
        <w:rPr>
          <w:szCs w:val="24"/>
        </w:rPr>
        <w:t xml:space="preserve">). Aktivitātes popularizēšanai ir veikta apjomīga informatīvā kampaņa, motivējot dzīvokļu īpašniekus iesaistīties mājokļu kopīpašuma apsaimniekošanā un ēku energoefektivitātes uzlabošanā. Ieguldījumi mājokļu siltināšanā ir efektīvi, jo vidējais siltumenerģijas ietaupījums pēc renovācijas ir 42%. Šajos projektos vidējais investīciju atmaksāšanās periods ir aptuveni 14,3 gadi. Lai īstenotu energoefektivitātes paaugstināšanas pasākumus, turpinās siltumapgādes sistēmu modernizācijas programmas. Šobrīd ir izsludināta jauna kārta centralizētās siltumapgādes sistēmu efektivitātes paaugstināšanai, kurā pieejamais </w:t>
      </w:r>
      <w:r w:rsidR="00267CD3">
        <w:rPr>
          <w:szCs w:val="24"/>
        </w:rPr>
        <w:t>ES</w:t>
      </w:r>
      <w:r w:rsidRPr="000E754C">
        <w:rPr>
          <w:szCs w:val="24"/>
        </w:rPr>
        <w:t xml:space="preserve"> Kohēzijas fonda finansējums ir 5,15 milj. latu (7,34 milj. </w:t>
      </w:r>
      <w:proofErr w:type="spellStart"/>
      <w:r w:rsidR="00E54AB9" w:rsidRPr="00E54AB9">
        <w:rPr>
          <w:i/>
          <w:szCs w:val="24"/>
        </w:rPr>
        <w:t>euro</w:t>
      </w:r>
      <w:proofErr w:type="spellEnd"/>
      <w:r w:rsidRPr="000E754C">
        <w:rPr>
          <w:szCs w:val="24"/>
        </w:rPr>
        <w:t>). Centralizētās siltumapgādes sistēmu efektivitātes paaugstināšanas pasākumu kopējais ES fondu finansējums 2007.-2013.gadam ir 54,7 milj. latu (77,8 milj. </w:t>
      </w:r>
      <w:proofErr w:type="spellStart"/>
      <w:r w:rsidR="00E54AB9" w:rsidRPr="00E54AB9">
        <w:rPr>
          <w:i/>
          <w:szCs w:val="24"/>
        </w:rPr>
        <w:t>euro</w:t>
      </w:r>
      <w:proofErr w:type="spellEnd"/>
      <w:r w:rsidRPr="000E754C">
        <w:rPr>
          <w:szCs w:val="24"/>
        </w:rPr>
        <w:t xml:space="preserve">). Turpinās arī kompleksi pasākumi ēkās, kas cita starpā ietver energoefektivitātes paaugstināšanu ražošanas un izglītības iestādēs, izmantojot tos līdzekļus, kas iegūti Klimata pārmaiņu finanšu instrumenta ietvaros. </w:t>
      </w:r>
      <w:r w:rsidRPr="000E754C">
        <w:rPr>
          <w:rFonts w:eastAsiaTheme="minorHAnsi"/>
          <w:bCs/>
          <w:color w:val="000000"/>
          <w:szCs w:val="24"/>
        </w:rPr>
        <w:t xml:space="preserve">Eiropas Parlamenta un Padomes 2012. gada 25. oktobra Direktīvas 2012/27/ES mērķis ir </w:t>
      </w:r>
      <w:r w:rsidRPr="000E754C">
        <w:rPr>
          <w:rFonts w:eastAsiaTheme="minorHAnsi"/>
          <w:color w:val="000000"/>
          <w:szCs w:val="24"/>
        </w:rPr>
        <w:t xml:space="preserve">energoefektivitātes veicināšana, lai nodrošinātu ES 2020.gada 20% energoefektivitātes pamatmērķa sasniegšanu un liktu pamatus turpmākiem energoefektivitātes </w:t>
      </w:r>
      <w:r w:rsidRPr="000E754C">
        <w:rPr>
          <w:rFonts w:eastAsiaTheme="minorHAnsi"/>
          <w:color w:val="000000"/>
          <w:szCs w:val="24"/>
        </w:rPr>
        <w:lastRenderedPageBreak/>
        <w:t>uzlabojumiem. Direktīvas 2012/27/ES prasības nacionālajos normatīvajos aktos jāievieš līdz 2014.gada 5.jūnijam. Līdz 2013.gada 30.aprīlim jāziņo par valsts aprēķināto energoefektivitātes mērķi un 2014. gada aprīlī EK jāiesniedz valsts energoefektivitātes rīcības plāns, kurā tiks norādīti plānotie pasākumi energoefektivitātes paaugstināšanā, lai sasniegtu valsts indikatīvo enerģijas ietaupījumu mērķi.</w:t>
      </w:r>
    </w:p>
    <w:p w14:paraId="77A0DD15" w14:textId="77777777" w:rsidR="00AB33D1" w:rsidRPr="00267CD3" w:rsidRDefault="00AB33D1" w:rsidP="00AB33D1">
      <w:pPr>
        <w:pStyle w:val="H3"/>
        <w:spacing w:before="360" w:after="0"/>
        <w:ind w:left="0" w:firstLine="567"/>
        <w:rPr>
          <w:rFonts w:ascii="Times New Roman" w:hAnsi="Times New Roman"/>
          <w:sz w:val="32"/>
          <w:szCs w:val="32"/>
        </w:rPr>
      </w:pPr>
      <w:bookmarkStart w:id="24" w:name="_Toc291075983"/>
      <w:bookmarkStart w:id="25" w:name="_Toc354671217"/>
      <w:r w:rsidRPr="00267CD3">
        <w:rPr>
          <w:rFonts w:ascii="Times New Roman" w:hAnsi="Times New Roman"/>
          <w:sz w:val="32"/>
          <w:szCs w:val="32"/>
        </w:rPr>
        <w:t>3.3. Sabalansēta sociālā sistēma</w:t>
      </w:r>
      <w:bookmarkEnd w:id="24"/>
      <w:r w:rsidRPr="00267CD3">
        <w:rPr>
          <w:rFonts w:ascii="Times New Roman" w:hAnsi="Times New Roman"/>
          <w:sz w:val="32"/>
          <w:szCs w:val="32"/>
        </w:rPr>
        <w:t xml:space="preserve"> un nodarbinātība</w:t>
      </w:r>
      <w:bookmarkEnd w:id="25"/>
    </w:p>
    <w:p w14:paraId="714E555A" w14:textId="17475A62" w:rsidR="00AB33D1" w:rsidRDefault="00AB33D1" w:rsidP="00642049">
      <w:pPr>
        <w:spacing w:before="120" w:after="0"/>
        <w:rPr>
          <w:color w:val="FF0000"/>
          <w:szCs w:val="24"/>
        </w:rPr>
      </w:pPr>
      <w:r w:rsidRPr="00FF2E0A">
        <w:rPr>
          <w:u w:val="single"/>
        </w:rPr>
        <w:t>Sociālās palīdzības pabalstu sistēmas reforma</w:t>
      </w:r>
      <w:r w:rsidRPr="00FF2E0A">
        <w:t xml:space="preserve">. </w:t>
      </w:r>
      <w:r w:rsidRPr="00FF2E0A">
        <w:rPr>
          <w:szCs w:val="24"/>
        </w:rPr>
        <w:t>2012.gada decembrī noslēdzās</w:t>
      </w:r>
      <w:r w:rsidRPr="00FF2E0A">
        <w:rPr>
          <w:i/>
          <w:szCs w:val="24"/>
        </w:rPr>
        <w:t xml:space="preserve"> </w:t>
      </w:r>
      <w:r w:rsidR="005133CA">
        <w:rPr>
          <w:szCs w:val="24"/>
        </w:rPr>
        <w:t>Stratēģijas</w:t>
      </w:r>
      <w:r w:rsidR="00A06AAE" w:rsidRPr="00FF2E0A">
        <w:rPr>
          <w:szCs w:val="24"/>
        </w:rPr>
        <w:t xml:space="preserve"> </w:t>
      </w:r>
      <w:r w:rsidRPr="00FF2E0A">
        <w:rPr>
          <w:szCs w:val="24"/>
        </w:rPr>
        <w:t xml:space="preserve">pasākumu īstenošana, kuru mērķis bija sniegt atbalstu visneaizsargātākajām iedzīvotāju grupām ekonomiskās krīzes situācijā. Viens no Stratēģijas pasākumiem paredzēja valsts līdzfinansējumu pašvaldībām pabalsta </w:t>
      </w:r>
      <w:r w:rsidR="005133CA">
        <w:rPr>
          <w:szCs w:val="24"/>
        </w:rPr>
        <w:t>GMI</w:t>
      </w:r>
      <w:r w:rsidRPr="00FF2E0A">
        <w:rPr>
          <w:szCs w:val="24"/>
        </w:rPr>
        <w:t xml:space="preserve"> līmeņa nodrošināšanai līdzfinansēšanu. 2013.gadā tika atjaunota sākotnējā, pirmskrīzes perioda sociālās palīdzības sistēmas finansēšanas kārtība, kad sociālās palīdzības pabalstu finansēšanu trūcīgiem iedzīvotājiem pilnā apmērā nodrošina vietējās pašvaldības. Lai gan ar 2013.gadu GMI līmenis ir samazināts uz 35,0 latiem </w:t>
      </w:r>
      <w:r w:rsidRPr="00FF2E0A">
        <w:t>(49,8 </w:t>
      </w:r>
      <w:r w:rsidR="00E54AB9" w:rsidRPr="00E54AB9">
        <w:rPr>
          <w:i/>
          <w:szCs w:val="24"/>
        </w:rPr>
        <w:t>euro</w:t>
      </w:r>
      <w:r w:rsidRPr="00FF2E0A">
        <w:t xml:space="preserve">) </w:t>
      </w:r>
      <w:r w:rsidRPr="00FF2E0A">
        <w:rPr>
          <w:szCs w:val="24"/>
        </w:rPr>
        <w:t xml:space="preserve">mēnesī, tomēr pašvaldībām ir tiesības noteikt augstāku GMI līmeni ikvienai mērķa grupai atbilstoši tās vajadzībām un tiesībām. </w:t>
      </w:r>
      <w:r w:rsidRPr="00FF2E0A">
        <w:t xml:space="preserve">Saskaņā ar 2013.gada janvārī veiktās pašvaldību </w:t>
      </w:r>
      <w:proofErr w:type="spellStart"/>
      <w:r w:rsidRPr="00FF2E0A">
        <w:t>ekspresaptaujas</w:t>
      </w:r>
      <w:proofErr w:type="spellEnd"/>
      <w:r w:rsidRPr="00FF2E0A">
        <w:t xml:space="preserve"> rezultātiem, tiesības noteikt augstāku GMI līmeni </w:t>
      </w:r>
      <w:r w:rsidR="001B47DC">
        <w:t xml:space="preserve">atsevišķām iedzīvotāju grupām </w:t>
      </w:r>
      <w:r w:rsidRPr="00FF2E0A">
        <w:t>ir izmantojušas 28 pašvaldības jeb 23,5% no kopējā pašvaldību skaita (119 pašvaldības). Lai sniegtu atbalstu pašvaldībām to funkciju nodrošināšanā, valdība pieņēma lēmumu par papildus finansiālās palīdzības nodrošināšanu pašvaldībām un kompensējošu mehānismu ieviešanu iedzīvotāju ienākuma nodokļa plāna neizpildes gadījumā.</w:t>
      </w:r>
      <w:r w:rsidRPr="00FF2E0A">
        <w:rPr>
          <w:color w:val="000000"/>
          <w:sz w:val="28"/>
          <w:szCs w:val="28"/>
        </w:rPr>
        <w:t xml:space="preserve"> </w:t>
      </w:r>
      <w:r w:rsidRPr="00FF2E0A">
        <w:rPr>
          <w:color w:val="000000"/>
          <w:szCs w:val="24"/>
        </w:rPr>
        <w:t xml:space="preserve">2013.gadā tiek </w:t>
      </w:r>
      <w:r w:rsidRPr="00FF2E0A">
        <w:rPr>
          <w:szCs w:val="24"/>
        </w:rPr>
        <w:t xml:space="preserve">sniegts papildu valsts budžeta atbalsts tām novadu pašvaldībām, kurām ir visierobežotākie finanšu resursi, kā arī pakāpeniski mazināta reģionālā nevienlīdzība finanšu resursu pieejamības ziņā. No valsts budžeta tiek piešķirtas </w:t>
      </w:r>
      <w:r w:rsidRPr="00FF2E0A">
        <w:rPr>
          <w:color w:val="000000"/>
          <w:szCs w:val="24"/>
        </w:rPr>
        <w:t xml:space="preserve">dotācijas </w:t>
      </w:r>
      <w:r w:rsidRPr="00FF2E0A">
        <w:rPr>
          <w:bCs/>
          <w:color w:val="000000"/>
          <w:szCs w:val="24"/>
        </w:rPr>
        <w:t xml:space="preserve">11,5 milj. latu apmērā </w:t>
      </w:r>
      <w:r w:rsidRPr="00FF2E0A">
        <w:rPr>
          <w:color w:val="000000"/>
          <w:szCs w:val="24"/>
        </w:rPr>
        <w:t xml:space="preserve">89 novada pašvaldībām un 4 republikas pilsētu (Daugavpils, Rēzekne, Jēkabpils, Liepāja) pašvaldībām. </w:t>
      </w:r>
      <w:r w:rsidRPr="00FF2E0A">
        <w:rPr>
          <w:szCs w:val="24"/>
        </w:rPr>
        <w:t>2012.gadā tika uzsākta un līdz 2013.gada 2.pusgadam norisināsies vairāku labklājības nozares politikas pētījumu un izvērtējumu veikšana („Sākotnējās ietekmes novērtējums (</w:t>
      </w:r>
      <w:proofErr w:type="spellStart"/>
      <w:r w:rsidRPr="00FF2E0A">
        <w:rPr>
          <w:szCs w:val="24"/>
        </w:rPr>
        <w:t>Ex-ante)</w:t>
      </w:r>
      <w:proofErr w:type="spellEnd"/>
      <w:r w:rsidRPr="00FF2E0A">
        <w:rPr>
          <w:szCs w:val="24"/>
        </w:rPr>
        <w:t xml:space="preserve"> par iecerētajām strukturālajām reformām profesionāla sociālā darba politikas jomā”, „Sākotnējās ietekmes novērtējums (</w:t>
      </w:r>
      <w:proofErr w:type="spellStart"/>
      <w:r w:rsidRPr="00FF2E0A">
        <w:rPr>
          <w:szCs w:val="24"/>
        </w:rPr>
        <w:t>Ex-ante)</w:t>
      </w:r>
      <w:proofErr w:type="spellEnd"/>
      <w:r w:rsidRPr="00FF2E0A">
        <w:rPr>
          <w:szCs w:val="24"/>
        </w:rPr>
        <w:t xml:space="preserve"> par iecerētajām strukturālajām reformām sociālās palīdzības politikas jomā”, „Latvija: kurš ir </w:t>
      </w:r>
      <w:r w:rsidRPr="00FF2E0A">
        <w:t xml:space="preserve">bezdarbnieks - ekonomiski neaktīvais vai trūcīgais?”). Šo pētījumu rezultāti kalpos par pamatu priekšlikumu izstrādē sociālās palīdzības sistēmas un sociālā darba politikas pilnveidošanai un tiks izmantoti attiecīgo jomu plānošanas dokumentu sagatavošanā, kurus paredzēts iesniegt </w:t>
      </w:r>
      <w:r w:rsidR="00267CD3">
        <w:t>MK</w:t>
      </w:r>
      <w:r w:rsidRPr="00FF2E0A">
        <w:t xml:space="preserve">. Atkarībā no valdībā pieņemtā lēmuma, tiks noteikti turpmākie uzdevumi un plānoti konkrēti pasākumi 2014.-2016.gadam. </w:t>
      </w:r>
      <w:r w:rsidRPr="00FF2E0A">
        <w:rPr>
          <w:color w:val="FF0000"/>
          <w:szCs w:val="24"/>
        </w:rPr>
        <w:t xml:space="preserve"> </w:t>
      </w:r>
    </w:p>
    <w:p w14:paraId="652D5F18" w14:textId="75AE3E27" w:rsidR="002C4465" w:rsidRDefault="002C4465" w:rsidP="002C4465">
      <w:pPr>
        <w:spacing w:before="120" w:after="0"/>
        <w:rPr>
          <w:rFonts w:ascii="Tms Rmn" w:hAnsi="Tms Rmn" w:cs="Tms Rmn"/>
          <w:color w:val="000000"/>
          <w:lang w:eastAsia="lv-LV"/>
        </w:rPr>
      </w:pPr>
      <w:r>
        <w:t xml:space="preserve">Lai izstrādātu priekšlikumus nabadzības risku mazināšanai, uzlabotu nabadzības un sociālās atstumtības politikas plānošanu un iesaistīto pušu sadarbību, </w:t>
      </w:r>
      <w:r>
        <w:rPr>
          <w:color w:val="000000"/>
          <w:lang w:eastAsia="lv-LV"/>
        </w:rPr>
        <w:t>ir izveidota darba grupa</w:t>
      </w:r>
      <w:r w:rsidR="00F90EBD">
        <w:rPr>
          <w:rStyle w:val="FootnoteReference"/>
          <w:color w:val="000000"/>
          <w:lang w:eastAsia="lv-LV"/>
        </w:rPr>
        <w:footnoteReference w:id="5"/>
      </w:r>
      <w:r>
        <w:t xml:space="preserve">. Tās galvenais uzdevums </w:t>
      </w:r>
      <w:r>
        <w:rPr>
          <w:color w:val="000000"/>
          <w:lang w:eastAsia="lv-LV"/>
        </w:rPr>
        <w:t xml:space="preserve">identificēt būtiskākos nabadzības un sociālās atstumtības pieauguma cēloņus un politikas jomas, kurās veicami pasākumi nabadzības un sociālās atstumtības mazināšanai, izvērtēt plānoto pasākumu iespējamo ietekmi uz nabadzību un sociālo atstumtību, kā arī izstrādāt priekšlikumus par pasākumiem, lai mazinātu nabadzību un sociālo atstumtību un sasniegtu Latvijas NRP noteikto nabadzības līmeņa samazināšanas mērķi. </w:t>
      </w:r>
      <w:r>
        <w:rPr>
          <w:rFonts w:ascii="Tms Rmn" w:hAnsi="Tms Rmn" w:cs="Tms Rmn"/>
          <w:color w:val="000000"/>
          <w:lang w:eastAsia="lv-LV"/>
        </w:rPr>
        <w:t xml:space="preserve">2013.gada februārī Saeima pieņēma likumprojektu </w:t>
      </w:r>
      <w:r>
        <w:rPr>
          <w:rFonts w:ascii="Tms Rmn" w:hAnsi="Tms Rmn" w:cs="Tms Rmn"/>
          <w:i/>
          <w:color w:val="000000"/>
          <w:lang w:eastAsia="lv-LV"/>
        </w:rPr>
        <w:t xml:space="preserve">„Par Pārskatīto Eiropas Sociālo </w:t>
      </w:r>
      <w:r>
        <w:rPr>
          <w:rFonts w:ascii="Tms Rmn" w:hAnsi="Tms Rmn" w:cs="Tms Rmn"/>
          <w:i/>
          <w:color w:val="000000"/>
          <w:lang w:eastAsia="lv-LV"/>
        </w:rPr>
        <w:lastRenderedPageBreak/>
        <w:t>hartu</w:t>
      </w:r>
      <w:r>
        <w:rPr>
          <w:i/>
        </w:rPr>
        <w:t>”</w:t>
      </w:r>
      <w:r>
        <w:t>, līdz ar to Latvijai kļūst saistoša virkne hartas pantu, tostarp 30.pants par iedzīvotāju tiesībām uz</w:t>
      </w:r>
      <w:r>
        <w:rPr>
          <w:rFonts w:ascii="Tms Rmn" w:hAnsi="Tms Rmn" w:cs="Tms Rmn"/>
          <w:color w:val="000000"/>
          <w:lang w:eastAsia="lv-LV"/>
        </w:rPr>
        <w:t xml:space="preserve"> aizsardzību pret trūkumu un sociālo nevienlīdzību.</w:t>
      </w:r>
    </w:p>
    <w:p w14:paraId="18A6103C" w14:textId="77777777" w:rsidR="002C4465" w:rsidRDefault="002C4465" w:rsidP="002C4465">
      <w:pPr>
        <w:spacing w:before="120" w:after="0"/>
      </w:pPr>
      <w:r>
        <w:t xml:space="preserve">Latvijā bezdarbnieki ir viena no nabadzības riskam visvairāk pakļautajām iedzīvotāju grupām. Lai daļēji atslogotu pašvaldību budžetus, no 2013.gada pagarināta bezdarbnieka pabalsta izmaksa neatkarīgi no darba stāža – bezdarbnieka pabalstu sociāli apdrošinātas personas varēs saņemt 9 mēnešus, vienlaikus veicinot bezdarbnieku </w:t>
      </w:r>
      <w:proofErr w:type="spellStart"/>
      <w:r>
        <w:t>pašaktivizāciju</w:t>
      </w:r>
      <w:proofErr w:type="spellEnd"/>
      <w:r>
        <w:t xml:space="preserve"> darba meklēšanā un savas situācijas uzlabošanā.</w:t>
      </w:r>
    </w:p>
    <w:p w14:paraId="35C99295" w14:textId="77777777" w:rsidR="002C4465" w:rsidRPr="00FF2E0A" w:rsidRDefault="002C4465" w:rsidP="00EF1CE4">
      <w:pPr>
        <w:spacing w:before="120" w:after="0"/>
      </w:pPr>
      <w:r>
        <w:t xml:space="preserve">Viens no sociālās palīdzības drošības sistēmas efektivitātes uzlabošanas elementiem ir veiksmīga politikas uzraudzības mehānisma izveide, nodrošinot nepieciešamo aktuālo informāciju lēmumu pieņemšanai, finanšu līdzekļu caurskatāmu izlietojumu, sociālās palīdzības </w:t>
      </w:r>
      <w:proofErr w:type="spellStart"/>
      <w:r>
        <w:t>mērķētību</w:t>
      </w:r>
      <w:proofErr w:type="spellEnd"/>
      <w:r>
        <w:t>. Lai to nodrošinātu, tiek pilnveidota sociālās palīdzības drošības sistēmas datu bāze un uzsākta sadarbība ar pašvaldībām, lai vienotos par optimālākajiem risinājumiem attiecībā uz sociālās palīdzības dienestu uzkrāto personalizēto datu apmaiņu ar Labklājības ministriju. 2012.gadā uzsākts darbs pie Vienotās Labklājības informācijas sistēmas izveides, lai nodrošinātu labklājības nozares institūciju uzkrāto datu savstarpējo savietojamību, pieejamību un analīzes iespējas personalizētu datu līmenī. Tā rezultātā politikas plānotāju rīcībā būs informācija par dažādu sociālo pakalpojumu un pabalstu savstarpējo korelāciju personas datu līmenī, kas ļaus objektīvāk analizēt dažādu politiku ietekmi uz iedzīvotājiem.</w:t>
      </w:r>
    </w:p>
    <w:p w14:paraId="11092E3B" w14:textId="6C1BDC4E" w:rsidR="00AB33D1" w:rsidRPr="00FF2E0A" w:rsidRDefault="00AB33D1" w:rsidP="00642049">
      <w:pPr>
        <w:spacing w:before="120" w:after="0"/>
      </w:pPr>
      <w:r w:rsidRPr="00FF2E0A">
        <w:rPr>
          <w:u w:val="single"/>
        </w:rPr>
        <w:t>Aktīvās darba tirgus politikas pasākumu pilnveidošana.</w:t>
      </w:r>
      <w:r w:rsidR="001B47DC">
        <w:t xml:space="preserve"> </w:t>
      </w:r>
      <w:r w:rsidRPr="00FF2E0A">
        <w:t xml:space="preserve">Pasākuma mērķis ir augsta bezdarba riska mazināšana, kā arī nodarbinātības un ekonomiskās aktivitātes līmeņa paaugstināšana. 2013.gadā tiek turpināta un pilnveidota gan esošo aktīvās darba tirgus politikas pasākumu īstenošana, gan uzsākta jaunu īstenošana, īpašu uzmanību veltot bezdarba riskam visvairāk pakļautajām grupām </w:t>
      </w:r>
      <w:r>
        <w:t xml:space="preserve">- </w:t>
      </w:r>
      <w:r w:rsidRPr="00FF2E0A">
        <w:t>ilgstošie bezdarbnieki, jaunieši-bezdarbnieki, bezdarb</w:t>
      </w:r>
      <w:r>
        <w:t xml:space="preserve">nieki ar zemu izglītības līmeni. </w:t>
      </w:r>
      <w:r w:rsidRPr="00FF2E0A">
        <w:t xml:space="preserve">2013.gadā tiks turpināta algoto pagaidu sabiedrisko darbu dalībnieku aktivizēšana, piedāvājot un motivējot iesaistīties divas dienas mēnesī īsajās apmācībās - motivācijas un prasmju apguves kursos vai izmantot šo laiku darba meklējumiem ar </w:t>
      </w:r>
      <w:r w:rsidR="00267CD3">
        <w:t>N</w:t>
      </w:r>
      <w:r w:rsidRPr="00FF2E0A">
        <w:t xml:space="preserve">VA atbalstu, kā arī uzsākta programma ilgstošajiem bezdarbniekiem ar atkarības problēmām. 2013.gadā tiks ieviesti reģionālās mobilitātes granti ilgstošajiem bezdarbniekiem, kuri gatavi pieņemt darbu, kas atrodas ne mazāk kā 20 kilometru attālumā no deklarētās dzīvesvietas. Lai mazinātu jauniešu bezdarbu, plānots ieviest pasākumu „Darbnīcas jauniešiem”, kur jauniešiem vecumā no 15 līdz 24 gadiem, palīdzētu izdarīt apzinātāku izvēli par savu nākamo profesiju un veicinātu darbā iekārtošanos. </w:t>
      </w:r>
      <w:r w:rsidR="006E231D" w:rsidRPr="005133CA">
        <w:t xml:space="preserve">Sākot ar </w:t>
      </w:r>
      <w:r w:rsidR="006E231D">
        <w:t xml:space="preserve">šo </w:t>
      </w:r>
      <w:r w:rsidR="006E231D" w:rsidRPr="005133CA">
        <w:t xml:space="preserve">gadu, </w:t>
      </w:r>
      <w:r w:rsidRPr="005133CA">
        <w:t xml:space="preserve">ir paredzēts īstenot </w:t>
      </w:r>
      <w:r w:rsidR="00AB5D6E" w:rsidRPr="005133CA">
        <w:t xml:space="preserve">efektīvāku </w:t>
      </w:r>
      <w:r w:rsidRPr="005133CA">
        <w:t>pieeju</w:t>
      </w:r>
      <w:r w:rsidR="00E020EE" w:rsidRPr="005133CA">
        <w:t xml:space="preserve"> -</w:t>
      </w:r>
      <w:r w:rsidR="00E020EE">
        <w:t xml:space="preserve"> </w:t>
      </w:r>
      <w:r w:rsidR="006E231D">
        <w:t xml:space="preserve">tiek veidota un ieviesta profilēšanas sistēma mērķētākai dažādu bezdarbnieku grupu integrēšanai darba tirgū, lai efektīvi un ātri aizpildītu vakances un piedāvātu konkrētai personai piemērotākos darba </w:t>
      </w:r>
      <w:r w:rsidRPr="00FF2E0A">
        <w:t xml:space="preserve">tirgus politikas pasākumus. Š.g. februārī valdība apstiprināja grozījumus Bezdarbnieku un darba meklētāju atbalsta likumā, kuru mērķis ir virzīt personu uz mērķa sasniegšanu – piemērota darba atrašanu. Likumprojekts ir iesniegts Saeimā izskatīšanai. Ar </w:t>
      </w:r>
      <w:r w:rsidR="00EF0A4C">
        <w:t>EK</w:t>
      </w:r>
      <w:r w:rsidRPr="00FF2E0A">
        <w:t xml:space="preserve"> atbalstu 2012.gadā sākts un 2013.gadā turpinās Pasaules Bankas pētījums par ilgstošā bezdarba iemesliem un risinājumiem, kura secinājumi un priekšlikumi tiks izmantoti aktīvo darba tirgus politikas pasākumu pilnveidošanai un ciešākai sasaistei ar sociālās drošības sistēmu, izstrādājot Pamatnostādnes nodarbinātības un iekļaujošas izaugsmes veicināšanai 2014.-2020.gadam. Lai uzlabotu nodarbinātības politikas plānošanas procesu 2013.gada februārī</w:t>
      </w:r>
      <w:r w:rsidR="00EF0A4C">
        <w:t>,</w:t>
      </w:r>
      <w:r w:rsidRPr="00FF2E0A">
        <w:t xml:space="preserve"> tika izveidota augsta līmeņa Nodarbinātības politikas koordinācijas padome ar nozaru ministriju dalību. 2014.-2016.gadā plānots turpināt un pilnveidot apmācības un konkurētspējas paaugstināšanas pasākumus bezdarbniekiem un darba meklētājiem, subsidētās nodarbinātības pasākumus nelabvēlīgākā situācijā esošajiem bezdarbniekiem, uz jauniešiem – bezdarbniekiem mērķētus atbalsta pasākumus pirmās darba pieredzes iegūšanai, p</w:t>
      </w:r>
      <w:r w:rsidRPr="00FF2E0A">
        <w:rPr>
          <w:bCs/>
        </w:rPr>
        <w:t>ieaugušo tālākizglītības</w:t>
      </w:r>
      <w:r w:rsidRPr="00FF2E0A">
        <w:t xml:space="preserve"> aktivitātes nodarbinātajiem, kompleksus risinājumus gados vecāku (50+) nodarbināto prasmju pilnveidei un darbaspēju saglabāšanai, </w:t>
      </w:r>
      <w:r w:rsidRPr="00FF2E0A">
        <w:lastRenderedPageBreak/>
        <w:t>izstrādāt priekšlikumus sociāli atbildīgas uzņēmējdarbības veicināšanai, attīstīt reģionāl</w:t>
      </w:r>
      <w:r w:rsidR="00EF0A4C">
        <w:t>o</w:t>
      </w:r>
      <w:r w:rsidRPr="00FF2E0A">
        <w:t xml:space="preserve"> mobilitāti, balstoties uz 2013.gadā veiktā pilotprojekta rezultātu izvērtējumu.</w:t>
      </w:r>
    </w:p>
    <w:p w14:paraId="283F4794" w14:textId="1944199D" w:rsidR="00AB33D1" w:rsidRPr="00EF0A4C" w:rsidRDefault="00AB33D1" w:rsidP="00642049">
      <w:pPr>
        <w:pStyle w:val="ListParagraph"/>
        <w:spacing w:before="120" w:after="0" w:line="240" w:lineRule="auto"/>
        <w:ind w:left="0" w:firstLine="567"/>
        <w:jc w:val="both"/>
        <w:rPr>
          <w:rFonts w:ascii="Times New Roman" w:hAnsi="Times New Roman"/>
          <w:color w:val="FF0000"/>
          <w:sz w:val="24"/>
          <w:szCs w:val="24"/>
        </w:rPr>
      </w:pPr>
      <w:proofErr w:type="spellStart"/>
      <w:r w:rsidRPr="00EF0A4C">
        <w:rPr>
          <w:rFonts w:ascii="Times New Roman" w:hAnsi="Times New Roman"/>
          <w:sz w:val="24"/>
          <w:szCs w:val="24"/>
          <w:u w:val="single"/>
        </w:rPr>
        <w:t>Pašnodarbinātības</w:t>
      </w:r>
      <w:proofErr w:type="spellEnd"/>
      <w:r w:rsidRPr="00EF0A4C">
        <w:rPr>
          <w:rFonts w:ascii="Times New Roman" w:hAnsi="Times New Roman"/>
          <w:sz w:val="24"/>
          <w:szCs w:val="24"/>
          <w:u w:val="single"/>
        </w:rPr>
        <w:t xml:space="preserve"> un uzņēmējdarbības sekmēšana.</w:t>
      </w:r>
      <w:r w:rsidRPr="00EF0A4C">
        <w:rPr>
          <w:rFonts w:ascii="Times New Roman" w:hAnsi="Times New Roman"/>
          <w:sz w:val="24"/>
          <w:szCs w:val="24"/>
        </w:rPr>
        <w:t xml:space="preserve"> Pasākuma mērķis ir veicināt jaunu konkurētspējīgu mikro, mazo un vidējo komersantu veidošanos un attīstību, tādējādi atbalstot jaunu darba vietu radīšanu. </w:t>
      </w:r>
      <w:r w:rsidRPr="00EF0A4C">
        <w:rPr>
          <w:rFonts w:ascii="Times New Roman" w:hAnsi="Times New Roman"/>
          <w:color w:val="000000"/>
          <w:sz w:val="24"/>
          <w:szCs w:val="24"/>
        </w:rPr>
        <w:t xml:space="preserve">Lai palīdzētu attīstīties jauniem uzņēmumiem, atbalstot tos agrīnās attīstības stadijā ar infrastruktūras un konsultatīvajiem pakalpojumiem, 2012.gadā tika turpināta programmas </w:t>
      </w:r>
      <w:r w:rsidRPr="00EF0A4C">
        <w:rPr>
          <w:rFonts w:ascii="Times New Roman" w:hAnsi="Times New Roman"/>
          <w:iCs/>
          <w:color w:val="000000"/>
          <w:sz w:val="24"/>
          <w:szCs w:val="24"/>
        </w:rPr>
        <w:t>Biznesa inkubatori</w:t>
      </w:r>
      <w:r w:rsidRPr="00EF0A4C">
        <w:rPr>
          <w:rFonts w:ascii="Times New Roman" w:hAnsi="Times New Roman"/>
          <w:color w:val="000000"/>
          <w:sz w:val="24"/>
          <w:szCs w:val="24"/>
        </w:rPr>
        <w:t xml:space="preserve"> īstenošana – </w:t>
      </w:r>
      <w:r w:rsidRPr="00EF0A4C">
        <w:rPr>
          <w:rFonts w:ascii="Times New Roman" w:hAnsi="Times New Roman"/>
          <w:sz w:val="24"/>
          <w:szCs w:val="24"/>
        </w:rPr>
        <w:t xml:space="preserve">10 biznesa inkubatoru </w:t>
      </w:r>
      <w:r w:rsidRPr="00EF0A4C">
        <w:rPr>
          <w:rFonts w:ascii="Times New Roman" w:hAnsi="Times New Roman"/>
          <w:color w:val="000000"/>
          <w:sz w:val="24"/>
          <w:szCs w:val="24"/>
        </w:rPr>
        <w:t xml:space="preserve">darbības rezultātā 2012.gadā atbalsts tika sniegts 546 uzņēmumiem, no kuriem 188 bija jaunuzņemtie uzņēmumi. Inkubējamajos uzņēmumos tika </w:t>
      </w:r>
      <w:r w:rsidRPr="00E54AB9">
        <w:rPr>
          <w:rFonts w:ascii="Times New Roman" w:hAnsi="Times New Roman"/>
          <w:color w:val="000000"/>
          <w:sz w:val="24"/>
          <w:szCs w:val="24"/>
        </w:rPr>
        <w:t xml:space="preserve">izveidotas 1164 darba vietas. Biznesa inkubatoru sniegto atbalsta pakalpojumu nodrošināšanai programmas ietvaros laikā no 2009.-2012.gadam tika izlietoti 8,6 milj. latu </w:t>
      </w:r>
      <w:r w:rsidRPr="00E54AB9">
        <w:rPr>
          <w:rFonts w:ascii="Times New Roman" w:hAnsi="Times New Roman"/>
          <w:sz w:val="24"/>
          <w:szCs w:val="24"/>
        </w:rPr>
        <w:t>(12,2 milj. </w:t>
      </w:r>
      <w:proofErr w:type="spellStart"/>
      <w:r w:rsidR="00E54AB9" w:rsidRPr="00E54AB9">
        <w:rPr>
          <w:rFonts w:ascii="Times New Roman" w:hAnsi="Times New Roman"/>
          <w:i/>
          <w:sz w:val="24"/>
          <w:szCs w:val="24"/>
        </w:rPr>
        <w:t>euro</w:t>
      </w:r>
      <w:proofErr w:type="spellEnd"/>
      <w:r w:rsidR="00E54AB9" w:rsidRPr="00E54AB9">
        <w:rPr>
          <w:rFonts w:ascii="Times New Roman" w:hAnsi="Times New Roman"/>
          <w:color w:val="000000"/>
          <w:sz w:val="24"/>
          <w:szCs w:val="24"/>
        </w:rPr>
        <w:t xml:space="preserve"> </w:t>
      </w:r>
      <w:r w:rsidRPr="00E54AB9">
        <w:rPr>
          <w:rFonts w:ascii="Times New Roman" w:hAnsi="Times New Roman"/>
          <w:color w:val="000000"/>
          <w:sz w:val="24"/>
          <w:szCs w:val="24"/>
        </w:rPr>
        <w:t xml:space="preserve">no tiem 2,2 </w:t>
      </w:r>
      <w:proofErr w:type="spellStart"/>
      <w:r w:rsidRPr="00E54AB9">
        <w:rPr>
          <w:rFonts w:ascii="Times New Roman" w:hAnsi="Times New Roman"/>
          <w:color w:val="000000"/>
          <w:sz w:val="24"/>
          <w:szCs w:val="24"/>
        </w:rPr>
        <w:t>milj</w:t>
      </w:r>
      <w:proofErr w:type="spellEnd"/>
      <w:r w:rsidRPr="00E54AB9">
        <w:rPr>
          <w:rFonts w:ascii="Times New Roman" w:hAnsi="Times New Roman"/>
          <w:color w:val="000000"/>
          <w:sz w:val="24"/>
          <w:szCs w:val="24"/>
        </w:rPr>
        <w:t xml:space="preserve">. latu </w:t>
      </w:r>
      <w:r w:rsidRPr="00E54AB9">
        <w:rPr>
          <w:rFonts w:ascii="Times New Roman" w:hAnsi="Times New Roman"/>
          <w:sz w:val="24"/>
          <w:szCs w:val="24"/>
        </w:rPr>
        <w:t>(3,1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xml:space="preserve">) </w:t>
      </w:r>
      <w:r w:rsidRPr="00E54AB9">
        <w:rPr>
          <w:rFonts w:ascii="Times New Roman" w:hAnsi="Times New Roman"/>
          <w:color w:val="000000"/>
          <w:sz w:val="24"/>
          <w:szCs w:val="24"/>
        </w:rPr>
        <w:t xml:space="preserve"> tika izmaksāti 2012.gadā, bet 2013.gadā plānots izmaksāt 2,9 milj. latu </w:t>
      </w:r>
      <w:r w:rsidRPr="00E54AB9">
        <w:rPr>
          <w:rFonts w:ascii="Times New Roman" w:hAnsi="Times New Roman"/>
          <w:sz w:val="24"/>
          <w:szCs w:val="24"/>
        </w:rPr>
        <w:t>(4,1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xml:space="preserve">). </w:t>
      </w:r>
      <w:r w:rsidRPr="00E54AB9">
        <w:rPr>
          <w:rFonts w:ascii="Times New Roman" w:hAnsi="Times New Roman"/>
          <w:color w:val="000000"/>
          <w:sz w:val="24"/>
          <w:szCs w:val="24"/>
        </w:rPr>
        <w:t xml:space="preserve">Lai veicinātu iedzīvotāju ekonomisko aktivitāti darbspējas vecumā, ieskaitot bezdarbniekus, kuri ir izteikuši vēlmi uzsākt komercdarbību vai </w:t>
      </w:r>
      <w:proofErr w:type="spellStart"/>
      <w:r w:rsidRPr="00E54AB9">
        <w:rPr>
          <w:rFonts w:ascii="Times New Roman" w:hAnsi="Times New Roman"/>
          <w:color w:val="000000"/>
          <w:sz w:val="24"/>
          <w:szCs w:val="24"/>
        </w:rPr>
        <w:t>pašnodarbinātību</w:t>
      </w:r>
      <w:proofErr w:type="spellEnd"/>
      <w:r w:rsidRPr="00E54AB9">
        <w:rPr>
          <w:rFonts w:ascii="Times New Roman" w:hAnsi="Times New Roman"/>
          <w:color w:val="000000"/>
          <w:sz w:val="24"/>
          <w:szCs w:val="24"/>
        </w:rPr>
        <w:t xml:space="preserve">, kā arī jaundibināto komersantu veidošanos, tiek turpināta programma Atbalsts </w:t>
      </w:r>
      <w:proofErr w:type="spellStart"/>
      <w:r w:rsidRPr="00E54AB9">
        <w:rPr>
          <w:rFonts w:ascii="Times New Roman" w:hAnsi="Times New Roman"/>
          <w:color w:val="000000"/>
          <w:sz w:val="24"/>
          <w:szCs w:val="24"/>
        </w:rPr>
        <w:t>pašnodarbinātības</w:t>
      </w:r>
      <w:proofErr w:type="spellEnd"/>
      <w:r w:rsidRPr="00E54AB9">
        <w:rPr>
          <w:rFonts w:ascii="Times New Roman" w:hAnsi="Times New Roman"/>
          <w:color w:val="000000"/>
          <w:sz w:val="24"/>
          <w:szCs w:val="24"/>
        </w:rPr>
        <w:t xml:space="preserve"> un uzņēmējdarbības uzsākšanai. Kopējais programmas finansējums ir 23,0 milj. latu </w:t>
      </w:r>
      <w:r w:rsidRPr="00E54AB9">
        <w:rPr>
          <w:rFonts w:ascii="Times New Roman" w:hAnsi="Times New Roman"/>
          <w:sz w:val="24"/>
          <w:szCs w:val="24"/>
        </w:rPr>
        <w:t>(23,7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w:t>
      </w:r>
      <w:r w:rsidRPr="00E54AB9">
        <w:rPr>
          <w:rFonts w:ascii="Times New Roman" w:hAnsi="Times New Roman"/>
          <w:color w:val="000000"/>
          <w:sz w:val="24"/>
          <w:szCs w:val="24"/>
        </w:rPr>
        <w:t xml:space="preserve">. Paredzēts, ka programmas darbības ietvaros līdz 2013. gada beigām tiks apmācīti 1200 uzsācēju, bet finansējumu (aizdevums un granti) saņems 800 programmas dalībnieki. </w:t>
      </w:r>
      <w:r w:rsidRPr="00E54AB9">
        <w:rPr>
          <w:rFonts w:ascii="Times New Roman" w:hAnsi="Times New Roman"/>
          <w:sz w:val="24"/>
          <w:szCs w:val="24"/>
        </w:rPr>
        <w:t xml:space="preserve">2012. gada maijā apstiprināja </w:t>
      </w:r>
      <w:r w:rsidRPr="00E54AB9">
        <w:rPr>
          <w:rFonts w:ascii="Times New Roman" w:hAnsi="Times New Roman"/>
          <w:iCs/>
          <w:sz w:val="24"/>
          <w:szCs w:val="24"/>
        </w:rPr>
        <w:t>Lauksaimniecības zemes iegādes kreditēšanas programmas</w:t>
      </w:r>
      <w:r w:rsidRPr="00E54AB9">
        <w:rPr>
          <w:rFonts w:ascii="Times New Roman" w:hAnsi="Times New Roman"/>
          <w:b/>
          <w:bCs/>
          <w:iCs/>
          <w:sz w:val="24"/>
          <w:szCs w:val="24"/>
        </w:rPr>
        <w:t xml:space="preserve"> </w:t>
      </w:r>
      <w:r w:rsidRPr="00E54AB9">
        <w:rPr>
          <w:rFonts w:ascii="Times New Roman" w:hAnsi="Times New Roman"/>
          <w:sz w:val="24"/>
          <w:szCs w:val="24"/>
        </w:rPr>
        <w:t>noteikumus. Programmas ietvaros pieejami aizdevumi līdz 100,0 tūkst. latu (142,3 tūkst.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lauksaimniecībā izmantojamās zemes iegādei lauksaimniecības produktu ražošanai un uz tās esošu būvju iegādei. Programmas kopējais budžets ir 10,0 milj. latu (14,2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un aizdevumi tās ietvaros būs pieejami līdz 2013. gada beigām, jāatzīmē, ka līdz 2012.gada beigām tika piešķirti 46 aizdevumi 1,9 milj. latu (2,7 milj. </w:t>
      </w:r>
      <w:proofErr w:type="spellStart"/>
      <w:r w:rsidR="00E54AB9" w:rsidRPr="00E54AB9">
        <w:rPr>
          <w:rFonts w:ascii="Times New Roman" w:hAnsi="Times New Roman"/>
          <w:i/>
          <w:sz w:val="24"/>
          <w:szCs w:val="24"/>
        </w:rPr>
        <w:t>euro</w:t>
      </w:r>
      <w:proofErr w:type="spellEnd"/>
      <w:r w:rsidRPr="00E54AB9">
        <w:rPr>
          <w:rFonts w:ascii="Times New Roman" w:hAnsi="Times New Roman"/>
          <w:sz w:val="24"/>
          <w:szCs w:val="24"/>
        </w:rPr>
        <w:t>) apmērā</w:t>
      </w:r>
      <w:r w:rsidRPr="00EF0A4C">
        <w:rPr>
          <w:rFonts w:ascii="Times New Roman" w:hAnsi="Times New Roman"/>
          <w:sz w:val="24"/>
          <w:szCs w:val="24"/>
        </w:rPr>
        <w:t xml:space="preserve">. </w:t>
      </w:r>
    </w:p>
    <w:p w14:paraId="1EA9D0CF" w14:textId="77777777" w:rsidR="00AB33D1" w:rsidRPr="009B0788" w:rsidRDefault="00AB33D1" w:rsidP="00AB33D1">
      <w:pPr>
        <w:pStyle w:val="H3"/>
        <w:spacing w:before="360" w:after="0"/>
        <w:ind w:left="0" w:firstLine="567"/>
        <w:rPr>
          <w:rFonts w:ascii="Times New Roman" w:hAnsi="Times New Roman"/>
          <w:sz w:val="32"/>
          <w:szCs w:val="32"/>
        </w:rPr>
      </w:pPr>
      <w:bookmarkStart w:id="26" w:name="_Toc354671218"/>
      <w:r w:rsidRPr="009B0788">
        <w:rPr>
          <w:rFonts w:ascii="Times New Roman" w:hAnsi="Times New Roman"/>
          <w:sz w:val="32"/>
          <w:szCs w:val="32"/>
        </w:rPr>
        <w:t>3.4. Veselības aprūpe</w:t>
      </w:r>
      <w:bookmarkEnd w:id="26"/>
    </w:p>
    <w:p w14:paraId="73BC5915" w14:textId="50E79115" w:rsidR="00AB33D1" w:rsidRPr="00FF2E0A" w:rsidRDefault="00AB33D1" w:rsidP="00642049">
      <w:pPr>
        <w:spacing w:before="120"/>
        <w:rPr>
          <w:szCs w:val="24"/>
        </w:rPr>
      </w:pPr>
      <w:r w:rsidRPr="00B45626">
        <w:rPr>
          <w:szCs w:val="24"/>
          <w:u w:val="single"/>
        </w:rPr>
        <w:t>Mātes un bērna veselības uzlabošana.</w:t>
      </w:r>
      <w:r w:rsidRPr="00B45626">
        <w:rPr>
          <w:szCs w:val="24"/>
        </w:rPr>
        <w:t xml:space="preserve"> Pasākuma mērķis ir uzlabot mātes un bērna veselību (tai skaitā samazināt perinatālo mirstību un mātes mirstību), nodrošinot plānotu un koordinētu pasākumu veikšanu trīs virzienos: mātes un bērna veselības uzlabošanā, neauglības ārstēšanā un starpnozaru sadarbībā. 2</w:t>
      </w:r>
      <w:r>
        <w:rPr>
          <w:szCs w:val="24"/>
        </w:rPr>
        <w:t xml:space="preserve">012.gada 19.jūnijā tika </w:t>
      </w:r>
      <w:r w:rsidRPr="00B45626">
        <w:rPr>
          <w:szCs w:val="24"/>
        </w:rPr>
        <w:t xml:space="preserve">apstiprināts Mātes un bērna veselības uzlabošanas plāns 2012.-2014.gadam, </w:t>
      </w:r>
      <w:r w:rsidRPr="00FF2E0A">
        <w:rPr>
          <w:szCs w:val="24"/>
        </w:rPr>
        <w:t xml:space="preserve">2012.gadā papildus </w:t>
      </w:r>
      <w:r>
        <w:rPr>
          <w:szCs w:val="24"/>
        </w:rPr>
        <w:t>plānojot šim mērķim 1,1 milj. </w:t>
      </w:r>
      <w:r w:rsidRPr="00FF2E0A">
        <w:rPr>
          <w:szCs w:val="24"/>
        </w:rPr>
        <w:t>latu</w:t>
      </w:r>
      <w:r>
        <w:rPr>
          <w:szCs w:val="24"/>
        </w:rPr>
        <w:t xml:space="preserve"> </w:t>
      </w:r>
      <w:r>
        <w:t>(1,6 </w:t>
      </w:r>
      <w:r w:rsidRPr="00FF2E0A">
        <w:t>milj. </w:t>
      </w:r>
      <w:proofErr w:type="spellStart"/>
      <w:r w:rsidR="004146B6" w:rsidRPr="00E54AB9">
        <w:rPr>
          <w:i/>
          <w:szCs w:val="24"/>
        </w:rPr>
        <w:t>euro</w:t>
      </w:r>
      <w:proofErr w:type="spellEnd"/>
      <w:r w:rsidRPr="00FF2E0A">
        <w:t>)</w:t>
      </w:r>
      <w:r>
        <w:rPr>
          <w:szCs w:val="24"/>
        </w:rPr>
        <w:t>, 2013.gadā 2,8 milj. </w:t>
      </w:r>
      <w:r w:rsidRPr="00FF2E0A">
        <w:rPr>
          <w:szCs w:val="24"/>
        </w:rPr>
        <w:t>latu</w:t>
      </w:r>
      <w:r>
        <w:rPr>
          <w:szCs w:val="24"/>
        </w:rPr>
        <w:t xml:space="preserve"> </w:t>
      </w:r>
      <w:r>
        <w:t>(4,0 </w:t>
      </w:r>
      <w:r w:rsidRPr="00FF2E0A">
        <w:t>milj. </w:t>
      </w:r>
      <w:proofErr w:type="spellStart"/>
      <w:r w:rsidR="00C04DE7" w:rsidRPr="00E54AB9">
        <w:rPr>
          <w:i/>
          <w:szCs w:val="24"/>
        </w:rPr>
        <w:t>euro</w:t>
      </w:r>
      <w:proofErr w:type="spellEnd"/>
      <w:r w:rsidRPr="00FF2E0A">
        <w:t>)</w:t>
      </w:r>
      <w:r w:rsidRPr="00FF2E0A">
        <w:rPr>
          <w:szCs w:val="24"/>
        </w:rPr>
        <w:t>, 2014.gadā 3,</w:t>
      </w:r>
      <w:r w:rsidRPr="0029624F">
        <w:t>5</w:t>
      </w:r>
      <w:r>
        <w:t> </w:t>
      </w:r>
      <w:r w:rsidRPr="0029624F">
        <w:t>milj</w:t>
      </w:r>
      <w:r>
        <w:rPr>
          <w:szCs w:val="24"/>
        </w:rPr>
        <w:t>. </w:t>
      </w:r>
      <w:r w:rsidRPr="00FF2E0A">
        <w:rPr>
          <w:szCs w:val="24"/>
        </w:rPr>
        <w:t>latu</w:t>
      </w:r>
      <w:r>
        <w:rPr>
          <w:szCs w:val="24"/>
        </w:rPr>
        <w:t xml:space="preserve"> </w:t>
      </w:r>
      <w:r>
        <w:t>(5,0 </w:t>
      </w:r>
      <w:r w:rsidRPr="00FF2E0A">
        <w:t>milj. </w:t>
      </w:r>
      <w:proofErr w:type="spellStart"/>
      <w:r w:rsidR="004146B6" w:rsidRPr="00E54AB9">
        <w:rPr>
          <w:i/>
          <w:szCs w:val="24"/>
        </w:rPr>
        <w:t>euro</w:t>
      </w:r>
      <w:proofErr w:type="spellEnd"/>
      <w:r w:rsidRPr="00FF2E0A">
        <w:t>)</w:t>
      </w:r>
      <w:r>
        <w:rPr>
          <w:szCs w:val="24"/>
        </w:rPr>
        <w:t xml:space="preserve">. </w:t>
      </w:r>
      <w:r w:rsidRPr="00FF2E0A">
        <w:rPr>
          <w:szCs w:val="24"/>
        </w:rPr>
        <w:t>Plāna ietvaros 2012.gadā uzsākta valsts apmaksāta diagnostika neauglības cēloņu noteikšanai un neauglības ārstēšana, tai skaitā mākslīg</w:t>
      </w:r>
      <w:r>
        <w:rPr>
          <w:szCs w:val="24"/>
        </w:rPr>
        <w:t>ā apaugļošana sievietēm līdz 37 </w:t>
      </w:r>
      <w:r w:rsidRPr="00FF2E0A">
        <w:rPr>
          <w:szCs w:val="24"/>
        </w:rPr>
        <w:t>gadu vecumam. Grūtniecēm un sievietēm pēcdzemdību periodā</w:t>
      </w:r>
      <w:r w:rsidRPr="00FF2E0A">
        <w:t xml:space="preserve"> tiek kompensēti </w:t>
      </w:r>
      <w:r w:rsidRPr="00FF2E0A">
        <w:rPr>
          <w:szCs w:val="24"/>
        </w:rPr>
        <w:t>nepieciešamie recepšu medikamenti 25% apmērā, kā arī bērniem līdz 2 gadu vecumam – 50% apmērā. Grūtniecēm pieejama arī  gripas vakcīnas iegādes izdevumu kompensācija</w:t>
      </w:r>
      <w:r>
        <w:rPr>
          <w:szCs w:val="24"/>
        </w:rPr>
        <w:t xml:space="preserve"> </w:t>
      </w:r>
      <w:r w:rsidRPr="00FF2E0A">
        <w:rPr>
          <w:szCs w:val="24"/>
        </w:rPr>
        <w:t>50%</w:t>
      </w:r>
      <w:r>
        <w:rPr>
          <w:szCs w:val="24"/>
        </w:rPr>
        <w:t xml:space="preserve"> apmērā</w:t>
      </w:r>
      <w:r w:rsidRPr="00FF2E0A">
        <w:rPr>
          <w:szCs w:val="24"/>
        </w:rPr>
        <w:t>. Laika posmā 2014.-2016.gadam plānots turpināt uzdevumu realizāciju grūtnieču un jaundzimušo aprūpes uzlabošanā, neauglības ārstēšanā un starpnozaru sadarbībā reproduktīvās veselības jomā.</w:t>
      </w:r>
    </w:p>
    <w:p w14:paraId="1BB26A33" w14:textId="77777777" w:rsidR="00AB33D1" w:rsidRPr="00FF2E0A" w:rsidRDefault="00AB33D1" w:rsidP="00642049">
      <w:pPr>
        <w:spacing w:before="120" w:after="0"/>
        <w:ind w:firstLine="720"/>
      </w:pPr>
      <w:r w:rsidRPr="00AE560B">
        <w:rPr>
          <w:szCs w:val="24"/>
          <w:u w:val="single"/>
        </w:rPr>
        <w:t>Sirds un asinsvadu veselības uzlabošana.</w:t>
      </w:r>
      <w:r w:rsidRPr="00AE560B">
        <w:rPr>
          <w:szCs w:val="24"/>
        </w:rPr>
        <w:t xml:space="preserve"> </w:t>
      </w:r>
      <w:r w:rsidRPr="00FF2E0A">
        <w:rPr>
          <w:szCs w:val="24"/>
        </w:rPr>
        <w:t>Pasākuma mērķis ir samazināt mirstību no sirds un asinsvadu slimībām, mazinot riska faktoru negatīvo ietekmi uz veselību.</w:t>
      </w:r>
      <w:r w:rsidRPr="001E7628">
        <w:rPr>
          <w:b/>
          <w:szCs w:val="24"/>
        </w:rPr>
        <w:t xml:space="preserve"> </w:t>
      </w:r>
      <w:r w:rsidRPr="00FF2E0A">
        <w:rPr>
          <w:rFonts w:eastAsia="Calibri"/>
          <w:color w:val="000000"/>
        </w:rPr>
        <w:t xml:space="preserve">Sirds un asinsvadu saslimšanas ir galvenais iedzīvotāju nāves cēlonis Latvijā. Tādēļ, lai pievērstu sabiedrības uzmanību sirds veselības rādītājiem un tos ietekmējošo sirds un asinsvadu slimību riska faktoru izplatībai - augstam asinsspiedienam, neveselīgiem uztura paradumiem un mazkustīgam dzīvesveidam - 2013.gadu Veselības ministrija pasludinājusi par Sirds veselības gadu. </w:t>
      </w:r>
      <w:r w:rsidRPr="00FF2E0A">
        <w:t xml:space="preserve">Lai veicinātu sirds un asinsvadu veselības uzlabošanos, 2012.gadā tika uzsākts darbs pie Sirds un asinsvadu veselības uzlabošanas rīcības plāna 2013. – 2015.gadam  izstrādes, kuru plānots apstiprināt 2013.gadā. </w:t>
      </w:r>
      <w:r w:rsidR="00D615DF">
        <w:t xml:space="preserve">Šis </w:t>
      </w:r>
      <w:r w:rsidR="00D615DF">
        <w:rPr>
          <w:rFonts w:eastAsia="Calibri"/>
          <w:color w:val="000000"/>
        </w:rPr>
        <w:t>p</w:t>
      </w:r>
      <w:r w:rsidRPr="00FF2E0A">
        <w:rPr>
          <w:rFonts w:eastAsia="Calibri"/>
          <w:color w:val="000000"/>
        </w:rPr>
        <w:t xml:space="preserve">lāns arī paredz to, ka tiks veikts sirds un asinsvadu </w:t>
      </w:r>
      <w:proofErr w:type="spellStart"/>
      <w:r w:rsidRPr="00FF2E0A">
        <w:rPr>
          <w:rFonts w:eastAsia="Calibri"/>
          <w:color w:val="000000"/>
        </w:rPr>
        <w:lastRenderedPageBreak/>
        <w:t>skrīnings</w:t>
      </w:r>
      <w:proofErr w:type="spellEnd"/>
      <w:r w:rsidRPr="00FF2E0A">
        <w:rPr>
          <w:rFonts w:eastAsia="Calibri"/>
          <w:color w:val="000000"/>
        </w:rPr>
        <w:t xml:space="preserve"> noteiktām iedzīvotāju grupām: 11-gadīgiem bērniem, vīriešiem 45, 50, 55 un 60 gadu vecumā un sievietēm 50, 55 un 60 gadu vecumā. Sirds un asinsvadu </w:t>
      </w:r>
      <w:proofErr w:type="spellStart"/>
      <w:r w:rsidRPr="00FF2E0A">
        <w:rPr>
          <w:rFonts w:eastAsia="Calibri"/>
          <w:color w:val="000000"/>
        </w:rPr>
        <w:t>skrīnings</w:t>
      </w:r>
      <w:proofErr w:type="spellEnd"/>
      <w:r w:rsidRPr="00FF2E0A">
        <w:rPr>
          <w:rFonts w:eastAsia="Calibri"/>
          <w:color w:val="000000"/>
        </w:rPr>
        <w:t xml:space="preserve"> (praktiski veseliem iedzīvotājiem) veicams reizi gadā: profilaktiskās apskates laikā vai pacientam vēršoties pie ģimenes ārsta ar sūdzībām (jebkuras ģimenes ārsta vizītes laikā). Pēc plāna apstiprināšanas valdībā turpmākajos gados tiks veikti pasākumi </w:t>
      </w:r>
      <w:r w:rsidRPr="00FF2E0A">
        <w:t xml:space="preserve">sirds un asinsvadu veselības uzlabošanā, galvenokārt realizējot šādus uzdevumus: 1) sirds un asinsvadu slimību profilakses veicināšana un riska faktoru ietekmes mazināšana, 2) sirds un asinsvadu slimību veselības aprūpes pakalpojumu kvalitātes uzlabošana, 3) sirds un asinsvadu slimību veselības aprūpes sistēmas resursu pieejamības uzlabošana un 4) sirds un asinsvadu slimību monitoringa (darbības izvērtēšana) pilnveidošana. </w:t>
      </w:r>
    </w:p>
    <w:p w14:paraId="26A0EBD6" w14:textId="77777777" w:rsidR="00AB33D1" w:rsidRDefault="00AB33D1" w:rsidP="00642049">
      <w:pPr>
        <w:spacing w:before="120" w:after="0"/>
        <w:ind w:firstLine="720"/>
        <w:rPr>
          <w:szCs w:val="24"/>
        </w:rPr>
      </w:pPr>
      <w:r w:rsidRPr="00023250">
        <w:rPr>
          <w:szCs w:val="24"/>
          <w:u w:val="single"/>
        </w:rPr>
        <w:t>Primārās veselības aprūpes attīstība.</w:t>
      </w:r>
      <w:r w:rsidRPr="00023250">
        <w:rPr>
          <w:szCs w:val="24"/>
        </w:rPr>
        <w:t xml:space="preserve"> Pasākuma mērķis ir uzlabot primārās veselības aprūpes pieejamību, kvalitāti un aprūpes pēctecību, īpaši personām ar hroniskām saslimšanām,  un palielināt primārās veselības aprūpes lomu veselības veicināšanā un agrīnā slimību diagnostikā. Šī mērķa īstenošanai 2012.</w:t>
      </w:r>
      <w:r w:rsidRPr="000F0368">
        <w:rPr>
          <w:szCs w:val="24"/>
        </w:rPr>
        <w:t>gadā t</w:t>
      </w:r>
      <w:r w:rsidRPr="00FF2E0A">
        <w:rPr>
          <w:szCs w:val="24"/>
        </w:rPr>
        <w:t>urpināta otras māsas piesaistīšana ģimenes ārstu praksēm (pasākums uzsākts 2010.gadā), kuras galvenie uzdevumi ir aicināt pacientus uz profilaktiskajām apskatēm, izglītot ģimenes ārsta pacientus par veselīgu dzīves veidu, fiziskajām aktivitātēm, kā arī nodrošināt hronisko pacientu aprūpi un izglītošanu (apmācību) ģimenes ārsta praksē. Salīdzinājumā ar 2011.gadu ģimenes ārstu prakšu skaits, kurām ir piesaistīta otra māsa, 2012.gadā ir palielinājies par 5,8%, kopā sasniedzot 492 prakses, kas ir 34 % no kopējā ģimenes ārstu prakšu skaita, kuras sniedz valsts apmaksātos veselības aprūpes  pakalpojumus. Arī šogad un turpmākajos gados tiek plānots piesaistīt ģimenes ārstu praksēm otru māsu.</w:t>
      </w:r>
      <w:r>
        <w:rPr>
          <w:szCs w:val="24"/>
        </w:rPr>
        <w:t xml:space="preserve"> </w:t>
      </w:r>
    </w:p>
    <w:p w14:paraId="06844B42" w14:textId="77777777" w:rsidR="00AB33D1" w:rsidRPr="00FF2E0A" w:rsidRDefault="00AB33D1" w:rsidP="00642049">
      <w:pPr>
        <w:spacing w:before="120" w:after="0"/>
        <w:ind w:firstLine="720"/>
        <w:rPr>
          <w:szCs w:val="24"/>
        </w:rPr>
      </w:pPr>
      <w:r w:rsidRPr="00FF2E0A">
        <w:rPr>
          <w:szCs w:val="24"/>
        </w:rPr>
        <w:t xml:space="preserve">2012.gada 18.decembrī </w:t>
      </w:r>
      <w:r w:rsidR="00994F51">
        <w:rPr>
          <w:szCs w:val="24"/>
        </w:rPr>
        <w:t>MK</w:t>
      </w:r>
      <w:r w:rsidRPr="00FF2E0A">
        <w:rPr>
          <w:szCs w:val="24"/>
        </w:rPr>
        <w:t xml:space="preserve"> tika apstiprināti grozījumi noteikumos par veselības aprūpes finansēšanas un organizēšanas kārtību, iekļaujot jaunus obligātos ģimenes ārstu darba kvalitātes kritērijus, aizstājot līdzšinējo (obligāto un brīvprātīgo) darbības novērtēšanas sistēmu. Papildus līdzšinējiem kvalitātes izpildes kritērijiem noteikti jauni rādītāji, kas saistās ar hronisko pacientu veselības aprūpi, vēža profilaktisko pārbaužu veikšanu un ģimenes ārsta komandas pieejamības uzlabošanu pacientiem. Noteikts, ka ģimenes ārstu praksēm, kurās ir vairāk par 1800 reģistrētajiem pacientiem, nepieciešams obligāti piesaistīt otru māsu vai ārsta palīgu, tādējādi palielinot pakalpojumu pieejamību. Māsām vai ārsta palīgam atbilstoši kompetencei ir arī īpaši jākonsultē un jākomunicē ar praksē reģistrētajiem ar hroniskām slimībām slimojošiem pacientiem. Ģimenes ārstam uzlikts pienākums vienas darba dienas laikā sazināties ar pacientu, kurš izsaucis neatliekamo medicīnisko palīdzību un nav </w:t>
      </w:r>
      <w:proofErr w:type="spellStart"/>
      <w:r w:rsidRPr="00FF2E0A">
        <w:rPr>
          <w:szCs w:val="24"/>
        </w:rPr>
        <w:t>stacionēts</w:t>
      </w:r>
      <w:proofErr w:type="spellEnd"/>
      <w:r w:rsidRPr="00FF2E0A">
        <w:rPr>
          <w:szCs w:val="24"/>
        </w:rPr>
        <w:t>. Lai novērstu situāciju, ka pacients akūtos gadījumos ģimenes ārsta praksē var vērsties tikai noteiktā laikā, akūtie pacienti varēs saņemt ģimenes ārsta praksē palīdzību visā prakses darba laikā. Tāpat noteikumi papildināti ar punktu, kas nosaka, ka par savlaicīgi atklātu 1. vai 2. vēža stadiju ģimenes ārsta sarakstā reģistrētai personai, ģimenes ārsts saņems 50 latu piemaksu. Jaunie ģimenes ārstu darba novērtēšanas kvalitātes kritēriji stājās spēkā ar 2013.gada 1.janvāri, izņemot atsevišķus kritērijus, kuriem noteikts pārejas periods.</w:t>
      </w:r>
    </w:p>
    <w:p w14:paraId="1C47E6A4" w14:textId="77777777" w:rsidR="00AB33D1" w:rsidRPr="00FF2E0A" w:rsidRDefault="00AB33D1" w:rsidP="00642049">
      <w:pPr>
        <w:spacing w:before="120" w:after="0"/>
        <w:ind w:firstLine="720"/>
        <w:rPr>
          <w:szCs w:val="24"/>
        </w:rPr>
      </w:pPr>
      <w:r w:rsidRPr="00FF2E0A">
        <w:rPr>
          <w:szCs w:val="24"/>
        </w:rPr>
        <w:t>No 2011.gada 1.maija Latvijas iedzīvotājiem tiek nodrošināts jauns pakalpojums - Ģimenes ārstu konsultatīvais tālrunis 66016001, kas ieviests ar mērķi nodrošināt iedzīvotājiem iespēju ārpus ģimenes ārsta pieņemšanas laika iegūt sev nepieciešamo medicīnisko konsultāciju akūtu saslimšanu un hronisku slimību paasinājumu gadījumos, tādējādi mazinot sekundāro izsaukumu skaitu uz Neatliekamā medicīniskās palīdzības dienestu, kas ir specializēts 24 stundu resurss cilvēku dzīvību glābšanai. 2012.gadā uz ģimenes ārstu konsultatīvo tālruni saņemti 54 304 zvani, kas ir 90,5% no 2012.gadam plānotā rādītāja (60 000). 2011.gadā mēnesī uz šo telefonu vidēji tika saņemti 1 890 zvani. 2012.gada vidējais zvanu skaits mēnesī bija 4 525, tātad vidējais zvanu skaits mēnesī ir pieaudzis vidēji 2 reizes.</w:t>
      </w:r>
    </w:p>
    <w:p w14:paraId="0D67D5E2" w14:textId="77777777" w:rsidR="00AB33D1" w:rsidRPr="00023250" w:rsidRDefault="00AB33D1" w:rsidP="00642049">
      <w:pPr>
        <w:spacing w:before="120" w:after="0"/>
        <w:ind w:firstLine="720"/>
        <w:rPr>
          <w:szCs w:val="24"/>
        </w:rPr>
      </w:pPr>
      <w:r w:rsidRPr="00FF2E0A">
        <w:rPr>
          <w:szCs w:val="24"/>
        </w:rPr>
        <w:lastRenderedPageBreak/>
        <w:t xml:space="preserve">2013.gadā ir uzsākts darbs pie </w:t>
      </w:r>
      <w:r w:rsidRPr="00023250">
        <w:rPr>
          <w:szCs w:val="24"/>
        </w:rPr>
        <w:t>Primārās veselības aprūpes attīstības plāna 2014.-2016.gadam izstrādes, lai stiprinātu primāro veselības aprūpi kā efektīvāko un visaptverošāko veselības aprūpes līmeni, palielinātu primārās veselības aprūpes lomu profilaksē, diagnostikā un ārstēšanā, kā arī uzlabotu primārās veselības aprūpes kvalitāti. Tāpat plānots izstrādāt priekšlikumus, lai primārās veselības aprūpes ietvaros piesaistītu farmaceitiskās aprūpes speciālistus veselīga dzīvesveida, fizisko aktivitāšu popularizēšanā, sabiedrības izglītošanā, hronisko pacientu pareizas zāļu lietošanas uzraudzībā.</w:t>
      </w:r>
    </w:p>
    <w:p w14:paraId="6384EA55" w14:textId="77777777" w:rsidR="00AB33D1" w:rsidRPr="00FF2E0A" w:rsidRDefault="00AB33D1" w:rsidP="00642049">
      <w:pPr>
        <w:spacing w:before="120" w:after="0"/>
        <w:ind w:firstLine="720"/>
        <w:rPr>
          <w:szCs w:val="24"/>
        </w:rPr>
      </w:pPr>
      <w:r w:rsidRPr="00023250">
        <w:rPr>
          <w:szCs w:val="24"/>
          <w:u w:val="single"/>
        </w:rPr>
        <w:t>Ambulatoro garīgās veselības pakalpojumu attīstība.</w:t>
      </w:r>
      <w:r w:rsidRPr="00023250">
        <w:rPr>
          <w:szCs w:val="24"/>
        </w:rPr>
        <w:t xml:space="preserve"> </w:t>
      </w:r>
      <w:r w:rsidRPr="00FF2E0A">
        <w:rPr>
          <w:szCs w:val="24"/>
        </w:rPr>
        <w:t xml:space="preserve">Pasākuma mērķis ir uzlabot personu ar psihiskiem un uzvedības traucējumiem integrāciju sabiedrībā,  attīstot ambulatoros  garīgās veselības aprūpes pakalpojumus. Lai sniegtu atbalstu iedzīvotājiem situācijā, kas Latvijā izveidojās finanšu un ekonomiskās krīzes rezultātā, kā arī vairāku nozaru strukturālo reformu rezultātā, </w:t>
      </w:r>
      <w:r w:rsidR="00A06AAE">
        <w:rPr>
          <w:szCs w:val="24"/>
        </w:rPr>
        <w:t>MK</w:t>
      </w:r>
      <w:r w:rsidRPr="00FF2E0A">
        <w:rPr>
          <w:szCs w:val="24"/>
        </w:rPr>
        <w:t xml:space="preserve"> 2009.gada 8.septembrī tika apstiprināta Sociālās drošības tīkla stratēģija kuras ietvaros sākot ar 2009.gada 1.oktobri tika uzsākta ārkārtas drošības pasākumu ieviešana labklājības, izglītības un pārvadājumu jomās, kā arī veselības aprūpes jomā. Viens no uzsāktajiem pasākumiem Stratēģijas ietvaros veselības aprūpes jomā bija tieši psihiatrijas profila dienas stacionāru attīstība. Dienas stacionāra pakalpojums ir vērsts uz ambulatorās veselības aprūpes pakalpojumu sistēmas attīstību, ko pacientam var nodrošināt pēc iespējas tuvāk dzīvesvietai, kas īpaši trūcīgajām personām ir būtisks faktors, piemēram, no ceļa izdevumu un uzturēšanās slimnīcā izmaksu viedokļa. Psihiatrijas profila dienas stacionāru pakalpojumi ļauj saīsināt ārstēšanās ilgumu diennakts stacionāros, novērst nevajadzīgas hospitalizācijas, veicina pacientu ātrāku atlabšanu pēc izrakstīšanās no diennakts stacionāra, nodrošina rehabilitāciju un remisijas perioda nostabilizēšanu, sekmē pacienta integrēšanos sabiedrībā. No Stratēģijas līdzekļiem 2012.gadā tika nodrošināta 2 066 unikālo pacientu ar garīgiem traucējumiem aprūpe dienas centros, kas veido 93,9% no plānotā unikālo pacientu skaita gadam (2 200 pacienti) un kas ir par 17,7% vairāk nekā 2011.gadā. Dienas stacionāra pakalpojumu personām ar garīgām saslimšanām apjoma palielināšanās skaidrojama ar to, ka valstī kopumā tiek attīsta ambulatorā aprūpe, tai skaitā dienas stacionāru pakalpojumi. Ir palielinājies informētības un izpratnes līmenis gan pacientiem, gan viņu tuviniekiem, gan arī ārstniecības personām par šo pakalpojumu.</w:t>
      </w:r>
      <w:r>
        <w:rPr>
          <w:szCs w:val="24"/>
        </w:rPr>
        <w:t xml:space="preserve"> </w:t>
      </w:r>
      <w:r w:rsidRPr="00FF2E0A">
        <w:rPr>
          <w:szCs w:val="24"/>
        </w:rPr>
        <w:t>Laika posmā 2014.-2016.gadam tiek plānota turpmāka ambulatoro garīgās veselības aprūpes pakalpojumu attīstība, kas ir arī viena no Nacionālā attīstības plāna 2014.-2020.gadam rīcības virziena „Vesels un darbspējīgs cilvēks” uzdevuma „Veselības aprūpes pakalpojumu kvalitātes uzlabošana, plānošana un koordinēšana” ietvaros paredzētajām darbībām, konkrēti – ambulatoro garīgās veselības centru attīstība.</w:t>
      </w:r>
    </w:p>
    <w:p w14:paraId="7D1EB7A9" w14:textId="04B2438E" w:rsidR="00AA6960" w:rsidRPr="00AA6960" w:rsidRDefault="00AB33D1" w:rsidP="00AA6960">
      <w:pPr>
        <w:spacing w:before="120"/>
        <w:ind w:firstLine="720"/>
        <w:rPr>
          <w:color w:val="FF0000"/>
          <w:szCs w:val="24"/>
        </w:rPr>
      </w:pPr>
      <w:r w:rsidRPr="00C561F4">
        <w:rPr>
          <w:szCs w:val="24"/>
          <w:u w:val="single"/>
        </w:rPr>
        <w:t>Stacionāro veselības aprūpes iestāžu efektivitātes pilnveidošana.</w:t>
      </w:r>
      <w:r w:rsidRPr="00FF2E0A">
        <w:rPr>
          <w:szCs w:val="24"/>
        </w:rPr>
        <w:t xml:space="preserve"> Pasākuma mērķis ir uzlabot slimnīcās sniegto veselības aprūpes pakalpojumu kvalitāti, drošību un efektivitāti. Lai veicinātu veselības aprūpes resursu efektīvu izlietošanu, 2012.gadā tika uzsākta pacientu novērošanas pakalpojumu attīstīšana slimnīcās - kopš 2012.gada universitāšu un daudzprofilu slimnīcas saņem papildu maksājumu par slimnieku ārstēšanu un novērošanu uzņemšanas nodaļā līdz 24 stundām, lai novērtētu pacienta veselības stāvokli un hospitalizācijas nepieciešamību. Lai pilnveidotu veselības aprūpes pakalpojumu apmaksas sistēmu un uzlabotu stacionāro veselības aprūpes iestāžu darbības efektivitāti, pakāpeniski Latvijā tiek plānots ieviest DRG (</w:t>
      </w:r>
      <w:proofErr w:type="spellStart"/>
      <w:r w:rsidRPr="001E7628">
        <w:rPr>
          <w:i/>
          <w:szCs w:val="24"/>
        </w:rPr>
        <w:t>diagnosis</w:t>
      </w:r>
      <w:proofErr w:type="spellEnd"/>
      <w:r w:rsidRPr="001E7628">
        <w:rPr>
          <w:i/>
          <w:szCs w:val="24"/>
        </w:rPr>
        <w:t xml:space="preserve"> </w:t>
      </w:r>
      <w:proofErr w:type="spellStart"/>
      <w:r w:rsidRPr="001E7628">
        <w:rPr>
          <w:i/>
          <w:szCs w:val="24"/>
        </w:rPr>
        <w:t>related</w:t>
      </w:r>
      <w:proofErr w:type="spellEnd"/>
      <w:r w:rsidRPr="001E7628">
        <w:rPr>
          <w:i/>
          <w:szCs w:val="24"/>
        </w:rPr>
        <w:t xml:space="preserve"> </w:t>
      </w:r>
      <w:proofErr w:type="spellStart"/>
      <w:r w:rsidRPr="001E7628">
        <w:rPr>
          <w:i/>
          <w:szCs w:val="24"/>
        </w:rPr>
        <w:t>groups</w:t>
      </w:r>
      <w:proofErr w:type="spellEnd"/>
      <w:r w:rsidRPr="00FF2E0A">
        <w:rPr>
          <w:szCs w:val="24"/>
        </w:rPr>
        <w:t>) sistēmu. DRG ir detalizēta, diagnozēm piesaistīta veselības aprūpes pakalpojumu uzskaites un apmaksas sistēma, kura tiek izmantota, lai varētu veikt uzskaiti un apmaksu par pacientiem sniegtajiem valsts apmaksātajiem veselības aprūpes pakalpojumiem slimnīcas stacionārā. Tāpat tiek plānots stacionāro veselības aprūpes iestāžu efektivitātes pilnveidošanai izveidot pēc vienotiem principiem veidotu kvalitātes vadības sistēmu, uzlabojot veselības aprūpes pakalpojumu kvalitāti, pieejamību un drošumu.</w:t>
      </w:r>
    </w:p>
    <w:p w14:paraId="1E78C71B" w14:textId="4CA8EB2E" w:rsidR="002A63FE" w:rsidRPr="0029395A" w:rsidRDefault="00AB33D1" w:rsidP="00AA6960">
      <w:pPr>
        <w:rPr>
          <w:highlight w:val="yellow"/>
        </w:rPr>
      </w:pPr>
      <w:r w:rsidRPr="00BF5B35">
        <w:rPr>
          <w:u w:val="single"/>
        </w:rPr>
        <w:lastRenderedPageBreak/>
        <w:t>Veselības aprūpes sistēmas stiprināšana.</w:t>
      </w:r>
      <w:r w:rsidRPr="00BF5B35">
        <w:rPr>
          <w:b/>
        </w:rPr>
        <w:t xml:space="preserve"> </w:t>
      </w:r>
      <w:r w:rsidR="002A63FE" w:rsidRPr="00BF5B35">
        <w:t xml:space="preserve">2013.gada 16.aprīlī </w:t>
      </w:r>
      <w:r w:rsidR="005342B6" w:rsidRPr="00BF5B35">
        <w:t>MK</w:t>
      </w:r>
      <w:r w:rsidR="002A63FE" w:rsidRPr="00BF5B35">
        <w:t xml:space="preserve"> sēdē apstiprināts Veselības ministrijas izstrādātais koncepcijas projekts par veselības aprūpes sistēmas finansēšanas modeli, kas paredz Latvijā izveidot jaunu veselības aprūpes finansēšanas sistēmu, ieviešot valsts veselības obligāto apdrošināšanu. Koncepcijas galvenie mērķi ir 1) sasaistīt plānveida veselības aprūpes saņemšanu ar „</w:t>
      </w:r>
      <w:r w:rsidR="002A63FE" w:rsidRPr="00FA39EE">
        <w:t xml:space="preserve">veselības nodokļa” nomaksu, 2) finanšu līdzekļu un veselības aprūpes pakalpojumu apjoma palielināšana un pieejamības uzlabošana, pakāpeniski sasniedzot veselības aprūpes valsts budžetu 4,5% no IKP </w:t>
      </w:r>
      <w:r w:rsidR="00BF5B35" w:rsidRPr="00FA39EE">
        <w:t xml:space="preserve">apmērā </w:t>
      </w:r>
      <w:r w:rsidR="002A63FE" w:rsidRPr="00FA39EE">
        <w:t xml:space="preserve">vēlākais līdz 2020.gadam </w:t>
      </w:r>
      <w:r w:rsidR="002A63FE" w:rsidRPr="00FA39EE">
        <w:rPr>
          <w:color w:val="000000" w:themeColor="text1"/>
        </w:rPr>
        <w:t>(2014.gadā – 3</w:t>
      </w:r>
      <w:r w:rsidR="00675C88" w:rsidRPr="00FA39EE">
        <w:rPr>
          <w:szCs w:val="24"/>
        </w:rPr>
        <w:t>,</w:t>
      </w:r>
      <w:r w:rsidR="002A63FE" w:rsidRPr="00FA39EE">
        <w:rPr>
          <w:color w:val="000000" w:themeColor="text1"/>
        </w:rPr>
        <w:t>3%, 2015. – 3</w:t>
      </w:r>
      <w:r w:rsidR="00675C88" w:rsidRPr="00FA39EE">
        <w:rPr>
          <w:szCs w:val="24"/>
        </w:rPr>
        <w:t>,</w:t>
      </w:r>
      <w:r w:rsidR="002A63FE" w:rsidRPr="00FA39EE">
        <w:rPr>
          <w:color w:val="000000" w:themeColor="text1"/>
        </w:rPr>
        <w:t>5%, 2016. – 3</w:t>
      </w:r>
      <w:r w:rsidR="00675C88" w:rsidRPr="00FA39EE">
        <w:rPr>
          <w:szCs w:val="24"/>
        </w:rPr>
        <w:t>,</w:t>
      </w:r>
      <w:r w:rsidR="002A63FE" w:rsidRPr="00FA39EE">
        <w:rPr>
          <w:color w:val="000000" w:themeColor="text1"/>
        </w:rPr>
        <w:t xml:space="preserve">7%) </w:t>
      </w:r>
      <w:r w:rsidR="002A63FE" w:rsidRPr="00FA39EE">
        <w:t xml:space="preserve">3) ilgtspējīgas veselības aprūpes finanšu sistēmas izveide, tās </w:t>
      </w:r>
      <w:proofErr w:type="spellStart"/>
      <w:r w:rsidR="002A63FE" w:rsidRPr="00FA39EE">
        <w:t>paredzamība</w:t>
      </w:r>
      <w:proofErr w:type="spellEnd"/>
      <w:r w:rsidR="002A63FE" w:rsidRPr="00FA39EE">
        <w:t xml:space="preserve"> un stabilitāte. </w:t>
      </w:r>
      <w:r w:rsidR="00BF5B35" w:rsidRPr="00FA39EE">
        <w:rPr>
          <w:szCs w:val="24"/>
        </w:rPr>
        <w:t xml:space="preserve">Koncepcijā paredzētā veselības aprūpes budžeta apmēra nodrošināšanas iespējas tiks </w:t>
      </w:r>
      <w:r w:rsidR="00BF5B35" w:rsidRPr="00FA39EE">
        <w:rPr>
          <w:color w:val="000000" w:themeColor="text1"/>
        </w:rPr>
        <w:t xml:space="preserve">skatītas </w:t>
      </w:r>
      <w:r w:rsidR="00BF5B35" w:rsidRPr="00FA39EE">
        <w:rPr>
          <w:color w:val="000000" w:themeColor="text1"/>
          <w:szCs w:val="24"/>
        </w:rPr>
        <w:t>likumprojekta „Par vidēja termiņa budžeta ietvaru 2014., 2015., un 2016.gadam” un likumprojekta „Par valsts budžetu 2014.gadam” sagatavošanas procesā kopā ar visu</w:t>
      </w:r>
      <w:r w:rsidR="005D22CF" w:rsidRPr="00FA39EE">
        <w:rPr>
          <w:color w:val="000000" w:themeColor="text1"/>
          <w:szCs w:val="24"/>
        </w:rPr>
        <w:t xml:space="preserve"> nozaru</w:t>
      </w:r>
      <w:r w:rsidR="00BF5B35" w:rsidRPr="00FA39EE">
        <w:rPr>
          <w:color w:val="000000" w:themeColor="text1"/>
          <w:szCs w:val="24"/>
        </w:rPr>
        <w:t xml:space="preserve"> ministriju un citu centrālo valsts iestāžu jaunās politikas iniciatīvu pieteikumiem, ņemot vērā</w:t>
      </w:r>
      <w:r w:rsidR="005D22CF" w:rsidRPr="00FA39EE">
        <w:rPr>
          <w:color w:val="000000" w:themeColor="text1"/>
          <w:szCs w:val="24"/>
        </w:rPr>
        <w:t xml:space="preserve"> budžeta</w:t>
      </w:r>
      <w:r w:rsidR="00BF5B35" w:rsidRPr="00FA39EE">
        <w:rPr>
          <w:color w:val="000000" w:themeColor="text1"/>
          <w:szCs w:val="24"/>
        </w:rPr>
        <w:t xml:space="preserve"> fiskālās </w:t>
      </w:r>
      <w:r w:rsidR="005D22CF" w:rsidRPr="00FA39EE">
        <w:rPr>
          <w:color w:val="000000" w:themeColor="text1"/>
          <w:szCs w:val="24"/>
        </w:rPr>
        <w:t>iespējas</w:t>
      </w:r>
      <w:r w:rsidR="00BF5B35" w:rsidRPr="00FA39EE">
        <w:rPr>
          <w:color w:val="000000" w:themeColor="text1"/>
          <w:szCs w:val="24"/>
        </w:rPr>
        <w:t>.</w:t>
      </w:r>
      <w:r w:rsidR="00BF5B35" w:rsidRPr="00FA39EE">
        <w:rPr>
          <w:color w:val="000000" w:themeColor="text1"/>
        </w:rPr>
        <w:t xml:space="preserve"> </w:t>
      </w:r>
      <w:r w:rsidR="002A63FE" w:rsidRPr="00FA39EE">
        <w:t xml:space="preserve">Jauno veselības aprūpes finansēšanas modeli paredzēts ieviest no 2014.gada otrā pusgada, nepalielinot nodokļu slogu iedzīvotājiem, jo valsts veselības apdrošināšanas obligātās iemaksas plānots nodalīt no šobrīd spēkā esošās </w:t>
      </w:r>
      <w:r w:rsidR="002A63FE" w:rsidRPr="00FA39EE">
        <w:rPr>
          <w:szCs w:val="24"/>
        </w:rPr>
        <w:t>iedzīvotāju ienākuma nodokļa likmes</w:t>
      </w:r>
      <w:r w:rsidR="00BF5B35" w:rsidRPr="00FA39EE">
        <w:t>,</w:t>
      </w:r>
      <w:r w:rsidR="00BF5B35" w:rsidRPr="00FA39EE">
        <w:rPr>
          <w:szCs w:val="24"/>
        </w:rPr>
        <w:t xml:space="preserve"> mazinot negatīvo ietekmi uz pašvaldību budžetu,</w:t>
      </w:r>
      <w:r w:rsidR="002A63FE" w:rsidRPr="00FA39EE">
        <w:t xml:space="preserve"> un tās tiks precizētas likuma izstrādes laikā. Pakāpeniski sasniedzot veselības aprūpes valsts budžetu 4</w:t>
      </w:r>
      <w:r w:rsidR="002A63FE" w:rsidRPr="00BF5B35">
        <w:t>,5% apmērā no IKP, būs iespējams palielināt veselības aprūpes apjoma ietvaru – palielināt no valsts budžeta apmaksājamo ambulatoro apmeklējumu skaitu, laboratorisko izmeklējumu skaitu, mazināt veselības aprūpes pakalpojuma gaidīšanas laiku, uzlabot kompensējamo medikamentu pieejamību, tai skaitā arī palielināt veselības aprūpes sistēmā strādājošā ārstniecības personāla atalgojumu.</w:t>
      </w:r>
    </w:p>
    <w:p w14:paraId="1A7B2244" w14:textId="77777777" w:rsidR="00AB33D1" w:rsidRPr="00945BAD" w:rsidRDefault="00AB33D1" w:rsidP="00AB33D1">
      <w:pPr>
        <w:pStyle w:val="H3"/>
        <w:spacing w:before="360" w:after="0"/>
        <w:ind w:left="0" w:firstLine="567"/>
        <w:rPr>
          <w:rFonts w:ascii="Times New Roman" w:hAnsi="Times New Roman"/>
          <w:sz w:val="32"/>
          <w:szCs w:val="32"/>
        </w:rPr>
      </w:pPr>
      <w:bookmarkStart w:id="27" w:name="_Toc354671219"/>
      <w:r w:rsidRPr="00945BAD">
        <w:rPr>
          <w:rFonts w:ascii="Times New Roman" w:hAnsi="Times New Roman"/>
          <w:sz w:val="32"/>
          <w:szCs w:val="32"/>
        </w:rPr>
        <w:t>3.5. Izglītība un zinātne</w:t>
      </w:r>
      <w:bookmarkEnd w:id="27"/>
    </w:p>
    <w:p w14:paraId="00DE3AD0" w14:textId="77777777" w:rsidR="00AB33D1" w:rsidRPr="00FF2E0A" w:rsidRDefault="00AB33D1" w:rsidP="00642049">
      <w:pPr>
        <w:spacing w:before="120" w:after="0"/>
        <w:rPr>
          <w:szCs w:val="24"/>
        </w:rPr>
      </w:pPr>
      <w:r w:rsidRPr="00FF2E0A">
        <w:rPr>
          <w:u w:val="single"/>
        </w:rPr>
        <w:t>Pamata un vidējās izglītības pieejamības nodrošināšana</w:t>
      </w:r>
      <w:r w:rsidRPr="00FF2E0A">
        <w:t xml:space="preserve">. </w:t>
      </w:r>
      <w:r w:rsidRPr="00FF2E0A">
        <w:rPr>
          <w:szCs w:val="24"/>
        </w:rPr>
        <w:t>Kopš 2011.gada februāra valstī ir noteikta vienota kārtība, kādā izglītības iestāde informē izglītojamo vecākus, pašvaldības vai valsts iestādes, ja izglītojamais bez attaisnojoša iemesla neapmeklē izglītības iestādi. 2012.gada februārī stājās spēkā kārtība, kādā izglītojamie tiek uzņemti vispārējās izglītības iestādēs un atskaitīti no tām (izņemot internātskolas un speciālās izglītības iestādes). Kārtība nosaka obligātus atbalsta pasākumus skolēniem, kuriem ir grūtības mācībās, lai skolēnu atstāšana uz otru gadu notiktu tikai īpašos gadījumos. 2011./2012.mācību gadā otrgadnieku īpatsvars dienas skolās ir samazinājies no 2,5% līdz 1,7%, salīdzinot ar iepriekšējo mācību gadu.</w:t>
      </w:r>
    </w:p>
    <w:p w14:paraId="6882E233" w14:textId="5D4A786B" w:rsidR="00AB33D1" w:rsidRPr="00FF2E0A" w:rsidRDefault="00945BAD" w:rsidP="00AB33D1">
      <w:pPr>
        <w:tabs>
          <w:tab w:val="left" w:pos="709"/>
          <w:tab w:val="left" w:pos="1276"/>
        </w:tabs>
        <w:spacing w:before="120" w:after="0"/>
        <w:ind w:firstLine="0"/>
      </w:pPr>
      <w:r>
        <w:tab/>
      </w:r>
      <w:r w:rsidR="00AB33D1" w:rsidRPr="00FF2E0A">
        <w:rPr>
          <w:u w:val="single"/>
        </w:rPr>
        <w:t>Strukturālās izmaiņas profesionālajā izglītībā</w:t>
      </w:r>
      <w:r w:rsidR="00AB33D1" w:rsidRPr="00FF2E0A">
        <w:t xml:space="preserve">. Mērķis ir paaugstināt profesionālās izglītības kvalitāti, nodrošinot tās atbilstību darba tirgus prasībām, sekmēt pieejamo resursu efektīvāku izmantošanu, kā arī vairot profesionālās izglītības pievilcību, iesaistot profesionālajā izglītībā arvien vairāk audzēkņu pēc pamatskolas beigšanas. Lai modernizētu profesionālās izglītības iestāžu infrastruktūru un mācību aprīkojumu, </w:t>
      </w:r>
      <w:r w:rsidR="009C1845">
        <w:t>E</w:t>
      </w:r>
      <w:r w:rsidR="00AB33D1" w:rsidRPr="00FF2E0A">
        <w:t xml:space="preserve">RAF </w:t>
      </w:r>
      <w:r w:rsidR="00AB33D1" w:rsidRPr="00FF2E0A">
        <w:rPr>
          <w:szCs w:val="24"/>
        </w:rPr>
        <w:t xml:space="preserve">pirmās projektu iesniegumu atlases kārtas </w:t>
      </w:r>
      <w:r w:rsidR="00AB33D1" w:rsidRPr="00FF2E0A">
        <w:rPr>
          <w:bCs/>
          <w:szCs w:val="24"/>
        </w:rPr>
        <w:t xml:space="preserve">ietvaros </w:t>
      </w:r>
      <w:r w:rsidR="00AB33D1" w:rsidRPr="00FF2E0A">
        <w:t xml:space="preserve">ir pabeigta 4 profesionālās izglītības iestāžu projektu īstenošana un </w:t>
      </w:r>
      <w:r w:rsidR="00AB33D1" w:rsidRPr="00FF2E0A">
        <w:rPr>
          <w:szCs w:val="24"/>
        </w:rPr>
        <w:t>līdz 2013.gada 31.decembrim</w:t>
      </w:r>
      <w:r w:rsidR="00AB33D1" w:rsidRPr="00FF2E0A">
        <w:rPr>
          <w:rFonts w:eastAsia="Calibri"/>
          <w:szCs w:val="24"/>
        </w:rPr>
        <w:t xml:space="preserve"> tiek t</w:t>
      </w:r>
      <w:r w:rsidR="00AB33D1" w:rsidRPr="00FF2E0A">
        <w:rPr>
          <w:szCs w:val="24"/>
        </w:rPr>
        <w:t>urpināta 11 profesionālās izglītības iestādēs uzsākto projektu īstenošana. Tiek organizēts darbs arī ar 11 profesionālās izglītības iestādēm, kuras ir kvalificējušās atbalsta saņemšanai</w:t>
      </w:r>
      <w:r w:rsidR="00AB33D1" w:rsidRPr="00FF2E0A">
        <w:rPr>
          <w:bCs/>
          <w:szCs w:val="24"/>
        </w:rPr>
        <w:t xml:space="preserve"> otrās projektu iesniegumu atlases kārtas ietvaros, lai</w:t>
      </w:r>
      <w:r w:rsidR="00AB33D1" w:rsidRPr="00FF2E0A">
        <w:rPr>
          <w:szCs w:val="24"/>
        </w:rPr>
        <w:t xml:space="preserve"> nodrošinātu infrastruktūras pilnīgu modernizēšanu profesionālās izglītības iestāžu īstenoto profesionālās izglītības programmu prioritārajās izglītības tematiskajās jomās vai programmu grupās.</w:t>
      </w:r>
      <w:r w:rsidR="00AB33D1" w:rsidRPr="00FF2E0A">
        <w:t xml:space="preserve"> </w:t>
      </w:r>
      <w:r w:rsidR="00AB33D1" w:rsidRPr="00FF2E0A">
        <w:rPr>
          <w:rFonts w:eastAsia="Calibri"/>
          <w:szCs w:val="24"/>
        </w:rPr>
        <w:t>Tiek radīti priekšnoteikumi profesionālās izglītības iestāžu nodošanai pašvaldībām.</w:t>
      </w:r>
      <w:r w:rsidR="00AB33D1" w:rsidRPr="00FF2E0A">
        <w:rPr>
          <w:szCs w:val="24"/>
        </w:rPr>
        <w:t xml:space="preserve"> </w:t>
      </w:r>
      <w:r w:rsidR="00AB33D1" w:rsidRPr="00FF2E0A">
        <w:rPr>
          <w:rFonts w:eastAsia="Calibri"/>
          <w:bCs/>
          <w:szCs w:val="24"/>
        </w:rPr>
        <w:t xml:space="preserve">Līdz 2013.gada 1.septembrim plānots nodot pašvaldībām 3 valsts profesionālās izglītības iestādes un līdz 2015.gada 31.decembrim plānots pašvaldībām nodot vēl 8 profesionālās izglītības iestādes. </w:t>
      </w:r>
      <w:r w:rsidR="00AB33D1" w:rsidRPr="00FF2E0A">
        <w:rPr>
          <w:szCs w:val="24"/>
        </w:rPr>
        <w:t>Lai izglītojamie varētu iegūt profesionālo izglītību iespējami tuvu dzīves vietai, vietējie sociālie partneri aktīvi iesaistī</w:t>
      </w:r>
      <w:r w:rsidR="009C1845">
        <w:rPr>
          <w:szCs w:val="24"/>
        </w:rPr>
        <w:t>s</w:t>
      </w:r>
      <w:r w:rsidR="00AB33D1" w:rsidRPr="00FF2E0A">
        <w:rPr>
          <w:szCs w:val="24"/>
        </w:rPr>
        <w:t xml:space="preserve">ies darba tirgum nepieciešamo speciālistu </w:t>
      </w:r>
      <w:r w:rsidR="00AB33D1" w:rsidRPr="00FF2E0A">
        <w:rPr>
          <w:szCs w:val="24"/>
        </w:rPr>
        <w:lastRenderedPageBreak/>
        <w:t xml:space="preserve">sagatavošanā, bet pašvaldības patstāvīgi varētu plānot visa veida izglītības iestāžu konsolidāciju pašvaldības administratīvajā teritorijā, ministrija uzskata, ka pašvaldībām jānodod 11 nelielās (300 vai mazāk izglītojamie) profesionālās izglītības iestādes. Tā rezultātā izglītojamajiem būtu dota iespēja vienuviet apgūt gan vispārizglītojošās, gan profesionālās izglītības programmas, t.sk. profesionālās tālākizglītības un profesionālās pilnveides izglītības programmas, nodrošinot visa veida izglītības iestāžu infrastruktūras un mācību aprīkojuma racionālu un efektīvu izmantošanu, bet pedagogiem saglabāt nedēļas darba slodzi. No šī tipa profesionālās izglītības iestādēm līdz 2013.gada 1.septembrim </w:t>
      </w:r>
      <w:r w:rsidR="00D2441D" w:rsidRPr="00FF2E0A">
        <w:rPr>
          <w:szCs w:val="24"/>
        </w:rPr>
        <w:t xml:space="preserve">plānots </w:t>
      </w:r>
      <w:r w:rsidR="00AB33D1" w:rsidRPr="00FF2E0A">
        <w:rPr>
          <w:szCs w:val="24"/>
        </w:rPr>
        <w:t xml:space="preserve">pašvaldībām nodot </w:t>
      </w:r>
      <w:r w:rsidR="00D2441D">
        <w:rPr>
          <w:szCs w:val="24"/>
        </w:rPr>
        <w:t xml:space="preserve">attiecīgās </w:t>
      </w:r>
      <w:r w:rsidR="00AB33D1" w:rsidRPr="00FF2E0A">
        <w:rPr>
          <w:szCs w:val="24"/>
        </w:rPr>
        <w:t>ERAF darbības programmas projektu īstenošanā iesaistītās pr</w:t>
      </w:r>
      <w:r w:rsidR="00AB33D1">
        <w:rPr>
          <w:szCs w:val="24"/>
        </w:rPr>
        <w:t>ofesionālās izglītības iestādes.</w:t>
      </w:r>
    </w:p>
    <w:p w14:paraId="002CB7EB" w14:textId="77777777" w:rsidR="00AB33D1" w:rsidRPr="00FF2E0A" w:rsidRDefault="00AB33D1" w:rsidP="00642049">
      <w:pPr>
        <w:autoSpaceDE w:val="0"/>
        <w:autoSpaceDN w:val="0"/>
        <w:adjustRightInd w:val="0"/>
        <w:spacing w:before="120" w:after="0"/>
        <w:ind w:firstLine="720"/>
        <w:rPr>
          <w:szCs w:val="24"/>
        </w:rPr>
      </w:pPr>
      <w:r w:rsidRPr="00FF2E0A">
        <w:rPr>
          <w:u w:val="single"/>
        </w:rPr>
        <w:t>Augstākās izglītības modernizācija</w:t>
      </w:r>
      <w:r w:rsidRPr="00FF2E0A">
        <w:t xml:space="preserve">. </w:t>
      </w:r>
      <w:r w:rsidRPr="00FF2E0A">
        <w:rPr>
          <w:szCs w:val="24"/>
        </w:rPr>
        <w:t>Pasākuma galvenais mērķis - nodrošināt kvalitatīvu, starptautiski konkurētspējīgu un zinātnē balstītu augstāko izglītību, ko īsteno efektīvi pārvaldītas institūcijas ar konsolidētiem resursiem. Turpinās uzsāktās reformas augstākās izglītības jomā saskaņā ar Latvijas attīstības plānošanas dokumentos noteiktajiem uzdevumiem augstākās izglītības un zinātnes jomā. Studiju programmu izvērtēšanas rezultātā līdz 2013.gada jūlijam tiks sagatavoti ekspertu ieteikumi turpmākai studiju programmu pilnveidei, uzlabošanai, attīstībai, konsolidācijai, slēgšanai, starptautiskās konkurētspējas veicināšanai, resursu efektīvai izmantošanai un finansēšanai no valsts budžeta līdzekļiem, kā arī tiks sagatavotas rekomendācijas studiju programmu vērtēšanas un akreditācijas procesa pilnveidošanai, normatīvo aktu sistēmas uzlabošanai. Lai veicinātu augstākās izglītības konkurētspēju, līdz 2016.gadam tiks uzsākta atbalsta sniegšana ārvalstu pasniedzēju piesaistei, kā arī tiks veikti grozījumi Augstskolu likumā, nosakot jaunu augstskolu pārvaldības struktūru, kā arī tiks sniegts atbalsts materiāli tehniskās bāzes uzlabošanai</w:t>
      </w:r>
      <w:r>
        <w:rPr>
          <w:szCs w:val="24"/>
        </w:rPr>
        <w:t xml:space="preserve"> augstākās izglītības iestādēs, </w:t>
      </w:r>
      <w:r w:rsidRPr="00FF2E0A">
        <w:rPr>
          <w:szCs w:val="24"/>
        </w:rPr>
        <w:t>tādējādi turpinot investīcijas infrastruktūrā, lai studējošie apgūtu zināšanas un prasmes atbilstoši mainīgajām darba tirgus prasībām.</w:t>
      </w:r>
      <w:r>
        <w:rPr>
          <w:szCs w:val="24"/>
        </w:rPr>
        <w:t xml:space="preserve"> </w:t>
      </w:r>
      <w:r w:rsidRPr="00FF2E0A">
        <w:rPr>
          <w:szCs w:val="24"/>
        </w:rPr>
        <w:t>2012.gadā ir modernizēta infrastruktūra 14 augstākās izglītības iestādēs, kas īsteno prioritārās programmas, tiek turpināta materiāli tehniskās bāzes uzlabošana 17 augstākās izglītības iestādēs.</w:t>
      </w:r>
    </w:p>
    <w:p w14:paraId="4E9854D6" w14:textId="77777777" w:rsidR="0060396D" w:rsidRPr="00FF2E0A" w:rsidRDefault="0060396D" w:rsidP="0060396D">
      <w:pPr>
        <w:spacing w:before="120" w:after="0"/>
        <w:ind w:firstLine="720"/>
        <w:rPr>
          <w:szCs w:val="24"/>
        </w:rPr>
      </w:pPr>
      <w:r w:rsidRPr="00D86378">
        <w:rPr>
          <w:u w:val="single"/>
        </w:rPr>
        <w:t>Augstāko izglītību ieguvušo īpatsvara palielināšana</w:t>
      </w:r>
      <w:r w:rsidRPr="00D86378">
        <w:t>. Šī pasākuma m</w:t>
      </w:r>
      <w:r w:rsidRPr="00D86378">
        <w:rPr>
          <w:szCs w:val="24"/>
        </w:rPr>
        <w:t xml:space="preserve">ērķis ir veicināt maksimālu augstākās izglītības pieejamību, kā rezultātā no 2014.gada plānots sagatavot </w:t>
      </w:r>
      <w:r w:rsidR="003B4B8C" w:rsidRPr="00D86378">
        <w:rPr>
          <w:szCs w:val="24"/>
        </w:rPr>
        <w:t>ieviešanai</w:t>
      </w:r>
      <w:r w:rsidRPr="00D86378">
        <w:rPr>
          <w:szCs w:val="24"/>
        </w:rPr>
        <w:t xml:space="preserve"> principiāli jaunu augstākās izglītības finansēšanas modeli. Esošās augstākās izglītības sistēmas finansēšanas modeļa un alternatīvo </w:t>
      </w:r>
      <w:r w:rsidRPr="00431321">
        <w:rPr>
          <w:szCs w:val="24"/>
        </w:rPr>
        <w:t xml:space="preserve">variantu izpētes rezultātā iegūtie dati tiks izmantoti par pamatu jauna augstākās izglītības finansēšanas modeļa ieviešanai. Laika posmā no </w:t>
      </w:r>
      <w:r w:rsidRPr="00431321">
        <w:t>2014. - 2016.gadam plānots pāriet uz pilnīgu doktorantūras programmu finansēšanu no valsts budžeta</w:t>
      </w:r>
      <w:r w:rsidR="00AB5D6E" w:rsidRPr="00431321">
        <w:rPr>
          <w:szCs w:val="24"/>
        </w:rPr>
        <w:t xml:space="preserve">, taču papildus finansējuma piešķiršanas iespēja tiks skatīta </w:t>
      </w:r>
      <w:r w:rsidR="00BF5B35" w:rsidRPr="00431321">
        <w:rPr>
          <w:color w:val="000000" w:themeColor="text1"/>
          <w:szCs w:val="24"/>
        </w:rPr>
        <w:t>likumprojekta „Par vidēja termiņa budžeta ietvaru 2014., 2015., un 2016.gadam” un likumprojekta „Par valsts budžetu 2014.gadam” sagatavošanas procesā kopā ar visu ministriju un citu centrālo valsts iestāžu jaunās politikas iniciatīvu pieteikumiem</w:t>
      </w:r>
      <w:r w:rsidR="00BF5B35" w:rsidRPr="00431321">
        <w:rPr>
          <w:szCs w:val="24"/>
        </w:rPr>
        <w:t>.</w:t>
      </w:r>
      <w:r w:rsidRPr="00431321">
        <w:rPr>
          <w:szCs w:val="24"/>
        </w:rPr>
        <w:t xml:space="preserve"> Viens no </w:t>
      </w:r>
      <w:r w:rsidR="00BF5B35" w:rsidRPr="00431321">
        <w:rPr>
          <w:szCs w:val="24"/>
        </w:rPr>
        <w:t xml:space="preserve">Izglītības un zinātnes </w:t>
      </w:r>
      <w:r w:rsidRPr="00431321">
        <w:t>ministrijas</w:t>
      </w:r>
      <w:r w:rsidRPr="00431321">
        <w:rPr>
          <w:szCs w:val="24"/>
        </w:rPr>
        <w:t xml:space="preserve"> turpmāko gadu rīcības virzieniem būs saistīts ar studējošo atbiruma samazināšanu - tiks pētīti studiju pārtraukšanas galvenie iemesli un meklēti risinājumi, lai</w:t>
      </w:r>
      <w:r w:rsidRPr="00D86378">
        <w:rPr>
          <w:szCs w:val="24"/>
        </w:rPr>
        <w:t xml:space="preserve"> studijas pametušie pēc iespējas ātrāk atgrieztos augstskolā un turpinātu studijas.</w:t>
      </w:r>
    </w:p>
    <w:p w14:paraId="44FB84DD" w14:textId="1E6CCF5C" w:rsidR="00AB33D1" w:rsidRPr="00FF2E0A" w:rsidRDefault="00AB33D1" w:rsidP="00642049">
      <w:pPr>
        <w:spacing w:before="120" w:after="0"/>
        <w:ind w:firstLine="720"/>
        <w:rPr>
          <w:szCs w:val="24"/>
        </w:rPr>
      </w:pPr>
      <w:r w:rsidRPr="00FF2E0A">
        <w:rPr>
          <w:u w:val="single"/>
        </w:rPr>
        <w:t>Ārvalstu studentu piesaistīšana</w:t>
      </w:r>
      <w:r w:rsidRPr="00FF2E0A">
        <w:t xml:space="preserve">. </w:t>
      </w:r>
      <w:r w:rsidRPr="00FF2E0A">
        <w:rPr>
          <w:bCs/>
          <w:szCs w:val="24"/>
        </w:rPr>
        <w:t>T</w:t>
      </w:r>
      <w:r w:rsidRPr="00FF2E0A">
        <w:rPr>
          <w:szCs w:val="24"/>
        </w:rPr>
        <w:t xml:space="preserve">urpināsies pasākumu īstenošana augstākās izglītības eksportspējas paaugstināšanai, nodrošinot informatīvo atbalstu augstskolām, pilnveidojot normatīvo bāzi, kā arī motivējot augstskolas piedāvāt studiju programmas angļu un citās ES valodās. Vienlaikus plānots veikt grozījumus Augstskolu likumā, kas palielinās ES valodu lietojumu studiju programmu īstenošanas procesā. Lai veicinātu augstākās izglītības eksportspēju, līdz 2016.gadam tiks uzsākta atbalsta sniegšana jaunu studiju programmu izstrādei ES valodās, kā arī sniegts atbalsts studiju programmu starptautiskai publicitātei, izmantojot </w:t>
      </w:r>
      <w:r w:rsidR="009C1845">
        <w:rPr>
          <w:szCs w:val="24"/>
        </w:rPr>
        <w:t>E</w:t>
      </w:r>
      <w:r w:rsidRPr="00FF2E0A">
        <w:rPr>
          <w:szCs w:val="24"/>
        </w:rPr>
        <w:t xml:space="preserve">SF līdzekļus. 2013.gadā turpinās īstenot ES Mūžizglītības programmas ar mērķi sniegt atbalstu augstākās izglītības institūcijām un citām iesaistītajām pusēm Eiropas Vienotās </w:t>
      </w:r>
      <w:r w:rsidRPr="00FF2E0A">
        <w:rPr>
          <w:szCs w:val="24"/>
        </w:rPr>
        <w:lastRenderedPageBreak/>
        <w:t xml:space="preserve">augstākās izglītības telpas tālākā izveidē Latvijā. Vienlaikus tiks turpināta dalība </w:t>
      </w:r>
      <w:proofErr w:type="spellStart"/>
      <w:r w:rsidRPr="00FF2E0A">
        <w:rPr>
          <w:szCs w:val="24"/>
        </w:rPr>
        <w:t>Erasmus</w:t>
      </w:r>
      <w:proofErr w:type="spellEnd"/>
      <w:r w:rsidRPr="00FF2E0A">
        <w:rPr>
          <w:szCs w:val="24"/>
        </w:rPr>
        <w:t xml:space="preserve"> </w:t>
      </w:r>
      <w:proofErr w:type="spellStart"/>
      <w:r w:rsidRPr="00FF2E0A">
        <w:rPr>
          <w:szCs w:val="24"/>
        </w:rPr>
        <w:t>Mundus</w:t>
      </w:r>
      <w:proofErr w:type="spellEnd"/>
      <w:r w:rsidRPr="00FF2E0A">
        <w:rPr>
          <w:szCs w:val="24"/>
        </w:rPr>
        <w:t xml:space="preserve"> Nacionālo struktūru kopīgi īstenotajos projektos.</w:t>
      </w:r>
    </w:p>
    <w:p w14:paraId="0024E276" w14:textId="77777777" w:rsidR="00AB33D1" w:rsidRPr="00D77E11" w:rsidRDefault="00AB33D1" w:rsidP="00642049">
      <w:pPr>
        <w:spacing w:before="120" w:after="0"/>
        <w:ind w:firstLine="720"/>
        <w:rPr>
          <w:szCs w:val="24"/>
        </w:rPr>
      </w:pPr>
      <w:r w:rsidRPr="00FF2E0A">
        <w:rPr>
          <w:u w:val="single"/>
        </w:rPr>
        <w:t>Valsts zinātnisko institūciju konsolidācija</w:t>
      </w:r>
      <w:r w:rsidRPr="00FF2E0A">
        <w:t xml:space="preserve">. </w:t>
      </w:r>
      <w:r w:rsidRPr="00FF2E0A">
        <w:rPr>
          <w:szCs w:val="24"/>
        </w:rPr>
        <w:t>Pasākuma mērķis ir nodrošināt zinātnisko institūciju starptautisku izvērtēšanu un saņemt rekomendācijas zinātnes konkurētspējas stiprināšanai un resursu koncentrēšanai. Ir parakstīts tehniskais līgums par zinātnisko institūciju starptautisko izvērtēšanu un, pamatojoties uz zinātnes izvērtēšanas rezultātā sniegtajām rekomendācijām, 2013.-2014.gadā tiks nodrošināti nepieciešamie pasākumi strukturālo reformu īstenošanai zinātnē. Ar 2015.gadu plānots ieviest jaunus valsts budžeta finansējuma sadales principus, kas tajā skaitā paredz finansējuma piešķiršanu ekselences centriem.</w:t>
      </w:r>
    </w:p>
    <w:p w14:paraId="221089FB" w14:textId="77777777" w:rsidR="0060396D" w:rsidRPr="009C61B1" w:rsidRDefault="0060396D" w:rsidP="0060396D">
      <w:pPr>
        <w:pStyle w:val="PIRMAIS"/>
        <w:ind w:left="0" w:firstLine="0"/>
      </w:pPr>
      <w:bookmarkStart w:id="28" w:name="_Toc353885594"/>
      <w:bookmarkStart w:id="29" w:name="_Toc354671220"/>
      <w:bookmarkStart w:id="30" w:name="_Toc291159211"/>
      <w:bookmarkEnd w:id="18"/>
      <w:r>
        <w:lastRenderedPageBreak/>
        <w:t>4</w:t>
      </w:r>
      <w:r w:rsidRPr="009C61B1">
        <w:t>.</w:t>
      </w:r>
      <w:r w:rsidRPr="009C61B1">
        <w:tab/>
        <w:t>Vispārējās valdības budžeta bilance</w:t>
      </w:r>
      <w:r w:rsidRPr="009C61B1">
        <w:br/>
        <w:t>un parāds</w:t>
      </w:r>
      <w:bookmarkEnd w:id="28"/>
      <w:bookmarkEnd w:id="29"/>
    </w:p>
    <w:p w14:paraId="6F8A361A" w14:textId="77777777" w:rsidR="0060396D" w:rsidRPr="001946E0" w:rsidRDefault="0060396D" w:rsidP="00BC1070">
      <w:pPr>
        <w:pStyle w:val="otrais"/>
        <w:ind w:left="0" w:firstLine="0"/>
        <w:rPr>
          <w:color w:val="000000"/>
        </w:rPr>
      </w:pPr>
      <w:bookmarkStart w:id="31" w:name="_Toc323120285"/>
      <w:bookmarkStart w:id="32" w:name="_Toc354671221"/>
      <w:r w:rsidRPr="001946E0">
        <w:rPr>
          <w:color w:val="000000"/>
        </w:rPr>
        <w:t>4.1. Pašreizējā fiskālā situācija</w:t>
      </w:r>
      <w:bookmarkEnd w:id="31"/>
      <w:bookmarkEnd w:id="32"/>
    </w:p>
    <w:p w14:paraId="244A7C75" w14:textId="77777777" w:rsidR="0060396D" w:rsidRPr="00C52379" w:rsidRDefault="0060396D" w:rsidP="0060396D">
      <w:pPr>
        <w:pStyle w:val="teksts"/>
        <w:ind w:firstLine="720"/>
        <w:rPr>
          <w:rFonts w:ascii="Times New Roman" w:eastAsia="Calibri" w:hAnsi="Times New Roman"/>
          <w:color w:val="000000"/>
          <w:szCs w:val="24"/>
        </w:rPr>
      </w:pPr>
      <w:r>
        <w:rPr>
          <w:rFonts w:ascii="Times New Roman" w:eastAsia="Calibri" w:hAnsi="Times New Roman"/>
          <w:color w:val="000000"/>
          <w:szCs w:val="24"/>
        </w:rPr>
        <w:t xml:space="preserve">Pēc pasaules </w:t>
      </w:r>
      <w:r w:rsidRPr="00C52379">
        <w:rPr>
          <w:rFonts w:ascii="Times New Roman" w:eastAsia="Calibri" w:hAnsi="Times New Roman"/>
          <w:color w:val="000000"/>
          <w:szCs w:val="24"/>
        </w:rPr>
        <w:t>finanšu krīzes, kas smagi ietekmēja Latvij</w:t>
      </w:r>
      <w:r w:rsidR="00FB0DD8">
        <w:rPr>
          <w:rFonts w:ascii="Times New Roman" w:eastAsia="Calibri" w:hAnsi="Times New Roman"/>
          <w:color w:val="000000"/>
          <w:szCs w:val="24"/>
        </w:rPr>
        <w:t>as ekonomiku</w:t>
      </w:r>
      <w:r w:rsidRPr="00C52379">
        <w:rPr>
          <w:rFonts w:ascii="Times New Roman" w:eastAsia="Calibri" w:hAnsi="Times New Roman"/>
          <w:color w:val="000000"/>
          <w:szCs w:val="24"/>
        </w:rPr>
        <w:t xml:space="preserve">, izveidojot kritisku situāciju finanšu sektorā un valsts budžetā, kuras pārvarēšanā Latvija saņēma starptautisko organizāciju finanšu palīdzība, Latvija pašlaik ir atgriezusies pie straujas izaugsmes un ievērojama uzlabojuma fiskālajā pozīcijā. </w:t>
      </w:r>
      <w:r w:rsidRPr="00C52379">
        <w:rPr>
          <w:rFonts w:ascii="Times New Roman" w:hAnsi="Times New Roman"/>
          <w:color w:val="000000"/>
          <w:szCs w:val="24"/>
        </w:rPr>
        <w:t xml:space="preserve">Latvija 2011. gada beigās sekmīgi noslēdza Starptautisko aizdevuma programmu, īstenojot Latvijas ekonomikas stabilizācijas un izaugsmes atjaunošanas programmu, un arī turpmāk ieviesīs </w:t>
      </w:r>
      <w:r w:rsidR="00C52379">
        <w:rPr>
          <w:rFonts w:ascii="Times New Roman" w:hAnsi="Times New Roman"/>
          <w:color w:val="000000"/>
          <w:szCs w:val="24"/>
        </w:rPr>
        <w:t>LSAP</w:t>
      </w:r>
      <w:r w:rsidRPr="00C52379">
        <w:rPr>
          <w:rFonts w:ascii="Times New Roman" w:hAnsi="Times New Roman"/>
          <w:color w:val="000000"/>
          <w:szCs w:val="24"/>
        </w:rPr>
        <w:t xml:space="preserve"> noteiktos vidēja termiņa rīcības virzienus noteikto prioritāšu ietvaros: ekonomikas izaugsme, sociālā drošība un publiskās pārvaldes reformas. </w:t>
      </w:r>
    </w:p>
    <w:p w14:paraId="58955577" w14:textId="77777777" w:rsidR="0060396D" w:rsidRDefault="0060396D" w:rsidP="0060396D">
      <w:pPr>
        <w:pStyle w:val="teksts"/>
        <w:ind w:firstLine="720"/>
        <w:rPr>
          <w:rFonts w:ascii="Times New Roman" w:eastAsia="Calibri" w:hAnsi="Times New Roman"/>
          <w:color w:val="000000"/>
          <w:szCs w:val="24"/>
        </w:rPr>
      </w:pPr>
      <w:r>
        <w:rPr>
          <w:rFonts w:ascii="Times New Roman" w:eastAsia="Calibri" w:hAnsi="Times New Roman"/>
          <w:color w:val="000000"/>
          <w:szCs w:val="24"/>
        </w:rPr>
        <w:t xml:space="preserve">Krīzes pārvarēšana un atgriešanās pie izaugsmes ir veikta saglabājot nemainīgu lata piesaistes kursu pret </w:t>
      </w:r>
      <w:proofErr w:type="spellStart"/>
      <w:r w:rsidRPr="00BF5B35">
        <w:rPr>
          <w:rFonts w:ascii="Times New Roman" w:eastAsia="Calibri" w:hAnsi="Times New Roman"/>
          <w:i/>
          <w:color w:val="000000"/>
        </w:rPr>
        <w:t>euro</w:t>
      </w:r>
      <w:proofErr w:type="spellEnd"/>
      <w:r>
        <w:rPr>
          <w:rFonts w:ascii="Times New Roman" w:eastAsia="Calibri" w:hAnsi="Times New Roman"/>
          <w:color w:val="000000"/>
          <w:szCs w:val="24"/>
        </w:rPr>
        <w:t xml:space="preserve"> un īstenojot ievērojamu fiskālo konsolidāciju.</w:t>
      </w:r>
    </w:p>
    <w:p w14:paraId="73FCA293" w14:textId="77777777" w:rsidR="0060396D" w:rsidRDefault="0060396D" w:rsidP="0060396D">
      <w:pPr>
        <w:ind w:firstLine="720"/>
        <w:rPr>
          <w:color w:val="000000"/>
        </w:rPr>
      </w:pPr>
      <w:r w:rsidRPr="001946E0">
        <w:rPr>
          <w:color w:val="000000"/>
          <w:szCs w:val="24"/>
        </w:rPr>
        <w:t xml:space="preserve">Kopumā laika posmā no 2008. gada līdz 2012. gadam ir veikti </w:t>
      </w:r>
      <w:r>
        <w:rPr>
          <w:color w:val="000000"/>
          <w:szCs w:val="24"/>
        </w:rPr>
        <w:t xml:space="preserve">fiskālās </w:t>
      </w:r>
      <w:r w:rsidRPr="001946E0">
        <w:rPr>
          <w:color w:val="000000"/>
          <w:szCs w:val="24"/>
        </w:rPr>
        <w:t xml:space="preserve">konsolidācijas pasākumi ar fiskālo ietekmi </w:t>
      </w:r>
      <w:r w:rsidR="00A25539" w:rsidRPr="001946E0">
        <w:rPr>
          <w:color w:val="000000"/>
          <w:szCs w:val="24"/>
        </w:rPr>
        <w:t>1</w:t>
      </w:r>
      <w:r w:rsidR="00A25539">
        <w:rPr>
          <w:color w:val="000000"/>
          <w:szCs w:val="24"/>
        </w:rPr>
        <w:t>6,9</w:t>
      </w:r>
      <w:r w:rsidRPr="001946E0">
        <w:rPr>
          <w:color w:val="000000"/>
          <w:szCs w:val="24"/>
        </w:rPr>
        <w:t>% apmērā no IKP, no kuriem aptuveni 6,</w:t>
      </w:r>
      <w:r w:rsidR="00A25539">
        <w:rPr>
          <w:color w:val="000000"/>
          <w:szCs w:val="24"/>
        </w:rPr>
        <w:t>7</w:t>
      </w:r>
      <w:r w:rsidRPr="001946E0">
        <w:rPr>
          <w:color w:val="000000"/>
          <w:szCs w:val="24"/>
        </w:rPr>
        <w:t> % no IKP veido pasākumi, kas veikti ieņēmumu pusē, savukārt, pasākumi izdevu</w:t>
      </w:r>
      <w:r>
        <w:rPr>
          <w:color w:val="000000"/>
          <w:szCs w:val="24"/>
        </w:rPr>
        <w:t>mu pusē kopumā sastāda aptuveni</w:t>
      </w:r>
      <w:r w:rsidRPr="001946E0">
        <w:rPr>
          <w:color w:val="000000"/>
          <w:szCs w:val="24"/>
        </w:rPr>
        <w:t xml:space="preserve"> 10,2 % no IKP (skatīt </w:t>
      </w:r>
      <w:r w:rsidRPr="00E13318">
        <w:rPr>
          <w:color w:val="000000"/>
          <w:szCs w:val="24"/>
        </w:rPr>
        <w:t>4.1. attēlu).</w:t>
      </w:r>
      <w:r w:rsidRPr="001946E0">
        <w:rPr>
          <w:color w:val="000000"/>
          <w:szCs w:val="24"/>
        </w:rPr>
        <w:t xml:space="preserve"> </w:t>
      </w:r>
      <w:r>
        <w:rPr>
          <w:color w:val="000000"/>
          <w:szCs w:val="24"/>
        </w:rPr>
        <w:t>V</w:t>
      </w:r>
      <w:r w:rsidRPr="006356A9">
        <w:rPr>
          <w:color w:val="000000"/>
        </w:rPr>
        <w:t>idēji gadā laika posmā no 2008.</w:t>
      </w:r>
      <w:r>
        <w:rPr>
          <w:color w:val="000000"/>
        </w:rPr>
        <w:t> gada līdz</w:t>
      </w:r>
      <w:r w:rsidRPr="006356A9">
        <w:rPr>
          <w:color w:val="000000"/>
        </w:rPr>
        <w:t xml:space="preserve"> 2012. gadam </w:t>
      </w:r>
      <w:r>
        <w:rPr>
          <w:color w:val="000000"/>
        </w:rPr>
        <w:t xml:space="preserve">Latvija </w:t>
      </w:r>
      <w:r w:rsidRPr="006356A9">
        <w:rPr>
          <w:color w:val="000000"/>
        </w:rPr>
        <w:t>ir veikusi fiskālās konsolidācijas pasākumus 3,4% apmērā no IKP</w:t>
      </w:r>
      <w:r>
        <w:rPr>
          <w:color w:val="000000"/>
        </w:rPr>
        <w:t>.</w:t>
      </w:r>
    </w:p>
    <w:p w14:paraId="3DF5D445" w14:textId="77777777" w:rsidR="0060396D" w:rsidRDefault="0060396D" w:rsidP="0060396D">
      <w:pPr>
        <w:ind w:firstLine="720"/>
        <w:rPr>
          <w:color w:val="000000"/>
        </w:rPr>
      </w:pPr>
      <w:r>
        <w:rPr>
          <w:noProof/>
          <w:color w:val="000000"/>
          <w:lang w:eastAsia="lv-LV"/>
        </w:rPr>
        <w:drawing>
          <wp:inline distT="0" distB="0" distL="0" distR="0" wp14:anchorId="66EEC6DB" wp14:editId="714FA442">
            <wp:extent cx="5507665" cy="25918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8027" cy="2592068"/>
                    </a:xfrm>
                    <a:prstGeom prst="rect">
                      <a:avLst/>
                    </a:prstGeom>
                    <a:noFill/>
                    <a:ln>
                      <a:noFill/>
                    </a:ln>
                  </pic:spPr>
                </pic:pic>
              </a:graphicData>
            </a:graphic>
          </wp:inline>
        </w:drawing>
      </w:r>
    </w:p>
    <w:p w14:paraId="1ADD2014" w14:textId="77777777" w:rsidR="0060396D" w:rsidRPr="002C0523" w:rsidRDefault="0060396D" w:rsidP="001372AB">
      <w:pPr>
        <w:autoSpaceDE w:val="0"/>
        <w:autoSpaceDN w:val="0"/>
        <w:adjustRightInd w:val="0"/>
        <w:ind w:firstLine="0"/>
        <w:jc w:val="center"/>
        <w:rPr>
          <w:color w:val="000000"/>
          <w:szCs w:val="24"/>
        </w:rPr>
      </w:pPr>
      <w:r w:rsidRPr="001946E0">
        <w:rPr>
          <w:color w:val="000000"/>
          <w:szCs w:val="24"/>
        </w:rPr>
        <w:t xml:space="preserve">4.1.att. Fiskālā konsolidācija no 2008. </w:t>
      </w:r>
      <w:r>
        <w:rPr>
          <w:color w:val="000000"/>
          <w:szCs w:val="24"/>
        </w:rPr>
        <w:t>–</w:t>
      </w:r>
      <w:r w:rsidRPr="001946E0">
        <w:rPr>
          <w:color w:val="000000"/>
          <w:szCs w:val="24"/>
        </w:rPr>
        <w:t xml:space="preserve"> 2012. gadam, % no IKP</w:t>
      </w:r>
    </w:p>
    <w:p w14:paraId="30245DE8" w14:textId="4923E3CF" w:rsidR="0060396D" w:rsidRDefault="0060396D" w:rsidP="005F323B">
      <w:pPr>
        <w:pStyle w:val="teksts"/>
        <w:ind w:firstLine="720"/>
        <w:rPr>
          <w:rFonts w:ascii="Times New Roman" w:hAnsi="Times New Roman"/>
          <w:color w:val="000000"/>
        </w:rPr>
      </w:pPr>
      <w:r w:rsidRPr="001372AB">
        <w:rPr>
          <w:rFonts w:ascii="Times New Roman" w:hAnsi="Times New Roman"/>
          <w:color w:val="000000"/>
        </w:rPr>
        <w:t xml:space="preserve">Latvija visos Programmas ieviešanas gados ir spējusi veiksmīgi ievērot noteiktos vispārējās valdības budžeta bilances mērķus un īstenot fiskālo politiku sekmīgāk nekā iepriekš ticis plānots. Latvija veica efektīvus un kvalitatīvus fiskālās konsolidācijas pasākumus, kā arī, lai </w:t>
      </w:r>
      <w:r w:rsidRPr="001372AB">
        <w:rPr>
          <w:rFonts w:ascii="Times New Roman" w:eastAsia="Calibri" w:hAnsi="Times New Roman"/>
          <w:color w:val="000000"/>
          <w:szCs w:val="24"/>
        </w:rPr>
        <w:t>pēc iespējas labāk nodrošinātos pret iespējamajiem makroekonomisko procesu izraisītajiem paaugstinātajiem fiskālajiem, ekonomiskajiem un sociālajiem riskiem</w:t>
      </w:r>
      <w:r w:rsidRPr="001372AB">
        <w:rPr>
          <w:rFonts w:ascii="Times New Roman" w:hAnsi="Times New Roman"/>
          <w:color w:val="000000"/>
        </w:rPr>
        <w:t>, ekonomisko izaugsmi ir prognozējusi, balstoties uz salīdzinoši konservatīvu makroekonomisko scenāriju</w:t>
      </w:r>
      <w:r w:rsidR="001372AB" w:rsidRPr="001372AB">
        <w:rPr>
          <w:rFonts w:ascii="Times New Roman" w:hAnsi="Times New Roman"/>
          <w:color w:val="000000"/>
        </w:rPr>
        <w:t>.</w:t>
      </w:r>
      <w:r w:rsidR="001372AB">
        <w:rPr>
          <w:rFonts w:ascii="Times New Roman" w:hAnsi="Times New Roman"/>
          <w:color w:val="000000"/>
        </w:rPr>
        <w:t xml:space="preserve"> </w:t>
      </w:r>
      <w:r w:rsidRPr="001372AB">
        <w:rPr>
          <w:rFonts w:ascii="Times New Roman" w:hAnsi="Times New Roman"/>
          <w:color w:val="000000"/>
        </w:rPr>
        <w:t xml:space="preserve">Fiskālā konsolidācija nav pašmērķis, bet gan līdzeklis </w:t>
      </w:r>
      <w:r w:rsidR="00FB0DD8" w:rsidRPr="001372AB">
        <w:rPr>
          <w:rFonts w:ascii="Times New Roman" w:hAnsi="Times New Roman"/>
          <w:color w:val="000000"/>
        </w:rPr>
        <w:t xml:space="preserve">neilgtspējīga </w:t>
      </w:r>
      <w:r w:rsidRPr="001372AB">
        <w:rPr>
          <w:rFonts w:ascii="Times New Roman" w:hAnsi="Times New Roman"/>
          <w:color w:val="000000"/>
        </w:rPr>
        <w:t>budžeta deficīta pārvarēšanai, ekonomiskās sabalansētības atjaunošanai un valsts konkurētspējas paaugstināšanai. Konsolidācijas pasākumus 1</w:t>
      </w:r>
      <w:r w:rsidR="00A25539" w:rsidRPr="001372AB">
        <w:rPr>
          <w:rFonts w:ascii="Times New Roman" w:hAnsi="Times New Roman"/>
          <w:color w:val="000000"/>
        </w:rPr>
        <w:t>6,9</w:t>
      </w:r>
      <w:r w:rsidRPr="001372AB">
        <w:rPr>
          <w:rFonts w:ascii="Times New Roman" w:hAnsi="Times New Roman"/>
          <w:color w:val="000000"/>
        </w:rPr>
        <w:t xml:space="preserve">% no IKP apmērā nav iespējams veikt tikai samazinot finansējumu tur, kur tas ekonomiski ir pamatoti, piemēram, </w:t>
      </w:r>
      <w:r w:rsidRPr="001372AB">
        <w:rPr>
          <w:rFonts w:ascii="Times New Roman" w:hAnsi="Times New Roman"/>
          <w:color w:val="000000"/>
        </w:rPr>
        <w:lastRenderedPageBreak/>
        <w:t>atalgojuma atgriešana līmen</w:t>
      </w:r>
      <w:r w:rsidR="00A82596" w:rsidRPr="001372AB">
        <w:rPr>
          <w:rFonts w:ascii="Times New Roman" w:hAnsi="Times New Roman"/>
          <w:color w:val="000000"/>
        </w:rPr>
        <w:t>ī, kas atbilst produktivitātei.</w:t>
      </w:r>
      <w:r w:rsidRPr="001372AB">
        <w:rPr>
          <w:rFonts w:ascii="Times New Roman" w:hAnsi="Times New Roman"/>
          <w:color w:val="000000"/>
        </w:rPr>
        <w:t xml:space="preserve"> Fiskālā</w:t>
      </w:r>
      <w:r>
        <w:rPr>
          <w:rFonts w:ascii="Times New Roman" w:hAnsi="Times New Roman"/>
          <w:color w:val="000000"/>
        </w:rPr>
        <w:t xml:space="preserve"> konsolidācija skāra arī valsts sniegto publisko p</w:t>
      </w:r>
      <w:r w:rsidR="00A82596">
        <w:rPr>
          <w:rFonts w:ascii="Times New Roman" w:hAnsi="Times New Roman"/>
          <w:color w:val="000000"/>
        </w:rPr>
        <w:t xml:space="preserve">akalpojumu apjomu un kvalitāti. </w:t>
      </w:r>
      <w:r>
        <w:rPr>
          <w:rFonts w:ascii="Times New Roman" w:hAnsi="Times New Roman"/>
          <w:color w:val="000000"/>
        </w:rPr>
        <w:t>Finansējuma nepietiekamība ir akumulējusi p</w:t>
      </w:r>
      <w:r w:rsidR="00A82596">
        <w:rPr>
          <w:rFonts w:ascii="Times New Roman" w:hAnsi="Times New Roman"/>
          <w:color w:val="000000"/>
        </w:rPr>
        <w:t>roblēmas, kas pašlaik ir kļuvuša</w:t>
      </w:r>
      <w:r>
        <w:rPr>
          <w:rFonts w:ascii="Times New Roman" w:hAnsi="Times New Roman"/>
          <w:color w:val="000000"/>
        </w:rPr>
        <w:t>s akūtas un kuru nerisināšana turpmāk var radīt neatgriezeniskus procesus, piemēram</w:t>
      </w:r>
      <w:r w:rsidR="00FB0DD8">
        <w:rPr>
          <w:rFonts w:ascii="Times New Roman" w:hAnsi="Times New Roman"/>
          <w:color w:val="000000"/>
        </w:rPr>
        <w:t>,</w:t>
      </w:r>
      <w:r>
        <w:rPr>
          <w:rFonts w:ascii="Times New Roman" w:hAnsi="Times New Roman"/>
          <w:color w:val="000000"/>
        </w:rPr>
        <w:t xml:space="preserve"> ceļu sabrukšana. Tāpēc 2013</w:t>
      </w:r>
      <w:r w:rsidR="00A82596">
        <w:rPr>
          <w:rFonts w:ascii="Times New Roman" w:hAnsi="Times New Roman"/>
          <w:color w:val="000000"/>
        </w:rPr>
        <w:t>.</w:t>
      </w:r>
      <w:r>
        <w:rPr>
          <w:rFonts w:ascii="Times New Roman" w:hAnsi="Times New Roman"/>
          <w:color w:val="000000"/>
        </w:rPr>
        <w:t xml:space="preserve"> </w:t>
      </w:r>
      <w:r w:rsidR="00A82596">
        <w:rPr>
          <w:rFonts w:ascii="Times New Roman" w:hAnsi="Times New Roman"/>
          <w:color w:val="000000"/>
        </w:rPr>
        <w:t xml:space="preserve">– </w:t>
      </w:r>
      <w:r>
        <w:rPr>
          <w:rFonts w:ascii="Times New Roman" w:hAnsi="Times New Roman"/>
          <w:color w:val="000000"/>
        </w:rPr>
        <w:t>2016</w:t>
      </w:r>
      <w:r w:rsidR="00A82596">
        <w:rPr>
          <w:rFonts w:ascii="Times New Roman" w:hAnsi="Times New Roman"/>
          <w:color w:val="000000"/>
        </w:rPr>
        <w:t>.</w:t>
      </w:r>
      <w:r>
        <w:rPr>
          <w:rFonts w:ascii="Times New Roman" w:hAnsi="Times New Roman"/>
          <w:color w:val="000000"/>
        </w:rPr>
        <w:t xml:space="preserve"> gadi iezīmējas, kā </w:t>
      </w:r>
      <w:proofErr w:type="spellStart"/>
      <w:r>
        <w:rPr>
          <w:rFonts w:ascii="Times New Roman" w:hAnsi="Times New Roman"/>
          <w:color w:val="000000"/>
        </w:rPr>
        <w:t>pēckrīzes</w:t>
      </w:r>
      <w:proofErr w:type="spellEnd"/>
      <w:r>
        <w:rPr>
          <w:rFonts w:ascii="Times New Roman" w:hAnsi="Times New Roman"/>
          <w:color w:val="000000"/>
        </w:rPr>
        <w:t xml:space="preserve"> periods, kurā valstij ir jāatjauno adekvāts finansējums valsts funkciju īstenošanai, pilnībā respektējot fiskālās disciplīnas nosacījumus. Šis periods iezīmējas jau 2012.gadā, kas raksturīgs ar ievērojamu ieņēmumu kāpumu valsts budžetā, dodot iespēju  uzlabot</w:t>
      </w:r>
      <w:r w:rsidR="004E10E4">
        <w:rPr>
          <w:rFonts w:ascii="Times New Roman" w:hAnsi="Times New Roman"/>
          <w:color w:val="000000"/>
        </w:rPr>
        <w:t xml:space="preserve"> gan</w:t>
      </w:r>
      <w:r>
        <w:rPr>
          <w:rFonts w:ascii="Times New Roman" w:hAnsi="Times New Roman"/>
          <w:color w:val="000000"/>
        </w:rPr>
        <w:t xml:space="preserve"> fiskālo pozīciju vairāk kā bija plānots, gan palielināt izdevumus, veicot 2012.gada budžeta grozījumus.         </w:t>
      </w:r>
    </w:p>
    <w:p w14:paraId="7E33616C" w14:textId="6256BE18" w:rsidR="0060396D" w:rsidRDefault="0060396D" w:rsidP="005F323B">
      <w:pPr>
        <w:pStyle w:val="teksts"/>
        <w:ind w:firstLine="720"/>
        <w:rPr>
          <w:rFonts w:ascii="Times New Roman" w:hAnsi="Times New Roman"/>
          <w:color w:val="000000"/>
        </w:rPr>
      </w:pPr>
      <w:r>
        <w:rPr>
          <w:rFonts w:ascii="Times New Roman" w:hAnsi="Times New Roman"/>
          <w:color w:val="000000"/>
        </w:rPr>
        <w:t>2012. </w:t>
      </w:r>
      <w:r w:rsidRPr="00F1097B">
        <w:rPr>
          <w:rFonts w:ascii="Times New Roman" w:hAnsi="Times New Roman"/>
          <w:color w:val="000000"/>
        </w:rPr>
        <w:t xml:space="preserve">gada </w:t>
      </w:r>
      <w:r>
        <w:rPr>
          <w:rFonts w:ascii="Times New Roman" w:hAnsi="Times New Roman"/>
          <w:color w:val="000000"/>
        </w:rPr>
        <w:t xml:space="preserve">valsts </w:t>
      </w:r>
      <w:r w:rsidRPr="00F1097B">
        <w:rPr>
          <w:rFonts w:ascii="Times New Roman" w:hAnsi="Times New Roman"/>
          <w:color w:val="000000"/>
        </w:rPr>
        <w:t>budžets sākotnēji tika pieņemts</w:t>
      </w:r>
      <w:r>
        <w:rPr>
          <w:rFonts w:ascii="Times New Roman" w:hAnsi="Times New Roman"/>
          <w:color w:val="000000"/>
        </w:rPr>
        <w:t xml:space="preserve">, nodrošinot vispārējās valdības </w:t>
      </w:r>
      <w:r w:rsidRPr="00F1097B">
        <w:rPr>
          <w:rFonts w:ascii="Times New Roman" w:hAnsi="Times New Roman"/>
          <w:color w:val="000000"/>
        </w:rPr>
        <w:t xml:space="preserve">budžeta deficītu </w:t>
      </w:r>
      <w:r>
        <w:rPr>
          <w:rFonts w:ascii="Times New Roman" w:hAnsi="Times New Roman"/>
          <w:color w:val="000000"/>
        </w:rPr>
        <w:t>2,1 </w:t>
      </w:r>
      <w:r w:rsidRPr="00F1097B">
        <w:rPr>
          <w:rFonts w:ascii="Times New Roman" w:hAnsi="Times New Roman"/>
          <w:color w:val="000000"/>
        </w:rPr>
        <w:t xml:space="preserve">% apmērā no IKP (saskaņā ar </w:t>
      </w:r>
      <w:r w:rsidR="0023518A">
        <w:rPr>
          <w:rFonts w:ascii="Times New Roman" w:hAnsi="Times New Roman"/>
          <w:color w:val="000000"/>
        </w:rPr>
        <w:t>EKS</w:t>
      </w:r>
      <w:r w:rsidRPr="00F1097B">
        <w:rPr>
          <w:rFonts w:ascii="Times New Roman" w:hAnsi="Times New Roman"/>
          <w:color w:val="000000"/>
        </w:rPr>
        <w:t xml:space="preserve"> metodoloģij</w:t>
      </w:r>
      <w:r>
        <w:rPr>
          <w:rFonts w:ascii="Times New Roman" w:hAnsi="Times New Roman"/>
          <w:color w:val="000000"/>
        </w:rPr>
        <w:t>u</w:t>
      </w:r>
      <w:r w:rsidRPr="00F1097B">
        <w:rPr>
          <w:rFonts w:ascii="Times New Roman" w:hAnsi="Times New Roman"/>
          <w:color w:val="000000"/>
        </w:rPr>
        <w:t xml:space="preserve">), </w:t>
      </w:r>
      <w:r>
        <w:rPr>
          <w:rFonts w:ascii="Times New Roman" w:hAnsi="Times New Roman"/>
          <w:color w:val="000000"/>
        </w:rPr>
        <w:t>2012.gada rudenī,</w:t>
      </w:r>
      <w:r w:rsidRPr="00F1097B">
        <w:rPr>
          <w:rFonts w:ascii="Times New Roman" w:hAnsi="Times New Roman"/>
          <w:color w:val="000000"/>
        </w:rPr>
        <w:t xml:space="preserve"> veicot </w:t>
      </w:r>
      <w:r>
        <w:rPr>
          <w:rFonts w:ascii="Times New Roman" w:hAnsi="Times New Roman"/>
          <w:color w:val="000000"/>
        </w:rPr>
        <w:t xml:space="preserve">valsts </w:t>
      </w:r>
      <w:r w:rsidRPr="00F1097B">
        <w:rPr>
          <w:rFonts w:ascii="Times New Roman" w:hAnsi="Times New Roman"/>
          <w:color w:val="000000"/>
        </w:rPr>
        <w:t>budžeta grozījumus</w:t>
      </w:r>
      <w:r>
        <w:rPr>
          <w:rFonts w:ascii="Times New Roman" w:hAnsi="Times New Roman"/>
          <w:color w:val="000000"/>
        </w:rPr>
        <w:t xml:space="preserve">, ar ko tika veikti papildus izdevumi </w:t>
      </w:r>
      <w:r w:rsidR="00E13318">
        <w:rPr>
          <w:rFonts w:ascii="Times New Roman" w:hAnsi="Times New Roman"/>
          <w:color w:val="000000"/>
        </w:rPr>
        <w:t>0,</w:t>
      </w:r>
      <w:r w:rsidR="00E13318" w:rsidRPr="00E13318">
        <w:rPr>
          <w:rFonts w:ascii="Times New Roman" w:hAnsi="Times New Roman"/>
          <w:color w:val="000000"/>
        </w:rPr>
        <w:t>9</w:t>
      </w:r>
      <w:r w:rsidRPr="001372AB">
        <w:rPr>
          <w:rFonts w:ascii="Times New Roman" w:hAnsi="Times New Roman"/>
          <w:color w:val="000000"/>
        </w:rPr>
        <w:t>% no IKP</w:t>
      </w:r>
      <w:r w:rsidRPr="00E13318">
        <w:rPr>
          <w:rFonts w:ascii="Times New Roman" w:hAnsi="Times New Roman"/>
          <w:color w:val="000000"/>
        </w:rPr>
        <w:t>,</w:t>
      </w:r>
      <w:r>
        <w:rPr>
          <w:rFonts w:ascii="Times New Roman" w:hAnsi="Times New Roman"/>
          <w:color w:val="000000"/>
        </w:rPr>
        <w:t xml:space="preserve"> vispārējās valdības budžeta </w:t>
      </w:r>
      <w:r w:rsidRPr="00F1097B">
        <w:rPr>
          <w:rFonts w:ascii="Times New Roman" w:hAnsi="Times New Roman"/>
          <w:color w:val="000000"/>
        </w:rPr>
        <w:t xml:space="preserve">deficīta mērķis tika pārskatīts un noteikts </w:t>
      </w:r>
      <w:r>
        <w:rPr>
          <w:rFonts w:ascii="Times New Roman" w:hAnsi="Times New Roman"/>
          <w:color w:val="000000"/>
        </w:rPr>
        <w:t xml:space="preserve">1,9 % apmērā no IKP. </w:t>
      </w:r>
      <w:r w:rsidRPr="00F1097B">
        <w:rPr>
          <w:rFonts w:ascii="Times New Roman" w:eastAsia="Calibri" w:hAnsi="Times New Roman"/>
          <w:color w:val="000000"/>
          <w:szCs w:val="24"/>
        </w:rPr>
        <w:t>Atbilstoši 201</w:t>
      </w:r>
      <w:r>
        <w:rPr>
          <w:rFonts w:ascii="Times New Roman" w:eastAsia="Calibri" w:hAnsi="Times New Roman"/>
          <w:color w:val="000000"/>
          <w:szCs w:val="24"/>
        </w:rPr>
        <w:t>3</w:t>
      </w:r>
      <w:r w:rsidRPr="00F1097B">
        <w:rPr>
          <w:rFonts w:ascii="Times New Roman" w:eastAsia="Calibri" w:hAnsi="Times New Roman"/>
          <w:color w:val="000000"/>
          <w:szCs w:val="24"/>
        </w:rPr>
        <w:t xml:space="preserve">. gada aprīļa vispārējās valdības budžeta deficīta un parāda notifikācijai vispārējās valdības </w:t>
      </w:r>
      <w:r w:rsidR="00A25539">
        <w:rPr>
          <w:rFonts w:ascii="Times New Roman" w:eastAsia="Calibri" w:hAnsi="Times New Roman"/>
          <w:color w:val="000000"/>
          <w:szCs w:val="24"/>
        </w:rPr>
        <w:t xml:space="preserve">budžeta </w:t>
      </w:r>
      <w:r w:rsidRPr="00F1097B">
        <w:rPr>
          <w:rFonts w:ascii="Times New Roman" w:eastAsia="Calibri" w:hAnsi="Times New Roman"/>
          <w:color w:val="000000"/>
          <w:szCs w:val="24"/>
        </w:rPr>
        <w:t>deficīts 201</w:t>
      </w:r>
      <w:r>
        <w:rPr>
          <w:rFonts w:ascii="Times New Roman" w:eastAsia="Calibri" w:hAnsi="Times New Roman"/>
          <w:color w:val="000000"/>
          <w:szCs w:val="24"/>
        </w:rPr>
        <w:t>2</w:t>
      </w:r>
      <w:r w:rsidRPr="00F1097B">
        <w:rPr>
          <w:rFonts w:ascii="Times New Roman" w:eastAsia="Calibri" w:hAnsi="Times New Roman"/>
          <w:color w:val="000000"/>
          <w:szCs w:val="24"/>
        </w:rPr>
        <w:t xml:space="preserve">. gadā </w:t>
      </w:r>
      <w:r w:rsidR="00A25539">
        <w:rPr>
          <w:rFonts w:ascii="Times New Roman" w:eastAsia="Calibri" w:hAnsi="Times New Roman"/>
          <w:color w:val="000000"/>
          <w:szCs w:val="24"/>
        </w:rPr>
        <w:t>bija</w:t>
      </w:r>
      <w:r>
        <w:rPr>
          <w:rFonts w:ascii="Times New Roman" w:eastAsia="Calibri" w:hAnsi="Times New Roman"/>
          <w:color w:val="000000"/>
          <w:szCs w:val="24"/>
        </w:rPr>
        <w:t xml:space="preserve"> 1,2%</w:t>
      </w:r>
      <w:r w:rsidRPr="00F1097B">
        <w:rPr>
          <w:rFonts w:ascii="Times New Roman" w:eastAsia="Calibri" w:hAnsi="Times New Roman"/>
          <w:color w:val="000000"/>
          <w:szCs w:val="24"/>
        </w:rPr>
        <w:t xml:space="preserve"> no IKP</w:t>
      </w:r>
      <w:r>
        <w:rPr>
          <w:rFonts w:ascii="Times New Roman" w:eastAsia="Calibri" w:hAnsi="Times New Roman"/>
          <w:color w:val="000000"/>
          <w:szCs w:val="24"/>
        </w:rPr>
        <w:t>.</w:t>
      </w:r>
      <w:r>
        <w:rPr>
          <w:rFonts w:ascii="Times New Roman" w:hAnsi="Times New Roman"/>
          <w:color w:val="000000"/>
        </w:rPr>
        <w:t xml:space="preserve"> Saskaņā ar </w:t>
      </w:r>
      <w:r w:rsidR="00F94435">
        <w:rPr>
          <w:rFonts w:ascii="Times New Roman" w:hAnsi="Times New Roman"/>
          <w:color w:val="000000"/>
        </w:rPr>
        <w:t>FM</w:t>
      </w:r>
      <w:r>
        <w:rPr>
          <w:rFonts w:ascii="Times New Roman" w:hAnsi="Times New Roman"/>
          <w:color w:val="000000"/>
        </w:rPr>
        <w:t xml:space="preserve"> aprēķiniem, strukturālais deficīts </w:t>
      </w:r>
      <w:r w:rsidR="00A25539">
        <w:rPr>
          <w:rFonts w:ascii="Times New Roman" w:hAnsi="Times New Roman"/>
          <w:color w:val="000000"/>
        </w:rPr>
        <w:t xml:space="preserve">bija </w:t>
      </w:r>
      <w:r>
        <w:rPr>
          <w:rFonts w:ascii="Times New Roman" w:hAnsi="Times New Roman"/>
          <w:color w:val="000000"/>
        </w:rPr>
        <w:t xml:space="preserve">0,5% no IKP. </w:t>
      </w:r>
    </w:p>
    <w:p w14:paraId="142D6BC4" w14:textId="77777777" w:rsidR="0060396D" w:rsidRDefault="0060396D" w:rsidP="005F323B">
      <w:pPr>
        <w:pStyle w:val="teksts"/>
        <w:ind w:firstLine="720"/>
        <w:rPr>
          <w:rFonts w:ascii="Times New Roman" w:hAnsi="Times New Roman"/>
          <w:color w:val="000000"/>
        </w:rPr>
      </w:pPr>
      <w:r>
        <w:rPr>
          <w:rFonts w:ascii="Times New Roman" w:hAnsi="Times New Roman"/>
          <w:color w:val="000000"/>
        </w:rPr>
        <w:t>Fiskālās politikas aspektā 2012.gads ir nozīmīgs ar to, ka:</w:t>
      </w:r>
    </w:p>
    <w:p w14:paraId="2D8BF7AD" w14:textId="77777777" w:rsidR="0060396D" w:rsidRDefault="0060396D" w:rsidP="005F323B">
      <w:pPr>
        <w:pStyle w:val="teksts"/>
        <w:numPr>
          <w:ilvl w:val="0"/>
          <w:numId w:val="21"/>
        </w:numPr>
        <w:rPr>
          <w:rFonts w:ascii="Times New Roman" w:hAnsi="Times New Roman"/>
          <w:color w:val="000000"/>
        </w:rPr>
      </w:pPr>
      <w:r>
        <w:rPr>
          <w:rFonts w:ascii="Times New Roman" w:hAnsi="Times New Roman"/>
          <w:color w:val="000000"/>
        </w:rPr>
        <w:t xml:space="preserve">Vispārējās valdības budžeta </w:t>
      </w:r>
      <w:r w:rsidRPr="00F1097B">
        <w:rPr>
          <w:rFonts w:ascii="Times New Roman" w:hAnsi="Times New Roman"/>
          <w:color w:val="000000"/>
        </w:rPr>
        <w:t>deficīt</w:t>
      </w:r>
      <w:r>
        <w:rPr>
          <w:rFonts w:ascii="Times New Roman" w:hAnsi="Times New Roman"/>
          <w:color w:val="000000"/>
        </w:rPr>
        <w:t>s ir ievērojami zem 3% Māstrihtas kritērija, dodot pamatu atcelt Latvijai Pārmērīga budžeta deficīta procedūru;</w:t>
      </w:r>
    </w:p>
    <w:p w14:paraId="6DA96789" w14:textId="45E52EEB" w:rsidR="0060396D" w:rsidRPr="00FE0E5F" w:rsidRDefault="0060396D" w:rsidP="005F323B">
      <w:pPr>
        <w:pStyle w:val="teksts"/>
        <w:numPr>
          <w:ilvl w:val="0"/>
          <w:numId w:val="21"/>
        </w:numPr>
        <w:rPr>
          <w:rFonts w:ascii="Times New Roman" w:hAnsi="Times New Roman"/>
          <w:color w:val="000000"/>
        </w:rPr>
      </w:pPr>
      <w:r w:rsidRPr="00FE0E5F">
        <w:rPr>
          <w:rFonts w:ascii="Times New Roman" w:hAnsi="Times New Roman"/>
          <w:color w:val="000000"/>
        </w:rPr>
        <w:t xml:space="preserve">Strukturālais deficīts ir sasniedzis 0,5% līmeni, kas atbilst Latvijas nacionālajam </w:t>
      </w:r>
      <w:r w:rsidR="00F94435" w:rsidRPr="00431321">
        <w:rPr>
          <w:rFonts w:ascii="Times New Roman" w:hAnsi="Times New Roman"/>
          <w:color w:val="000000"/>
        </w:rPr>
        <w:t>MTO</w:t>
      </w:r>
      <w:r w:rsidRPr="00431321">
        <w:rPr>
          <w:rFonts w:ascii="Times New Roman" w:hAnsi="Times New Roman"/>
          <w:color w:val="000000"/>
        </w:rPr>
        <w:t>.</w:t>
      </w:r>
    </w:p>
    <w:p w14:paraId="16F5DBBF" w14:textId="2931BA09" w:rsidR="0060396D" w:rsidRDefault="0060396D" w:rsidP="005F323B">
      <w:pPr>
        <w:pStyle w:val="teksts"/>
        <w:ind w:firstLine="720"/>
        <w:rPr>
          <w:rFonts w:ascii="Times New Roman" w:eastAsia="Calibri" w:hAnsi="Times New Roman"/>
          <w:szCs w:val="24"/>
        </w:rPr>
      </w:pPr>
      <w:r w:rsidRPr="00A92B55">
        <w:rPr>
          <w:rFonts w:ascii="Times New Roman" w:eastAsia="Calibri" w:hAnsi="Times New Roman"/>
          <w:szCs w:val="24"/>
        </w:rPr>
        <w:t xml:space="preserve">Vispārējās valdības budžeta bilances uzlabojumu 2012. gadā galvenokārt noteica ļoti laba izpilde visās nodokļu ieņēmumu pozīcijās. Vērtējot </w:t>
      </w:r>
      <w:r w:rsidRPr="00431321">
        <w:rPr>
          <w:rFonts w:ascii="Times New Roman" w:eastAsia="Calibri" w:hAnsi="Times New Roman"/>
          <w:szCs w:val="24"/>
        </w:rPr>
        <w:t xml:space="preserve">situācijas attīstību pa budžetiem, būtisks uzlabojums bija vērojams visos vispārējās valdības sektoros - </w:t>
      </w:r>
      <w:r w:rsidRPr="00431321">
        <w:rPr>
          <w:rFonts w:ascii="Times New Roman" w:eastAsia="Calibri" w:hAnsi="Times New Roman"/>
        </w:rPr>
        <w:t xml:space="preserve">gan centrālās valdības un sociālās </w:t>
      </w:r>
      <w:r w:rsidR="0070395C" w:rsidRPr="00431321">
        <w:rPr>
          <w:rFonts w:ascii="Times New Roman" w:eastAsia="Calibri" w:hAnsi="Times New Roman"/>
          <w:szCs w:val="24"/>
        </w:rPr>
        <w:t xml:space="preserve">nodrošināšanas </w:t>
      </w:r>
      <w:r w:rsidR="00B4692F" w:rsidRPr="00431321">
        <w:rPr>
          <w:rFonts w:ascii="Times New Roman" w:eastAsia="Calibri" w:hAnsi="Times New Roman"/>
          <w:szCs w:val="24"/>
        </w:rPr>
        <w:t xml:space="preserve">fondu </w:t>
      </w:r>
      <w:r w:rsidRPr="00431321">
        <w:rPr>
          <w:rFonts w:ascii="Times New Roman" w:eastAsia="Calibri" w:hAnsi="Times New Roman"/>
        </w:rPr>
        <w:t>budžetā, kā arī vietējās valdības budžetā</w:t>
      </w:r>
      <w:r w:rsidR="00025D7F" w:rsidRPr="00431321">
        <w:rPr>
          <w:rStyle w:val="FootnoteReference"/>
          <w:rFonts w:eastAsia="Calibri"/>
        </w:rPr>
        <w:footnoteReference w:id="6"/>
      </w:r>
      <w:r w:rsidRPr="00431321">
        <w:rPr>
          <w:rFonts w:ascii="Times New Roman" w:eastAsia="Calibri" w:hAnsi="Times New Roman"/>
        </w:rPr>
        <w:t>.</w:t>
      </w:r>
      <w:r w:rsidRPr="00A92B55">
        <w:rPr>
          <w:rFonts w:ascii="Times New Roman" w:eastAsia="Calibri" w:hAnsi="Times New Roman"/>
          <w:szCs w:val="24"/>
        </w:rPr>
        <w:t xml:space="preserve">  </w:t>
      </w:r>
    </w:p>
    <w:p w14:paraId="70FBF44B" w14:textId="77777777" w:rsidR="0060396D" w:rsidRDefault="0060396D" w:rsidP="003F61A1">
      <w:pPr>
        <w:pStyle w:val="teksts"/>
        <w:jc w:val="right"/>
        <w:rPr>
          <w:rFonts w:ascii="Times New Roman" w:hAnsi="Times New Roman"/>
          <w:color w:val="000000"/>
        </w:rPr>
      </w:pPr>
      <w:r>
        <w:rPr>
          <w:rFonts w:eastAsia="Calibri"/>
          <w:noProof/>
          <w:lang w:eastAsia="lv-LV"/>
        </w:rPr>
        <w:drawing>
          <wp:inline distT="0" distB="0" distL="0" distR="0" wp14:anchorId="175D7CFA" wp14:editId="5271DA30">
            <wp:extent cx="5724525" cy="2047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l="1157" t="29884" r="2" b="1231"/>
                    <a:stretch>
                      <a:fillRect/>
                    </a:stretch>
                  </pic:blipFill>
                  <pic:spPr bwMode="auto">
                    <a:xfrm>
                      <a:off x="0" y="0"/>
                      <a:ext cx="5731537" cy="2050383"/>
                    </a:xfrm>
                    <a:prstGeom prst="rect">
                      <a:avLst/>
                    </a:prstGeom>
                    <a:noFill/>
                    <a:ln>
                      <a:noFill/>
                    </a:ln>
                  </pic:spPr>
                </pic:pic>
              </a:graphicData>
            </a:graphic>
          </wp:inline>
        </w:drawing>
      </w:r>
    </w:p>
    <w:p w14:paraId="0CD7CD25" w14:textId="77777777" w:rsidR="0060396D" w:rsidRPr="00A82596" w:rsidRDefault="00A82596" w:rsidP="00225345">
      <w:pPr>
        <w:pStyle w:val="teksts"/>
        <w:ind w:firstLine="720"/>
        <w:jc w:val="center"/>
        <w:rPr>
          <w:rFonts w:ascii="Times New Roman" w:eastAsia="Calibri" w:hAnsi="Times New Roman"/>
          <w:szCs w:val="24"/>
        </w:rPr>
      </w:pPr>
      <w:bookmarkStart w:id="33" w:name="_Toc323120286"/>
      <w:r w:rsidRPr="005F323B">
        <w:rPr>
          <w:rFonts w:ascii="Times New Roman" w:eastAsia="Calibri" w:hAnsi="Times New Roman"/>
          <w:szCs w:val="24"/>
        </w:rPr>
        <w:t>4.2</w:t>
      </w:r>
      <w:r w:rsidR="0060396D" w:rsidRPr="005F323B">
        <w:rPr>
          <w:rFonts w:ascii="Times New Roman" w:eastAsia="Calibri" w:hAnsi="Times New Roman"/>
          <w:szCs w:val="24"/>
        </w:rPr>
        <w:t>. att. Vispārējās</w:t>
      </w:r>
      <w:r w:rsidR="0060396D" w:rsidRPr="00A82596">
        <w:rPr>
          <w:rFonts w:ascii="Times New Roman" w:eastAsia="Calibri" w:hAnsi="Times New Roman"/>
          <w:szCs w:val="24"/>
        </w:rPr>
        <w:t xml:space="preserve"> valdības budžeta bilance (atbilstoši EKS metodoloģijai) un kopbudžeta bilance (atbilstoši naudas plūsmas metodoloģijai) 2007.-2016. gadā, % no IKP</w:t>
      </w:r>
      <w:r w:rsidR="0060396D" w:rsidRPr="00A82596">
        <w:rPr>
          <w:rStyle w:val="FootnoteReference"/>
          <w:rFonts w:ascii="Times New Roman" w:eastAsia="Calibri" w:hAnsi="Times New Roman"/>
          <w:sz w:val="24"/>
          <w:szCs w:val="24"/>
        </w:rPr>
        <w:footnoteReference w:id="7"/>
      </w:r>
    </w:p>
    <w:p w14:paraId="4DE5CD7F" w14:textId="0CE3D903" w:rsidR="0060396D" w:rsidRDefault="0060396D" w:rsidP="00A82596">
      <w:pPr>
        <w:pStyle w:val="teksts"/>
        <w:ind w:firstLine="720"/>
        <w:rPr>
          <w:rFonts w:ascii="Times New Roman" w:hAnsi="Times New Roman"/>
          <w:bCs/>
          <w:kern w:val="36"/>
          <w:szCs w:val="24"/>
          <w:lang w:eastAsia="lv-LV"/>
        </w:rPr>
      </w:pPr>
      <w:r w:rsidRPr="00A82596">
        <w:rPr>
          <w:rFonts w:ascii="Times New Roman" w:hAnsi="Times New Roman"/>
          <w:szCs w:val="24"/>
        </w:rPr>
        <w:lastRenderedPageBreak/>
        <w:t xml:space="preserve">Kā jau iepriekš tika minēts labāka makroekonomiskā situācija valstī nekā sākotnēji tika prognozēts, kā arī izmaiņas normatīvajos </w:t>
      </w:r>
      <w:r w:rsidRPr="000F69C9">
        <w:rPr>
          <w:rFonts w:ascii="Times New Roman" w:hAnsi="Times New Roman"/>
          <w:szCs w:val="24"/>
        </w:rPr>
        <w:t xml:space="preserve">aktos un </w:t>
      </w:r>
      <w:r w:rsidR="00455264" w:rsidRPr="000F69C9">
        <w:rPr>
          <w:rFonts w:ascii="Times New Roman" w:hAnsi="Times New Roman"/>
          <w:szCs w:val="24"/>
        </w:rPr>
        <w:t>VID</w:t>
      </w:r>
      <w:r w:rsidRPr="000F69C9">
        <w:rPr>
          <w:rFonts w:ascii="Times New Roman" w:hAnsi="Times New Roman"/>
          <w:szCs w:val="24"/>
        </w:rPr>
        <w:t xml:space="preserve"> veiktie nodokļu administrēšanas pasākumi pozitīvi ietekmēja fiskālo rādītāju izpildi. Ieņēmumi pieauga straujāk nekā izdevumi un 2012. gadā valsts konsolidētā kopbudžeta bilance pēc naudas plūsmas principa bija </w:t>
      </w:r>
      <w:r w:rsidR="004E10E4" w:rsidRPr="000F69C9">
        <w:rPr>
          <w:rFonts w:ascii="Times New Roman" w:hAnsi="Times New Roman"/>
          <w:szCs w:val="24"/>
        </w:rPr>
        <w:t>ar</w:t>
      </w:r>
      <w:r w:rsidR="000F69C9">
        <w:rPr>
          <w:rFonts w:ascii="Times New Roman" w:hAnsi="Times New Roman"/>
          <w:szCs w:val="24"/>
        </w:rPr>
        <w:t xml:space="preserve"> </w:t>
      </w:r>
      <w:r w:rsidRPr="000F69C9">
        <w:rPr>
          <w:rFonts w:ascii="Times New Roman" w:hAnsi="Times New Roman"/>
          <w:szCs w:val="24"/>
        </w:rPr>
        <w:t>pārpalikum</w:t>
      </w:r>
      <w:r w:rsidR="004E10E4" w:rsidRPr="000F69C9">
        <w:rPr>
          <w:rFonts w:ascii="Times New Roman" w:hAnsi="Times New Roman"/>
          <w:szCs w:val="24"/>
        </w:rPr>
        <w:t>u</w:t>
      </w:r>
      <w:r w:rsidRPr="000F69C9">
        <w:rPr>
          <w:rFonts w:ascii="Times New Roman" w:hAnsi="Times New Roman"/>
          <w:szCs w:val="24"/>
        </w:rPr>
        <w:t xml:space="preserve">  19,2 milj. latu. </w:t>
      </w:r>
      <w:r w:rsidR="00706D8C" w:rsidRPr="000F69C9">
        <w:rPr>
          <w:rFonts w:ascii="Times New Roman" w:hAnsi="Times New Roman"/>
          <w:szCs w:val="24"/>
        </w:rPr>
        <w:t>N</w:t>
      </w:r>
      <w:r w:rsidRPr="000F69C9">
        <w:rPr>
          <w:rFonts w:ascii="Times New Roman" w:hAnsi="Times New Roman"/>
        </w:rPr>
        <w:t xml:space="preserve">odokļu ieņēmumu attīstību nodrošināja </w:t>
      </w:r>
      <w:r w:rsidRPr="000F69C9">
        <w:rPr>
          <w:rFonts w:ascii="Times New Roman" w:hAnsi="Times New Roman"/>
          <w:kern w:val="36"/>
        </w:rPr>
        <w:t xml:space="preserve">nodarbinātības un darba samaksas kāpums, kas veicināja darba nodokļu – valsts sociālās apdrošināšanas obligāto iemaksu un iedzīvotāju ienākuma nodokļa </w:t>
      </w:r>
      <w:r w:rsidR="0070395C" w:rsidRPr="000F69C9">
        <w:rPr>
          <w:rFonts w:ascii="Times New Roman" w:hAnsi="Times New Roman"/>
          <w:bCs/>
          <w:kern w:val="36"/>
          <w:szCs w:val="24"/>
          <w:lang w:eastAsia="lv-LV"/>
        </w:rPr>
        <w:t>sekmīg</w:t>
      </w:r>
      <w:r w:rsidRPr="000F69C9">
        <w:rPr>
          <w:rFonts w:ascii="Times New Roman" w:hAnsi="Times New Roman"/>
          <w:kern w:val="36"/>
        </w:rPr>
        <w:t>u izpildi, bet labi mazumtirdzniecības apgrozījuma rādītāji nodrošināja pievienotās vērtības nodokļa ieņēmumu pieaugumu. Savukārt mērens pieaugums bija vērojams visās izdevumu grupās, izņemot izdevumos sociālajiem pabalstiem.</w:t>
      </w:r>
      <w:r>
        <w:rPr>
          <w:rFonts w:ascii="Times New Roman" w:hAnsi="Times New Roman"/>
          <w:bCs/>
          <w:kern w:val="36"/>
          <w:szCs w:val="24"/>
          <w:lang w:eastAsia="lv-LV"/>
        </w:rPr>
        <w:t xml:space="preserve"> </w:t>
      </w:r>
    </w:p>
    <w:p w14:paraId="04095ECD" w14:textId="5F0F0F05" w:rsidR="0060396D" w:rsidRPr="00C17708" w:rsidRDefault="0060396D" w:rsidP="00A82596">
      <w:pPr>
        <w:pStyle w:val="teksts"/>
        <w:ind w:firstLine="720"/>
      </w:pPr>
      <w:r>
        <w:rPr>
          <w:rFonts w:ascii="Times New Roman" w:hAnsi="Times New Roman"/>
          <w:szCs w:val="24"/>
        </w:rPr>
        <w:t xml:space="preserve">Vispārējās valdības budžeta deficītu salīdzinājumā ar kopbudžeta bilanci </w:t>
      </w:r>
      <w:r w:rsidR="00274146">
        <w:rPr>
          <w:rFonts w:ascii="Times New Roman" w:hAnsi="Times New Roman"/>
          <w:szCs w:val="24"/>
        </w:rPr>
        <w:t>pēc</w:t>
      </w:r>
      <w:r>
        <w:rPr>
          <w:rFonts w:ascii="Times New Roman" w:hAnsi="Times New Roman"/>
          <w:szCs w:val="24"/>
        </w:rPr>
        <w:t xml:space="preserve"> naudas plūsmas </w:t>
      </w:r>
      <w:r w:rsidR="00274146">
        <w:rPr>
          <w:rFonts w:ascii="Times New Roman" w:hAnsi="Times New Roman"/>
          <w:szCs w:val="24"/>
        </w:rPr>
        <w:t xml:space="preserve">metodoloģijas </w:t>
      </w:r>
      <w:r>
        <w:rPr>
          <w:rFonts w:ascii="Times New Roman" w:hAnsi="Times New Roman"/>
          <w:szCs w:val="24"/>
        </w:rPr>
        <w:t xml:space="preserve">ietekmē korekcijas atbilstoši EKS metodoloģijai. </w:t>
      </w:r>
      <w:r w:rsidR="00A25539">
        <w:rPr>
          <w:rFonts w:ascii="Times New Roman" w:hAnsi="Times New Roman"/>
          <w:szCs w:val="24"/>
        </w:rPr>
        <w:t>2009.-2011. gadā</w:t>
      </w:r>
      <w:r>
        <w:rPr>
          <w:rFonts w:ascii="Times New Roman" w:hAnsi="Times New Roman"/>
          <w:szCs w:val="24"/>
        </w:rPr>
        <w:t xml:space="preserve"> būtiskas korekcijas centrālās valdības sektorā pamatā noteica valdības ieguldījumi finanšu institūcijās ekonomiskās krīzes ietekmē, savukārt </w:t>
      </w:r>
      <w:r w:rsidRPr="0038002F">
        <w:rPr>
          <w:rFonts w:ascii="Times New Roman" w:hAnsi="Times New Roman"/>
        </w:rPr>
        <w:t>vietējās valdības sektorā</w:t>
      </w:r>
      <w:r>
        <w:rPr>
          <w:rFonts w:ascii="Times New Roman" w:hAnsi="Times New Roman"/>
          <w:szCs w:val="24"/>
        </w:rPr>
        <w:t xml:space="preserve"> – nozīmīgu infrastruktūras objektu celtniecība (Dienvidu tilts). 2012. gadā būtiskākās korekcijas veidoja </w:t>
      </w:r>
      <w:r w:rsidRPr="00C17708">
        <w:rPr>
          <w:rFonts w:ascii="Times New Roman" w:hAnsi="Times New Roman"/>
          <w:szCs w:val="24"/>
        </w:rPr>
        <w:t>vispārējās valdības kapitāla transferti dažādiem uzņēmumiem, vispārējam valdības sektoram pieklasificēto uzņēmumu zaudējumi,</w:t>
      </w:r>
      <w:r>
        <w:rPr>
          <w:rFonts w:ascii="Times New Roman" w:hAnsi="Times New Roman"/>
          <w:szCs w:val="24"/>
        </w:rPr>
        <w:t xml:space="preserve"> kā arī</w:t>
      </w:r>
      <w:r w:rsidRPr="00C17708">
        <w:rPr>
          <w:rFonts w:ascii="Times New Roman" w:hAnsi="Times New Roman"/>
          <w:szCs w:val="24"/>
        </w:rPr>
        <w:t xml:space="preserve"> ārvalstu finanšu palīdzības naudas plūsmas ieņēmumu izlīdzināšana</w:t>
      </w:r>
      <w:r w:rsidR="004E10E4">
        <w:rPr>
          <w:rFonts w:ascii="Times New Roman" w:hAnsi="Times New Roman"/>
          <w:szCs w:val="24"/>
        </w:rPr>
        <w:t>.</w:t>
      </w:r>
    </w:p>
    <w:p w14:paraId="768693E5" w14:textId="77777777" w:rsidR="0060396D" w:rsidRPr="00A92B55" w:rsidRDefault="0060396D" w:rsidP="0060396D">
      <w:pPr>
        <w:pStyle w:val="otrais"/>
        <w:rPr>
          <w:color w:val="000000"/>
        </w:rPr>
      </w:pPr>
      <w:bookmarkStart w:id="34" w:name="_Toc354671222"/>
      <w:r w:rsidRPr="00A92B55">
        <w:rPr>
          <w:color w:val="000000"/>
        </w:rPr>
        <w:t>4.2. Fiskālās attīstības scenārijs</w:t>
      </w:r>
      <w:bookmarkEnd w:id="33"/>
      <w:bookmarkEnd w:id="34"/>
    </w:p>
    <w:p w14:paraId="23E4A597" w14:textId="2DC8DA23" w:rsidR="0060396D" w:rsidRPr="001946E0" w:rsidRDefault="0060396D" w:rsidP="0060396D">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t>Latvijas fiskālās politikas galvenais mērķis ir turpināt realizēt ekonomikas atjaunošanas un izaugsmes veicināšanas pasākumus un veicināt atbildīgu un ilgtspējīgu fiskālo politiku, ievērojot stingru fiskālo disciplīnu turpmākajos gados.</w:t>
      </w:r>
    </w:p>
    <w:p w14:paraId="15B14CD4" w14:textId="77777777" w:rsidR="0060396D" w:rsidRPr="001946E0" w:rsidRDefault="0060396D" w:rsidP="0060396D">
      <w:pPr>
        <w:pStyle w:val="teksts"/>
        <w:ind w:firstLine="720"/>
        <w:rPr>
          <w:rFonts w:ascii="Times New Roman" w:eastAsia="Calibri" w:hAnsi="Times New Roman"/>
          <w:color w:val="000000"/>
          <w:szCs w:val="24"/>
        </w:rPr>
      </w:pPr>
      <w:r w:rsidRPr="001946E0">
        <w:rPr>
          <w:rFonts w:ascii="Times New Roman" w:eastAsia="Calibri" w:hAnsi="Times New Roman"/>
          <w:color w:val="000000"/>
          <w:szCs w:val="24"/>
        </w:rPr>
        <w:t>Ņemot vērā minēto</w:t>
      </w:r>
      <w:r w:rsidR="00455264">
        <w:rPr>
          <w:rFonts w:ascii="Times New Roman" w:eastAsia="Calibri" w:hAnsi="Times New Roman"/>
          <w:color w:val="000000"/>
          <w:szCs w:val="24"/>
        </w:rPr>
        <w:t>,</w:t>
      </w:r>
      <w:r w:rsidRPr="001946E0">
        <w:rPr>
          <w:rFonts w:ascii="Times New Roman" w:eastAsia="Calibri" w:hAnsi="Times New Roman"/>
          <w:color w:val="000000"/>
          <w:szCs w:val="24"/>
        </w:rPr>
        <w:t xml:space="preserve"> Latvija turpinās ieviest Saprašanās memorandā </w:t>
      </w:r>
      <w:r w:rsidR="00FB0DD8">
        <w:rPr>
          <w:rFonts w:ascii="Times New Roman" w:eastAsia="Calibri" w:hAnsi="Times New Roman"/>
          <w:color w:val="000000"/>
          <w:szCs w:val="24"/>
        </w:rPr>
        <w:t xml:space="preserve">definētās </w:t>
      </w:r>
      <w:r w:rsidRPr="008D09DE">
        <w:rPr>
          <w:rFonts w:ascii="Times New Roman" w:eastAsia="Calibri" w:hAnsi="Times New Roman"/>
          <w:color w:val="000000"/>
          <w:szCs w:val="24"/>
        </w:rPr>
        <w:t>apņemšanās</w:t>
      </w:r>
      <w:r w:rsidRPr="001946E0">
        <w:rPr>
          <w:rFonts w:ascii="Times New Roman" w:eastAsia="Calibri" w:hAnsi="Times New Roman"/>
          <w:color w:val="000000"/>
          <w:szCs w:val="24"/>
        </w:rPr>
        <w:t xml:space="preserve">, </w:t>
      </w:r>
      <w:r w:rsidRPr="00946C9E">
        <w:rPr>
          <w:rFonts w:ascii="Times New Roman" w:eastAsia="Calibri" w:hAnsi="Times New Roman"/>
          <w:color w:val="000000"/>
          <w:szCs w:val="24"/>
        </w:rPr>
        <w:t xml:space="preserve">īstenot </w:t>
      </w:r>
      <w:r>
        <w:rPr>
          <w:rFonts w:ascii="Times New Roman" w:eastAsia="Calibri" w:hAnsi="Times New Roman"/>
          <w:color w:val="000000"/>
          <w:szCs w:val="24"/>
        </w:rPr>
        <w:t>LSAP</w:t>
      </w:r>
      <w:r w:rsidRPr="001946E0">
        <w:rPr>
          <w:rFonts w:ascii="Times New Roman" w:eastAsia="Calibri" w:hAnsi="Times New Roman"/>
          <w:color w:val="000000"/>
          <w:szCs w:val="24"/>
        </w:rPr>
        <w:t xml:space="preserve"> noteiktos virzienus </w:t>
      </w:r>
      <w:r>
        <w:rPr>
          <w:rFonts w:ascii="Times New Roman" w:eastAsia="Calibri" w:hAnsi="Times New Roman"/>
          <w:color w:val="000000"/>
          <w:szCs w:val="24"/>
        </w:rPr>
        <w:t>nosprausto</w:t>
      </w:r>
      <w:r w:rsidRPr="001946E0">
        <w:rPr>
          <w:rFonts w:ascii="Times New Roman" w:eastAsia="Calibri" w:hAnsi="Times New Roman"/>
          <w:color w:val="000000"/>
          <w:szCs w:val="24"/>
        </w:rPr>
        <w:t xml:space="preserve"> prioritāšu ietvaros</w:t>
      </w:r>
      <w:r>
        <w:rPr>
          <w:rFonts w:ascii="Times New Roman" w:eastAsia="Calibri" w:hAnsi="Times New Roman"/>
          <w:color w:val="000000"/>
          <w:szCs w:val="24"/>
        </w:rPr>
        <w:t xml:space="preserve"> </w:t>
      </w:r>
      <w:r w:rsidRPr="001946E0">
        <w:rPr>
          <w:rFonts w:ascii="Times New Roman" w:eastAsia="Calibri" w:hAnsi="Times New Roman"/>
          <w:color w:val="000000"/>
          <w:szCs w:val="24"/>
        </w:rPr>
        <w:t xml:space="preserve">- ekonomikas izaugsme, sociālā drošība un publiskās pārvaldes </w:t>
      </w:r>
      <w:r>
        <w:rPr>
          <w:rFonts w:ascii="Times New Roman" w:eastAsia="Calibri" w:hAnsi="Times New Roman"/>
          <w:color w:val="000000"/>
          <w:szCs w:val="24"/>
        </w:rPr>
        <w:t>reformas, kas atbilst Ikgadējā i</w:t>
      </w:r>
      <w:r w:rsidRPr="001946E0">
        <w:rPr>
          <w:rFonts w:ascii="Times New Roman" w:eastAsia="Calibri" w:hAnsi="Times New Roman"/>
          <w:color w:val="000000"/>
          <w:szCs w:val="24"/>
        </w:rPr>
        <w:t>zaugsmes ziņojuma prioritātēm un Eiro Plus pakta apņemšanām (skatīt 3.</w:t>
      </w:r>
      <w:r>
        <w:rPr>
          <w:rFonts w:ascii="Times New Roman" w:eastAsia="Calibri" w:hAnsi="Times New Roman"/>
          <w:color w:val="000000"/>
          <w:szCs w:val="24"/>
        </w:rPr>
        <w:t xml:space="preserve"> un</w:t>
      </w:r>
      <w:r w:rsidRPr="001946E0">
        <w:rPr>
          <w:rFonts w:ascii="Times New Roman" w:eastAsia="Calibri" w:hAnsi="Times New Roman"/>
          <w:color w:val="000000"/>
          <w:szCs w:val="24"/>
        </w:rPr>
        <w:t xml:space="preserve"> 6. sadaļu, kā arī </w:t>
      </w:r>
      <w:r>
        <w:rPr>
          <w:rFonts w:ascii="Times New Roman" w:eastAsia="Calibri" w:hAnsi="Times New Roman"/>
          <w:color w:val="000000"/>
          <w:szCs w:val="24"/>
        </w:rPr>
        <w:t>NRP</w:t>
      </w:r>
      <w:r w:rsidRPr="001946E0">
        <w:rPr>
          <w:rFonts w:ascii="Times New Roman" w:eastAsia="Calibri" w:hAnsi="Times New Roman"/>
          <w:color w:val="000000"/>
          <w:szCs w:val="24"/>
        </w:rPr>
        <w:t>).</w:t>
      </w:r>
    </w:p>
    <w:p w14:paraId="4DDD129E" w14:textId="0D65356D" w:rsidR="0060396D" w:rsidRDefault="0060396D" w:rsidP="00A82596">
      <w:pPr>
        <w:ind w:firstLine="720"/>
        <w:rPr>
          <w:color w:val="000000"/>
        </w:rPr>
      </w:pPr>
      <w:r>
        <w:rPr>
          <w:color w:val="000000"/>
        </w:rPr>
        <w:t xml:space="preserve">Latvijas </w:t>
      </w:r>
      <w:r w:rsidRPr="0038002F">
        <w:rPr>
          <w:color w:val="000000"/>
        </w:rPr>
        <w:t>MTO</w:t>
      </w:r>
      <w:r>
        <w:rPr>
          <w:color w:val="000000"/>
        </w:rPr>
        <w:t xml:space="preserve"> atbilstoši </w:t>
      </w:r>
      <w:r w:rsidR="00FE0E5F">
        <w:rPr>
          <w:color w:val="000000"/>
        </w:rPr>
        <w:t>FDL</w:t>
      </w:r>
      <w:r w:rsidRPr="001946E0">
        <w:rPr>
          <w:color w:val="000000"/>
        </w:rPr>
        <w:t xml:space="preserve"> </w:t>
      </w:r>
      <w:r>
        <w:rPr>
          <w:color w:val="000000"/>
        </w:rPr>
        <w:t xml:space="preserve">ir strukturālais deficīts </w:t>
      </w:r>
      <w:r w:rsidRPr="001946E0">
        <w:rPr>
          <w:color w:val="000000"/>
        </w:rPr>
        <w:t>0,5 % no IKP</w:t>
      </w:r>
      <w:r>
        <w:rPr>
          <w:color w:val="000000"/>
        </w:rPr>
        <w:t xml:space="preserve"> apmērā. Latvija to sasniedza 2012.gadā. Līdz ar to turpmāk</w:t>
      </w:r>
      <w:r w:rsidR="00455264">
        <w:rPr>
          <w:color w:val="000000"/>
        </w:rPr>
        <w:t>o</w:t>
      </w:r>
      <w:r>
        <w:rPr>
          <w:color w:val="000000"/>
        </w:rPr>
        <w:t xml:space="preserve"> gadu uzdevums vairs nav strukturālā deficīta samazināšana, bet gan noturēšana MTO līmenī, pieļaujot tikai tādas atkāpes, kas atbilst Stabilitātes un izaugsmes </w:t>
      </w:r>
      <w:r w:rsidR="00A82596">
        <w:rPr>
          <w:color w:val="000000"/>
        </w:rPr>
        <w:t>paktam.</w:t>
      </w:r>
    </w:p>
    <w:p w14:paraId="35201AAE" w14:textId="77690C9B" w:rsidR="0060396D" w:rsidRDefault="0060396D" w:rsidP="0060396D">
      <w:pPr>
        <w:pStyle w:val="teksts"/>
        <w:ind w:firstLine="720"/>
        <w:rPr>
          <w:rFonts w:ascii="Times New Roman" w:eastAsia="Calibri" w:hAnsi="Times New Roman"/>
          <w:color w:val="000000"/>
          <w:szCs w:val="24"/>
        </w:rPr>
      </w:pPr>
      <w:r>
        <w:rPr>
          <w:rFonts w:ascii="Times New Roman" w:eastAsia="Calibri" w:hAnsi="Times New Roman"/>
          <w:color w:val="000000"/>
          <w:szCs w:val="24"/>
        </w:rPr>
        <w:t xml:space="preserve">Jāatzīmē, ka 2013.gadā stājās spēkā </w:t>
      </w:r>
      <w:r w:rsidR="00FB0DD8">
        <w:rPr>
          <w:rFonts w:ascii="Times New Roman" w:eastAsia="Calibri" w:hAnsi="Times New Roman"/>
          <w:color w:val="000000"/>
          <w:szCs w:val="24"/>
        </w:rPr>
        <w:t>FDL</w:t>
      </w:r>
      <w:r>
        <w:rPr>
          <w:rFonts w:ascii="Times New Roman" w:eastAsia="Calibri" w:hAnsi="Times New Roman"/>
          <w:color w:val="000000"/>
          <w:szCs w:val="24"/>
        </w:rPr>
        <w:t xml:space="preserve">, kura nosacījumi </w:t>
      </w:r>
      <w:r w:rsidR="00C529CF">
        <w:rPr>
          <w:rFonts w:ascii="Times New Roman" w:eastAsia="Calibri" w:hAnsi="Times New Roman"/>
          <w:color w:val="000000"/>
          <w:szCs w:val="24"/>
        </w:rPr>
        <w:t xml:space="preserve">attieksies </w:t>
      </w:r>
      <w:r>
        <w:rPr>
          <w:rFonts w:ascii="Times New Roman" w:eastAsia="Calibri" w:hAnsi="Times New Roman"/>
          <w:color w:val="000000"/>
          <w:szCs w:val="24"/>
        </w:rPr>
        <w:t>uz 2014</w:t>
      </w:r>
      <w:r w:rsidR="00C529CF">
        <w:rPr>
          <w:rFonts w:ascii="Times New Roman" w:eastAsia="Calibri" w:hAnsi="Times New Roman"/>
          <w:color w:val="000000"/>
          <w:szCs w:val="24"/>
        </w:rPr>
        <w:t>.</w:t>
      </w:r>
      <w:r>
        <w:rPr>
          <w:rFonts w:ascii="Times New Roman" w:eastAsia="Calibri" w:hAnsi="Times New Roman"/>
          <w:color w:val="000000"/>
          <w:szCs w:val="24"/>
        </w:rPr>
        <w:t xml:space="preserve"> -2016</w:t>
      </w:r>
      <w:r w:rsidR="00C529CF">
        <w:rPr>
          <w:rFonts w:ascii="Times New Roman" w:eastAsia="Calibri" w:hAnsi="Times New Roman"/>
          <w:color w:val="000000"/>
          <w:szCs w:val="24"/>
        </w:rPr>
        <w:t>.</w:t>
      </w:r>
      <w:r>
        <w:rPr>
          <w:rFonts w:ascii="Times New Roman" w:eastAsia="Calibri" w:hAnsi="Times New Roman"/>
          <w:color w:val="000000"/>
          <w:szCs w:val="24"/>
        </w:rPr>
        <w:t xml:space="preserve">gada </w:t>
      </w:r>
      <w:r w:rsidR="00460AA7">
        <w:rPr>
          <w:rFonts w:ascii="Times New Roman" w:eastAsia="Calibri" w:hAnsi="Times New Roman"/>
          <w:color w:val="000000"/>
          <w:szCs w:val="24"/>
        </w:rPr>
        <w:t>I</w:t>
      </w:r>
      <w:r>
        <w:rPr>
          <w:rFonts w:ascii="Times New Roman" w:eastAsia="Calibri" w:hAnsi="Times New Roman"/>
          <w:color w:val="000000"/>
          <w:szCs w:val="24"/>
        </w:rPr>
        <w:t xml:space="preserve">etvara likumu un 2014.gada valsts budžeta likumu. </w:t>
      </w:r>
      <w:r w:rsidR="00A11559">
        <w:rPr>
          <w:rFonts w:ascii="Times New Roman" w:eastAsia="Calibri" w:hAnsi="Times New Roman"/>
          <w:color w:val="000000"/>
          <w:szCs w:val="24"/>
        </w:rPr>
        <w:t>FDL</w:t>
      </w:r>
      <w:r>
        <w:rPr>
          <w:rFonts w:ascii="Times New Roman" w:eastAsia="Calibri" w:hAnsi="Times New Roman"/>
          <w:color w:val="000000"/>
          <w:szCs w:val="24"/>
        </w:rPr>
        <w:t xml:space="preserve"> paredz, ka fiskālie mērķi tiek noteikti strukturālajā nevis nominālajā izteiksmē, līdz ar to 2013.gada pieļaujamais deficīts vēl ir noteikts nomināl</w:t>
      </w:r>
      <w:r w:rsidR="003E50FB">
        <w:rPr>
          <w:rFonts w:ascii="Times New Roman" w:eastAsia="Calibri" w:hAnsi="Times New Roman"/>
          <w:color w:val="000000"/>
          <w:szCs w:val="24"/>
        </w:rPr>
        <w:t>ā</w:t>
      </w:r>
      <w:r>
        <w:rPr>
          <w:rFonts w:ascii="Times New Roman" w:eastAsia="Calibri" w:hAnsi="Times New Roman"/>
          <w:color w:val="000000"/>
          <w:szCs w:val="24"/>
        </w:rPr>
        <w:t xml:space="preserve"> izteiksmē, bet sākot ar 2014.gadu pieļaujamais deficīts tiek noteikts strukturālā izteiksmē.</w:t>
      </w:r>
    </w:p>
    <w:p w14:paraId="2BAC528A" w14:textId="7B69092D" w:rsidR="0060396D" w:rsidRDefault="0060396D" w:rsidP="005F323B">
      <w:pPr>
        <w:pStyle w:val="teksts"/>
        <w:ind w:firstLine="720"/>
        <w:rPr>
          <w:rFonts w:ascii="Times New Roman" w:hAnsi="Times New Roman"/>
          <w:color w:val="000000"/>
        </w:rPr>
      </w:pPr>
      <w:r>
        <w:rPr>
          <w:rFonts w:ascii="Times New Roman" w:eastAsia="Calibri" w:hAnsi="Times New Roman"/>
          <w:color w:val="000000"/>
          <w:szCs w:val="24"/>
        </w:rPr>
        <w:t xml:space="preserve">Šim apstāklim ir nozīme, vērtējot 2013.gada fiskālos rādītājus. 2013.- 2015. gada </w:t>
      </w:r>
      <w:r w:rsidR="00460AA7">
        <w:rPr>
          <w:rFonts w:ascii="Times New Roman" w:eastAsia="Calibri" w:hAnsi="Times New Roman"/>
          <w:color w:val="000000"/>
          <w:szCs w:val="24"/>
        </w:rPr>
        <w:t>I</w:t>
      </w:r>
      <w:r>
        <w:rPr>
          <w:rFonts w:ascii="Times New Roman" w:eastAsia="Calibri" w:hAnsi="Times New Roman"/>
          <w:color w:val="000000"/>
          <w:szCs w:val="24"/>
        </w:rPr>
        <w:t xml:space="preserve">etvara likumā noteiktais </w:t>
      </w:r>
      <w:r>
        <w:rPr>
          <w:rFonts w:ascii="Times New Roman" w:hAnsi="Times New Roman"/>
          <w:color w:val="000000"/>
        </w:rPr>
        <w:t xml:space="preserve">vispārējās valdības budžeta </w:t>
      </w:r>
      <w:r w:rsidRPr="00F1097B">
        <w:rPr>
          <w:rFonts w:ascii="Times New Roman" w:hAnsi="Times New Roman"/>
          <w:color w:val="000000"/>
        </w:rPr>
        <w:t>deficīta mērķis</w:t>
      </w:r>
      <w:r>
        <w:rPr>
          <w:rFonts w:ascii="Times New Roman" w:hAnsi="Times New Roman"/>
          <w:color w:val="000000"/>
        </w:rPr>
        <w:t xml:space="preserve"> ir 1,4% no IKP. Pašreizējās prognozes pie nemainīgas valdības politikas rāda, ka vispārējās valdības budžeta </w:t>
      </w:r>
      <w:r w:rsidRPr="00F1097B">
        <w:rPr>
          <w:rFonts w:ascii="Times New Roman" w:hAnsi="Times New Roman"/>
          <w:color w:val="000000"/>
        </w:rPr>
        <w:t>deficīt</w:t>
      </w:r>
      <w:r w:rsidR="00460AA7">
        <w:rPr>
          <w:rFonts w:ascii="Times New Roman" w:hAnsi="Times New Roman"/>
          <w:color w:val="000000"/>
        </w:rPr>
        <w:t>s 2013.gadā</w:t>
      </w:r>
      <w:r>
        <w:rPr>
          <w:rFonts w:ascii="Times New Roman" w:hAnsi="Times New Roman"/>
          <w:color w:val="000000"/>
        </w:rPr>
        <w:t xml:space="preserve"> būs 1,1% no IKP un strukturālais deficīts arī 1,1% no IKP. Lai arī nominālais deficīts pret 2012.gadu samazinās no 1,2% uz 1,1%, strukturālais deficīts palielinās no 0,5% uz 1,1%. </w:t>
      </w:r>
    </w:p>
    <w:p w14:paraId="0CE73CFF" w14:textId="23E70986" w:rsidR="0060396D" w:rsidRPr="00F070D2" w:rsidRDefault="0060396D" w:rsidP="00460AA7">
      <w:pPr>
        <w:ind w:firstLine="720"/>
        <w:rPr>
          <w:rFonts w:eastAsia="Calibri"/>
          <w:szCs w:val="24"/>
          <w:lang w:eastAsia="lv-LV"/>
        </w:rPr>
      </w:pPr>
      <w:r>
        <w:rPr>
          <w:color w:val="000000"/>
        </w:rPr>
        <w:t xml:space="preserve">Strukturālā deficīta novirze no MTO vērtības ir saskaņā ar  Stabilitātes un </w:t>
      </w:r>
      <w:r w:rsidR="003E50FB">
        <w:rPr>
          <w:color w:val="000000"/>
        </w:rPr>
        <w:t>i</w:t>
      </w:r>
      <w:r>
        <w:rPr>
          <w:color w:val="000000"/>
        </w:rPr>
        <w:t xml:space="preserve">zaugsmes paktu, jo tā ir saistīta ar iemaksu palielinājumu 2.pensiju līmenī 2013.gadā no </w:t>
      </w:r>
      <w:r w:rsidR="00455264">
        <w:rPr>
          <w:color w:val="000000"/>
        </w:rPr>
        <w:t>2</w:t>
      </w:r>
      <w:r>
        <w:rPr>
          <w:color w:val="000000"/>
        </w:rPr>
        <w:t xml:space="preserve">% uz </w:t>
      </w:r>
      <w:r w:rsidR="00455264">
        <w:rPr>
          <w:color w:val="000000"/>
        </w:rPr>
        <w:t>4</w:t>
      </w:r>
      <w:r>
        <w:rPr>
          <w:color w:val="000000"/>
        </w:rPr>
        <w:t>%. Iemaksu palielinājum</w:t>
      </w:r>
      <w:r w:rsidR="003E50FB">
        <w:rPr>
          <w:color w:val="000000"/>
        </w:rPr>
        <w:t>s</w:t>
      </w:r>
      <w:r>
        <w:rPr>
          <w:color w:val="000000"/>
        </w:rPr>
        <w:t xml:space="preserve"> </w:t>
      </w:r>
      <w:r w:rsidR="003E50FB">
        <w:rPr>
          <w:color w:val="000000"/>
        </w:rPr>
        <w:t xml:space="preserve"> rada </w:t>
      </w:r>
      <w:r>
        <w:rPr>
          <w:color w:val="000000"/>
        </w:rPr>
        <w:t>ieņēmumu kritum</w:t>
      </w:r>
      <w:r w:rsidR="003E50FB">
        <w:rPr>
          <w:color w:val="000000"/>
        </w:rPr>
        <w:t>u</w:t>
      </w:r>
      <w:r>
        <w:rPr>
          <w:color w:val="000000"/>
        </w:rPr>
        <w:t xml:space="preserve"> </w:t>
      </w:r>
      <w:r w:rsidR="0023518A">
        <w:rPr>
          <w:color w:val="000000"/>
        </w:rPr>
        <w:t>sociālās nodrošināšanas fondos</w:t>
      </w:r>
      <w:r w:rsidR="00F070D2">
        <w:rPr>
          <w:rFonts w:eastAsia="Calibri"/>
          <w:szCs w:val="24"/>
          <w:lang w:eastAsia="lv-LV"/>
        </w:rPr>
        <w:t xml:space="preserve"> </w:t>
      </w:r>
      <w:r>
        <w:rPr>
          <w:color w:val="000000"/>
        </w:rPr>
        <w:t>0,5% no IKP</w:t>
      </w:r>
      <w:r w:rsidR="003E50FB">
        <w:rPr>
          <w:color w:val="000000"/>
        </w:rPr>
        <w:t xml:space="preserve"> apmērā</w:t>
      </w:r>
      <w:r>
        <w:rPr>
          <w:color w:val="000000"/>
        </w:rPr>
        <w:t xml:space="preserve">. Saskaņā ar Stabilitātes un Izaugsmes paktu, dalībvalsts var novirzīties no MTO </w:t>
      </w:r>
      <w:r>
        <w:rPr>
          <w:color w:val="000000"/>
        </w:rPr>
        <w:lastRenderedPageBreak/>
        <w:t>apmērā, kas nepārsniedz iemaksu palielinājuma 2.pensiju līmenī fiskālo ietekmi, t.i. par 0,5% no IKP. Līdz ar to</w:t>
      </w:r>
      <w:r w:rsidR="00340E24">
        <w:rPr>
          <w:color w:val="000000"/>
        </w:rPr>
        <w:t xml:space="preserve"> tiek pieņemts, ka</w:t>
      </w:r>
      <w:r>
        <w:rPr>
          <w:color w:val="000000"/>
        </w:rPr>
        <w:t xml:space="preserve"> 2013.gada prognozētais strukturālais deficīts </w:t>
      </w:r>
      <w:r w:rsidRPr="0038002F">
        <w:rPr>
          <w:color w:val="000000"/>
        </w:rPr>
        <w:t xml:space="preserve">1,1% no IKP </w:t>
      </w:r>
      <w:r w:rsidR="00340E24" w:rsidRPr="0038002F">
        <w:rPr>
          <w:color w:val="000000"/>
        </w:rPr>
        <w:t>prognozēšanas kļūdas precizitātes robežās atbilst strukturālā deficīta mērķim -</w:t>
      </w:r>
      <w:r w:rsidRPr="0038002F">
        <w:rPr>
          <w:color w:val="000000"/>
        </w:rPr>
        <w:t xml:space="preserve"> 1,0%</w:t>
      </w:r>
      <w:r w:rsidR="00FD1BFE" w:rsidRPr="0038002F">
        <w:rPr>
          <w:color w:val="000000"/>
        </w:rPr>
        <w:t xml:space="preserve"> no</w:t>
      </w:r>
      <w:r w:rsidRPr="0038002F">
        <w:rPr>
          <w:color w:val="000000"/>
        </w:rPr>
        <w:t xml:space="preserve"> IKP</w:t>
      </w:r>
      <w:r w:rsidR="00340E24" w:rsidRPr="0038002F">
        <w:rPr>
          <w:color w:val="000000"/>
        </w:rPr>
        <w:t xml:space="preserve"> un</w:t>
      </w:r>
      <w:r w:rsidRPr="0038002F">
        <w:rPr>
          <w:color w:val="000000"/>
        </w:rPr>
        <w:t xml:space="preserve"> ir saskaņā ar Stabilitātes un izaugsmes pakta nosacījumiem.</w:t>
      </w:r>
    </w:p>
    <w:p w14:paraId="1E1BB358" w14:textId="0C639C5D" w:rsidR="0060396D" w:rsidRDefault="0060396D" w:rsidP="0038002F">
      <w:pPr>
        <w:pStyle w:val="teksts"/>
        <w:ind w:firstLine="720"/>
        <w:rPr>
          <w:rFonts w:ascii="Times New Roman" w:hAnsi="Times New Roman"/>
          <w:color w:val="000000"/>
        </w:rPr>
      </w:pPr>
      <w:r>
        <w:rPr>
          <w:rFonts w:ascii="Times New Roman" w:hAnsi="Times New Roman"/>
          <w:color w:val="000000"/>
        </w:rPr>
        <w:t xml:space="preserve">  Lai arī pašreizējās prognozes rāda, ka 2013.gada budžeta deficīts būs zemāks kā bija plānots (1,1% pret 1,4%), pastāv fiskālie riski, kuriem iestājoties, budžeta deficīts varētu palielināties, nepārsniedzot </w:t>
      </w:r>
      <w:r w:rsidR="00460AA7">
        <w:rPr>
          <w:rFonts w:ascii="Times New Roman" w:hAnsi="Times New Roman"/>
          <w:color w:val="000000"/>
        </w:rPr>
        <w:t>I</w:t>
      </w:r>
      <w:r>
        <w:rPr>
          <w:rFonts w:ascii="Times New Roman" w:hAnsi="Times New Roman"/>
          <w:color w:val="000000"/>
        </w:rPr>
        <w:t>etvara likumā noteikto deficīta mērķi 1,4% no IKP.</w:t>
      </w:r>
    </w:p>
    <w:p w14:paraId="27BBECFE" w14:textId="23327027" w:rsidR="0060396D" w:rsidRDefault="0060396D" w:rsidP="0038002F">
      <w:pPr>
        <w:pStyle w:val="teksts"/>
        <w:ind w:firstLine="720"/>
        <w:rPr>
          <w:rFonts w:ascii="Times New Roman" w:hAnsi="Times New Roman"/>
          <w:color w:val="000000"/>
        </w:rPr>
      </w:pPr>
      <w:r>
        <w:rPr>
          <w:rFonts w:ascii="Times New Roman" w:hAnsi="Times New Roman"/>
          <w:color w:val="000000"/>
        </w:rPr>
        <w:t>Fiskālās attīstības scenārijs 2014</w:t>
      </w:r>
      <w:r w:rsidR="00C529CF">
        <w:rPr>
          <w:rFonts w:ascii="Times New Roman" w:hAnsi="Times New Roman"/>
          <w:color w:val="000000"/>
        </w:rPr>
        <w:t>.</w:t>
      </w:r>
      <w:r>
        <w:rPr>
          <w:rFonts w:ascii="Times New Roman" w:hAnsi="Times New Roman"/>
          <w:color w:val="000000"/>
        </w:rPr>
        <w:t xml:space="preserve">-2016.gadam ir veidots, nosakot fiskālos mērķus </w:t>
      </w:r>
      <w:r w:rsidRPr="0038002F">
        <w:rPr>
          <w:rFonts w:ascii="Times New Roman" w:hAnsi="Times New Roman"/>
          <w:color w:val="000000"/>
        </w:rPr>
        <w:t xml:space="preserve">pēc </w:t>
      </w:r>
      <w:r w:rsidRPr="0038002F">
        <w:rPr>
          <w:rFonts w:ascii="Times New Roman" w:hAnsi="Times New Roman"/>
          <w:i/>
          <w:color w:val="000000"/>
        </w:rPr>
        <w:t>top</w:t>
      </w:r>
      <w:r w:rsidR="00A82596" w:rsidRPr="0038002F">
        <w:rPr>
          <w:rFonts w:ascii="Times New Roman" w:hAnsi="Times New Roman"/>
          <w:i/>
          <w:color w:val="000000"/>
        </w:rPr>
        <w:t xml:space="preserve"> </w:t>
      </w:r>
      <w:r w:rsidRPr="0038002F">
        <w:rPr>
          <w:rFonts w:ascii="Times New Roman" w:hAnsi="Times New Roman"/>
          <w:i/>
          <w:color w:val="000000"/>
        </w:rPr>
        <w:t xml:space="preserve">- </w:t>
      </w:r>
      <w:proofErr w:type="spellStart"/>
      <w:r w:rsidRPr="0038002F">
        <w:rPr>
          <w:rFonts w:ascii="Times New Roman" w:hAnsi="Times New Roman"/>
          <w:i/>
          <w:color w:val="000000"/>
        </w:rPr>
        <w:t>down</w:t>
      </w:r>
      <w:proofErr w:type="spellEnd"/>
      <w:r w:rsidR="00ED59CD" w:rsidRPr="0038002F">
        <w:rPr>
          <w:rStyle w:val="FootnoteReference"/>
          <w:i/>
          <w:color w:val="000000"/>
        </w:rPr>
        <w:footnoteReference w:id="8"/>
      </w:r>
      <w:r w:rsidRPr="0038002F">
        <w:rPr>
          <w:rFonts w:ascii="Times New Roman" w:hAnsi="Times New Roman"/>
          <w:color w:val="000000"/>
        </w:rPr>
        <w:t xml:space="preserve"> principa, ievērojot </w:t>
      </w:r>
      <w:r w:rsidR="00867C2A">
        <w:rPr>
          <w:rFonts w:ascii="Times New Roman" w:hAnsi="Times New Roman"/>
          <w:color w:val="000000"/>
        </w:rPr>
        <w:t>FDL</w:t>
      </w:r>
      <w:r w:rsidRPr="0038002F">
        <w:rPr>
          <w:rFonts w:ascii="Times New Roman" w:hAnsi="Times New Roman"/>
          <w:color w:val="000000"/>
        </w:rPr>
        <w:t xml:space="preserve"> normas atti</w:t>
      </w:r>
      <w:r>
        <w:rPr>
          <w:rFonts w:ascii="Times New Roman" w:hAnsi="Times New Roman"/>
          <w:color w:val="000000"/>
        </w:rPr>
        <w:t>ecībā uz izdevumu pieaugumu un strukturālā deficīta līmeni un ievērojot optimālu balansu starp nodokļu sloga samazinājumu un izdevumu pieaugumu.</w:t>
      </w:r>
    </w:p>
    <w:p w14:paraId="6F7FA4B0" w14:textId="77777777" w:rsidR="0060396D" w:rsidRDefault="0060396D" w:rsidP="005F323B">
      <w:pPr>
        <w:pStyle w:val="teksts"/>
        <w:ind w:firstLine="720"/>
        <w:rPr>
          <w:rFonts w:ascii="Times New Roman" w:hAnsi="Times New Roman"/>
          <w:color w:val="000000"/>
        </w:rPr>
      </w:pPr>
      <w:r>
        <w:rPr>
          <w:rFonts w:ascii="Times New Roman" w:hAnsi="Times New Roman"/>
          <w:color w:val="000000"/>
        </w:rPr>
        <w:t>Pieļaujamais strukturālā deficīta mērķis tiek noteikts par pamatu ņemot nacionālo MTO (-0,5%) un izmantojot iespējamās novirzes iemaksu palielinājumam 2.pensiju līmenī.</w:t>
      </w:r>
    </w:p>
    <w:p w14:paraId="0EDDDAAB" w14:textId="5959F075" w:rsidR="0060396D" w:rsidRPr="00AE6118" w:rsidRDefault="0060396D" w:rsidP="005F323B">
      <w:pPr>
        <w:pStyle w:val="teksts"/>
        <w:ind w:firstLine="720"/>
        <w:rPr>
          <w:rFonts w:ascii="Times New Roman" w:hAnsi="Times New Roman"/>
          <w:color w:val="000000"/>
        </w:rPr>
      </w:pPr>
      <w:r>
        <w:rPr>
          <w:rFonts w:ascii="Times New Roman" w:hAnsi="Times New Roman"/>
          <w:color w:val="000000"/>
        </w:rPr>
        <w:t>Iemaksu palielinājums 2.pensiju līmenī tiek veikts 3 posmos</w:t>
      </w:r>
      <w:r w:rsidR="003E50FB">
        <w:rPr>
          <w:rFonts w:ascii="Times New Roman" w:hAnsi="Times New Roman"/>
          <w:color w:val="000000"/>
        </w:rPr>
        <w:t>:</w:t>
      </w:r>
      <w:r>
        <w:rPr>
          <w:rFonts w:ascii="Times New Roman" w:hAnsi="Times New Roman"/>
          <w:color w:val="000000"/>
        </w:rPr>
        <w:t xml:space="preserve"> 2013.gadā palielinot iemaksas no 2 uz 4% (fiskālā ietekme 0,50% no IKP), 2015.gadā palielinot iemaksas </w:t>
      </w:r>
      <w:r w:rsidR="003E50FB">
        <w:rPr>
          <w:rFonts w:ascii="Times New Roman" w:hAnsi="Times New Roman"/>
          <w:color w:val="000000"/>
        </w:rPr>
        <w:t>no 4 uz 5%</w:t>
      </w:r>
      <w:r>
        <w:rPr>
          <w:rFonts w:ascii="Times New Roman" w:hAnsi="Times New Roman"/>
          <w:color w:val="000000"/>
        </w:rPr>
        <w:t xml:space="preserve"> (fiskālā ietekme 0,27% no IKP) un 2016.gadā palielinot iemaksu </w:t>
      </w:r>
      <w:r w:rsidR="003E50FB">
        <w:rPr>
          <w:rFonts w:ascii="Times New Roman" w:hAnsi="Times New Roman"/>
          <w:color w:val="000000"/>
        </w:rPr>
        <w:t>no 5 uz 6%</w:t>
      </w:r>
      <w:r>
        <w:rPr>
          <w:rFonts w:ascii="Times New Roman" w:hAnsi="Times New Roman"/>
          <w:color w:val="000000"/>
        </w:rPr>
        <w:t xml:space="preserve"> (fiskālā ietekme 0,29% no IKP).</w:t>
      </w:r>
      <w:r w:rsidRPr="00AE6118">
        <w:rPr>
          <w:rFonts w:ascii="EUAlbertina" w:eastAsia="Calibri" w:hAnsi="EUAlbertina"/>
          <w:szCs w:val="24"/>
          <w:lang w:eastAsia="en-GB"/>
        </w:rPr>
        <w:t xml:space="preserve"> </w:t>
      </w:r>
    </w:p>
    <w:p w14:paraId="701A86CB" w14:textId="721E766E" w:rsidR="0060396D" w:rsidRDefault="0060396D" w:rsidP="00736129">
      <w:pPr>
        <w:autoSpaceDE w:val="0"/>
        <w:autoSpaceDN w:val="0"/>
        <w:adjustRightInd w:val="0"/>
        <w:spacing w:before="60" w:after="60"/>
        <w:ind w:firstLine="720"/>
        <w:rPr>
          <w:color w:val="000000"/>
        </w:rPr>
      </w:pPr>
      <w:r>
        <w:rPr>
          <w:color w:val="000000"/>
        </w:rPr>
        <w:t>Regula</w:t>
      </w:r>
      <w:r w:rsidR="00476CBC">
        <w:rPr>
          <w:color w:val="000000"/>
        </w:rPr>
        <w:t>s</w:t>
      </w:r>
      <w:r>
        <w:rPr>
          <w:color w:val="000000"/>
        </w:rPr>
        <w:t xml:space="preserve"> </w:t>
      </w:r>
      <w:proofErr w:type="spellStart"/>
      <w:r>
        <w:rPr>
          <w:color w:val="000000"/>
        </w:rPr>
        <w:t>nr</w:t>
      </w:r>
      <w:proofErr w:type="spellEnd"/>
      <w:r>
        <w:rPr>
          <w:color w:val="000000"/>
        </w:rPr>
        <w:t>. 1</w:t>
      </w:r>
      <w:r w:rsidR="00476CBC">
        <w:rPr>
          <w:color w:val="000000"/>
        </w:rPr>
        <w:t>175/2011</w:t>
      </w:r>
      <w:r w:rsidR="00111F8F">
        <w:rPr>
          <w:color w:val="000000"/>
        </w:rPr>
        <w:t xml:space="preserve"> 9.pants cita starpā no</w:t>
      </w:r>
      <w:r>
        <w:rPr>
          <w:color w:val="000000"/>
        </w:rPr>
        <w:t>saka</w:t>
      </w:r>
      <w:r w:rsidR="00111F8F">
        <w:rPr>
          <w:color w:val="000000"/>
        </w:rPr>
        <w:t>:</w:t>
      </w:r>
      <w:r w:rsidRPr="00AE6118">
        <w:rPr>
          <w:color w:val="000000"/>
        </w:rPr>
        <w:t xml:space="preserve"> </w:t>
      </w:r>
      <w:r w:rsidR="00111F8F">
        <w:rPr>
          <w:color w:val="000000"/>
        </w:rPr>
        <w:t>„</w:t>
      </w:r>
      <w:r w:rsidR="00111F8F" w:rsidRPr="00674AAE">
        <w:rPr>
          <w:i/>
          <w:color w:val="000000"/>
        </w:rPr>
        <w:t>Nosakot</w:t>
      </w:r>
      <w:r w:rsidR="00111F8F" w:rsidRPr="0038002F">
        <w:rPr>
          <w:i/>
          <w:color w:val="000000"/>
        </w:rPr>
        <w:t xml:space="preserve"> </w:t>
      </w:r>
      <w:r w:rsidRPr="0038002F">
        <w:rPr>
          <w:i/>
          <w:color w:val="000000"/>
        </w:rPr>
        <w:t>korekcijas vidēja termiņa budžeta mērķa sasniegšanai dalībvalstīm, kas šo mērķi vēl nav sasniegušas, kā arī ļaujot dalībvalstīm, kuras to ir sasniegušas, uz laiku novirzīties no šā mērķa ar noteikumu, ka ir saglabāta pienācīga drošības rezerve attiecībā pret deficīta atsauces vērtību un ir paredzams, ka programmas darbības termiņā budžeta stāvoklis atkal būs atbilstīgs vidēja termiņa budžeta mērķim, Padome un Komisija ņem vērā to būtisko strukturālo reformu īstenošanu, kuras tieši pozitīvi ietekmē budžetu ilgtermiņā, tostarp palielinot ilgtspējīgas izaugsmes potenciālu, un tādējādi pārbaudāmi veicina publisko finanšu ilgtermiņa stabilitāti. Īpaša uzmanība tiek pievērsta pensiju reformām, ar ko ievieš vairāku līmeņu sistēmu, kurā ietverts obligāts, pilnībā finansēts pensiju līmenis. Dalībvalstīm, kas īsteno šādas reformas, ir ļauts pilnībā neveikt vidēja termiņa budžeta mērķu sasniegšanai vajadzīgās korekcijas vai novirzīties no mērķa kopumā, novirzei atspoguļojot apmēru, kādā reforma papildus tieši ietekmē valsts kopbudžeta bilanci, ar noteikumu, ka tiek saglabāta pienācīga drošības rezerve attiecībā pret deficīta atsauces vērtību</w:t>
      </w:r>
      <w:r w:rsidR="00674AAE">
        <w:rPr>
          <w:i/>
          <w:color w:val="000000"/>
        </w:rPr>
        <w:t>.</w:t>
      </w:r>
      <w:r w:rsidR="00111F8F">
        <w:rPr>
          <w:color w:val="000000"/>
        </w:rPr>
        <w:t>”</w:t>
      </w:r>
    </w:p>
    <w:p w14:paraId="44B20E2F" w14:textId="77777777" w:rsidR="0060396D" w:rsidRDefault="0060396D" w:rsidP="0060396D">
      <w:pPr>
        <w:pStyle w:val="teksts"/>
        <w:ind w:firstLine="720"/>
        <w:rPr>
          <w:rFonts w:ascii="Times New Roman" w:hAnsi="Times New Roman"/>
          <w:color w:val="000000"/>
        </w:rPr>
      </w:pPr>
      <w:r>
        <w:rPr>
          <w:rFonts w:ascii="Times New Roman" w:hAnsi="Times New Roman"/>
          <w:color w:val="000000"/>
        </w:rPr>
        <w:t>Saskaņā ar šīs regulas nosacījumiem dalībvalsts drīkst atkāpties no MTO par lielumu, kas atbilst reformas fiskālai ietekmei un šī atkāpe ir „jādzēš” nākamo 3 gadu laikā.</w:t>
      </w:r>
    </w:p>
    <w:p w14:paraId="1EACE107" w14:textId="61053C9E" w:rsidR="008C62DB" w:rsidRPr="008C62DB" w:rsidRDefault="0060396D" w:rsidP="008C62DB">
      <w:pPr>
        <w:pStyle w:val="teksts"/>
        <w:ind w:firstLine="720"/>
        <w:rPr>
          <w:rFonts w:ascii="Times New Roman" w:hAnsi="Times New Roman"/>
          <w:color w:val="000000"/>
        </w:rPr>
      </w:pPr>
      <w:r>
        <w:rPr>
          <w:rFonts w:ascii="Times New Roman" w:hAnsi="Times New Roman"/>
          <w:color w:val="000000"/>
        </w:rPr>
        <w:t>Saskaņā ar šo nosacījumu</w:t>
      </w:r>
      <w:r w:rsidR="00867C2A">
        <w:rPr>
          <w:rFonts w:ascii="Times New Roman" w:hAnsi="Times New Roman"/>
          <w:color w:val="000000"/>
        </w:rPr>
        <w:t>,</w:t>
      </w:r>
      <w:r>
        <w:rPr>
          <w:rFonts w:ascii="Times New Roman" w:hAnsi="Times New Roman"/>
          <w:color w:val="000000"/>
        </w:rPr>
        <w:t xml:space="preserve"> 2014.gadā un 2015.gadā strukturālā deficīta mērķis tiek not</w:t>
      </w:r>
      <w:r w:rsidR="00CF3D7A">
        <w:rPr>
          <w:rFonts w:ascii="Times New Roman" w:hAnsi="Times New Roman"/>
          <w:color w:val="000000"/>
        </w:rPr>
        <w:t>eikts 1,0% no IKP apmērā un 2016</w:t>
      </w:r>
      <w:r>
        <w:rPr>
          <w:rFonts w:ascii="Times New Roman" w:hAnsi="Times New Roman"/>
          <w:color w:val="000000"/>
        </w:rPr>
        <w:t xml:space="preserve">.gadā 0,9% </w:t>
      </w:r>
      <w:r w:rsidRPr="00476CBC">
        <w:rPr>
          <w:rFonts w:ascii="Times New Roman" w:hAnsi="Times New Roman"/>
          <w:color w:val="000000"/>
        </w:rPr>
        <w:t>no IKP apmērā. Latvija pilnībā dzēsīs atkāpes un atgriezīsies pie MTO 2019.gadā. Atkāpju veidošanas un samazināšana</w:t>
      </w:r>
      <w:r w:rsidR="00736129" w:rsidRPr="00476CBC">
        <w:rPr>
          <w:rFonts w:ascii="Times New Roman" w:hAnsi="Times New Roman"/>
          <w:color w:val="000000"/>
        </w:rPr>
        <w:t xml:space="preserve">s scenārijs parādīts </w:t>
      </w:r>
      <w:r w:rsidR="00FE51AD" w:rsidRPr="00476CBC">
        <w:rPr>
          <w:rFonts w:ascii="Times New Roman" w:hAnsi="Times New Roman"/>
          <w:color w:val="000000"/>
        </w:rPr>
        <w:t xml:space="preserve">4.1. </w:t>
      </w:r>
      <w:r w:rsidR="00736129" w:rsidRPr="00476CBC">
        <w:rPr>
          <w:rFonts w:ascii="Times New Roman" w:hAnsi="Times New Roman"/>
          <w:color w:val="000000"/>
        </w:rPr>
        <w:t>tabulā.</w:t>
      </w:r>
    </w:p>
    <w:p w14:paraId="74CC33D5" w14:textId="77777777" w:rsidR="008C62DB" w:rsidRDefault="008C62DB" w:rsidP="00736129">
      <w:pPr>
        <w:jc w:val="right"/>
        <w:rPr>
          <w:szCs w:val="24"/>
        </w:rPr>
      </w:pPr>
    </w:p>
    <w:p w14:paraId="58ED6EC2" w14:textId="77777777" w:rsidR="008C62DB" w:rsidRDefault="008C62DB" w:rsidP="00736129">
      <w:pPr>
        <w:jc w:val="right"/>
        <w:rPr>
          <w:szCs w:val="24"/>
        </w:rPr>
      </w:pPr>
    </w:p>
    <w:p w14:paraId="64724C7D" w14:textId="77777777" w:rsidR="00460AA7" w:rsidRDefault="00460AA7" w:rsidP="00736129">
      <w:pPr>
        <w:jc w:val="right"/>
        <w:rPr>
          <w:szCs w:val="24"/>
        </w:rPr>
      </w:pPr>
    </w:p>
    <w:p w14:paraId="3CF72293" w14:textId="769E6A66" w:rsidR="0060396D" w:rsidRPr="00736129" w:rsidRDefault="0060396D" w:rsidP="00736129">
      <w:pPr>
        <w:jc w:val="right"/>
        <w:rPr>
          <w:szCs w:val="24"/>
        </w:rPr>
      </w:pPr>
      <w:r>
        <w:rPr>
          <w:szCs w:val="24"/>
        </w:rPr>
        <w:lastRenderedPageBreak/>
        <w:t xml:space="preserve">4.1. tabula </w:t>
      </w:r>
      <w:r>
        <w:rPr>
          <w:noProof/>
          <w:szCs w:val="24"/>
        </w:rPr>
        <w:t>Strukturālās bilances atkāpju no MTO lielumi sa</w:t>
      </w:r>
      <w:r w:rsidR="00F35291">
        <w:rPr>
          <w:noProof/>
          <w:szCs w:val="24"/>
        </w:rPr>
        <w:t>aistībā</w:t>
      </w:r>
      <w:r>
        <w:rPr>
          <w:noProof/>
          <w:szCs w:val="24"/>
        </w:rPr>
        <w:t xml:space="preserve"> ar iemaksu palielināšanu 2.pensiju līmenī  un šo atkāpju samazināšanas scenārijs.  </w:t>
      </w:r>
    </w:p>
    <w:tbl>
      <w:tblPr>
        <w:tblW w:w="8729" w:type="dxa"/>
        <w:tblInd w:w="98" w:type="dxa"/>
        <w:tblLook w:val="04A0" w:firstRow="1" w:lastRow="0" w:firstColumn="1" w:lastColumn="0" w:noHBand="0" w:noVBand="1"/>
      </w:tblPr>
      <w:tblGrid>
        <w:gridCol w:w="1086"/>
        <w:gridCol w:w="1085"/>
        <w:gridCol w:w="851"/>
        <w:gridCol w:w="851"/>
        <w:gridCol w:w="992"/>
        <w:gridCol w:w="992"/>
        <w:gridCol w:w="992"/>
        <w:gridCol w:w="851"/>
        <w:gridCol w:w="1064"/>
      </w:tblGrid>
      <w:tr w:rsidR="00B51348" w:rsidRPr="00736129" w14:paraId="61E44B93" w14:textId="77777777" w:rsidTr="00A04FB5">
        <w:trPr>
          <w:trHeight w:val="310"/>
        </w:trPr>
        <w:tc>
          <w:tcPr>
            <w:tcW w:w="2136" w:type="dxa"/>
            <w:gridSpan w:val="2"/>
            <w:tcBorders>
              <w:top w:val="double" w:sz="4" w:space="0" w:color="auto"/>
              <w:left w:val="double" w:sz="4" w:space="0" w:color="auto"/>
              <w:bottom w:val="single" w:sz="4" w:space="0" w:color="auto"/>
              <w:right w:val="single" w:sz="4" w:space="0" w:color="000000"/>
            </w:tcBorders>
            <w:shd w:val="clear" w:color="auto" w:fill="auto"/>
            <w:noWrap/>
            <w:vAlign w:val="bottom"/>
            <w:hideMark/>
          </w:tcPr>
          <w:p w14:paraId="6FF63971" w14:textId="77777777" w:rsidR="0060396D" w:rsidRPr="003F61A1" w:rsidRDefault="0060396D" w:rsidP="00F46473">
            <w:pPr>
              <w:spacing w:after="0"/>
              <w:ind w:firstLine="0"/>
              <w:jc w:val="left"/>
              <w:rPr>
                <w:color w:val="000000"/>
                <w:sz w:val="18"/>
                <w:szCs w:val="18"/>
              </w:rPr>
            </w:pP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14:paraId="54068E4C" w14:textId="77777777" w:rsidR="0060396D" w:rsidRPr="003F61A1" w:rsidRDefault="0060396D" w:rsidP="00F46473">
            <w:pPr>
              <w:spacing w:after="0"/>
              <w:ind w:firstLine="0"/>
              <w:jc w:val="right"/>
              <w:rPr>
                <w:color w:val="000000"/>
                <w:sz w:val="18"/>
                <w:szCs w:val="18"/>
                <w:lang w:val="en-GB"/>
              </w:rPr>
            </w:pPr>
            <w:r w:rsidRPr="003F61A1">
              <w:rPr>
                <w:color w:val="000000"/>
                <w:sz w:val="18"/>
                <w:szCs w:val="18"/>
                <w:lang w:val="en-GB"/>
              </w:rPr>
              <w:t>2013</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14:paraId="1A8DE954" w14:textId="77777777" w:rsidR="0060396D" w:rsidRPr="003F61A1" w:rsidRDefault="0060396D" w:rsidP="00F46473">
            <w:pPr>
              <w:spacing w:after="0"/>
              <w:ind w:firstLine="0"/>
              <w:jc w:val="right"/>
              <w:rPr>
                <w:color w:val="000000"/>
                <w:sz w:val="18"/>
                <w:szCs w:val="18"/>
                <w:lang w:val="en-GB"/>
              </w:rPr>
            </w:pPr>
            <w:r w:rsidRPr="003F61A1">
              <w:rPr>
                <w:color w:val="000000"/>
                <w:sz w:val="18"/>
                <w:szCs w:val="18"/>
                <w:lang w:val="en-GB"/>
              </w:rPr>
              <w:t>2014</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14:paraId="513D0EAF" w14:textId="77777777" w:rsidR="0060396D" w:rsidRPr="003F61A1" w:rsidRDefault="0060396D" w:rsidP="00F46473">
            <w:pPr>
              <w:spacing w:after="0"/>
              <w:ind w:firstLine="0"/>
              <w:jc w:val="right"/>
              <w:rPr>
                <w:color w:val="000000"/>
                <w:sz w:val="18"/>
                <w:szCs w:val="18"/>
                <w:lang w:val="en-GB"/>
              </w:rPr>
            </w:pPr>
            <w:r w:rsidRPr="003F61A1">
              <w:rPr>
                <w:color w:val="000000"/>
                <w:sz w:val="18"/>
                <w:szCs w:val="18"/>
                <w:lang w:val="en-GB"/>
              </w:rPr>
              <w:t>2015</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14:paraId="2E69413E" w14:textId="77777777" w:rsidR="0060396D" w:rsidRPr="003F61A1" w:rsidRDefault="0060396D" w:rsidP="00F46473">
            <w:pPr>
              <w:spacing w:after="0"/>
              <w:ind w:firstLine="0"/>
              <w:jc w:val="right"/>
              <w:rPr>
                <w:color w:val="000000"/>
                <w:sz w:val="18"/>
                <w:szCs w:val="18"/>
                <w:lang w:val="en-GB"/>
              </w:rPr>
            </w:pPr>
            <w:r w:rsidRPr="003F61A1">
              <w:rPr>
                <w:color w:val="000000"/>
                <w:sz w:val="18"/>
                <w:szCs w:val="18"/>
                <w:lang w:val="en-GB"/>
              </w:rPr>
              <w:t>2016</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14:paraId="16F8B00F" w14:textId="77777777" w:rsidR="0060396D" w:rsidRPr="003F61A1" w:rsidRDefault="0060396D" w:rsidP="00F46473">
            <w:pPr>
              <w:spacing w:after="0"/>
              <w:ind w:firstLine="0"/>
              <w:jc w:val="right"/>
              <w:rPr>
                <w:color w:val="000000"/>
                <w:sz w:val="18"/>
                <w:szCs w:val="18"/>
                <w:lang w:val="en-GB"/>
              </w:rPr>
            </w:pPr>
            <w:r w:rsidRPr="003F61A1">
              <w:rPr>
                <w:color w:val="000000"/>
                <w:sz w:val="18"/>
                <w:szCs w:val="18"/>
                <w:lang w:val="en-GB"/>
              </w:rPr>
              <w:t>2017</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14:paraId="5D86DC54" w14:textId="77777777" w:rsidR="0060396D" w:rsidRPr="003F61A1" w:rsidRDefault="0060396D" w:rsidP="00F46473">
            <w:pPr>
              <w:spacing w:after="0"/>
              <w:ind w:firstLine="0"/>
              <w:jc w:val="right"/>
              <w:rPr>
                <w:color w:val="000000"/>
                <w:sz w:val="18"/>
                <w:szCs w:val="18"/>
                <w:lang w:val="en-GB"/>
              </w:rPr>
            </w:pPr>
            <w:r w:rsidRPr="003F61A1">
              <w:rPr>
                <w:color w:val="000000"/>
                <w:sz w:val="18"/>
                <w:szCs w:val="18"/>
                <w:lang w:val="en-GB"/>
              </w:rPr>
              <w:t>2018</w:t>
            </w:r>
          </w:p>
        </w:tc>
        <w:tc>
          <w:tcPr>
            <w:tcW w:w="1064" w:type="dxa"/>
            <w:tcBorders>
              <w:top w:val="double" w:sz="4" w:space="0" w:color="auto"/>
              <w:left w:val="nil"/>
              <w:bottom w:val="single" w:sz="4" w:space="0" w:color="auto"/>
              <w:right w:val="double" w:sz="4" w:space="0" w:color="auto"/>
            </w:tcBorders>
            <w:shd w:val="clear" w:color="auto" w:fill="auto"/>
            <w:noWrap/>
            <w:vAlign w:val="bottom"/>
            <w:hideMark/>
          </w:tcPr>
          <w:p w14:paraId="19BF7B27" w14:textId="77777777" w:rsidR="0060396D" w:rsidRPr="003F61A1" w:rsidRDefault="0060396D" w:rsidP="00F46473">
            <w:pPr>
              <w:spacing w:after="0"/>
              <w:ind w:firstLine="0"/>
              <w:jc w:val="right"/>
              <w:rPr>
                <w:color w:val="000000"/>
                <w:sz w:val="18"/>
                <w:szCs w:val="18"/>
                <w:lang w:val="en-GB"/>
              </w:rPr>
            </w:pPr>
            <w:r w:rsidRPr="003F61A1">
              <w:rPr>
                <w:color w:val="000000"/>
                <w:sz w:val="18"/>
                <w:szCs w:val="18"/>
                <w:lang w:val="en-GB"/>
              </w:rPr>
              <w:t>2019</w:t>
            </w:r>
          </w:p>
        </w:tc>
      </w:tr>
      <w:tr w:rsidR="00B51348" w:rsidRPr="00736129" w14:paraId="634272AF" w14:textId="77777777" w:rsidTr="00A04FB5">
        <w:trPr>
          <w:trHeight w:val="310"/>
        </w:trPr>
        <w:tc>
          <w:tcPr>
            <w:tcW w:w="2136" w:type="dxa"/>
            <w:gridSpan w:val="2"/>
            <w:tcBorders>
              <w:top w:val="single" w:sz="8" w:space="0" w:color="auto"/>
              <w:left w:val="double" w:sz="4" w:space="0" w:color="auto"/>
              <w:bottom w:val="single" w:sz="4" w:space="0" w:color="auto"/>
              <w:right w:val="single" w:sz="4" w:space="0" w:color="000000"/>
            </w:tcBorders>
            <w:shd w:val="clear" w:color="auto" w:fill="auto"/>
            <w:noWrap/>
            <w:vAlign w:val="bottom"/>
            <w:hideMark/>
          </w:tcPr>
          <w:p w14:paraId="0E344064" w14:textId="77777777" w:rsidR="0060396D" w:rsidRPr="003F61A1" w:rsidRDefault="0060396D" w:rsidP="00F46473">
            <w:pPr>
              <w:spacing w:after="0"/>
              <w:ind w:firstLine="0"/>
              <w:jc w:val="left"/>
              <w:rPr>
                <w:color w:val="000000"/>
                <w:sz w:val="18"/>
                <w:szCs w:val="18"/>
                <w:lang w:val="en-GB"/>
              </w:rPr>
            </w:pPr>
            <w:r w:rsidRPr="003F61A1">
              <w:rPr>
                <w:color w:val="000000"/>
                <w:sz w:val="18"/>
                <w:szCs w:val="18"/>
                <w:lang w:val="en-GB"/>
              </w:rPr>
              <w:t>MTO</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0596E4B8"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08D116A7"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585EB3CC"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44247C9D"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46CD7544"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53189090"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1064" w:type="dxa"/>
            <w:tcBorders>
              <w:top w:val="single" w:sz="8" w:space="0" w:color="auto"/>
              <w:left w:val="nil"/>
              <w:bottom w:val="single" w:sz="4" w:space="0" w:color="auto"/>
              <w:right w:val="double" w:sz="4" w:space="0" w:color="auto"/>
            </w:tcBorders>
            <w:shd w:val="clear" w:color="auto" w:fill="auto"/>
            <w:noWrap/>
            <w:vAlign w:val="bottom"/>
            <w:hideMark/>
          </w:tcPr>
          <w:p w14:paraId="706EBC80"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r>
      <w:tr w:rsidR="00B51348" w:rsidRPr="00736129" w14:paraId="5862E769" w14:textId="77777777" w:rsidTr="00A04FB5">
        <w:trPr>
          <w:trHeight w:val="310"/>
        </w:trPr>
        <w:tc>
          <w:tcPr>
            <w:tcW w:w="1051" w:type="dxa"/>
            <w:tcBorders>
              <w:top w:val="nil"/>
              <w:left w:val="double" w:sz="4" w:space="0" w:color="auto"/>
              <w:bottom w:val="single" w:sz="4" w:space="0" w:color="auto"/>
              <w:right w:val="single" w:sz="4" w:space="0" w:color="auto"/>
            </w:tcBorders>
            <w:shd w:val="clear" w:color="auto" w:fill="auto"/>
            <w:noWrap/>
            <w:vAlign w:val="bottom"/>
            <w:hideMark/>
          </w:tcPr>
          <w:p w14:paraId="07368AE7" w14:textId="77777777" w:rsidR="0060396D" w:rsidRPr="003F61A1" w:rsidRDefault="0060396D" w:rsidP="00F46473">
            <w:pPr>
              <w:spacing w:after="0"/>
              <w:ind w:firstLine="0"/>
              <w:jc w:val="left"/>
              <w:rPr>
                <w:color w:val="000000"/>
                <w:sz w:val="18"/>
                <w:szCs w:val="18"/>
              </w:rPr>
            </w:pPr>
            <w:r w:rsidRPr="003F61A1">
              <w:rPr>
                <w:color w:val="000000"/>
                <w:sz w:val="18"/>
                <w:szCs w:val="18"/>
              </w:rPr>
              <w:t>Pieļaujamās atkāpes</w:t>
            </w:r>
          </w:p>
        </w:tc>
        <w:tc>
          <w:tcPr>
            <w:tcW w:w="1085" w:type="dxa"/>
            <w:tcBorders>
              <w:top w:val="nil"/>
              <w:left w:val="nil"/>
              <w:bottom w:val="single" w:sz="4" w:space="0" w:color="auto"/>
              <w:right w:val="single" w:sz="4" w:space="0" w:color="auto"/>
            </w:tcBorders>
            <w:shd w:val="clear" w:color="auto" w:fill="auto"/>
            <w:noWrap/>
            <w:vAlign w:val="bottom"/>
            <w:hideMark/>
          </w:tcPr>
          <w:p w14:paraId="527B85E6"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xml:space="preserve">no 2% </w:t>
            </w:r>
            <w:proofErr w:type="spellStart"/>
            <w:r w:rsidRPr="003F61A1">
              <w:rPr>
                <w:color w:val="000000"/>
                <w:sz w:val="18"/>
                <w:szCs w:val="18"/>
                <w:lang w:val="en-GB"/>
              </w:rPr>
              <w:t>uz</w:t>
            </w:r>
            <w:proofErr w:type="spellEnd"/>
            <w:r w:rsidRPr="003F61A1">
              <w:rPr>
                <w:color w:val="000000"/>
                <w:sz w:val="18"/>
                <w:szCs w:val="18"/>
                <w:lang w:val="en-GB"/>
              </w:rPr>
              <w:t xml:space="preserve"> 4%</w:t>
            </w:r>
          </w:p>
        </w:tc>
        <w:tc>
          <w:tcPr>
            <w:tcW w:w="851" w:type="dxa"/>
            <w:tcBorders>
              <w:top w:val="nil"/>
              <w:left w:val="nil"/>
              <w:bottom w:val="single" w:sz="4" w:space="0" w:color="auto"/>
              <w:right w:val="single" w:sz="4" w:space="0" w:color="auto"/>
            </w:tcBorders>
            <w:shd w:val="clear" w:color="auto" w:fill="auto"/>
            <w:noWrap/>
            <w:vAlign w:val="bottom"/>
            <w:hideMark/>
          </w:tcPr>
          <w:p w14:paraId="67CCBB6B"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851" w:type="dxa"/>
            <w:tcBorders>
              <w:top w:val="nil"/>
              <w:left w:val="nil"/>
              <w:bottom w:val="single" w:sz="4" w:space="0" w:color="auto"/>
              <w:right w:val="single" w:sz="4" w:space="0" w:color="auto"/>
            </w:tcBorders>
            <w:shd w:val="clear" w:color="auto" w:fill="auto"/>
            <w:noWrap/>
            <w:vAlign w:val="bottom"/>
            <w:hideMark/>
          </w:tcPr>
          <w:p w14:paraId="343EE32B"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-0,500%</w:t>
            </w:r>
          </w:p>
        </w:tc>
        <w:tc>
          <w:tcPr>
            <w:tcW w:w="992" w:type="dxa"/>
            <w:tcBorders>
              <w:top w:val="nil"/>
              <w:left w:val="nil"/>
              <w:bottom w:val="single" w:sz="4" w:space="0" w:color="auto"/>
              <w:right w:val="single" w:sz="4" w:space="0" w:color="auto"/>
            </w:tcBorders>
            <w:shd w:val="clear" w:color="auto" w:fill="auto"/>
            <w:noWrap/>
            <w:vAlign w:val="bottom"/>
            <w:hideMark/>
          </w:tcPr>
          <w:p w14:paraId="6B9DC6A7"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-0,250%</w:t>
            </w:r>
          </w:p>
        </w:tc>
        <w:tc>
          <w:tcPr>
            <w:tcW w:w="992" w:type="dxa"/>
            <w:tcBorders>
              <w:top w:val="nil"/>
              <w:left w:val="nil"/>
              <w:bottom w:val="single" w:sz="4" w:space="0" w:color="auto"/>
              <w:right w:val="single" w:sz="4" w:space="0" w:color="auto"/>
            </w:tcBorders>
            <w:shd w:val="clear" w:color="auto" w:fill="auto"/>
            <w:noWrap/>
            <w:vAlign w:val="bottom"/>
            <w:hideMark/>
          </w:tcPr>
          <w:p w14:paraId="1EDAF34D"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0,000%</w:t>
            </w:r>
          </w:p>
        </w:tc>
        <w:tc>
          <w:tcPr>
            <w:tcW w:w="992" w:type="dxa"/>
            <w:tcBorders>
              <w:top w:val="nil"/>
              <w:left w:val="nil"/>
              <w:bottom w:val="single" w:sz="4" w:space="0" w:color="auto"/>
              <w:right w:val="single" w:sz="4" w:space="0" w:color="auto"/>
            </w:tcBorders>
            <w:shd w:val="clear" w:color="auto" w:fill="auto"/>
            <w:noWrap/>
            <w:vAlign w:val="bottom"/>
            <w:hideMark/>
          </w:tcPr>
          <w:p w14:paraId="50B4838C"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278300"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c>
          <w:tcPr>
            <w:tcW w:w="1064" w:type="dxa"/>
            <w:tcBorders>
              <w:top w:val="nil"/>
              <w:left w:val="nil"/>
              <w:bottom w:val="single" w:sz="4" w:space="0" w:color="auto"/>
              <w:right w:val="double" w:sz="4" w:space="0" w:color="auto"/>
            </w:tcBorders>
            <w:shd w:val="clear" w:color="auto" w:fill="auto"/>
            <w:noWrap/>
            <w:vAlign w:val="bottom"/>
            <w:hideMark/>
          </w:tcPr>
          <w:p w14:paraId="5ED97B7A"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r>
      <w:tr w:rsidR="00B51348" w:rsidRPr="00736129" w14:paraId="5EB402A1" w14:textId="77777777" w:rsidTr="00A04FB5">
        <w:trPr>
          <w:trHeight w:val="310"/>
        </w:trPr>
        <w:tc>
          <w:tcPr>
            <w:tcW w:w="1051" w:type="dxa"/>
            <w:tcBorders>
              <w:top w:val="nil"/>
              <w:left w:val="double" w:sz="4" w:space="0" w:color="auto"/>
              <w:bottom w:val="single" w:sz="4" w:space="0" w:color="auto"/>
              <w:right w:val="single" w:sz="4" w:space="0" w:color="auto"/>
            </w:tcBorders>
            <w:shd w:val="clear" w:color="auto" w:fill="auto"/>
            <w:noWrap/>
            <w:vAlign w:val="bottom"/>
            <w:hideMark/>
          </w:tcPr>
          <w:p w14:paraId="65549D28" w14:textId="77777777" w:rsidR="0060396D" w:rsidRPr="003F61A1" w:rsidRDefault="0060396D" w:rsidP="00F46473">
            <w:pPr>
              <w:spacing w:after="0"/>
              <w:ind w:firstLine="0"/>
              <w:jc w:val="left"/>
              <w:rPr>
                <w:color w:val="000000"/>
                <w:sz w:val="18"/>
                <w:szCs w:val="18"/>
                <w:lang w:val="en-GB"/>
              </w:rPr>
            </w:pPr>
            <w:r w:rsidRPr="003F61A1">
              <w:rPr>
                <w:color w:val="000000"/>
                <w:sz w:val="18"/>
                <w:szCs w:val="18"/>
                <w:lang w:val="en-GB"/>
              </w:rPr>
              <w:t> </w:t>
            </w:r>
          </w:p>
        </w:tc>
        <w:tc>
          <w:tcPr>
            <w:tcW w:w="1085" w:type="dxa"/>
            <w:tcBorders>
              <w:top w:val="nil"/>
              <w:left w:val="nil"/>
              <w:bottom w:val="single" w:sz="4" w:space="0" w:color="auto"/>
              <w:right w:val="single" w:sz="4" w:space="0" w:color="auto"/>
            </w:tcBorders>
            <w:shd w:val="clear" w:color="auto" w:fill="auto"/>
            <w:noWrap/>
            <w:vAlign w:val="bottom"/>
            <w:hideMark/>
          </w:tcPr>
          <w:p w14:paraId="7A1DE497"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xml:space="preserve">no 4% </w:t>
            </w:r>
            <w:proofErr w:type="spellStart"/>
            <w:r w:rsidRPr="003F61A1">
              <w:rPr>
                <w:color w:val="000000"/>
                <w:sz w:val="18"/>
                <w:szCs w:val="18"/>
                <w:lang w:val="en-GB"/>
              </w:rPr>
              <w:t>uz</w:t>
            </w:r>
            <w:proofErr w:type="spellEnd"/>
            <w:r w:rsidRPr="003F61A1">
              <w:rPr>
                <w:color w:val="000000"/>
                <w:sz w:val="18"/>
                <w:szCs w:val="18"/>
                <w:lang w:val="en-GB"/>
              </w:rPr>
              <w:t xml:space="preserve"> 5%</w:t>
            </w:r>
          </w:p>
        </w:tc>
        <w:tc>
          <w:tcPr>
            <w:tcW w:w="851" w:type="dxa"/>
            <w:tcBorders>
              <w:top w:val="nil"/>
              <w:left w:val="nil"/>
              <w:bottom w:val="single" w:sz="4" w:space="0" w:color="auto"/>
              <w:right w:val="single" w:sz="4" w:space="0" w:color="auto"/>
            </w:tcBorders>
            <w:shd w:val="clear" w:color="auto" w:fill="auto"/>
            <w:noWrap/>
            <w:vAlign w:val="bottom"/>
            <w:hideMark/>
          </w:tcPr>
          <w:p w14:paraId="67D7659F"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D626CD6"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c>
          <w:tcPr>
            <w:tcW w:w="992" w:type="dxa"/>
            <w:tcBorders>
              <w:top w:val="nil"/>
              <w:left w:val="nil"/>
              <w:bottom w:val="single" w:sz="4" w:space="0" w:color="auto"/>
              <w:right w:val="single" w:sz="4" w:space="0" w:color="auto"/>
            </w:tcBorders>
            <w:shd w:val="clear" w:color="auto" w:fill="auto"/>
            <w:noWrap/>
            <w:vAlign w:val="bottom"/>
            <w:hideMark/>
          </w:tcPr>
          <w:p w14:paraId="53F6330B"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-0,274%</w:t>
            </w:r>
          </w:p>
        </w:tc>
        <w:tc>
          <w:tcPr>
            <w:tcW w:w="992" w:type="dxa"/>
            <w:tcBorders>
              <w:top w:val="nil"/>
              <w:left w:val="nil"/>
              <w:bottom w:val="single" w:sz="4" w:space="0" w:color="auto"/>
              <w:right w:val="single" w:sz="4" w:space="0" w:color="auto"/>
            </w:tcBorders>
            <w:shd w:val="clear" w:color="auto" w:fill="auto"/>
            <w:noWrap/>
            <w:vAlign w:val="bottom"/>
            <w:hideMark/>
          </w:tcPr>
          <w:p w14:paraId="27111D04"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-0,137%</w:t>
            </w:r>
          </w:p>
        </w:tc>
        <w:tc>
          <w:tcPr>
            <w:tcW w:w="992" w:type="dxa"/>
            <w:tcBorders>
              <w:top w:val="nil"/>
              <w:left w:val="nil"/>
              <w:bottom w:val="single" w:sz="4" w:space="0" w:color="auto"/>
              <w:right w:val="single" w:sz="4" w:space="0" w:color="auto"/>
            </w:tcBorders>
            <w:shd w:val="clear" w:color="auto" w:fill="auto"/>
            <w:noWrap/>
            <w:vAlign w:val="bottom"/>
            <w:hideMark/>
          </w:tcPr>
          <w:p w14:paraId="5692EB22"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-0,069%</w:t>
            </w:r>
          </w:p>
        </w:tc>
        <w:tc>
          <w:tcPr>
            <w:tcW w:w="851" w:type="dxa"/>
            <w:tcBorders>
              <w:top w:val="nil"/>
              <w:left w:val="nil"/>
              <w:bottom w:val="single" w:sz="4" w:space="0" w:color="auto"/>
              <w:right w:val="single" w:sz="4" w:space="0" w:color="auto"/>
            </w:tcBorders>
            <w:shd w:val="clear" w:color="auto" w:fill="auto"/>
            <w:noWrap/>
            <w:vAlign w:val="bottom"/>
            <w:hideMark/>
          </w:tcPr>
          <w:p w14:paraId="5D535888"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0,000%</w:t>
            </w:r>
          </w:p>
        </w:tc>
        <w:tc>
          <w:tcPr>
            <w:tcW w:w="1064" w:type="dxa"/>
            <w:tcBorders>
              <w:top w:val="nil"/>
              <w:left w:val="nil"/>
              <w:bottom w:val="single" w:sz="4" w:space="0" w:color="auto"/>
              <w:right w:val="double" w:sz="4" w:space="0" w:color="auto"/>
            </w:tcBorders>
            <w:shd w:val="clear" w:color="auto" w:fill="auto"/>
            <w:noWrap/>
            <w:vAlign w:val="bottom"/>
            <w:hideMark/>
          </w:tcPr>
          <w:p w14:paraId="617849CC"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r>
      <w:tr w:rsidR="00B51348" w:rsidRPr="00736129" w14:paraId="6AC5D51A" w14:textId="77777777" w:rsidTr="00A04FB5">
        <w:trPr>
          <w:trHeight w:val="325"/>
        </w:trPr>
        <w:tc>
          <w:tcPr>
            <w:tcW w:w="1051" w:type="dxa"/>
            <w:tcBorders>
              <w:top w:val="nil"/>
              <w:left w:val="double" w:sz="4" w:space="0" w:color="auto"/>
              <w:bottom w:val="nil"/>
              <w:right w:val="single" w:sz="4" w:space="0" w:color="auto"/>
            </w:tcBorders>
            <w:shd w:val="clear" w:color="auto" w:fill="auto"/>
            <w:noWrap/>
            <w:vAlign w:val="bottom"/>
            <w:hideMark/>
          </w:tcPr>
          <w:p w14:paraId="3AD5CD6E" w14:textId="77777777" w:rsidR="0060396D" w:rsidRPr="003F61A1" w:rsidRDefault="0060396D" w:rsidP="00F46473">
            <w:pPr>
              <w:spacing w:after="0"/>
              <w:ind w:firstLine="0"/>
              <w:jc w:val="left"/>
              <w:rPr>
                <w:color w:val="000000"/>
                <w:sz w:val="18"/>
                <w:szCs w:val="18"/>
                <w:lang w:val="en-GB"/>
              </w:rPr>
            </w:pPr>
            <w:r w:rsidRPr="003F61A1">
              <w:rPr>
                <w:color w:val="000000"/>
                <w:sz w:val="18"/>
                <w:szCs w:val="18"/>
                <w:lang w:val="en-GB"/>
              </w:rPr>
              <w:t> </w:t>
            </w:r>
          </w:p>
        </w:tc>
        <w:tc>
          <w:tcPr>
            <w:tcW w:w="1085" w:type="dxa"/>
            <w:tcBorders>
              <w:top w:val="nil"/>
              <w:left w:val="nil"/>
              <w:bottom w:val="nil"/>
              <w:right w:val="single" w:sz="4" w:space="0" w:color="auto"/>
            </w:tcBorders>
            <w:shd w:val="clear" w:color="auto" w:fill="auto"/>
            <w:noWrap/>
            <w:vAlign w:val="bottom"/>
            <w:hideMark/>
          </w:tcPr>
          <w:p w14:paraId="3736C0DD"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xml:space="preserve">no 5% </w:t>
            </w:r>
            <w:proofErr w:type="spellStart"/>
            <w:r w:rsidRPr="003F61A1">
              <w:rPr>
                <w:color w:val="000000"/>
                <w:sz w:val="18"/>
                <w:szCs w:val="18"/>
                <w:lang w:val="en-GB"/>
              </w:rPr>
              <w:t>uz</w:t>
            </w:r>
            <w:proofErr w:type="spellEnd"/>
            <w:r w:rsidRPr="003F61A1">
              <w:rPr>
                <w:color w:val="000000"/>
                <w:sz w:val="18"/>
                <w:szCs w:val="18"/>
                <w:lang w:val="en-GB"/>
              </w:rPr>
              <w:t xml:space="preserve"> 6%</w:t>
            </w:r>
          </w:p>
        </w:tc>
        <w:tc>
          <w:tcPr>
            <w:tcW w:w="851" w:type="dxa"/>
            <w:tcBorders>
              <w:top w:val="nil"/>
              <w:left w:val="nil"/>
              <w:bottom w:val="nil"/>
              <w:right w:val="single" w:sz="4" w:space="0" w:color="auto"/>
            </w:tcBorders>
            <w:shd w:val="clear" w:color="auto" w:fill="auto"/>
            <w:noWrap/>
            <w:vAlign w:val="bottom"/>
            <w:hideMark/>
          </w:tcPr>
          <w:p w14:paraId="4A91B833"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c>
          <w:tcPr>
            <w:tcW w:w="851" w:type="dxa"/>
            <w:tcBorders>
              <w:top w:val="nil"/>
              <w:left w:val="nil"/>
              <w:bottom w:val="nil"/>
              <w:right w:val="single" w:sz="4" w:space="0" w:color="auto"/>
            </w:tcBorders>
            <w:shd w:val="clear" w:color="auto" w:fill="auto"/>
            <w:noWrap/>
            <w:vAlign w:val="bottom"/>
            <w:hideMark/>
          </w:tcPr>
          <w:p w14:paraId="5354552B"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c>
          <w:tcPr>
            <w:tcW w:w="992" w:type="dxa"/>
            <w:tcBorders>
              <w:top w:val="nil"/>
              <w:left w:val="nil"/>
              <w:bottom w:val="nil"/>
              <w:right w:val="single" w:sz="4" w:space="0" w:color="auto"/>
            </w:tcBorders>
            <w:shd w:val="clear" w:color="auto" w:fill="auto"/>
            <w:noWrap/>
            <w:vAlign w:val="bottom"/>
            <w:hideMark/>
          </w:tcPr>
          <w:p w14:paraId="655427E3" w14:textId="77777777" w:rsidR="0060396D" w:rsidRPr="003F61A1" w:rsidRDefault="0060396D" w:rsidP="00E13318">
            <w:pPr>
              <w:spacing w:after="0"/>
              <w:ind w:firstLine="0"/>
              <w:jc w:val="left"/>
              <w:rPr>
                <w:color w:val="000000"/>
                <w:sz w:val="18"/>
                <w:szCs w:val="18"/>
                <w:lang w:val="en-GB"/>
              </w:rPr>
            </w:pPr>
            <w:r w:rsidRPr="003F61A1">
              <w:rPr>
                <w:color w:val="000000"/>
                <w:sz w:val="18"/>
                <w:szCs w:val="18"/>
                <w:lang w:val="en-GB"/>
              </w:rPr>
              <w:t> </w:t>
            </w:r>
          </w:p>
        </w:tc>
        <w:tc>
          <w:tcPr>
            <w:tcW w:w="992" w:type="dxa"/>
            <w:tcBorders>
              <w:top w:val="nil"/>
              <w:left w:val="nil"/>
              <w:bottom w:val="nil"/>
              <w:right w:val="single" w:sz="4" w:space="0" w:color="auto"/>
            </w:tcBorders>
            <w:shd w:val="clear" w:color="auto" w:fill="auto"/>
            <w:noWrap/>
            <w:vAlign w:val="bottom"/>
            <w:hideMark/>
          </w:tcPr>
          <w:p w14:paraId="688B246D"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-0,286%</w:t>
            </w:r>
          </w:p>
        </w:tc>
        <w:tc>
          <w:tcPr>
            <w:tcW w:w="992" w:type="dxa"/>
            <w:tcBorders>
              <w:top w:val="nil"/>
              <w:left w:val="nil"/>
              <w:bottom w:val="nil"/>
              <w:right w:val="single" w:sz="4" w:space="0" w:color="auto"/>
            </w:tcBorders>
            <w:shd w:val="clear" w:color="auto" w:fill="auto"/>
            <w:noWrap/>
            <w:vAlign w:val="bottom"/>
            <w:hideMark/>
          </w:tcPr>
          <w:p w14:paraId="3D015831"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-0,191%</w:t>
            </w:r>
          </w:p>
        </w:tc>
        <w:tc>
          <w:tcPr>
            <w:tcW w:w="851" w:type="dxa"/>
            <w:tcBorders>
              <w:top w:val="nil"/>
              <w:left w:val="nil"/>
              <w:bottom w:val="nil"/>
              <w:right w:val="single" w:sz="4" w:space="0" w:color="auto"/>
            </w:tcBorders>
            <w:shd w:val="clear" w:color="auto" w:fill="auto"/>
            <w:noWrap/>
            <w:vAlign w:val="bottom"/>
            <w:hideMark/>
          </w:tcPr>
          <w:p w14:paraId="77A12D88"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-0,095%</w:t>
            </w:r>
          </w:p>
        </w:tc>
        <w:tc>
          <w:tcPr>
            <w:tcW w:w="1064" w:type="dxa"/>
            <w:tcBorders>
              <w:top w:val="nil"/>
              <w:left w:val="nil"/>
              <w:bottom w:val="nil"/>
              <w:right w:val="double" w:sz="4" w:space="0" w:color="auto"/>
            </w:tcBorders>
            <w:shd w:val="clear" w:color="auto" w:fill="auto"/>
            <w:noWrap/>
            <w:vAlign w:val="bottom"/>
            <w:hideMark/>
          </w:tcPr>
          <w:p w14:paraId="7D5CC386" w14:textId="77777777" w:rsidR="0060396D" w:rsidRPr="003F61A1" w:rsidRDefault="0060396D" w:rsidP="00E13318">
            <w:pPr>
              <w:spacing w:after="0"/>
              <w:ind w:firstLine="0"/>
              <w:jc w:val="right"/>
              <w:rPr>
                <w:color w:val="000000"/>
                <w:sz w:val="18"/>
                <w:szCs w:val="18"/>
                <w:lang w:val="en-GB"/>
              </w:rPr>
            </w:pPr>
            <w:r w:rsidRPr="003F61A1">
              <w:rPr>
                <w:color w:val="000000"/>
                <w:sz w:val="18"/>
                <w:szCs w:val="18"/>
                <w:lang w:val="en-GB"/>
              </w:rPr>
              <w:t>0,000%</w:t>
            </w:r>
          </w:p>
        </w:tc>
      </w:tr>
      <w:tr w:rsidR="00B51348" w:rsidRPr="00736129" w14:paraId="0170744D" w14:textId="77777777" w:rsidTr="00A04FB5">
        <w:trPr>
          <w:trHeight w:val="325"/>
        </w:trPr>
        <w:tc>
          <w:tcPr>
            <w:tcW w:w="2136" w:type="dxa"/>
            <w:gridSpan w:val="2"/>
            <w:tcBorders>
              <w:top w:val="single" w:sz="8" w:space="0" w:color="auto"/>
              <w:left w:val="double" w:sz="4" w:space="0" w:color="auto"/>
              <w:bottom w:val="double" w:sz="4" w:space="0" w:color="auto"/>
              <w:right w:val="single" w:sz="4" w:space="0" w:color="000000"/>
            </w:tcBorders>
            <w:shd w:val="clear" w:color="auto" w:fill="auto"/>
            <w:noWrap/>
            <w:vAlign w:val="bottom"/>
            <w:hideMark/>
          </w:tcPr>
          <w:p w14:paraId="428D362A" w14:textId="77777777" w:rsidR="0060396D" w:rsidRPr="003F61A1" w:rsidRDefault="0060396D" w:rsidP="00F46473">
            <w:pPr>
              <w:spacing w:after="0"/>
              <w:ind w:firstLine="0"/>
              <w:jc w:val="left"/>
              <w:rPr>
                <w:color w:val="000000"/>
                <w:sz w:val="18"/>
                <w:szCs w:val="18"/>
              </w:rPr>
            </w:pPr>
            <w:r w:rsidRPr="003F61A1">
              <w:rPr>
                <w:color w:val="000000"/>
                <w:sz w:val="18"/>
                <w:szCs w:val="18"/>
              </w:rPr>
              <w:t>Strukturālās bilances mērķis</w:t>
            </w:r>
          </w:p>
        </w:tc>
        <w:tc>
          <w:tcPr>
            <w:tcW w:w="851" w:type="dxa"/>
            <w:tcBorders>
              <w:top w:val="single" w:sz="8" w:space="0" w:color="auto"/>
              <w:left w:val="nil"/>
              <w:bottom w:val="double" w:sz="4" w:space="0" w:color="auto"/>
              <w:right w:val="single" w:sz="4" w:space="0" w:color="auto"/>
            </w:tcBorders>
            <w:shd w:val="clear" w:color="auto" w:fill="auto"/>
            <w:noWrap/>
            <w:vAlign w:val="bottom"/>
            <w:hideMark/>
          </w:tcPr>
          <w:p w14:paraId="3E63BC81" w14:textId="77777777" w:rsidR="0060396D" w:rsidRPr="003F61A1" w:rsidRDefault="0060396D" w:rsidP="00E13318">
            <w:pPr>
              <w:spacing w:after="0"/>
              <w:ind w:firstLine="0"/>
              <w:jc w:val="right"/>
              <w:rPr>
                <w:b/>
                <w:color w:val="000000"/>
                <w:sz w:val="18"/>
                <w:szCs w:val="18"/>
                <w:lang w:val="en-GB"/>
              </w:rPr>
            </w:pPr>
            <w:r w:rsidRPr="003F61A1">
              <w:rPr>
                <w:b/>
                <w:color w:val="000000"/>
                <w:sz w:val="18"/>
                <w:szCs w:val="18"/>
                <w:lang w:val="en-GB"/>
              </w:rPr>
              <w:t>-1,0%</w:t>
            </w:r>
          </w:p>
        </w:tc>
        <w:tc>
          <w:tcPr>
            <w:tcW w:w="851" w:type="dxa"/>
            <w:tcBorders>
              <w:top w:val="single" w:sz="8" w:space="0" w:color="auto"/>
              <w:left w:val="nil"/>
              <w:bottom w:val="double" w:sz="4" w:space="0" w:color="auto"/>
              <w:right w:val="single" w:sz="4" w:space="0" w:color="auto"/>
            </w:tcBorders>
            <w:shd w:val="clear" w:color="auto" w:fill="auto"/>
            <w:noWrap/>
            <w:vAlign w:val="bottom"/>
            <w:hideMark/>
          </w:tcPr>
          <w:p w14:paraId="13437323" w14:textId="77777777" w:rsidR="0060396D" w:rsidRPr="003F61A1" w:rsidRDefault="0060396D" w:rsidP="00E13318">
            <w:pPr>
              <w:spacing w:after="0"/>
              <w:ind w:firstLine="0"/>
              <w:jc w:val="right"/>
              <w:rPr>
                <w:b/>
                <w:color w:val="000000"/>
                <w:sz w:val="18"/>
                <w:szCs w:val="18"/>
                <w:lang w:val="en-GB"/>
              </w:rPr>
            </w:pPr>
            <w:r w:rsidRPr="003F61A1">
              <w:rPr>
                <w:b/>
                <w:color w:val="000000"/>
                <w:sz w:val="18"/>
                <w:szCs w:val="18"/>
                <w:lang w:val="en-GB"/>
              </w:rPr>
              <w:t>-1,0%</w:t>
            </w:r>
          </w:p>
        </w:tc>
        <w:tc>
          <w:tcPr>
            <w:tcW w:w="992" w:type="dxa"/>
            <w:tcBorders>
              <w:top w:val="single" w:sz="8" w:space="0" w:color="auto"/>
              <w:left w:val="nil"/>
              <w:bottom w:val="double" w:sz="4" w:space="0" w:color="auto"/>
              <w:right w:val="single" w:sz="4" w:space="0" w:color="auto"/>
            </w:tcBorders>
            <w:shd w:val="clear" w:color="auto" w:fill="auto"/>
            <w:noWrap/>
            <w:vAlign w:val="bottom"/>
            <w:hideMark/>
          </w:tcPr>
          <w:p w14:paraId="1DA4CA20" w14:textId="77777777" w:rsidR="0060396D" w:rsidRPr="003F61A1" w:rsidRDefault="0060396D" w:rsidP="00E13318">
            <w:pPr>
              <w:spacing w:after="0"/>
              <w:ind w:firstLine="0"/>
              <w:jc w:val="right"/>
              <w:rPr>
                <w:b/>
                <w:color w:val="000000"/>
                <w:sz w:val="18"/>
                <w:szCs w:val="18"/>
                <w:lang w:val="en-GB"/>
              </w:rPr>
            </w:pPr>
            <w:r w:rsidRPr="003F61A1">
              <w:rPr>
                <w:b/>
                <w:color w:val="000000"/>
                <w:sz w:val="18"/>
                <w:szCs w:val="18"/>
                <w:lang w:val="en-GB"/>
              </w:rPr>
              <w:t>-1,0%</w:t>
            </w:r>
          </w:p>
        </w:tc>
        <w:tc>
          <w:tcPr>
            <w:tcW w:w="992" w:type="dxa"/>
            <w:tcBorders>
              <w:top w:val="single" w:sz="8" w:space="0" w:color="auto"/>
              <w:left w:val="nil"/>
              <w:bottom w:val="double" w:sz="4" w:space="0" w:color="auto"/>
              <w:right w:val="single" w:sz="4" w:space="0" w:color="auto"/>
            </w:tcBorders>
            <w:shd w:val="clear" w:color="auto" w:fill="auto"/>
            <w:noWrap/>
            <w:vAlign w:val="bottom"/>
            <w:hideMark/>
          </w:tcPr>
          <w:p w14:paraId="55EB013E" w14:textId="77777777" w:rsidR="0060396D" w:rsidRPr="003F61A1" w:rsidRDefault="0060396D" w:rsidP="00E13318">
            <w:pPr>
              <w:spacing w:after="0"/>
              <w:ind w:firstLine="0"/>
              <w:jc w:val="right"/>
              <w:rPr>
                <w:b/>
                <w:color w:val="000000"/>
                <w:sz w:val="18"/>
                <w:szCs w:val="18"/>
                <w:lang w:val="en-GB"/>
              </w:rPr>
            </w:pPr>
            <w:r w:rsidRPr="003F61A1">
              <w:rPr>
                <w:b/>
                <w:color w:val="000000"/>
                <w:sz w:val="18"/>
                <w:szCs w:val="18"/>
                <w:lang w:val="en-GB"/>
              </w:rPr>
              <w:t>-0,9%</w:t>
            </w:r>
          </w:p>
        </w:tc>
        <w:tc>
          <w:tcPr>
            <w:tcW w:w="992" w:type="dxa"/>
            <w:tcBorders>
              <w:top w:val="single" w:sz="8" w:space="0" w:color="auto"/>
              <w:left w:val="nil"/>
              <w:bottom w:val="double" w:sz="4" w:space="0" w:color="auto"/>
              <w:right w:val="single" w:sz="4" w:space="0" w:color="auto"/>
            </w:tcBorders>
            <w:shd w:val="clear" w:color="auto" w:fill="auto"/>
            <w:noWrap/>
            <w:vAlign w:val="bottom"/>
            <w:hideMark/>
          </w:tcPr>
          <w:p w14:paraId="339B9CA3" w14:textId="77777777" w:rsidR="0060396D" w:rsidRPr="003F61A1" w:rsidRDefault="0060396D" w:rsidP="00E13318">
            <w:pPr>
              <w:spacing w:after="0"/>
              <w:ind w:firstLine="0"/>
              <w:jc w:val="right"/>
              <w:rPr>
                <w:b/>
                <w:color w:val="000000"/>
                <w:sz w:val="18"/>
                <w:szCs w:val="18"/>
                <w:lang w:val="en-GB"/>
              </w:rPr>
            </w:pPr>
            <w:r w:rsidRPr="003F61A1">
              <w:rPr>
                <w:b/>
                <w:color w:val="000000"/>
                <w:sz w:val="18"/>
                <w:szCs w:val="18"/>
                <w:lang w:val="en-GB"/>
              </w:rPr>
              <w:t>-0,8%</w:t>
            </w:r>
          </w:p>
        </w:tc>
        <w:tc>
          <w:tcPr>
            <w:tcW w:w="851" w:type="dxa"/>
            <w:tcBorders>
              <w:top w:val="single" w:sz="8" w:space="0" w:color="auto"/>
              <w:left w:val="nil"/>
              <w:bottom w:val="double" w:sz="4" w:space="0" w:color="auto"/>
              <w:right w:val="single" w:sz="4" w:space="0" w:color="auto"/>
            </w:tcBorders>
            <w:shd w:val="clear" w:color="auto" w:fill="auto"/>
            <w:noWrap/>
            <w:vAlign w:val="bottom"/>
            <w:hideMark/>
          </w:tcPr>
          <w:p w14:paraId="73D4EF61" w14:textId="77777777" w:rsidR="0060396D" w:rsidRPr="003F61A1" w:rsidRDefault="0060396D" w:rsidP="00E13318">
            <w:pPr>
              <w:spacing w:after="0"/>
              <w:ind w:firstLine="0"/>
              <w:jc w:val="right"/>
              <w:rPr>
                <w:b/>
                <w:color w:val="000000"/>
                <w:sz w:val="18"/>
                <w:szCs w:val="18"/>
                <w:lang w:val="en-GB"/>
              </w:rPr>
            </w:pPr>
            <w:r w:rsidRPr="003F61A1">
              <w:rPr>
                <w:b/>
                <w:color w:val="000000"/>
                <w:sz w:val="18"/>
                <w:szCs w:val="18"/>
                <w:lang w:val="en-GB"/>
              </w:rPr>
              <w:t>-0,6%</w:t>
            </w:r>
          </w:p>
        </w:tc>
        <w:tc>
          <w:tcPr>
            <w:tcW w:w="1064" w:type="dxa"/>
            <w:tcBorders>
              <w:top w:val="single" w:sz="8" w:space="0" w:color="auto"/>
              <w:left w:val="nil"/>
              <w:bottom w:val="double" w:sz="4" w:space="0" w:color="auto"/>
              <w:right w:val="double" w:sz="4" w:space="0" w:color="auto"/>
            </w:tcBorders>
            <w:shd w:val="clear" w:color="auto" w:fill="auto"/>
            <w:noWrap/>
            <w:vAlign w:val="bottom"/>
            <w:hideMark/>
          </w:tcPr>
          <w:p w14:paraId="4AF05818" w14:textId="77777777" w:rsidR="0060396D" w:rsidRPr="003F61A1" w:rsidRDefault="0060396D" w:rsidP="00E13318">
            <w:pPr>
              <w:spacing w:after="0"/>
              <w:ind w:firstLine="0"/>
              <w:jc w:val="right"/>
              <w:rPr>
                <w:b/>
                <w:color w:val="000000"/>
                <w:sz w:val="18"/>
                <w:szCs w:val="18"/>
                <w:lang w:val="en-GB"/>
              </w:rPr>
            </w:pPr>
            <w:r w:rsidRPr="003F61A1">
              <w:rPr>
                <w:b/>
                <w:color w:val="000000"/>
                <w:sz w:val="18"/>
                <w:szCs w:val="18"/>
                <w:lang w:val="en-GB"/>
              </w:rPr>
              <w:t>-0,5%</w:t>
            </w:r>
          </w:p>
        </w:tc>
      </w:tr>
    </w:tbl>
    <w:p w14:paraId="41368FF0" w14:textId="5CD0B65A" w:rsidR="00734E20" w:rsidRPr="00476CBC" w:rsidRDefault="00734E20" w:rsidP="00113E0D">
      <w:pPr>
        <w:pStyle w:val="teksts"/>
        <w:spacing w:before="120"/>
        <w:ind w:firstLine="720"/>
        <w:rPr>
          <w:rFonts w:ascii="Times New Roman" w:hAnsi="Times New Roman"/>
          <w:color w:val="000000"/>
        </w:rPr>
      </w:pPr>
      <w:r w:rsidRPr="00476CBC">
        <w:rPr>
          <w:rFonts w:ascii="Times New Roman" w:hAnsi="Times New Roman"/>
          <w:color w:val="000000"/>
        </w:rPr>
        <w:t>2013.gadā ir paredzēts palielināt iemaksas 2.pensiju līme</w:t>
      </w:r>
      <w:r w:rsidR="001679F8">
        <w:rPr>
          <w:rFonts w:ascii="Times New Roman" w:hAnsi="Times New Roman"/>
          <w:color w:val="000000"/>
        </w:rPr>
        <w:t>nī no 2% uz 4%. Fiskālā ietekme</w:t>
      </w:r>
      <w:r w:rsidRPr="00476CBC">
        <w:rPr>
          <w:rFonts w:ascii="Times New Roman" w:hAnsi="Times New Roman"/>
          <w:color w:val="000000"/>
        </w:rPr>
        <w:t xml:space="preserve"> jeb ieņēmumu samazinājums sociālās apdrošināšanas budžetā šajā gadā pēc </w:t>
      </w:r>
      <w:r w:rsidR="00E07B04" w:rsidRPr="00476CBC">
        <w:rPr>
          <w:rFonts w:ascii="Times New Roman" w:hAnsi="Times New Roman"/>
          <w:color w:val="000000"/>
        </w:rPr>
        <w:t>EKS</w:t>
      </w:r>
      <w:r w:rsidRPr="00476CBC">
        <w:rPr>
          <w:rFonts w:ascii="Times New Roman" w:hAnsi="Times New Roman"/>
          <w:color w:val="000000"/>
        </w:rPr>
        <w:t xml:space="preserve"> ir 0,5% no IKP, līdz ar to saskaņā ar </w:t>
      </w:r>
      <w:r w:rsidR="00E07B04" w:rsidRPr="00476CBC">
        <w:rPr>
          <w:rFonts w:ascii="Times New Roman" w:hAnsi="Times New Roman"/>
        </w:rPr>
        <w:t>Regulu nr. 1175/2011</w:t>
      </w:r>
      <w:r w:rsidRPr="00476CBC">
        <w:rPr>
          <w:rFonts w:ascii="Times New Roman" w:hAnsi="Times New Roman"/>
          <w:color w:val="000000"/>
        </w:rPr>
        <w:t xml:space="preserve">, iespējamais atkāpes līmenis 2013.gadā ir 0,5% un strukturālās bilances mērķis -1,0% no IKP. 0,5% atkāpi, saskaņā ar </w:t>
      </w:r>
      <w:r w:rsidR="00DB55B3" w:rsidRPr="00476CBC">
        <w:rPr>
          <w:rFonts w:ascii="Times New Roman" w:hAnsi="Times New Roman"/>
        </w:rPr>
        <w:t>Regulu nr. 1175/2011</w:t>
      </w:r>
      <w:r w:rsidR="00E07B04" w:rsidRPr="00476CBC">
        <w:rPr>
          <w:rFonts w:ascii="Times New Roman" w:hAnsi="Times New Roman"/>
          <w:color w:val="000000"/>
        </w:rPr>
        <w:t>,</w:t>
      </w:r>
      <w:r w:rsidRPr="00476CBC">
        <w:rPr>
          <w:rFonts w:ascii="Times New Roman" w:hAnsi="Times New Roman"/>
          <w:color w:val="000000"/>
        </w:rPr>
        <w:t xml:space="preserve"> ir jānovērš 3 gadu laikā. Attiecīgi</w:t>
      </w:r>
      <w:r w:rsidR="000901B5" w:rsidRPr="00476CBC">
        <w:rPr>
          <w:rFonts w:ascii="Times New Roman" w:hAnsi="Times New Roman"/>
          <w:color w:val="000000"/>
        </w:rPr>
        <w:t>,</w:t>
      </w:r>
      <w:r w:rsidRPr="00476CBC">
        <w:rPr>
          <w:rFonts w:ascii="Times New Roman" w:hAnsi="Times New Roman"/>
          <w:color w:val="000000"/>
        </w:rPr>
        <w:t xml:space="preserve"> fiskālās attīstības scenārijā paredzēts, ka 2014.gadā atkāpe paliek 0,5% no IKP apmērā, 2015.gadā 0,25% un 2016.gadā atkāpe ir 0.</w:t>
      </w:r>
    </w:p>
    <w:p w14:paraId="653CCE37" w14:textId="20E3C435" w:rsidR="00734E20" w:rsidRPr="00476CBC" w:rsidRDefault="00734E20" w:rsidP="00734E20">
      <w:pPr>
        <w:pStyle w:val="teksts"/>
        <w:ind w:firstLine="720"/>
        <w:rPr>
          <w:rFonts w:ascii="Times New Roman" w:hAnsi="Times New Roman"/>
          <w:color w:val="000000"/>
        </w:rPr>
      </w:pPr>
      <w:r w:rsidRPr="00476CBC">
        <w:rPr>
          <w:rFonts w:ascii="Times New Roman" w:hAnsi="Times New Roman"/>
          <w:color w:val="000000"/>
        </w:rPr>
        <w:t>2015.gadā ir paredzēts palielināt iemaksas 2.pensiju līme</w:t>
      </w:r>
      <w:r w:rsidR="001679F8">
        <w:rPr>
          <w:rFonts w:ascii="Times New Roman" w:hAnsi="Times New Roman"/>
          <w:color w:val="000000"/>
        </w:rPr>
        <w:t>nī no 4% uz 5%. Fiskālā ietekme</w:t>
      </w:r>
      <w:r w:rsidRPr="00476CBC">
        <w:rPr>
          <w:rFonts w:ascii="Times New Roman" w:hAnsi="Times New Roman"/>
          <w:color w:val="000000"/>
        </w:rPr>
        <w:t xml:space="preserve"> jeb ieņēmumu samazinājums sociālās apdrošināšanas budžetā šajā gadā pēc </w:t>
      </w:r>
      <w:r w:rsidR="00E07B04" w:rsidRPr="00476CBC">
        <w:rPr>
          <w:rFonts w:ascii="Times New Roman" w:hAnsi="Times New Roman"/>
          <w:color w:val="000000"/>
        </w:rPr>
        <w:t>EKS</w:t>
      </w:r>
      <w:r w:rsidRPr="00476CBC">
        <w:rPr>
          <w:rFonts w:ascii="Times New Roman" w:hAnsi="Times New Roman"/>
          <w:color w:val="000000"/>
        </w:rPr>
        <w:t xml:space="preserve"> metodoloģijas ir 0,274% no IKP, līdz ar to saskaņā ar </w:t>
      </w:r>
      <w:r w:rsidR="00E07B04" w:rsidRPr="00476CBC">
        <w:rPr>
          <w:rFonts w:ascii="Times New Roman" w:hAnsi="Times New Roman"/>
        </w:rPr>
        <w:t>Regulu nr. 1175/2011</w:t>
      </w:r>
      <w:r w:rsidRPr="00476CBC">
        <w:rPr>
          <w:rFonts w:ascii="Times New Roman" w:hAnsi="Times New Roman"/>
          <w:color w:val="000000"/>
        </w:rPr>
        <w:t xml:space="preserve">, iespējamais atkāpes līmenis 2015.gadā ir 0,274%. Šo atkāpi saskaņā ar </w:t>
      </w:r>
      <w:r w:rsidR="00DB55B3" w:rsidRPr="00476CBC">
        <w:rPr>
          <w:rFonts w:ascii="Times New Roman" w:hAnsi="Times New Roman"/>
        </w:rPr>
        <w:t>Regulu nr. 1175/2011</w:t>
      </w:r>
      <w:r w:rsidRPr="00476CBC">
        <w:rPr>
          <w:rFonts w:ascii="Times New Roman" w:hAnsi="Times New Roman"/>
          <w:color w:val="000000"/>
        </w:rPr>
        <w:t xml:space="preserve"> ir jānovērš 3 gadu laikā. Attiecīgi</w:t>
      </w:r>
      <w:r w:rsidR="000901B5" w:rsidRPr="00476CBC">
        <w:rPr>
          <w:rFonts w:ascii="Times New Roman" w:hAnsi="Times New Roman"/>
          <w:color w:val="000000"/>
        </w:rPr>
        <w:t>,</w:t>
      </w:r>
      <w:r w:rsidRPr="00476CBC">
        <w:rPr>
          <w:rFonts w:ascii="Times New Roman" w:hAnsi="Times New Roman"/>
          <w:color w:val="000000"/>
        </w:rPr>
        <w:t xml:space="preserve"> fiskālās attīstības scenārijā paredzēts, ka 2016.gadā atkāpe ir 0,137% no IKP apmērā, 2017.gadā 0,069% un 2018.gadā atkāpe ir 0.</w:t>
      </w:r>
    </w:p>
    <w:p w14:paraId="68C000A0" w14:textId="3C776258" w:rsidR="00734E20" w:rsidRPr="00476CBC" w:rsidRDefault="00734E20" w:rsidP="00734E20">
      <w:pPr>
        <w:pStyle w:val="teksts"/>
        <w:ind w:firstLine="720"/>
        <w:rPr>
          <w:rFonts w:ascii="Times New Roman" w:hAnsi="Times New Roman"/>
          <w:color w:val="000000"/>
        </w:rPr>
      </w:pPr>
      <w:r w:rsidRPr="00476CBC">
        <w:rPr>
          <w:rFonts w:ascii="Times New Roman" w:hAnsi="Times New Roman"/>
          <w:color w:val="000000"/>
        </w:rPr>
        <w:t>2016.gadā ir paredzēts palielināt iemaksas 2.pensiju līme</w:t>
      </w:r>
      <w:r w:rsidR="001679F8">
        <w:rPr>
          <w:rFonts w:ascii="Times New Roman" w:hAnsi="Times New Roman"/>
          <w:color w:val="000000"/>
        </w:rPr>
        <w:t>nī no 5% uz 6%. Fiskālā ietekme</w:t>
      </w:r>
      <w:r w:rsidRPr="00476CBC">
        <w:rPr>
          <w:rFonts w:ascii="Times New Roman" w:hAnsi="Times New Roman"/>
          <w:color w:val="000000"/>
        </w:rPr>
        <w:t xml:space="preserve"> jeb ieņēmumu samazinājums sociālās apdrošināšanas budžetā šajā gadā pēc </w:t>
      </w:r>
      <w:r w:rsidR="00DB55B3" w:rsidRPr="00476CBC">
        <w:rPr>
          <w:rFonts w:ascii="Times New Roman" w:hAnsi="Times New Roman"/>
          <w:color w:val="000000"/>
        </w:rPr>
        <w:t>EKS</w:t>
      </w:r>
      <w:r w:rsidRPr="00476CBC">
        <w:rPr>
          <w:rFonts w:ascii="Times New Roman" w:hAnsi="Times New Roman"/>
          <w:color w:val="000000"/>
        </w:rPr>
        <w:t xml:space="preserve"> sistēmas metodoloģijas ir 0,286% no IKP, līdz ar to saskaņā ar </w:t>
      </w:r>
      <w:r w:rsidR="00DB55B3" w:rsidRPr="00476CBC">
        <w:rPr>
          <w:rFonts w:ascii="Times New Roman" w:hAnsi="Times New Roman"/>
        </w:rPr>
        <w:t>Regulu nr. 1175/2011</w:t>
      </w:r>
      <w:r w:rsidRPr="00476CBC">
        <w:rPr>
          <w:rFonts w:ascii="Times New Roman" w:hAnsi="Times New Roman"/>
          <w:color w:val="000000"/>
        </w:rPr>
        <w:t xml:space="preserve">, iespējamais atkāpes līmenis 2016.gadā ir 0,286%. Šo atkāpi saskaņā ar </w:t>
      </w:r>
      <w:r w:rsidR="00DB55B3" w:rsidRPr="00476CBC">
        <w:rPr>
          <w:rFonts w:ascii="Times New Roman" w:hAnsi="Times New Roman"/>
        </w:rPr>
        <w:t>Regulu nr. 1175/2011</w:t>
      </w:r>
      <w:r w:rsidRPr="00476CBC">
        <w:rPr>
          <w:rFonts w:ascii="Times New Roman" w:hAnsi="Times New Roman"/>
          <w:color w:val="000000"/>
        </w:rPr>
        <w:t xml:space="preserve"> ir jānovērš 3 gadu laikā. Attiecīgi</w:t>
      </w:r>
      <w:r w:rsidR="000901B5" w:rsidRPr="00476CBC">
        <w:rPr>
          <w:rFonts w:ascii="Times New Roman" w:hAnsi="Times New Roman"/>
          <w:color w:val="000000"/>
        </w:rPr>
        <w:t>,</w:t>
      </w:r>
      <w:r w:rsidRPr="00476CBC">
        <w:rPr>
          <w:rFonts w:ascii="Times New Roman" w:hAnsi="Times New Roman"/>
          <w:color w:val="000000"/>
        </w:rPr>
        <w:t xml:space="preserve"> fiskālās attīstības scenārijā paredzēts, ka 2017.gadā atkāpe ir 0,191% no IKP apmērā, 2018.gadā 0,095% un 2019.gadā atkāpe ir 0.</w:t>
      </w:r>
    </w:p>
    <w:p w14:paraId="28E4E280" w14:textId="088C3639" w:rsidR="00734E20" w:rsidRDefault="00734E20" w:rsidP="00734E20">
      <w:pPr>
        <w:pStyle w:val="teksts"/>
        <w:ind w:firstLine="720"/>
        <w:rPr>
          <w:rFonts w:ascii="Times New Roman" w:hAnsi="Times New Roman"/>
          <w:color w:val="000000"/>
        </w:rPr>
      </w:pPr>
      <w:r w:rsidRPr="00476CBC">
        <w:rPr>
          <w:rFonts w:ascii="Times New Roman" w:hAnsi="Times New Roman"/>
          <w:color w:val="000000"/>
        </w:rPr>
        <w:t>Summējot trīs augstāk minētās pieļaujamās atkāpes, iegūst strukturālās bilances mērķus, kas attiecīgi 2013</w:t>
      </w:r>
      <w:r w:rsidR="001679F8">
        <w:rPr>
          <w:rFonts w:ascii="Times New Roman" w:hAnsi="Times New Roman"/>
          <w:color w:val="000000"/>
        </w:rPr>
        <w:t>.</w:t>
      </w:r>
      <w:r w:rsidRPr="00476CBC">
        <w:rPr>
          <w:rFonts w:ascii="Times New Roman" w:hAnsi="Times New Roman"/>
          <w:color w:val="000000"/>
        </w:rPr>
        <w:t>-2015</w:t>
      </w:r>
      <w:r w:rsidR="001679F8">
        <w:rPr>
          <w:rFonts w:ascii="Times New Roman" w:hAnsi="Times New Roman"/>
          <w:color w:val="000000"/>
        </w:rPr>
        <w:t>.</w:t>
      </w:r>
      <w:r w:rsidRPr="00476CBC">
        <w:rPr>
          <w:rFonts w:ascii="Times New Roman" w:hAnsi="Times New Roman"/>
          <w:color w:val="000000"/>
        </w:rPr>
        <w:t xml:space="preserve"> gados ir -1,0% no IKP un tālāk samazinās, līdz 2019.gadā atgriežas pie </w:t>
      </w:r>
      <w:r w:rsidR="000901B5" w:rsidRPr="00476CBC">
        <w:rPr>
          <w:rFonts w:ascii="Times New Roman" w:hAnsi="Times New Roman"/>
          <w:color w:val="000000"/>
        </w:rPr>
        <w:t>MTO</w:t>
      </w:r>
      <w:r w:rsidRPr="00476CBC">
        <w:rPr>
          <w:rFonts w:ascii="Times New Roman" w:hAnsi="Times New Roman"/>
          <w:color w:val="000000"/>
        </w:rPr>
        <w:t xml:space="preserve"> -0,5% no IKP.</w:t>
      </w:r>
      <w:r>
        <w:rPr>
          <w:rFonts w:ascii="Times New Roman" w:hAnsi="Times New Roman"/>
          <w:color w:val="000000"/>
        </w:rPr>
        <w:t xml:space="preserve">  </w:t>
      </w:r>
    </w:p>
    <w:p w14:paraId="6FD2234F" w14:textId="5526C584" w:rsidR="00734E20" w:rsidRDefault="00734E20" w:rsidP="00734E20">
      <w:pPr>
        <w:pStyle w:val="teksts"/>
        <w:ind w:firstLine="720"/>
        <w:rPr>
          <w:rFonts w:ascii="Times New Roman" w:hAnsi="Times New Roman"/>
          <w:color w:val="000000"/>
        </w:rPr>
      </w:pPr>
      <w:r>
        <w:rPr>
          <w:rFonts w:ascii="Times New Roman" w:hAnsi="Times New Roman"/>
          <w:color w:val="000000"/>
        </w:rPr>
        <w:t>Jāatzīmē, ka strukturālās bilances mērķis nevienā gadā nepārsniedz saskaņā ar Stabilitātes un izaugsmes paktu noteikto minimālo MTO, kas Latvijas gadījumā ir -1% no</w:t>
      </w:r>
      <w:r w:rsidR="00476CBC">
        <w:rPr>
          <w:rFonts w:ascii="Times New Roman" w:hAnsi="Times New Roman"/>
          <w:color w:val="000000"/>
        </w:rPr>
        <w:t xml:space="preserve"> </w:t>
      </w:r>
      <w:r>
        <w:rPr>
          <w:rFonts w:ascii="Times New Roman" w:hAnsi="Times New Roman"/>
          <w:color w:val="000000"/>
        </w:rPr>
        <w:t xml:space="preserve">IKP un tiek ievērota pietiekama </w:t>
      </w:r>
      <w:r w:rsidRPr="00AE6118">
        <w:rPr>
          <w:rFonts w:ascii="Times New Roman" w:hAnsi="Times New Roman"/>
          <w:color w:val="000000"/>
        </w:rPr>
        <w:t>drošības rezerve attiecībā pret deficīta atsauces vērtību</w:t>
      </w:r>
      <w:r>
        <w:rPr>
          <w:rFonts w:ascii="Times New Roman" w:hAnsi="Times New Roman"/>
          <w:color w:val="000000"/>
        </w:rPr>
        <w:t>, kas Latvijas gadījumā ir -1,8% no IKP strukturālajā izteiksmē</w:t>
      </w:r>
      <w:r>
        <w:rPr>
          <w:rStyle w:val="FootnoteReference"/>
          <w:color w:val="000000"/>
        </w:rPr>
        <w:footnoteReference w:id="9"/>
      </w:r>
      <w:r>
        <w:rPr>
          <w:rFonts w:ascii="Times New Roman" w:hAnsi="Times New Roman"/>
          <w:color w:val="000000"/>
        </w:rPr>
        <w:t xml:space="preserve">. </w:t>
      </w:r>
    </w:p>
    <w:p w14:paraId="6BA19398" w14:textId="529653C3" w:rsidR="00AA03E8" w:rsidRDefault="0060396D" w:rsidP="0060396D">
      <w:pPr>
        <w:pStyle w:val="teksts"/>
        <w:ind w:firstLine="720"/>
        <w:rPr>
          <w:rFonts w:ascii="Times New Roman" w:hAnsi="Times New Roman"/>
          <w:color w:val="000000"/>
        </w:rPr>
      </w:pPr>
      <w:r>
        <w:rPr>
          <w:rFonts w:ascii="Times New Roman" w:hAnsi="Times New Roman"/>
          <w:color w:val="000000"/>
        </w:rPr>
        <w:lastRenderedPageBreak/>
        <w:t xml:space="preserve">Fiskālās attīstības scenārijs paredz, ka izlaižu starpība noslēdzas 2013.gadā un bilances cikliskā komponente 2013.gadā ir </w:t>
      </w:r>
      <w:r w:rsidR="00FE0E5F">
        <w:rPr>
          <w:rFonts w:ascii="Times New Roman" w:hAnsi="Times New Roman"/>
          <w:color w:val="000000"/>
        </w:rPr>
        <w:t>nulle</w:t>
      </w:r>
      <w:r>
        <w:rPr>
          <w:rFonts w:ascii="Times New Roman" w:hAnsi="Times New Roman"/>
          <w:color w:val="000000"/>
        </w:rPr>
        <w:t xml:space="preserve">, 2014.gadā un 2015.gadā ir +0,1% no IKP un 2016.gadā ir </w:t>
      </w:r>
      <w:r w:rsidR="00FE0E5F">
        <w:rPr>
          <w:rFonts w:ascii="Times New Roman" w:hAnsi="Times New Roman"/>
          <w:color w:val="000000"/>
        </w:rPr>
        <w:t>nulle</w:t>
      </w:r>
      <w:r>
        <w:rPr>
          <w:rFonts w:ascii="Times New Roman" w:hAnsi="Times New Roman"/>
          <w:color w:val="000000"/>
        </w:rPr>
        <w:t xml:space="preserve">. Scenārijs neparedz laika posmā </w:t>
      </w:r>
      <w:r w:rsidR="003B5657">
        <w:rPr>
          <w:rFonts w:ascii="Times New Roman" w:hAnsi="Times New Roman"/>
          <w:color w:val="000000"/>
        </w:rPr>
        <w:t xml:space="preserve">no </w:t>
      </w:r>
      <w:r>
        <w:rPr>
          <w:rFonts w:ascii="Times New Roman" w:hAnsi="Times New Roman"/>
          <w:color w:val="000000"/>
        </w:rPr>
        <w:t>2014</w:t>
      </w:r>
      <w:r w:rsidR="003B5657">
        <w:rPr>
          <w:rFonts w:ascii="Times New Roman" w:hAnsi="Times New Roman"/>
          <w:color w:val="000000"/>
        </w:rPr>
        <w:t>. līdz </w:t>
      </w:r>
      <w:r>
        <w:rPr>
          <w:rFonts w:ascii="Times New Roman" w:hAnsi="Times New Roman"/>
          <w:color w:val="000000"/>
        </w:rPr>
        <w:t>2016</w:t>
      </w:r>
      <w:r w:rsidR="003B5657">
        <w:rPr>
          <w:rFonts w:ascii="Times New Roman" w:hAnsi="Times New Roman"/>
          <w:color w:val="000000"/>
        </w:rPr>
        <w:t>.gadam</w:t>
      </w:r>
      <w:r>
        <w:rPr>
          <w:rFonts w:ascii="Times New Roman" w:hAnsi="Times New Roman"/>
          <w:color w:val="000000"/>
        </w:rPr>
        <w:t xml:space="preserve"> vienreizējos pasākumus</w:t>
      </w:r>
      <w:r w:rsidR="00FE0E5F">
        <w:rPr>
          <w:rFonts w:ascii="Times New Roman" w:hAnsi="Times New Roman"/>
          <w:color w:val="000000"/>
        </w:rPr>
        <w:t>,</w:t>
      </w:r>
      <w:r>
        <w:rPr>
          <w:rFonts w:ascii="Times New Roman" w:hAnsi="Times New Roman"/>
          <w:color w:val="000000"/>
        </w:rPr>
        <w:t xml:space="preserve"> līdz ar to vispārējās valdības deficīts 2014.</w:t>
      </w:r>
      <w:r w:rsidR="00F35291">
        <w:rPr>
          <w:rFonts w:ascii="Times New Roman" w:hAnsi="Times New Roman"/>
          <w:color w:val="000000"/>
        </w:rPr>
        <w:t>,</w:t>
      </w:r>
      <w:r>
        <w:rPr>
          <w:rFonts w:ascii="Times New Roman" w:hAnsi="Times New Roman"/>
          <w:color w:val="000000"/>
        </w:rPr>
        <w:t xml:space="preserve"> 2015</w:t>
      </w:r>
      <w:r w:rsidR="003B5657">
        <w:rPr>
          <w:rFonts w:ascii="Times New Roman" w:hAnsi="Times New Roman"/>
          <w:color w:val="000000"/>
        </w:rPr>
        <w:t>.</w:t>
      </w:r>
      <w:r>
        <w:rPr>
          <w:rFonts w:ascii="Times New Roman" w:hAnsi="Times New Roman"/>
          <w:color w:val="000000"/>
        </w:rPr>
        <w:t xml:space="preserve"> un 2016.gadā tiek prognozēts nemainīgs 0,9% no IKP apmērā.</w:t>
      </w:r>
    </w:p>
    <w:p w14:paraId="30A81ED6" w14:textId="77777777" w:rsidR="0060396D" w:rsidRDefault="00AA03E8" w:rsidP="0060396D">
      <w:pPr>
        <w:pStyle w:val="teksts"/>
        <w:ind w:firstLine="720"/>
        <w:rPr>
          <w:rFonts w:ascii="Times New Roman" w:hAnsi="Times New Roman"/>
          <w:color w:val="000000"/>
        </w:rPr>
      </w:pPr>
      <w:r w:rsidRPr="00AA03E8">
        <w:rPr>
          <w:rFonts w:ascii="Times New Roman" w:hAnsi="Times New Roman"/>
          <w:noProof/>
          <w:color w:val="000000"/>
          <w:lang w:eastAsia="lv-LV"/>
        </w:rPr>
        <w:t xml:space="preserve"> </w:t>
      </w:r>
      <w:r>
        <w:rPr>
          <w:rFonts w:ascii="Times New Roman" w:hAnsi="Times New Roman"/>
          <w:noProof/>
          <w:color w:val="000000"/>
          <w:lang w:eastAsia="lv-LV"/>
        </w:rPr>
        <w:drawing>
          <wp:inline distT="0" distB="0" distL="0" distR="0" wp14:anchorId="51E137DD" wp14:editId="4828FB84">
            <wp:extent cx="5762625" cy="3763645"/>
            <wp:effectExtent l="0" t="0" r="952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763645"/>
                    </a:xfrm>
                    <a:prstGeom prst="rect">
                      <a:avLst/>
                    </a:prstGeom>
                    <a:noFill/>
                    <a:ln>
                      <a:noFill/>
                    </a:ln>
                  </pic:spPr>
                </pic:pic>
              </a:graphicData>
            </a:graphic>
          </wp:inline>
        </w:drawing>
      </w:r>
    </w:p>
    <w:p w14:paraId="3CB3D1E2" w14:textId="77777777" w:rsidR="0060396D" w:rsidRDefault="0060396D" w:rsidP="005F323B">
      <w:pPr>
        <w:pStyle w:val="teksts"/>
        <w:ind w:firstLine="720"/>
        <w:jc w:val="center"/>
        <w:rPr>
          <w:rFonts w:ascii="Times New Roman" w:hAnsi="Times New Roman"/>
          <w:color w:val="000000"/>
        </w:rPr>
      </w:pPr>
      <w:r w:rsidRPr="001946E0">
        <w:rPr>
          <w:rFonts w:ascii="Times New Roman" w:eastAsia="Calibri" w:hAnsi="Times New Roman"/>
          <w:color w:val="000000"/>
          <w:szCs w:val="24"/>
        </w:rPr>
        <w:t>4.</w:t>
      </w:r>
      <w:r w:rsidR="005F323B">
        <w:rPr>
          <w:rFonts w:ascii="Times New Roman" w:eastAsia="Calibri" w:hAnsi="Times New Roman"/>
          <w:color w:val="000000"/>
          <w:szCs w:val="24"/>
        </w:rPr>
        <w:t>3</w:t>
      </w:r>
      <w:r w:rsidRPr="001946E0">
        <w:rPr>
          <w:rFonts w:ascii="Times New Roman" w:eastAsia="Calibri" w:hAnsi="Times New Roman"/>
          <w:color w:val="000000"/>
          <w:szCs w:val="24"/>
        </w:rPr>
        <w:t>. att. Vispārējās valdības budžeta bilance (atbilstoši EKS metodoloģijai)</w:t>
      </w:r>
      <w:r w:rsidRPr="00AE6118">
        <w:rPr>
          <w:rFonts w:ascii="Times New Roman" w:eastAsia="Calibri" w:hAnsi="Times New Roman"/>
          <w:color w:val="000000"/>
          <w:szCs w:val="24"/>
        </w:rPr>
        <w:t xml:space="preserve"> </w:t>
      </w:r>
      <w:r w:rsidRPr="001946E0">
        <w:rPr>
          <w:rFonts w:ascii="Times New Roman" w:eastAsia="Calibri" w:hAnsi="Times New Roman"/>
          <w:color w:val="000000"/>
          <w:szCs w:val="24"/>
        </w:rPr>
        <w:t>200</w:t>
      </w:r>
      <w:r>
        <w:rPr>
          <w:rFonts w:ascii="Times New Roman" w:eastAsia="Calibri" w:hAnsi="Times New Roman"/>
          <w:color w:val="000000"/>
          <w:szCs w:val="24"/>
        </w:rPr>
        <w:t>4</w:t>
      </w:r>
      <w:r w:rsidRPr="001946E0">
        <w:rPr>
          <w:rFonts w:ascii="Times New Roman" w:eastAsia="Calibri" w:hAnsi="Times New Roman"/>
          <w:color w:val="000000"/>
          <w:szCs w:val="24"/>
        </w:rPr>
        <w:t>.</w:t>
      </w:r>
      <w:r>
        <w:rPr>
          <w:rFonts w:ascii="Times New Roman" w:eastAsia="Calibri" w:hAnsi="Times New Roman"/>
          <w:color w:val="000000"/>
          <w:szCs w:val="24"/>
        </w:rPr>
        <w:t xml:space="preserve"> – </w:t>
      </w:r>
      <w:r w:rsidRPr="001946E0">
        <w:rPr>
          <w:rFonts w:ascii="Times New Roman" w:eastAsia="Calibri" w:hAnsi="Times New Roman"/>
          <w:color w:val="000000"/>
          <w:szCs w:val="24"/>
        </w:rPr>
        <w:t>201</w:t>
      </w:r>
      <w:r>
        <w:rPr>
          <w:rFonts w:ascii="Times New Roman" w:eastAsia="Calibri" w:hAnsi="Times New Roman"/>
          <w:color w:val="000000"/>
          <w:szCs w:val="24"/>
        </w:rPr>
        <w:t>6</w:t>
      </w:r>
      <w:r w:rsidRPr="001946E0">
        <w:rPr>
          <w:rFonts w:ascii="Times New Roman" w:eastAsia="Calibri" w:hAnsi="Times New Roman"/>
          <w:color w:val="000000"/>
          <w:szCs w:val="24"/>
        </w:rPr>
        <w:t xml:space="preserve">. gadā un </w:t>
      </w:r>
      <w:r>
        <w:rPr>
          <w:rFonts w:ascii="Times New Roman" w:eastAsia="Calibri" w:hAnsi="Times New Roman"/>
          <w:color w:val="000000"/>
          <w:szCs w:val="24"/>
        </w:rPr>
        <w:t>strukturālā bilance (strukturālās bilances mērķis)</w:t>
      </w:r>
      <w:r w:rsidRPr="001946E0">
        <w:rPr>
          <w:rFonts w:ascii="Times New Roman" w:eastAsia="Calibri" w:hAnsi="Times New Roman"/>
          <w:color w:val="000000"/>
          <w:szCs w:val="24"/>
        </w:rPr>
        <w:t xml:space="preserve"> 200</w:t>
      </w:r>
      <w:r>
        <w:rPr>
          <w:rFonts w:ascii="Times New Roman" w:eastAsia="Calibri" w:hAnsi="Times New Roman"/>
          <w:color w:val="000000"/>
          <w:szCs w:val="24"/>
        </w:rPr>
        <w:t>4</w:t>
      </w:r>
      <w:r w:rsidRPr="001946E0">
        <w:rPr>
          <w:rFonts w:ascii="Times New Roman" w:eastAsia="Calibri" w:hAnsi="Times New Roman"/>
          <w:color w:val="000000"/>
          <w:szCs w:val="24"/>
        </w:rPr>
        <w:t>.</w:t>
      </w:r>
      <w:r>
        <w:rPr>
          <w:rFonts w:ascii="Times New Roman" w:eastAsia="Calibri" w:hAnsi="Times New Roman"/>
          <w:color w:val="000000"/>
          <w:szCs w:val="24"/>
        </w:rPr>
        <w:t xml:space="preserve"> – </w:t>
      </w:r>
      <w:r w:rsidRPr="001946E0">
        <w:rPr>
          <w:rFonts w:ascii="Times New Roman" w:eastAsia="Calibri" w:hAnsi="Times New Roman"/>
          <w:color w:val="000000"/>
          <w:szCs w:val="24"/>
        </w:rPr>
        <w:t>201</w:t>
      </w:r>
      <w:r>
        <w:rPr>
          <w:rFonts w:ascii="Times New Roman" w:eastAsia="Calibri" w:hAnsi="Times New Roman"/>
          <w:color w:val="000000"/>
          <w:szCs w:val="24"/>
        </w:rPr>
        <w:t>9</w:t>
      </w:r>
      <w:r w:rsidRPr="001946E0">
        <w:rPr>
          <w:rFonts w:ascii="Times New Roman" w:eastAsia="Calibri" w:hAnsi="Times New Roman"/>
          <w:color w:val="000000"/>
          <w:szCs w:val="24"/>
        </w:rPr>
        <w:t>. gadā, % no IKP</w:t>
      </w:r>
      <w:r w:rsidR="00F95DC6">
        <w:rPr>
          <w:rFonts w:ascii="Times New Roman" w:hAnsi="Times New Roman"/>
          <w:color w:val="000000"/>
        </w:rPr>
        <w:t>.</w:t>
      </w:r>
    </w:p>
    <w:p w14:paraId="59879248" w14:textId="3B70FB4F" w:rsidR="0060396D" w:rsidRPr="005F323B" w:rsidRDefault="0060396D" w:rsidP="005F323B">
      <w:pPr>
        <w:pStyle w:val="CM1"/>
        <w:spacing w:after="120"/>
        <w:ind w:firstLine="720"/>
        <w:jc w:val="both"/>
        <w:rPr>
          <w:rFonts w:ascii="Times New Roman" w:hAnsi="Times New Roman"/>
          <w:color w:val="000000"/>
          <w:lang w:val="lv-LV"/>
        </w:rPr>
      </w:pPr>
      <w:r w:rsidRPr="005F323B">
        <w:rPr>
          <w:rFonts w:ascii="Times New Roman" w:hAnsi="Times New Roman"/>
          <w:color w:val="000000"/>
          <w:lang w:val="lv-LV"/>
        </w:rPr>
        <w:t xml:space="preserve">Fiskālās attīstības scenārijs ir testēts arī attiecībā pret izdevumu pieauguma nosacījumu. </w:t>
      </w:r>
      <w:r w:rsidR="009F6FA1">
        <w:rPr>
          <w:color w:val="000000"/>
          <w:lang w:val="lv-LV"/>
        </w:rPr>
        <w:t xml:space="preserve">Regulas </w:t>
      </w:r>
      <w:proofErr w:type="spellStart"/>
      <w:r w:rsidR="009F6FA1">
        <w:rPr>
          <w:color w:val="000000"/>
          <w:lang w:val="lv-LV"/>
        </w:rPr>
        <w:t>nr</w:t>
      </w:r>
      <w:proofErr w:type="spellEnd"/>
      <w:r w:rsidR="009F6FA1">
        <w:rPr>
          <w:color w:val="000000"/>
          <w:lang w:val="lv-LV"/>
        </w:rPr>
        <w:t>. 1175/2011 9.pants nosaka:</w:t>
      </w:r>
      <w:r w:rsidRPr="005F323B">
        <w:rPr>
          <w:color w:val="000000"/>
          <w:lang w:val="lv-LV"/>
        </w:rPr>
        <w:t xml:space="preserve"> </w:t>
      </w:r>
      <w:r w:rsidR="009F6FA1">
        <w:rPr>
          <w:color w:val="000000"/>
          <w:lang w:val="lv-LV"/>
        </w:rPr>
        <w:t>„</w:t>
      </w:r>
      <w:r w:rsidR="00476CBC">
        <w:rPr>
          <w:rFonts w:ascii="Times New Roman" w:hAnsi="Times New Roman"/>
          <w:i/>
          <w:color w:val="000000"/>
          <w:lang w:val="lv-LV"/>
        </w:rPr>
        <w:t>V</w:t>
      </w:r>
      <w:r w:rsidRPr="00476CBC">
        <w:rPr>
          <w:rFonts w:ascii="Times New Roman" w:hAnsi="Times New Roman"/>
          <w:i/>
          <w:color w:val="000000"/>
          <w:lang w:val="lv-LV"/>
        </w:rPr>
        <w:t xml:space="preserve">idēja termiņa budžeta mērķi sasniegušo dalībvalstu ikgadējais izdevumu pieaugums nepārsniedz IKP iespējamā pieauguma vidēja termiņa atsauces līmeni, ja vien pārsniegums nav saskaņots ar </w:t>
      </w:r>
      <w:proofErr w:type="spellStart"/>
      <w:r w:rsidRPr="00476CBC">
        <w:rPr>
          <w:rFonts w:ascii="Times New Roman" w:hAnsi="Times New Roman"/>
          <w:i/>
          <w:color w:val="000000"/>
          <w:lang w:val="lv-LV"/>
        </w:rPr>
        <w:t>diskre</w:t>
      </w:r>
      <w:r w:rsidR="005F323B" w:rsidRPr="00476CBC">
        <w:rPr>
          <w:rFonts w:ascii="Times New Roman" w:hAnsi="Times New Roman"/>
          <w:i/>
          <w:color w:val="000000"/>
          <w:lang w:val="lv-LV"/>
        </w:rPr>
        <w:t>cionāriem</w:t>
      </w:r>
      <w:proofErr w:type="spellEnd"/>
      <w:r w:rsidR="005F323B" w:rsidRPr="00476CBC">
        <w:rPr>
          <w:rFonts w:ascii="Times New Roman" w:hAnsi="Times New Roman"/>
          <w:i/>
          <w:color w:val="000000"/>
          <w:lang w:val="lv-LV"/>
        </w:rPr>
        <w:t xml:space="preserve"> ieņēmumu pasākumiem. </w:t>
      </w:r>
      <w:r w:rsidRPr="00476CBC">
        <w:rPr>
          <w:rFonts w:ascii="Times New Roman" w:hAnsi="Times New Roman"/>
          <w:i/>
          <w:color w:val="000000"/>
          <w:lang w:val="lv-LV"/>
        </w:rPr>
        <w:t xml:space="preserve">Izdevumu kopsummā neiekļauj procentu izdevumus, izdevumus saistībā ar </w:t>
      </w:r>
      <w:r w:rsidR="003B5657" w:rsidRPr="00476CBC">
        <w:rPr>
          <w:rFonts w:ascii="Times New Roman" w:hAnsi="Times New Roman"/>
          <w:i/>
          <w:color w:val="000000"/>
          <w:lang w:val="lv-LV"/>
        </w:rPr>
        <w:t>Eiropas</w:t>
      </w:r>
      <w:r w:rsidRPr="00476CBC">
        <w:rPr>
          <w:rFonts w:ascii="Times New Roman" w:hAnsi="Times New Roman"/>
          <w:i/>
          <w:color w:val="000000"/>
          <w:lang w:val="lv-LV"/>
        </w:rPr>
        <w:t xml:space="preserve"> Savienības programmām, kas ir pilnībā izlīdzināti ar ienākumiem no Savienības fondiem, un </w:t>
      </w:r>
      <w:proofErr w:type="spellStart"/>
      <w:r w:rsidRPr="00476CBC">
        <w:rPr>
          <w:rFonts w:ascii="Times New Roman" w:hAnsi="Times New Roman"/>
          <w:i/>
          <w:color w:val="000000"/>
          <w:lang w:val="lv-LV"/>
        </w:rPr>
        <w:t>nediskrecionāras</w:t>
      </w:r>
      <w:proofErr w:type="spellEnd"/>
      <w:r w:rsidRPr="00476CBC">
        <w:rPr>
          <w:rFonts w:ascii="Times New Roman" w:hAnsi="Times New Roman"/>
          <w:i/>
          <w:color w:val="000000"/>
          <w:lang w:val="lv-LV"/>
        </w:rPr>
        <w:t xml:space="preserve"> izmaiņas saistībā ar bezdarbnieku pabalstu izdevumiem. IKP iespējamā pieauguma vidēja termiņa atsauces līmeni nosaka, pamatojoties uz nākotnes progn</w:t>
      </w:r>
      <w:r w:rsidR="009F6FA1" w:rsidRPr="00476CBC">
        <w:rPr>
          <w:rFonts w:ascii="Times New Roman" w:hAnsi="Times New Roman"/>
          <w:i/>
          <w:color w:val="000000"/>
          <w:lang w:val="lv-LV"/>
        </w:rPr>
        <w:t xml:space="preserve">ozēm un pagātnes izvērtējumiem. </w:t>
      </w:r>
      <w:r w:rsidRPr="00476CBC">
        <w:rPr>
          <w:rFonts w:ascii="Times New Roman" w:hAnsi="Times New Roman"/>
          <w:i/>
          <w:color w:val="000000"/>
          <w:lang w:val="lv-LV"/>
        </w:rPr>
        <w:t xml:space="preserve">Prognozes regulāri </w:t>
      </w:r>
      <w:r w:rsidRPr="00F90754">
        <w:rPr>
          <w:rFonts w:ascii="Times New Roman" w:hAnsi="Times New Roman"/>
          <w:i/>
          <w:color w:val="000000"/>
          <w:lang w:val="lv-LV"/>
        </w:rPr>
        <w:t>atjaunina. Komisija dara zināmu atklātībai šo</w:t>
      </w:r>
      <w:r w:rsidRPr="00F90754">
        <w:rPr>
          <w:rFonts w:ascii="Times New Roman" w:hAnsi="Times New Roman"/>
          <w:color w:val="000000"/>
          <w:lang w:val="lv-LV"/>
        </w:rPr>
        <w:t xml:space="preserve"> </w:t>
      </w:r>
      <w:r w:rsidRPr="00476CBC">
        <w:rPr>
          <w:rFonts w:ascii="Times New Roman" w:hAnsi="Times New Roman"/>
          <w:i/>
          <w:color w:val="000000"/>
          <w:lang w:val="lv-LV"/>
        </w:rPr>
        <w:t>prognožu aprēķināšanas metodi</w:t>
      </w:r>
      <w:r w:rsidRPr="009F6FA1">
        <w:rPr>
          <w:rFonts w:ascii="Times New Roman" w:hAnsi="Times New Roman"/>
          <w:color w:val="000000"/>
          <w:lang w:val="lv-LV"/>
        </w:rPr>
        <w:t>.</w:t>
      </w:r>
      <w:r w:rsidR="009F6FA1">
        <w:rPr>
          <w:rFonts w:ascii="Times New Roman" w:hAnsi="Times New Roman"/>
          <w:color w:val="000000"/>
          <w:lang w:val="lv-LV"/>
        </w:rPr>
        <w:t>”</w:t>
      </w:r>
    </w:p>
    <w:p w14:paraId="4103C36D" w14:textId="7865E71A" w:rsidR="0060396D" w:rsidRDefault="0060396D" w:rsidP="005F323B">
      <w:pPr>
        <w:pStyle w:val="Default"/>
        <w:spacing w:after="120"/>
        <w:ind w:firstLine="720"/>
        <w:jc w:val="both"/>
        <w:rPr>
          <w:lang w:eastAsia="en-GB"/>
        </w:rPr>
      </w:pPr>
      <w:r w:rsidRPr="005F323B">
        <w:rPr>
          <w:lang w:eastAsia="en-GB"/>
        </w:rPr>
        <w:t xml:space="preserve">Saskaņā ar </w:t>
      </w:r>
      <w:r w:rsidR="00451419">
        <w:rPr>
          <w:lang w:eastAsia="en-GB"/>
        </w:rPr>
        <w:t>FM</w:t>
      </w:r>
      <w:r w:rsidRPr="005F323B">
        <w:rPr>
          <w:lang w:eastAsia="en-GB"/>
        </w:rPr>
        <w:t xml:space="preserve"> veiktajiem aprēķiniem</w:t>
      </w:r>
      <w:r w:rsidRPr="005F323B">
        <w:rPr>
          <w:rStyle w:val="FootnoteReference"/>
          <w:lang w:eastAsia="en-GB"/>
        </w:rPr>
        <w:footnoteReference w:id="10"/>
      </w:r>
      <w:r w:rsidRPr="005F323B">
        <w:rPr>
          <w:lang w:eastAsia="en-GB"/>
        </w:rPr>
        <w:t xml:space="preserve"> reālais koriģētais vispārējās valdības izdevumu pieaugums 2014.gadā pret 2013. gadu ir 2,03%, bet vidējā potenciālā IKP pieaugums 2,05%. Reālais koriģētais vispārējās valdības izdevumu pieaugums</w:t>
      </w:r>
      <w:r>
        <w:rPr>
          <w:lang w:eastAsia="en-GB"/>
        </w:rPr>
        <w:t xml:space="preserve"> 2015.gadā pret 2014. gadu ir </w:t>
      </w:r>
      <w:r>
        <w:rPr>
          <w:lang w:eastAsia="en-GB"/>
        </w:rPr>
        <w:lastRenderedPageBreak/>
        <w:t>1,</w:t>
      </w:r>
      <w:r w:rsidR="00756F4A">
        <w:rPr>
          <w:lang w:eastAsia="en-GB"/>
        </w:rPr>
        <w:t>13</w:t>
      </w:r>
      <w:r>
        <w:rPr>
          <w:lang w:eastAsia="en-GB"/>
        </w:rPr>
        <w:t>%, bet vidējā potenciālā IKP pieaugums 2,68%.</w:t>
      </w:r>
      <w:r w:rsidRPr="00AE6118">
        <w:rPr>
          <w:lang w:eastAsia="en-GB"/>
        </w:rPr>
        <w:t xml:space="preserve"> </w:t>
      </w:r>
      <w:r>
        <w:rPr>
          <w:lang w:eastAsia="en-GB"/>
        </w:rPr>
        <w:t>Reālais koriģētais vispārējās valdības izdevumu pieaugums 2016.gadā pret 2015. gadu ir 1,44%, bet vidējā potenciālā IKP pieaugums 3,29%.</w:t>
      </w:r>
    </w:p>
    <w:p w14:paraId="486CFC52" w14:textId="0F97B943" w:rsidR="0060396D" w:rsidRPr="00AE6118" w:rsidRDefault="0060396D" w:rsidP="00075C71">
      <w:pPr>
        <w:pStyle w:val="Default"/>
        <w:spacing w:after="120"/>
        <w:ind w:firstLine="720"/>
        <w:jc w:val="both"/>
        <w:rPr>
          <w:lang w:eastAsia="en-GB"/>
        </w:rPr>
      </w:pPr>
      <w:r>
        <w:rPr>
          <w:lang w:eastAsia="en-GB"/>
        </w:rPr>
        <w:t xml:space="preserve">Līdz ar to izstrādātais fiskālās attīstības scenārijs ir saskaņā ar Regulā nr. 1175/2011 un </w:t>
      </w:r>
      <w:r w:rsidR="0010615E">
        <w:rPr>
          <w:lang w:eastAsia="en-GB"/>
        </w:rPr>
        <w:t>FDL</w:t>
      </w:r>
      <w:r>
        <w:rPr>
          <w:lang w:eastAsia="en-GB"/>
        </w:rPr>
        <w:t xml:space="preserve"> noteikto izdevumu pieauguma nosacījumu.</w:t>
      </w:r>
    </w:p>
    <w:p w14:paraId="1818B9D2" w14:textId="1A6E9665" w:rsidR="00075C71" w:rsidRDefault="00075C71" w:rsidP="00075C71">
      <w:pPr>
        <w:pStyle w:val="teksts"/>
        <w:ind w:firstLine="709"/>
        <w:rPr>
          <w:rFonts w:ascii="Times New Roman" w:eastAsia="Calibri" w:hAnsi="Times New Roman"/>
          <w:color w:val="000000"/>
          <w:szCs w:val="24"/>
        </w:rPr>
      </w:pPr>
      <w:r>
        <w:rPr>
          <w:rFonts w:ascii="Times New Roman" w:eastAsia="Calibri" w:hAnsi="Times New Roman"/>
          <w:color w:val="000000"/>
          <w:szCs w:val="24"/>
        </w:rPr>
        <w:t xml:space="preserve">Fiskālās attīstības scenārijs ir veidots saskaņojot </w:t>
      </w:r>
      <w:r w:rsidRPr="00476CBC">
        <w:rPr>
          <w:rFonts w:ascii="Times New Roman" w:eastAsia="Calibri" w:hAnsi="Times New Roman"/>
          <w:i/>
          <w:color w:val="000000"/>
        </w:rPr>
        <w:t>top-</w:t>
      </w:r>
      <w:proofErr w:type="spellStart"/>
      <w:r w:rsidRPr="00476CBC">
        <w:rPr>
          <w:rFonts w:ascii="Times New Roman" w:eastAsia="Calibri" w:hAnsi="Times New Roman"/>
          <w:i/>
          <w:color w:val="000000"/>
        </w:rPr>
        <w:t>down</w:t>
      </w:r>
      <w:proofErr w:type="spellEnd"/>
      <w:r>
        <w:rPr>
          <w:rFonts w:ascii="Times New Roman" w:eastAsia="Calibri" w:hAnsi="Times New Roman"/>
          <w:color w:val="000000"/>
          <w:szCs w:val="24"/>
        </w:rPr>
        <w:t xml:space="preserve"> pieeju, </w:t>
      </w:r>
      <w:r w:rsidR="00F90754">
        <w:rPr>
          <w:rFonts w:ascii="Times New Roman" w:eastAsia="Calibri" w:hAnsi="Times New Roman"/>
          <w:color w:val="000000"/>
          <w:szCs w:val="24"/>
        </w:rPr>
        <w:t>a</w:t>
      </w:r>
      <w:r w:rsidR="00F90754" w:rsidRPr="00476CBC">
        <w:rPr>
          <w:rFonts w:ascii="Times New Roman" w:eastAsia="Calibri" w:hAnsi="Times New Roman"/>
          <w:color w:val="000000"/>
          <w:szCs w:val="24"/>
        </w:rPr>
        <w:t>tbilstoši</w:t>
      </w:r>
      <w:r w:rsidRPr="00476CBC">
        <w:rPr>
          <w:rFonts w:ascii="Times New Roman" w:eastAsia="Calibri" w:hAnsi="Times New Roman"/>
          <w:color w:val="000000"/>
        </w:rPr>
        <w:t xml:space="preserve"> </w:t>
      </w:r>
      <w:r w:rsidR="005812C7" w:rsidRPr="00476CBC">
        <w:rPr>
          <w:rFonts w:ascii="Times New Roman" w:eastAsia="Calibri" w:hAnsi="Times New Roman"/>
          <w:color w:val="000000"/>
          <w:szCs w:val="24"/>
        </w:rPr>
        <w:t>FDL</w:t>
      </w:r>
      <w:r w:rsidR="00F90754" w:rsidRPr="00476CBC">
        <w:rPr>
          <w:rFonts w:ascii="Times New Roman" w:eastAsia="Calibri" w:hAnsi="Times New Roman"/>
          <w:color w:val="000000"/>
        </w:rPr>
        <w:t>,</w:t>
      </w:r>
      <w:r w:rsidRPr="00476CBC">
        <w:rPr>
          <w:rFonts w:ascii="Times New Roman" w:eastAsia="Calibri" w:hAnsi="Times New Roman"/>
          <w:color w:val="000000"/>
        </w:rPr>
        <w:t xml:space="preserve"> nosak</w:t>
      </w:r>
      <w:r w:rsidR="00F90754" w:rsidRPr="00476CBC">
        <w:rPr>
          <w:rFonts w:ascii="Times New Roman" w:eastAsia="Calibri" w:hAnsi="Times New Roman"/>
          <w:color w:val="000000"/>
        </w:rPr>
        <w:t>ot</w:t>
      </w:r>
      <w:r w:rsidRPr="00476CBC">
        <w:rPr>
          <w:rFonts w:ascii="Times New Roman" w:eastAsia="Calibri" w:hAnsi="Times New Roman"/>
          <w:color w:val="000000"/>
          <w:szCs w:val="24"/>
        </w:rPr>
        <w:t xml:space="preserve"> strukturālās bilances</w:t>
      </w:r>
      <w:r>
        <w:rPr>
          <w:rFonts w:ascii="Times New Roman" w:eastAsia="Calibri" w:hAnsi="Times New Roman"/>
          <w:color w:val="000000"/>
          <w:szCs w:val="24"/>
        </w:rPr>
        <w:t xml:space="preserve"> mērķus vidējam termiņam un </w:t>
      </w:r>
      <w:proofErr w:type="spellStart"/>
      <w:r w:rsidRPr="00476CBC">
        <w:rPr>
          <w:rFonts w:ascii="Times New Roman" w:eastAsia="Calibri" w:hAnsi="Times New Roman"/>
          <w:i/>
          <w:color w:val="000000"/>
        </w:rPr>
        <w:t>bottom-up</w:t>
      </w:r>
      <w:proofErr w:type="spellEnd"/>
      <w:r w:rsidR="00914CEF">
        <w:rPr>
          <w:rStyle w:val="FootnoteReference"/>
          <w:rFonts w:eastAsia="Calibri"/>
          <w:i/>
          <w:color w:val="000000"/>
        </w:rPr>
        <w:footnoteReference w:id="11"/>
      </w:r>
      <w:r>
        <w:rPr>
          <w:rFonts w:ascii="Times New Roman" w:eastAsia="Calibri" w:hAnsi="Times New Roman"/>
          <w:color w:val="000000"/>
          <w:szCs w:val="24"/>
        </w:rPr>
        <w:t xml:space="preserve"> pieeju, kas balstīta vispārējās valdības sektora ieņēmumu un izdevumu prognozēs. Centrālās valdības </w:t>
      </w:r>
      <w:r w:rsidR="00C529CF">
        <w:rPr>
          <w:rFonts w:ascii="Times New Roman" w:eastAsia="Calibri" w:hAnsi="Times New Roman"/>
          <w:color w:val="000000"/>
          <w:szCs w:val="24"/>
        </w:rPr>
        <w:t xml:space="preserve">budžeta </w:t>
      </w:r>
      <w:r>
        <w:rPr>
          <w:rFonts w:ascii="Times New Roman" w:eastAsia="Calibri" w:hAnsi="Times New Roman"/>
          <w:color w:val="000000"/>
          <w:szCs w:val="24"/>
        </w:rPr>
        <w:t xml:space="preserve">izdevumu prognozes ir balstītas uz </w:t>
      </w:r>
      <w:r w:rsidR="00133C11">
        <w:rPr>
          <w:rFonts w:ascii="Times New Roman" w:eastAsia="Calibri" w:hAnsi="Times New Roman"/>
          <w:color w:val="000000"/>
          <w:szCs w:val="24"/>
        </w:rPr>
        <w:t xml:space="preserve">valsts budžeta bāzes izdevumu aprēķiniem </w:t>
      </w:r>
      <w:r>
        <w:rPr>
          <w:rFonts w:ascii="Times New Roman" w:eastAsia="Calibri" w:hAnsi="Times New Roman"/>
          <w:color w:val="000000"/>
          <w:szCs w:val="24"/>
        </w:rPr>
        <w:t>2014</w:t>
      </w:r>
      <w:r w:rsidR="007636E6">
        <w:rPr>
          <w:rFonts w:ascii="Times New Roman" w:eastAsia="Calibri" w:hAnsi="Times New Roman"/>
          <w:color w:val="000000"/>
          <w:szCs w:val="24"/>
        </w:rPr>
        <w:t>.</w:t>
      </w:r>
      <w:r>
        <w:rPr>
          <w:rFonts w:ascii="Times New Roman" w:eastAsia="Calibri" w:hAnsi="Times New Roman"/>
          <w:color w:val="000000"/>
          <w:szCs w:val="24"/>
        </w:rPr>
        <w:t>-2016.gadiem, k</w:t>
      </w:r>
      <w:r w:rsidR="00133C11">
        <w:rPr>
          <w:rFonts w:ascii="Times New Roman" w:eastAsia="Calibri" w:hAnsi="Times New Roman"/>
          <w:color w:val="000000"/>
          <w:szCs w:val="24"/>
        </w:rPr>
        <w:t xml:space="preserve">urus </w:t>
      </w:r>
      <w:r>
        <w:rPr>
          <w:rFonts w:ascii="Times New Roman" w:eastAsia="Calibri" w:hAnsi="Times New Roman"/>
          <w:color w:val="000000"/>
          <w:szCs w:val="24"/>
        </w:rPr>
        <w:t xml:space="preserve">valdība apstiprināja </w:t>
      </w:r>
      <w:r w:rsidR="004C5245">
        <w:rPr>
          <w:rFonts w:ascii="Times New Roman" w:eastAsia="Calibri" w:hAnsi="Times New Roman"/>
          <w:color w:val="000000"/>
          <w:szCs w:val="24"/>
        </w:rPr>
        <w:t>2013.gada 19.martā</w:t>
      </w:r>
      <w:r>
        <w:rPr>
          <w:rFonts w:ascii="Times New Roman" w:eastAsia="Calibri" w:hAnsi="Times New Roman"/>
          <w:color w:val="000000"/>
          <w:szCs w:val="24"/>
        </w:rPr>
        <w:t xml:space="preserve">. Fiskālās prognozes rāda, ka centrālās valdības izdevumu </w:t>
      </w:r>
      <w:r w:rsidRPr="00476CBC">
        <w:rPr>
          <w:rFonts w:ascii="Times New Roman" w:eastAsia="Calibri" w:hAnsi="Times New Roman"/>
          <w:color w:val="000000"/>
          <w:szCs w:val="24"/>
        </w:rPr>
        <w:t>apjoms saskaņā ar apstiprinātaj</w:t>
      </w:r>
      <w:r w:rsidR="00EF0059" w:rsidRPr="00476CBC">
        <w:rPr>
          <w:rFonts w:ascii="Times New Roman" w:eastAsia="Calibri" w:hAnsi="Times New Roman"/>
          <w:color w:val="000000"/>
          <w:szCs w:val="24"/>
        </w:rPr>
        <w:t>iem</w:t>
      </w:r>
      <w:r w:rsidRPr="00476CBC">
        <w:rPr>
          <w:rFonts w:ascii="Times New Roman" w:eastAsia="Calibri" w:hAnsi="Times New Roman"/>
          <w:color w:val="000000"/>
          <w:szCs w:val="24"/>
        </w:rPr>
        <w:t xml:space="preserve"> </w:t>
      </w:r>
      <w:r w:rsidR="00133C11" w:rsidRPr="00476CBC">
        <w:rPr>
          <w:rFonts w:ascii="Times New Roman" w:eastAsia="Calibri" w:hAnsi="Times New Roman"/>
          <w:color w:val="000000"/>
          <w:szCs w:val="24"/>
        </w:rPr>
        <w:t>bāzes izdevumiem</w:t>
      </w:r>
      <w:r w:rsidRPr="00476CBC">
        <w:rPr>
          <w:rFonts w:ascii="Times New Roman" w:eastAsia="Calibri" w:hAnsi="Times New Roman"/>
          <w:color w:val="000000"/>
          <w:szCs w:val="24"/>
        </w:rPr>
        <w:t xml:space="preserve"> ir zemāks par maksimāli iespējamo centrālās valdības izdevumu apjomu, kas aprēķināts saskaņā ar </w:t>
      </w:r>
      <w:r w:rsidRPr="00476CBC">
        <w:rPr>
          <w:rFonts w:ascii="Times New Roman" w:eastAsia="Calibri" w:hAnsi="Times New Roman"/>
          <w:i/>
          <w:color w:val="000000"/>
        </w:rPr>
        <w:t>top-</w:t>
      </w:r>
      <w:proofErr w:type="spellStart"/>
      <w:r w:rsidRPr="00476CBC">
        <w:rPr>
          <w:rFonts w:ascii="Times New Roman" w:eastAsia="Calibri" w:hAnsi="Times New Roman"/>
          <w:i/>
          <w:color w:val="000000"/>
        </w:rPr>
        <w:t>down</w:t>
      </w:r>
      <w:proofErr w:type="spellEnd"/>
      <w:r w:rsidRPr="00476CBC">
        <w:rPr>
          <w:rFonts w:ascii="Times New Roman" w:eastAsia="Calibri" w:hAnsi="Times New Roman"/>
          <w:color w:val="000000"/>
        </w:rPr>
        <w:t xml:space="preserve"> metodi.</w:t>
      </w:r>
      <w:r w:rsidRPr="00476CBC">
        <w:rPr>
          <w:rFonts w:ascii="Times New Roman" w:eastAsia="Calibri" w:hAnsi="Times New Roman"/>
          <w:color w:val="000000"/>
          <w:szCs w:val="24"/>
        </w:rPr>
        <w:t xml:space="preserve"> Saskaņā ar pašreizējiem aprēķiniem šī starpība </w:t>
      </w:r>
      <w:r w:rsidRPr="00476CBC">
        <w:rPr>
          <w:rFonts w:ascii="Times New Roman" w:eastAsia="Calibri" w:hAnsi="Times New Roman"/>
          <w:color w:val="000000"/>
        </w:rPr>
        <w:t xml:space="preserve">2014.gadā ir </w:t>
      </w:r>
      <w:r w:rsidR="007405E0" w:rsidRPr="00476CBC">
        <w:rPr>
          <w:rFonts w:ascii="Times New Roman" w:eastAsia="Calibri" w:hAnsi="Times New Roman"/>
          <w:color w:val="000000"/>
          <w:szCs w:val="24"/>
        </w:rPr>
        <w:t>0,3</w:t>
      </w:r>
      <w:r w:rsidRPr="00476CBC">
        <w:rPr>
          <w:rFonts w:ascii="Times New Roman" w:eastAsia="Calibri" w:hAnsi="Times New Roman"/>
          <w:color w:val="000000"/>
        </w:rPr>
        <w:t xml:space="preserve">% no IKP, 2015.gadā </w:t>
      </w:r>
      <w:r w:rsidR="007405E0" w:rsidRPr="00476CBC">
        <w:rPr>
          <w:rFonts w:ascii="Times New Roman" w:eastAsia="Calibri" w:hAnsi="Times New Roman"/>
          <w:color w:val="000000"/>
          <w:szCs w:val="24"/>
        </w:rPr>
        <w:t>0,5</w:t>
      </w:r>
      <w:r w:rsidRPr="00476CBC">
        <w:rPr>
          <w:rFonts w:ascii="Times New Roman" w:eastAsia="Calibri" w:hAnsi="Times New Roman"/>
          <w:color w:val="000000"/>
        </w:rPr>
        <w:t xml:space="preserve">% no IKP un 2016.gadā </w:t>
      </w:r>
      <w:r w:rsidR="007405E0" w:rsidRPr="00476CBC">
        <w:rPr>
          <w:rFonts w:ascii="Times New Roman" w:eastAsia="Calibri" w:hAnsi="Times New Roman"/>
          <w:color w:val="000000"/>
          <w:szCs w:val="24"/>
        </w:rPr>
        <w:t>1,5</w:t>
      </w:r>
      <w:r w:rsidRPr="00476CBC">
        <w:rPr>
          <w:rFonts w:ascii="Times New Roman" w:eastAsia="Calibri" w:hAnsi="Times New Roman"/>
          <w:color w:val="000000"/>
        </w:rPr>
        <w:t>%</w:t>
      </w:r>
      <w:r w:rsidRPr="00097E66">
        <w:rPr>
          <w:rFonts w:ascii="Times New Roman" w:eastAsia="Calibri" w:hAnsi="Times New Roman"/>
          <w:color w:val="000000"/>
        </w:rPr>
        <w:t xml:space="preserve"> no IKP</w:t>
      </w:r>
      <w:r w:rsidRPr="00384B13">
        <w:rPr>
          <w:rFonts w:ascii="Times New Roman" w:eastAsia="Calibri" w:hAnsi="Times New Roman"/>
          <w:color w:val="000000"/>
          <w:szCs w:val="24"/>
        </w:rPr>
        <w:t>.</w:t>
      </w:r>
      <w:r>
        <w:rPr>
          <w:rFonts w:ascii="Times New Roman" w:eastAsia="Calibri" w:hAnsi="Times New Roman"/>
          <w:color w:val="000000"/>
          <w:szCs w:val="24"/>
        </w:rPr>
        <w:t xml:space="preserve"> </w:t>
      </w:r>
    </w:p>
    <w:p w14:paraId="079D7393" w14:textId="620414D5" w:rsidR="00075C71" w:rsidRDefault="00075C71" w:rsidP="00075C71">
      <w:pPr>
        <w:pStyle w:val="teksts"/>
        <w:ind w:firstLine="709"/>
        <w:rPr>
          <w:rFonts w:ascii="Times New Roman" w:eastAsia="Calibri" w:hAnsi="Times New Roman"/>
          <w:color w:val="000000"/>
          <w:szCs w:val="24"/>
        </w:rPr>
      </w:pPr>
      <w:r>
        <w:rPr>
          <w:rFonts w:ascii="Times New Roman" w:eastAsia="Calibri" w:hAnsi="Times New Roman"/>
          <w:color w:val="000000"/>
          <w:szCs w:val="24"/>
        </w:rPr>
        <w:t xml:space="preserve">Fiskālās disciplīnas </w:t>
      </w:r>
      <w:r w:rsidR="00E27EA6">
        <w:rPr>
          <w:rFonts w:ascii="Times New Roman" w:eastAsia="Calibri" w:hAnsi="Times New Roman"/>
          <w:color w:val="000000"/>
          <w:szCs w:val="24"/>
        </w:rPr>
        <w:t xml:space="preserve">likuma </w:t>
      </w:r>
      <w:r>
        <w:rPr>
          <w:rFonts w:ascii="Times New Roman" w:eastAsia="Calibri" w:hAnsi="Times New Roman"/>
          <w:color w:val="000000"/>
          <w:szCs w:val="24"/>
        </w:rPr>
        <w:t>nosacījumi paredz, ka šo starpību var izmantot papildu izdevumiem, izstrādājot 2014</w:t>
      </w:r>
      <w:r w:rsidR="00133C11">
        <w:rPr>
          <w:rFonts w:ascii="Times New Roman" w:eastAsia="Calibri" w:hAnsi="Times New Roman"/>
          <w:color w:val="000000"/>
          <w:szCs w:val="24"/>
        </w:rPr>
        <w:t>.</w:t>
      </w:r>
      <w:r>
        <w:rPr>
          <w:rFonts w:ascii="Times New Roman" w:eastAsia="Calibri" w:hAnsi="Times New Roman"/>
          <w:color w:val="000000"/>
          <w:szCs w:val="24"/>
        </w:rPr>
        <w:t>-2016</w:t>
      </w:r>
      <w:r w:rsidR="00133C11">
        <w:rPr>
          <w:rFonts w:ascii="Times New Roman" w:eastAsia="Calibri" w:hAnsi="Times New Roman"/>
          <w:color w:val="000000"/>
          <w:szCs w:val="24"/>
        </w:rPr>
        <w:t>.</w:t>
      </w:r>
      <w:r w:rsidR="00E27EA6">
        <w:rPr>
          <w:rFonts w:ascii="Times New Roman" w:eastAsia="Calibri" w:hAnsi="Times New Roman"/>
          <w:color w:val="000000"/>
          <w:szCs w:val="24"/>
        </w:rPr>
        <w:t> gada</w:t>
      </w:r>
      <w:r>
        <w:rPr>
          <w:rFonts w:ascii="Times New Roman" w:eastAsia="Calibri" w:hAnsi="Times New Roman"/>
          <w:color w:val="000000"/>
          <w:szCs w:val="24"/>
        </w:rPr>
        <w:t xml:space="preserve"> </w:t>
      </w:r>
      <w:r w:rsidR="00476CBC">
        <w:rPr>
          <w:rFonts w:ascii="Times New Roman" w:eastAsia="Calibri" w:hAnsi="Times New Roman"/>
          <w:color w:val="000000"/>
          <w:szCs w:val="24"/>
        </w:rPr>
        <w:t>Ietvara likumu</w:t>
      </w:r>
      <w:r>
        <w:rPr>
          <w:rFonts w:ascii="Times New Roman" w:eastAsia="Calibri" w:hAnsi="Times New Roman"/>
          <w:color w:val="000000"/>
          <w:szCs w:val="24"/>
        </w:rPr>
        <w:t xml:space="preserve"> un šajā fiskālās attīstības scenārijā ir pieņemts, ka šī </w:t>
      </w:r>
      <w:r w:rsidRPr="00476CBC">
        <w:rPr>
          <w:rFonts w:ascii="Times New Roman" w:eastAsia="Calibri" w:hAnsi="Times New Roman"/>
          <w:color w:val="000000"/>
          <w:szCs w:val="24"/>
        </w:rPr>
        <w:t>starpība arī</w:t>
      </w:r>
      <w:r w:rsidR="00F070D2" w:rsidRPr="00476CBC">
        <w:rPr>
          <w:rFonts w:ascii="Times New Roman" w:eastAsia="Calibri" w:hAnsi="Times New Roman"/>
          <w:color w:val="000000"/>
          <w:szCs w:val="24"/>
        </w:rPr>
        <w:t xml:space="preserve"> tiks pilnībā izmantota. Tā kā K</w:t>
      </w:r>
      <w:r w:rsidRPr="00476CBC">
        <w:rPr>
          <w:rFonts w:ascii="Times New Roman" w:eastAsia="Calibri" w:hAnsi="Times New Roman"/>
          <w:color w:val="000000"/>
          <w:szCs w:val="24"/>
        </w:rPr>
        <w:t>onverģences programmas sagatavošanas brīdī nav pieņemti lēmumi par šīs starpības izmantošanu</w:t>
      </w:r>
      <w:r w:rsidR="004B0C3D" w:rsidRPr="00476CBC">
        <w:rPr>
          <w:rFonts w:ascii="Times New Roman" w:eastAsia="Calibri" w:hAnsi="Times New Roman"/>
          <w:color w:val="000000"/>
          <w:szCs w:val="24"/>
        </w:rPr>
        <w:t xml:space="preserve"> </w:t>
      </w:r>
      <w:r w:rsidRPr="00476CBC">
        <w:rPr>
          <w:rFonts w:ascii="Times New Roman" w:eastAsia="Calibri" w:hAnsi="Times New Roman"/>
          <w:color w:val="000000"/>
          <w:szCs w:val="24"/>
        </w:rPr>
        <w:t>un tā</w:t>
      </w:r>
      <w:r w:rsidR="004B0C3D" w:rsidRPr="00476CBC">
        <w:rPr>
          <w:rFonts w:ascii="Times New Roman" w:eastAsia="Calibri" w:hAnsi="Times New Roman"/>
          <w:color w:val="000000"/>
          <w:szCs w:val="24"/>
        </w:rPr>
        <w:t>s</w:t>
      </w:r>
      <w:r w:rsidRPr="00476CBC">
        <w:rPr>
          <w:rFonts w:ascii="Times New Roman" w:eastAsia="Calibri" w:hAnsi="Times New Roman"/>
          <w:color w:val="000000"/>
          <w:szCs w:val="24"/>
        </w:rPr>
        <w:t xml:space="preserve"> sadalījums nav zināms</w:t>
      </w:r>
      <w:r w:rsidR="006336DE" w:rsidRPr="00476CBC">
        <w:rPr>
          <w:rFonts w:ascii="Times New Roman" w:eastAsia="Calibri" w:hAnsi="Times New Roman"/>
          <w:color w:val="000000"/>
          <w:szCs w:val="24"/>
        </w:rPr>
        <w:t xml:space="preserve"> (lēmumi tiks </w:t>
      </w:r>
      <w:r w:rsidR="006336DE" w:rsidRPr="001679F8">
        <w:rPr>
          <w:rFonts w:ascii="Times New Roman" w:eastAsia="Calibri" w:hAnsi="Times New Roman"/>
          <w:color w:val="000000"/>
          <w:szCs w:val="24"/>
        </w:rPr>
        <w:t>pie</w:t>
      </w:r>
      <w:r w:rsidR="00B4692F" w:rsidRPr="001679F8">
        <w:rPr>
          <w:rFonts w:ascii="Times New Roman" w:eastAsia="Calibri" w:hAnsi="Times New Roman"/>
          <w:color w:val="000000"/>
          <w:szCs w:val="24"/>
        </w:rPr>
        <w:t>ņemti</w:t>
      </w:r>
      <w:r w:rsidR="006336DE" w:rsidRPr="001679F8">
        <w:rPr>
          <w:rFonts w:ascii="Times New Roman" w:eastAsia="Calibri" w:hAnsi="Times New Roman"/>
          <w:color w:val="000000"/>
          <w:szCs w:val="24"/>
        </w:rPr>
        <w:t xml:space="preserve"> </w:t>
      </w:r>
      <w:r w:rsidR="001679F8" w:rsidRPr="001679F8">
        <w:rPr>
          <w:rFonts w:ascii="Times New Roman" w:hAnsi="Times New Roman"/>
          <w:color w:val="000000" w:themeColor="text1"/>
          <w:szCs w:val="24"/>
        </w:rPr>
        <w:t>likumprojekta „Par vidēja termiņa budžeta ietvaru 2014., 2015., un 2016.gadam” un likumprojekta „Par valsts budžetu 2014.gadam” sagatavošanas procesā</w:t>
      </w:r>
      <w:r w:rsidR="006336DE" w:rsidRPr="001679F8">
        <w:rPr>
          <w:rFonts w:ascii="Times New Roman" w:eastAsia="Calibri" w:hAnsi="Times New Roman"/>
          <w:color w:val="000000"/>
          <w:szCs w:val="24"/>
        </w:rPr>
        <w:t>)</w:t>
      </w:r>
      <w:r w:rsidRPr="001679F8">
        <w:rPr>
          <w:rFonts w:ascii="Times New Roman" w:eastAsia="Calibri" w:hAnsi="Times New Roman"/>
          <w:color w:val="000000"/>
          <w:szCs w:val="24"/>
        </w:rPr>
        <w:t>,</w:t>
      </w:r>
      <w:r w:rsidRPr="00476CBC">
        <w:rPr>
          <w:rFonts w:ascii="Times New Roman" w:eastAsia="Calibri" w:hAnsi="Times New Roman"/>
          <w:color w:val="000000"/>
          <w:szCs w:val="24"/>
        </w:rPr>
        <w:t xml:space="preserve"> </w:t>
      </w:r>
      <w:r w:rsidR="004B0C3D" w:rsidRPr="00476CBC">
        <w:rPr>
          <w:rFonts w:ascii="Times New Roman" w:eastAsia="Calibri" w:hAnsi="Times New Roman"/>
          <w:color w:val="000000"/>
          <w:szCs w:val="24"/>
        </w:rPr>
        <w:t>Konverģences p</w:t>
      </w:r>
      <w:r w:rsidR="00E27EA6" w:rsidRPr="00476CBC">
        <w:rPr>
          <w:rFonts w:ascii="Times New Roman" w:eastAsia="Calibri" w:hAnsi="Times New Roman"/>
          <w:color w:val="000000"/>
          <w:szCs w:val="24"/>
        </w:rPr>
        <w:t xml:space="preserve">rogrammas pielikuma </w:t>
      </w:r>
      <w:r w:rsidRPr="00476CBC">
        <w:rPr>
          <w:rFonts w:ascii="Times New Roman" w:eastAsia="Calibri" w:hAnsi="Times New Roman"/>
          <w:color w:val="000000"/>
          <w:szCs w:val="24"/>
        </w:rPr>
        <w:t>2a</w:t>
      </w:r>
      <w:r w:rsidR="00E27EA6" w:rsidRPr="00476CBC">
        <w:rPr>
          <w:rFonts w:ascii="Times New Roman" w:eastAsia="Calibri" w:hAnsi="Times New Roman"/>
          <w:color w:val="000000"/>
          <w:szCs w:val="24"/>
        </w:rPr>
        <w:t>.</w:t>
      </w:r>
      <w:r w:rsidR="007405E0" w:rsidRPr="00476CBC">
        <w:rPr>
          <w:rFonts w:ascii="Times New Roman" w:eastAsia="Calibri" w:hAnsi="Times New Roman"/>
          <w:color w:val="000000"/>
          <w:szCs w:val="24"/>
        </w:rPr>
        <w:t> </w:t>
      </w:r>
      <w:r w:rsidRPr="00476CBC">
        <w:rPr>
          <w:rFonts w:ascii="Times New Roman" w:eastAsia="Calibri" w:hAnsi="Times New Roman"/>
          <w:color w:val="000000"/>
          <w:szCs w:val="24"/>
        </w:rPr>
        <w:t xml:space="preserve">tabulā </w:t>
      </w:r>
      <w:r w:rsidR="009106AC" w:rsidRPr="00476CBC">
        <w:rPr>
          <w:rFonts w:ascii="Times New Roman" w:eastAsia="Calibri" w:hAnsi="Times New Roman"/>
          <w:color w:val="000000"/>
          <w:szCs w:val="24"/>
        </w:rPr>
        <w:t xml:space="preserve">metodoloģisku apsvērumu dēļ tā ir iekļauta </w:t>
      </w:r>
      <w:r w:rsidRPr="00476CBC">
        <w:rPr>
          <w:rFonts w:ascii="Times New Roman" w:eastAsia="Calibri" w:hAnsi="Times New Roman"/>
          <w:color w:val="000000"/>
          <w:szCs w:val="24"/>
        </w:rPr>
        <w:t>izdevumu pozīcijā „</w:t>
      </w:r>
      <w:r w:rsidR="00FE51AD" w:rsidRPr="00476CBC">
        <w:rPr>
          <w:rFonts w:ascii="Times New Roman" w:eastAsia="Calibri" w:hAnsi="Times New Roman"/>
          <w:color w:val="000000"/>
          <w:szCs w:val="24"/>
        </w:rPr>
        <w:t>pārējie</w:t>
      </w:r>
      <w:r w:rsidRPr="00476CBC">
        <w:rPr>
          <w:rFonts w:ascii="Times New Roman" w:eastAsia="Calibri" w:hAnsi="Times New Roman"/>
          <w:color w:val="000000"/>
          <w:szCs w:val="24"/>
        </w:rPr>
        <w:t xml:space="preserve"> izdevumi”. Jāatzīmē, ka šī starpība</w:t>
      </w:r>
      <w:r w:rsidR="007405E0" w:rsidRPr="00476CBC">
        <w:rPr>
          <w:rFonts w:ascii="Times New Roman" w:eastAsia="Calibri" w:hAnsi="Times New Roman"/>
          <w:color w:val="000000"/>
          <w:szCs w:val="24"/>
        </w:rPr>
        <w:t xml:space="preserve"> </w:t>
      </w:r>
      <w:r w:rsidRPr="00476CBC">
        <w:rPr>
          <w:rFonts w:ascii="Times New Roman" w:eastAsia="Calibri" w:hAnsi="Times New Roman"/>
          <w:color w:val="000000"/>
          <w:szCs w:val="24"/>
        </w:rPr>
        <w:t xml:space="preserve">veido tikai </w:t>
      </w:r>
      <w:r w:rsidR="007405E0" w:rsidRPr="00476CBC">
        <w:rPr>
          <w:rFonts w:ascii="Times New Roman" w:eastAsia="Calibri" w:hAnsi="Times New Roman"/>
          <w:color w:val="000000"/>
          <w:szCs w:val="24"/>
        </w:rPr>
        <w:t>2,4</w:t>
      </w:r>
      <w:r w:rsidRPr="00476CBC">
        <w:rPr>
          <w:rFonts w:ascii="Times New Roman" w:eastAsia="Calibri" w:hAnsi="Times New Roman"/>
          <w:color w:val="000000"/>
          <w:szCs w:val="24"/>
        </w:rPr>
        <w:t xml:space="preserve">% no kopējiem izdevumiem un būtiski neietekmē prognozēto izdevumu sadalījumu pa </w:t>
      </w:r>
      <w:r w:rsidRPr="00476CBC">
        <w:rPr>
          <w:rFonts w:ascii="Times New Roman" w:eastAsia="Calibri" w:hAnsi="Times New Roman"/>
          <w:color w:val="000000"/>
        </w:rPr>
        <w:t>izdevumu pozīcijām</w:t>
      </w:r>
      <w:r w:rsidRPr="00476CBC">
        <w:rPr>
          <w:rFonts w:ascii="Times New Roman" w:eastAsia="Calibri" w:hAnsi="Times New Roman"/>
          <w:color w:val="000000"/>
          <w:szCs w:val="24"/>
        </w:rPr>
        <w:t>.</w:t>
      </w:r>
      <w:r>
        <w:rPr>
          <w:rFonts w:ascii="Times New Roman" w:eastAsia="Calibri" w:hAnsi="Times New Roman"/>
          <w:color w:val="000000"/>
          <w:szCs w:val="24"/>
        </w:rPr>
        <w:t xml:space="preserve">   </w:t>
      </w:r>
    </w:p>
    <w:p w14:paraId="3E67906A" w14:textId="77777777" w:rsidR="007C4C76" w:rsidRDefault="0060396D" w:rsidP="00225345">
      <w:pPr>
        <w:ind w:firstLine="709"/>
        <w:rPr>
          <w:color w:val="000000"/>
        </w:rPr>
      </w:pPr>
      <w:r>
        <w:rPr>
          <w:color w:val="000000"/>
        </w:rPr>
        <w:t>Izstrādāt</w:t>
      </w:r>
      <w:r w:rsidR="00CB7D73">
        <w:rPr>
          <w:color w:val="000000"/>
        </w:rPr>
        <w:t>ajā</w:t>
      </w:r>
      <w:r>
        <w:rPr>
          <w:color w:val="000000"/>
        </w:rPr>
        <w:t xml:space="preserve"> fiskālās attīstības scenārijā vispārējās valdības prognozētie f</w:t>
      </w:r>
      <w:r w:rsidR="005F323B">
        <w:rPr>
          <w:color w:val="000000"/>
        </w:rPr>
        <w:t>iskālie rādītāji ir parādīti 4.2</w:t>
      </w:r>
      <w:r>
        <w:rPr>
          <w:color w:val="000000"/>
        </w:rPr>
        <w:t xml:space="preserve"> tabulā.</w:t>
      </w:r>
    </w:p>
    <w:p w14:paraId="261C0D53" w14:textId="77777777" w:rsidR="0060396D" w:rsidRPr="00AD3ED6" w:rsidRDefault="005F323B" w:rsidP="0060396D">
      <w:pPr>
        <w:ind w:firstLine="0"/>
        <w:jc w:val="right"/>
        <w:rPr>
          <w:color w:val="000000"/>
        </w:rPr>
      </w:pPr>
      <w:r>
        <w:rPr>
          <w:color w:val="000000"/>
        </w:rPr>
        <w:t>4.2</w:t>
      </w:r>
      <w:r w:rsidR="0060396D" w:rsidRPr="00566DD6">
        <w:rPr>
          <w:color w:val="000000"/>
        </w:rPr>
        <w:t>. tabula. Vispārē</w:t>
      </w:r>
      <w:r w:rsidR="0060396D">
        <w:rPr>
          <w:color w:val="000000"/>
        </w:rPr>
        <w:t xml:space="preserve">jās </w:t>
      </w:r>
      <w:r w:rsidR="0060396D" w:rsidRPr="00A3460C">
        <w:rPr>
          <w:color w:val="000000"/>
        </w:rPr>
        <w:t>valdības budžeta attīstība</w:t>
      </w:r>
      <w:r w:rsidR="0060396D">
        <w:rPr>
          <w:color w:val="000000"/>
        </w:rPr>
        <w:t xml:space="preserve"> </w:t>
      </w:r>
    </w:p>
    <w:tbl>
      <w:tblPr>
        <w:tblW w:w="9356" w:type="dxa"/>
        <w:tblInd w:w="-34" w:type="dxa"/>
        <w:tblLayout w:type="fixed"/>
        <w:tblLook w:val="0000" w:firstRow="0" w:lastRow="0" w:firstColumn="0" w:lastColumn="0" w:noHBand="0" w:noVBand="0"/>
      </w:tblPr>
      <w:tblGrid>
        <w:gridCol w:w="750"/>
        <w:gridCol w:w="2936"/>
        <w:gridCol w:w="1134"/>
        <w:gridCol w:w="992"/>
        <w:gridCol w:w="709"/>
        <w:gridCol w:w="709"/>
        <w:gridCol w:w="709"/>
        <w:gridCol w:w="708"/>
        <w:gridCol w:w="709"/>
      </w:tblGrid>
      <w:tr w:rsidR="0060396D" w:rsidRPr="005A6F44" w14:paraId="5365C490" w14:textId="77777777" w:rsidTr="00F46473">
        <w:trPr>
          <w:cantSplit/>
          <w:tblHeader/>
        </w:trPr>
        <w:tc>
          <w:tcPr>
            <w:tcW w:w="3686" w:type="dxa"/>
            <w:gridSpan w:val="2"/>
            <w:tcBorders>
              <w:top w:val="double" w:sz="4" w:space="0" w:color="auto"/>
              <w:left w:val="double" w:sz="4" w:space="0" w:color="auto"/>
              <w:bottom w:val="single" w:sz="4" w:space="0" w:color="auto"/>
              <w:right w:val="single" w:sz="4" w:space="0" w:color="auto"/>
            </w:tcBorders>
            <w:vAlign w:val="bottom"/>
          </w:tcPr>
          <w:p w14:paraId="1D37E253" w14:textId="77777777" w:rsidR="0060396D" w:rsidRPr="005A6F44" w:rsidRDefault="0060396D" w:rsidP="00F46473">
            <w:pPr>
              <w:pStyle w:val="tabteksts"/>
              <w:jc w:val="center"/>
              <w:rPr>
                <w:b/>
              </w:rPr>
            </w:pPr>
          </w:p>
        </w:tc>
        <w:tc>
          <w:tcPr>
            <w:tcW w:w="1134" w:type="dxa"/>
            <w:tcBorders>
              <w:top w:val="double" w:sz="4" w:space="0" w:color="auto"/>
              <w:left w:val="single" w:sz="4" w:space="0" w:color="auto"/>
              <w:bottom w:val="single" w:sz="4" w:space="0" w:color="auto"/>
              <w:right w:val="double" w:sz="4" w:space="0" w:color="auto"/>
            </w:tcBorders>
            <w:vAlign w:val="bottom"/>
          </w:tcPr>
          <w:p w14:paraId="03F25456" w14:textId="77777777" w:rsidR="0060396D" w:rsidRPr="005A6F44" w:rsidRDefault="0060396D" w:rsidP="00F46473">
            <w:pPr>
              <w:pStyle w:val="tabteksts"/>
              <w:jc w:val="center"/>
              <w:rPr>
                <w:b/>
              </w:rPr>
            </w:pPr>
          </w:p>
        </w:tc>
        <w:tc>
          <w:tcPr>
            <w:tcW w:w="992" w:type="dxa"/>
            <w:tcBorders>
              <w:top w:val="double" w:sz="4" w:space="0" w:color="auto"/>
              <w:left w:val="double" w:sz="4" w:space="0" w:color="auto"/>
              <w:bottom w:val="single" w:sz="4" w:space="0" w:color="auto"/>
              <w:right w:val="single" w:sz="4" w:space="0" w:color="auto"/>
            </w:tcBorders>
            <w:vAlign w:val="bottom"/>
          </w:tcPr>
          <w:p w14:paraId="029A13FA" w14:textId="77777777" w:rsidR="0060396D" w:rsidRPr="005A6F44" w:rsidRDefault="0060396D" w:rsidP="00F46473">
            <w:pPr>
              <w:pStyle w:val="tabteksts"/>
              <w:jc w:val="center"/>
              <w:rPr>
                <w:b/>
              </w:rPr>
            </w:pPr>
            <w:r w:rsidRPr="005A6F44">
              <w:rPr>
                <w:b/>
              </w:rPr>
              <w:t>2012</w:t>
            </w:r>
          </w:p>
        </w:tc>
        <w:tc>
          <w:tcPr>
            <w:tcW w:w="709" w:type="dxa"/>
            <w:tcBorders>
              <w:top w:val="double" w:sz="4" w:space="0" w:color="auto"/>
              <w:left w:val="nil"/>
              <w:bottom w:val="single" w:sz="4" w:space="0" w:color="auto"/>
              <w:right w:val="single" w:sz="4" w:space="0" w:color="auto"/>
            </w:tcBorders>
            <w:vAlign w:val="bottom"/>
          </w:tcPr>
          <w:p w14:paraId="6BFD2227" w14:textId="77777777" w:rsidR="0060396D" w:rsidRPr="005A6F44" w:rsidRDefault="0060396D" w:rsidP="00F46473">
            <w:pPr>
              <w:pStyle w:val="tabteksts"/>
              <w:jc w:val="center"/>
              <w:rPr>
                <w:b/>
              </w:rPr>
            </w:pPr>
            <w:r w:rsidRPr="005A6F44">
              <w:rPr>
                <w:b/>
              </w:rPr>
              <w:t>2012</w:t>
            </w:r>
          </w:p>
        </w:tc>
        <w:tc>
          <w:tcPr>
            <w:tcW w:w="709" w:type="dxa"/>
            <w:tcBorders>
              <w:top w:val="double" w:sz="4" w:space="0" w:color="auto"/>
              <w:left w:val="nil"/>
              <w:bottom w:val="single" w:sz="4" w:space="0" w:color="auto"/>
              <w:right w:val="single" w:sz="4" w:space="0" w:color="auto"/>
            </w:tcBorders>
            <w:vAlign w:val="bottom"/>
          </w:tcPr>
          <w:p w14:paraId="6914252F" w14:textId="77777777" w:rsidR="0060396D" w:rsidRPr="005A6F44" w:rsidRDefault="0060396D" w:rsidP="00F46473">
            <w:pPr>
              <w:pStyle w:val="tabteksts"/>
              <w:jc w:val="center"/>
              <w:rPr>
                <w:b/>
              </w:rPr>
            </w:pPr>
            <w:r w:rsidRPr="005A6F44">
              <w:rPr>
                <w:b/>
              </w:rPr>
              <w:t>2013</w:t>
            </w:r>
          </w:p>
        </w:tc>
        <w:tc>
          <w:tcPr>
            <w:tcW w:w="709" w:type="dxa"/>
            <w:tcBorders>
              <w:top w:val="double" w:sz="4" w:space="0" w:color="auto"/>
              <w:left w:val="nil"/>
              <w:bottom w:val="single" w:sz="4" w:space="0" w:color="auto"/>
              <w:right w:val="single" w:sz="4" w:space="0" w:color="auto"/>
            </w:tcBorders>
          </w:tcPr>
          <w:p w14:paraId="44E365F3" w14:textId="77777777" w:rsidR="0060396D" w:rsidRPr="005A6F44" w:rsidRDefault="0060396D" w:rsidP="00F46473">
            <w:pPr>
              <w:pStyle w:val="tabteksts"/>
              <w:jc w:val="center"/>
              <w:rPr>
                <w:b/>
              </w:rPr>
            </w:pPr>
            <w:r w:rsidRPr="005A6F44">
              <w:rPr>
                <w:b/>
              </w:rPr>
              <w:t>2014</w:t>
            </w:r>
          </w:p>
        </w:tc>
        <w:tc>
          <w:tcPr>
            <w:tcW w:w="708" w:type="dxa"/>
            <w:tcBorders>
              <w:top w:val="double" w:sz="4" w:space="0" w:color="auto"/>
              <w:left w:val="nil"/>
              <w:bottom w:val="single" w:sz="4" w:space="0" w:color="auto"/>
              <w:right w:val="single" w:sz="4" w:space="0" w:color="auto"/>
            </w:tcBorders>
            <w:vAlign w:val="bottom"/>
          </w:tcPr>
          <w:p w14:paraId="62CAE801" w14:textId="77777777" w:rsidR="0060396D" w:rsidRPr="005A6F44" w:rsidRDefault="0060396D" w:rsidP="00F46473">
            <w:pPr>
              <w:pStyle w:val="tabteksts"/>
              <w:jc w:val="center"/>
              <w:rPr>
                <w:b/>
              </w:rPr>
            </w:pPr>
            <w:r w:rsidRPr="005A6F44">
              <w:rPr>
                <w:b/>
              </w:rPr>
              <w:t>2015</w:t>
            </w:r>
          </w:p>
        </w:tc>
        <w:tc>
          <w:tcPr>
            <w:tcW w:w="709" w:type="dxa"/>
            <w:tcBorders>
              <w:top w:val="double" w:sz="4" w:space="0" w:color="auto"/>
              <w:left w:val="single" w:sz="4" w:space="0" w:color="auto"/>
              <w:bottom w:val="single" w:sz="4" w:space="0" w:color="auto"/>
              <w:right w:val="double" w:sz="4" w:space="0" w:color="auto"/>
            </w:tcBorders>
            <w:vAlign w:val="bottom"/>
          </w:tcPr>
          <w:p w14:paraId="1D334834" w14:textId="77777777" w:rsidR="0060396D" w:rsidRPr="005A6F44" w:rsidRDefault="0060396D" w:rsidP="00F46473">
            <w:pPr>
              <w:pStyle w:val="tabteksts"/>
              <w:jc w:val="center"/>
              <w:rPr>
                <w:b/>
              </w:rPr>
            </w:pPr>
            <w:r w:rsidRPr="005A6F44">
              <w:rPr>
                <w:b/>
              </w:rPr>
              <w:t>2016</w:t>
            </w:r>
          </w:p>
        </w:tc>
      </w:tr>
      <w:tr w:rsidR="0060396D" w:rsidRPr="005A6F44" w14:paraId="26F5CD9F" w14:textId="77777777" w:rsidTr="00F46473">
        <w:trPr>
          <w:cantSplit/>
          <w:tblHeader/>
        </w:trPr>
        <w:tc>
          <w:tcPr>
            <w:tcW w:w="3686" w:type="dxa"/>
            <w:gridSpan w:val="2"/>
            <w:tcBorders>
              <w:top w:val="single" w:sz="4" w:space="0" w:color="auto"/>
              <w:left w:val="double" w:sz="4" w:space="0" w:color="auto"/>
              <w:bottom w:val="double" w:sz="4" w:space="0" w:color="auto"/>
              <w:right w:val="single" w:sz="4" w:space="0" w:color="auto"/>
            </w:tcBorders>
            <w:vAlign w:val="bottom"/>
          </w:tcPr>
          <w:p w14:paraId="0232A1B5" w14:textId="77777777" w:rsidR="0060396D" w:rsidRPr="005A6F44" w:rsidRDefault="0060396D" w:rsidP="00F46473">
            <w:pPr>
              <w:pStyle w:val="tabteksts"/>
            </w:pPr>
          </w:p>
        </w:tc>
        <w:tc>
          <w:tcPr>
            <w:tcW w:w="1134" w:type="dxa"/>
            <w:tcBorders>
              <w:top w:val="single" w:sz="4" w:space="0" w:color="auto"/>
              <w:left w:val="single" w:sz="4" w:space="0" w:color="auto"/>
              <w:bottom w:val="double" w:sz="4" w:space="0" w:color="auto"/>
              <w:right w:val="double" w:sz="4" w:space="0" w:color="auto"/>
            </w:tcBorders>
            <w:vAlign w:val="center"/>
          </w:tcPr>
          <w:p w14:paraId="6B72449D" w14:textId="77777777" w:rsidR="0060396D" w:rsidRPr="005A6F44" w:rsidRDefault="0060396D" w:rsidP="00F46473">
            <w:pPr>
              <w:pStyle w:val="tabteksts"/>
              <w:jc w:val="center"/>
            </w:pPr>
            <w:r w:rsidRPr="005A6F44">
              <w:t>EKS kods</w:t>
            </w:r>
          </w:p>
        </w:tc>
        <w:tc>
          <w:tcPr>
            <w:tcW w:w="992" w:type="dxa"/>
            <w:tcBorders>
              <w:top w:val="single" w:sz="4" w:space="0" w:color="auto"/>
              <w:left w:val="double" w:sz="4" w:space="0" w:color="auto"/>
              <w:bottom w:val="double" w:sz="4" w:space="0" w:color="auto"/>
              <w:right w:val="single" w:sz="4" w:space="0" w:color="auto"/>
            </w:tcBorders>
            <w:vAlign w:val="center"/>
          </w:tcPr>
          <w:p w14:paraId="19BF2D28" w14:textId="77777777" w:rsidR="0060396D" w:rsidRPr="005A6F44" w:rsidRDefault="0060396D" w:rsidP="00F46473">
            <w:pPr>
              <w:pStyle w:val="tabteksts"/>
              <w:jc w:val="center"/>
              <w:rPr>
                <w:noProof/>
              </w:rPr>
            </w:pPr>
            <w:r w:rsidRPr="005A6F44">
              <w:rPr>
                <w:noProof/>
              </w:rPr>
              <w:t>milj. latu</w:t>
            </w:r>
          </w:p>
        </w:tc>
        <w:tc>
          <w:tcPr>
            <w:tcW w:w="3544" w:type="dxa"/>
            <w:gridSpan w:val="5"/>
            <w:tcBorders>
              <w:top w:val="single" w:sz="4" w:space="0" w:color="auto"/>
              <w:left w:val="nil"/>
              <w:bottom w:val="double" w:sz="4" w:space="0" w:color="auto"/>
              <w:right w:val="double" w:sz="4" w:space="0" w:color="auto"/>
            </w:tcBorders>
            <w:vAlign w:val="center"/>
          </w:tcPr>
          <w:p w14:paraId="56341426" w14:textId="77777777" w:rsidR="0060396D" w:rsidRPr="005A6F44" w:rsidRDefault="0060396D" w:rsidP="00F46473">
            <w:pPr>
              <w:pStyle w:val="tabteksts"/>
              <w:jc w:val="center"/>
            </w:pPr>
            <w:r w:rsidRPr="005A6F44">
              <w:t>% no IKP</w:t>
            </w:r>
          </w:p>
        </w:tc>
      </w:tr>
      <w:tr w:rsidR="0060396D" w:rsidRPr="005A6F44" w14:paraId="2B25BC5A" w14:textId="77777777" w:rsidTr="00F46473">
        <w:trPr>
          <w:cantSplit/>
        </w:trPr>
        <w:tc>
          <w:tcPr>
            <w:tcW w:w="750" w:type="dxa"/>
            <w:tcBorders>
              <w:top w:val="double" w:sz="4" w:space="0" w:color="auto"/>
              <w:left w:val="double" w:sz="4" w:space="0" w:color="auto"/>
              <w:bottom w:val="single" w:sz="4" w:space="0" w:color="auto"/>
            </w:tcBorders>
          </w:tcPr>
          <w:p w14:paraId="3EDE221B" w14:textId="77777777" w:rsidR="0060396D" w:rsidRPr="005A6F44" w:rsidRDefault="0060396D" w:rsidP="00F46473">
            <w:pPr>
              <w:pStyle w:val="tabteksts"/>
              <w:jc w:val="center"/>
              <w:rPr>
                <w:b/>
                <w:snapToGrid w:val="0"/>
              </w:rPr>
            </w:pPr>
          </w:p>
        </w:tc>
        <w:tc>
          <w:tcPr>
            <w:tcW w:w="8606" w:type="dxa"/>
            <w:gridSpan w:val="8"/>
            <w:tcBorders>
              <w:top w:val="double" w:sz="4" w:space="0" w:color="auto"/>
              <w:bottom w:val="single" w:sz="4" w:space="0" w:color="auto"/>
              <w:right w:val="double" w:sz="4" w:space="0" w:color="auto"/>
            </w:tcBorders>
            <w:vAlign w:val="bottom"/>
          </w:tcPr>
          <w:p w14:paraId="6ACF3B60" w14:textId="77777777" w:rsidR="0060396D" w:rsidRPr="005A6F44" w:rsidRDefault="0060396D" w:rsidP="00F46473">
            <w:pPr>
              <w:pStyle w:val="tabteksts"/>
              <w:jc w:val="center"/>
              <w:rPr>
                <w:b/>
                <w:snapToGrid w:val="0"/>
              </w:rPr>
            </w:pPr>
            <w:r w:rsidRPr="005A6F44">
              <w:rPr>
                <w:b/>
                <w:snapToGrid w:val="0"/>
              </w:rPr>
              <w:t xml:space="preserve">Neto aizdevumi (EDP B.9) pa </w:t>
            </w:r>
            <w:r w:rsidRPr="005A6F44">
              <w:rPr>
                <w:b/>
                <w:noProof/>
                <w:snapToGrid w:val="0"/>
              </w:rPr>
              <w:t>apakšsektoriem</w:t>
            </w:r>
          </w:p>
        </w:tc>
      </w:tr>
      <w:tr w:rsidR="0060396D" w:rsidRPr="005A6F44" w14:paraId="1A57A483"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tcPr>
          <w:p w14:paraId="61B78084" w14:textId="77777777" w:rsidR="0060396D" w:rsidRPr="005A6F44" w:rsidRDefault="0060396D" w:rsidP="00F46473">
            <w:pPr>
              <w:pStyle w:val="tabteksts"/>
              <w:rPr>
                <w:snapToGrid w:val="0"/>
              </w:rPr>
            </w:pPr>
            <w:r w:rsidRPr="005A6F44">
              <w:rPr>
                <w:snapToGrid w:val="0"/>
              </w:rPr>
              <w:t>1. Vispārējā valdība</w:t>
            </w:r>
          </w:p>
        </w:tc>
        <w:tc>
          <w:tcPr>
            <w:tcW w:w="1134" w:type="dxa"/>
            <w:tcBorders>
              <w:top w:val="single" w:sz="4" w:space="0" w:color="auto"/>
              <w:left w:val="single" w:sz="4" w:space="0" w:color="auto"/>
              <w:bottom w:val="single" w:sz="4" w:space="0" w:color="auto"/>
              <w:right w:val="double" w:sz="4" w:space="0" w:color="auto"/>
            </w:tcBorders>
            <w:vAlign w:val="bottom"/>
          </w:tcPr>
          <w:p w14:paraId="57CA2E27" w14:textId="77777777" w:rsidR="0060396D" w:rsidRPr="005A6F44" w:rsidRDefault="0060396D" w:rsidP="00F46473">
            <w:pPr>
              <w:pStyle w:val="tabteksts"/>
            </w:pPr>
            <w:r w:rsidRPr="005A6F44">
              <w:t>S.13</w:t>
            </w:r>
          </w:p>
        </w:tc>
        <w:tc>
          <w:tcPr>
            <w:tcW w:w="992" w:type="dxa"/>
            <w:tcBorders>
              <w:top w:val="single" w:sz="4" w:space="0" w:color="auto"/>
              <w:left w:val="double" w:sz="4" w:space="0" w:color="auto"/>
              <w:bottom w:val="single" w:sz="4" w:space="0" w:color="auto"/>
              <w:right w:val="single" w:sz="4" w:space="0" w:color="auto"/>
            </w:tcBorders>
            <w:vAlign w:val="bottom"/>
          </w:tcPr>
          <w:p w14:paraId="02598515" w14:textId="77777777" w:rsidR="0060396D" w:rsidRPr="005A6F44" w:rsidRDefault="0060396D" w:rsidP="00F46473">
            <w:pPr>
              <w:pStyle w:val="tabteksts"/>
              <w:jc w:val="right"/>
              <w:rPr>
                <w:snapToGrid w:val="0"/>
              </w:rPr>
            </w:pPr>
            <w:r w:rsidRPr="005A6F44">
              <w:rPr>
                <w:snapToGrid w:val="0"/>
              </w:rPr>
              <w:t>-187,2</w:t>
            </w:r>
          </w:p>
        </w:tc>
        <w:tc>
          <w:tcPr>
            <w:tcW w:w="709" w:type="dxa"/>
            <w:tcBorders>
              <w:top w:val="single" w:sz="4" w:space="0" w:color="auto"/>
              <w:left w:val="nil"/>
              <w:bottom w:val="single" w:sz="4" w:space="0" w:color="auto"/>
              <w:right w:val="single" w:sz="4" w:space="0" w:color="auto"/>
            </w:tcBorders>
            <w:vAlign w:val="bottom"/>
          </w:tcPr>
          <w:p w14:paraId="3F533438" w14:textId="77777777" w:rsidR="0060396D" w:rsidRPr="005A6F44" w:rsidRDefault="0060396D" w:rsidP="00F46473">
            <w:pPr>
              <w:pStyle w:val="tabteksts"/>
              <w:jc w:val="right"/>
              <w:rPr>
                <w:snapToGrid w:val="0"/>
              </w:rPr>
            </w:pPr>
            <w:r w:rsidRPr="005A6F44">
              <w:rPr>
                <w:snapToGrid w:val="0"/>
              </w:rPr>
              <w:t>-1,2</w:t>
            </w:r>
          </w:p>
        </w:tc>
        <w:tc>
          <w:tcPr>
            <w:tcW w:w="709" w:type="dxa"/>
            <w:tcBorders>
              <w:top w:val="single" w:sz="4" w:space="0" w:color="auto"/>
              <w:left w:val="nil"/>
              <w:bottom w:val="single" w:sz="4" w:space="0" w:color="auto"/>
              <w:right w:val="single" w:sz="4" w:space="0" w:color="auto"/>
            </w:tcBorders>
            <w:vAlign w:val="bottom"/>
          </w:tcPr>
          <w:p w14:paraId="76072E05" w14:textId="77777777" w:rsidR="0060396D" w:rsidRPr="005A6F44" w:rsidRDefault="0060396D" w:rsidP="00F46473">
            <w:pPr>
              <w:pStyle w:val="tabteksts"/>
              <w:jc w:val="right"/>
              <w:rPr>
                <w:snapToGrid w:val="0"/>
              </w:rPr>
            </w:pPr>
            <w:r w:rsidRPr="005A6F44">
              <w:rPr>
                <w:snapToGrid w:val="0"/>
              </w:rPr>
              <w:t>-1,1</w:t>
            </w:r>
          </w:p>
        </w:tc>
        <w:tc>
          <w:tcPr>
            <w:tcW w:w="709" w:type="dxa"/>
            <w:tcBorders>
              <w:top w:val="single" w:sz="4" w:space="0" w:color="auto"/>
              <w:left w:val="nil"/>
              <w:bottom w:val="single" w:sz="4" w:space="0" w:color="auto"/>
              <w:right w:val="single" w:sz="4" w:space="0" w:color="auto"/>
            </w:tcBorders>
            <w:vAlign w:val="bottom"/>
          </w:tcPr>
          <w:p w14:paraId="0C7D7952" w14:textId="77777777" w:rsidR="0060396D" w:rsidRPr="005A6F44" w:rsidRDefault="0060396D" w:rsidP="00F46473">
            <w:pPr>
              <w:pStyle w:val="tabteksts"/>
              <w:jc w:val="right"/>
              <w:rPr>
                <w:snapToGrid w:val="0"/>
              </w:rPr>
            </w:pPr>
            <w:r w:rsidRPr="005A6F44">
              <w:rPr>
                <w:snapToGrid w:val="0"/>
              </w:rPr>
              <w:t>-0,9</w:t>
            </w:r>
          </w:p>
        </w:tc>
        <w:tc>
          <w:tcPr>
            <w:tcW w:w="708" w:type="dxa"/>
            <w:tcBorders>
              <w:top w:val="single" w:sz="4" w:space="0" w:color="auto"/>
              <w:left w:val="nil"/>
              <w:bottom w:val="single" w:sz="4" w:space="0" w:color="auto"/>
              <w:right w:val="single" w:sz="4" w:space="0" w:color="auto"/>
            </w:tcBorders>
            <w:vAlign w:val="bottom"/>
          </w:tcPr>
          <w:p w14:paraId="44A3E9DF" w14:textId="77777777" w:rsidR="0060396D" w:rsidRPr="005A6F44" w:rsidRDefault="0060396D" w:rsidP="00F46473">
            <w:pPr>
              <w:pStyle w:val="tabteksts"/>
              <w:jc w:val="right"/>
              <w:rPr>
                <w:snapToGrid w:val="0"/>
              </w:rPr>
            </w:pPr>
            <w:r w:rsidRPr="005A6F44">
              <w:rPr>
                <w:snapToGrid w:val="0"/>
              </w:rPr>
              <w:t>-0,9</w:t>
            </w:r>
          </w:p>
        </w:tc>
        <w:tc>
          <w:tcPr>
            <w:tcW w:w="709" w:type="dxa"/>
            <w:tcBorders>
              <w:top w:val="single" w:sz="4" w:space="0" w:color="auto"/>
              <w:left w:val="single" w:sz="4" w:space="0" w:color="auto"/>
              <w:bottom w:val="single" w:sz="4" w:space="0" w:color="auto"/>
              <w:right w:val="double" w:sz="4" w:space="0" w:color="auto"/>
            </w:tcBorders>
            <w:vAlign w:val="bottom"/>
          </w:tcPr>
          <w:p w14:paraId="5F4FFADC" w14:textId="77777777" w:rsidR="0060396D" w:rsidRPr="005A6F44" w:rsidRDefault="0060396D" w:rsidP="00F46473">
            <w:pPr>
              <w:pStyle w:val="tabteksts"/>
              <w:jc w:val="right"/>
              <w:rPr>
                <w:snapToGrid w:val="0"/>
              </w:rPr>
            </w:pPr>
            <w:r w:rsidRPr="005A6F44">
              <w:rPr>
                <w:snapToGrid w:val="0"/>
              </w:rPr>
              <w:t>-0,9</w:t>
            </w:r>
          </w:p>
        </w:tc>
      </w:tr>
      <w:tr w:rsidR="0060396D" w:rsidRPr="005A6F44" w14:paraId="415C0FA5"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tcPr>
          <w:p w14:paraId="2F4F0038" w14:textId="77777777" w:rsidR="0060396D" w:rsidRPr="005A6F44" w:rsidRDefault="0060396D" w:rsidP="00F46473">
            <w:pPr>
              <w:pStyle w:val="tabteksts"/>
              <w:rPr>
                <w:snapToGrid w:val="0"/>
              </w:rPr>
            </w:pPr>
            <w:r w:rsidRPr="005A6F44">
              <w:rPr>
                <w:snapToGrid w:val="0"/>
              </w:rPr>
              <w:t>2. Centrālā valdība</w:t>
            </w:r>
          </w:p>
        </w:tc>
        <w:tc>
          <w:tcPr>
            <w:tcW w:w="1134" w:type="dxa"/>
            <w:tcBorders>
              <w:top w:val="single" w:sz="4" w:space="0" w:color="auto"/>
              <w:left w:val="single" w:sz="4" w:space="0" w:color="auto"/>
              <w:bottom w:val="single" w:sz="4" w:space="0" w:color="auto"/>
              <w:right w:val="double" w:sz="4" w:space="0" w:color="auto"/>
            </w:tcBorders>
            <w:vAlign w:val="bottom"/>
          </w:tcPr>
          <w:p w14:paraId="04C83AE4" w14:textId="77777777" w:rsidR="0060396D" w:rsidRPr="005A6F44" w:rsidRDefault="0060396D" w:rsidP="00F46473">
            <w:pPr>
              <w:pStyle w:val="tabteksts"/>
            </w:pPr>
            <w:r w:rsidRPr="005A6F44">
              <w:t>S.1311</w:t>
            </w:r>
          </w:p>
        </w:tc>
        <w:tc>
          <w:tcPr>
            <w:tcW w:w="992" w:type="dxa"/>
            <w:tcBorders>
              <w:top w:val="single" w:sz="4" w:space="0" w:color="auto"/>
              <w:left w:val="double" w:sz="4" w:space="0" w:color="auto"/>
              <w:bottom w:val="single" w:sz="4" w:space="0" w:color="auto"/>
              <w:right w:val="single" w:sz="4" w:space="0" w:color="auto"/>
            </w:tcBorders>
            <w:vAlign w:val="bottom"/>
          </w:tcPr>
          <w:p w14:paraId="1087E871" w14:textId="77777777" w:rsidR="0060396D" w:rsidRPr="005A6F44" w:rsidRDefault="0060396D" w:rsidP="00F46473">
            <w:pPr>
              <w:pStyle w:val="tabteksts"/>
              <w:jc w:val="right"/>
              <w:rPr>
                <w:snapToGrid w:val="0"/>
              </w:rPr>
            </w:pPr>
            <w:r w:rsidRPr="005A6F44">
              <w:rPr>
                <w:snapToGrid w:val="0"/>
              </w:rPr>
              <w:t>-122,2</w:t>
            </w:r>
          </w:p>
        </w:tc>
        <w:tc>
          <w:tcPr>
            <w:tcW w:w="709" w:type="dxa"/>
            <w:tcBorders>
              <w:top w:val="single" w:sz="4" w:space="0" w:color="auto"/>
              <w:left w:val="nil"/>
              <w:bottom w:val="single" w:sz="4" w:space="0" w:color="auto"/>
              <w:right w:val="single" w:sz="4" w:space="0" w:color="auto"/>
            </w:tcBorders>
            <w:vAlign w:val="bottom"/>
          </w:tcPr>
          <w:p w14:paraId="48ECDF96" w14:textId="77777777" w:rsidR="0060396D" w:rsidRPr="005A6F44" w:rsidRDefault="0060396D" w:rsidP="00F46473">
            <w:pPr>
              <w:pStyle w:val="tabteksts"/>
              <w:jc w:val="right"/>
              <w:rPr>
                <w:snapToGrid w:val="0"/>
              </w:rPr>
            </w:pPr>
            <w:r w:rsidRPr="005A6F44">
              <w:rPr>
                <w:snapToGrid w:val="0"/>
              </w:rPr>
              <w:t>-0,8</w:t>
            </w:r>
          </w:p>
        </w:tc>
        <w:tc>
          <w:tcPr>
            <w:tcW w:w="709" w:type="dxa"/>
            <w:tcBorders>
              <w:top w:val="single" w:sz="4" w:space="0" w:color="auto"/>
              <w:left w:val="nil"/>
              <w:bottom w:val="single" w:sz="4" w:space="0" w:color="auto"/>
              <w:right w:val="single" w:sz="4" w:space="0" w:color="auto"/>
            </w:tcBorders>
            <w:vAlign w:val="bottom"/>
          </w:tcPr>
          <w:p w14:paraId="424A6199" w14:textId="77777777" w:rsidR="0060396D" w:rsidRPr="005A6F44" w:rsidRDefault="0060396D" w:rsidP="00F46473">
            <w:pPr>
              <w:pStyle w:val="tabteksts"/>
              <w:jc w:val="right"/>
              <w:rPr>
                <w:snapToGrid w:val="0"/>
              </w:rPr>
            </w:pPr>
            <w:r w:rsidRPr="005A6F44">
              <w:rPr>
                <w:snapToGrid w:val="0"/>
              </w:rPr>
              <w:t>-0,6</w:t>
            </w:r>
          </w:p>
        </w:tc>
        <w:tc>
          <w:tcPr>
            <w:tcW w:w="709" w:type="dxa"/>
            <w:tcBorders>
              <w:top w:val="single" w:sz="4" w:space="0" w:color="auto"/>
              <w:left w:val="nil"/>
              <w:bottom w:val="single" w:sz="4" w:space="0" w:color="auto"/>
              <w:right w:val="single" w:sz="4" w:space="0" w:color="auto"/>
            </w:tcBorders>
            <w:vAlign w:val="bottom"/>
          </w:tcPr>
          <w:p w14:paraId="3A8EF7D5" w14:textId="77777777" w:rsidR="0060396D" w:rsidRPr="005A6F44" w:rsidRDefault="0060396D" w:rsidP="00F46473">
            <w:pPr>
              <w:pStyle w:val="tabteksts"/>
              <w:jc w:val="right"/>
              <w:rPr>
                <w:snapToGrid w:val="0"/>
              </w:rPr>
            </w:pPr>
            <w:r w:rsidRPr="005A6F44">
              <w:rPr>
                <w:snapToGrid w:val="0"/>
              </w:rPr>
              <w:t>-1,5</w:t>
            </w:r>
          </w:p>
        </w:tc>
        <w:tc>
          <w:tcPr>
            <w:tcW w:w="708" w:type="dxa"/>
            <w:tcBorders>
              <w:top w:val="single" w:sz="4" w:space="0" w:color="auto"/>
              <w:left w:val="nil"/>
              <w:bottom w:val="single" w:sz="4" w:space="0" w:color="auto"/>
              <w:right w:val="single" w:sz="4" w:space="0" w:color="auto"/>
            </w:tcBorders>
            <w:vAlign w:val="bottom"/>
          </w:tcPr>
          <w:p w14:paraId="19C68AA3" w14:textId="77777777" w:rsidR="0060396D" w:rsidRPr="005A6F44" w:rsidRDefault="0060396D" w:rsidP="00F46473">
            <w:pPr>
              <w:pStyle w:val="tabteksts"/>
              <w:jc w:val="right"/>
              <w:rPr>
                <w:snapToGrid w:val="0"/>
              </w:rPr>
            </w:pPr>
            <w:r w:rsidRPr="005A6F44">
              <w:rPr>
                <w:snapToGrid w:val="0"/>
              </w:rPr>
              <w:t>-1,4</w:t>
            </w:r>
          </w:p>
        </w:tc>
        <w:tc>
          <w:tcPr>
            <w:tcW w:w="709" w:type="dxa"/>
            <w:tcBorders>
              <w:top w:val="single" w:sz="4" w:space="0" w:color="auto"/>
              <w:left w:val="single" w:sz="4" w:space="0" w:color="auto"/>
              <w:bottom w:val="single" w:sz="4" w:space="0" w:color="auto"/>
              <w:right w:val="double" w:sz="4" w:space="0" w:color="auto"/>
            </w:tcBorders>
            <w:vAlign w:val="bottom"/>
          </w:tcPr>
          <w:p w14:paraId="70C14409" w14:textId="77777777" w:rsidR="0060396D" w:rsidRPr="005A6F44" w:rsidRDefault="0060396D" w:rsidP="00F46473">
            <w:pPr>
              <w:pStyle w:val="tabteksts"/>
              <w:jc w:val="right"/>
              <w:rPr>
                <w:snapToGrid w:val="0"/>
              </w:rPr>
            </w:pPr>
            <w:r w:rsidRPr="005A6F44">
              <w:rPr>
                <w:snapToGrid w:val="0"/>
              </w:rPr>
              <w:t>-1,6</w:t>
            </w:r>
          </w:p>
        </w:tc>
      </w:tr>
      <w:tr w:rsidR="0060396D" w:rsidRPr="005A6F44" w14:paraId="6FE9EA8B" w14:textId="77777777" w:rsidTr="00F46473">
        <w:trPr>
          <w:cantSplit/>
          <w:trHeight w:val="133"/>
        </w:trPr>
        <w:tc>
          <w:tcPr>
            <w:tcW w:w="3686" w:type="dxa"/>
            <w:gridSpan w:val="2"/>
            <w:tcBorders>
              <w:top w:val="single" w:sz="4" w:space="0" w:color="auto"/>
              <w:left w:val="double" w:sz="4" w:space="0" w:color="auto"/>
              <w:bottom w:val="single" w:sz="4" w:space="0" w:color="auto"/>
              <w:right w:val="single" w:sz="4" w:space="0" w:color="auto"/>
            </w:tcBorders>
          </w:tcPr>
          <w:p w14:paraId="03D108E2" w14:textId="77777777" w:rsidR="0060396D" w:rsidRPr="005A6F44" w:rsidRDefault="0060396D" w:rsidP="00F46473">
            <w:pPr>
              <w:pStyle w:val="tabteksts"/>
              <w:rPr>
                <w:snapToGrid w:val="0"/>
              </w:rPr>
            </w:pPr>
            <w:r w:rsidRPr="005A6F44">
              <w:rPr>
                <w:snapToGrid w:val="0"/>
              </w:rPr>
              <w:t>3. Pavalsts valdība</w:t>
            </w:r>
          </w:p>
        </w:tc>
        <w:tc>
          <w:tcPr>
            <w:tcW w:w="1134" w:type="dxa"/>
            <w:tcBorders>
              <w:top w:val="single" w:sz="4" w:space="0" w:color="auto"/>
              <w:left w:val="single" w:sz="4" w:space="0" w:color="auto"/>
              <w:bottom w:val="single" w:sz="4" w:space="0" w:color="auto"/>
              <w:right w:val="double" w:sz="4" w:space="0" w:color="auto"/>
            </w:tcBorders>
            <w:vAlign w:val="bottom"/>
          </w:tcPr>
          <w:p w14:paraId="054E74B6" w14:textId="77777777" w:rsidR="0060396D" w:rsidRPr="005A6F44" w:rsidRDefault="0060396D" w:rsidP="00F46473">
            <w:pPr>
              <w:pStyle w:val="tabteksts"/>
            </w:pPr>
            <w:r w:rsidRPr="005A6F44">
              <w:t>S.1312</w:t>
            </w:r>
          </w:p>
        </w:tc>
        <w:tc>
          <w:tcPr>
            <w:tcW w:w="992" w:type="dxa"/>
            <w:tcBorders>
              <w:top w:val="single" w:sz="4" w:space="0" w:color="auto"/>
              <w:left w:val="double" w:sz="4" w:space="0" w:color="auto"/>
              <w:bottom w:val="single" w:sz="4" w:space="0" w:color="auto"/>
              <w:right w:val="single" w:sz="4" w:space="0" w:color="auto"/>
            </w:tcBorders>
            <w:vAlign w:val="bottom"/>
          </w:tcPr>
          <w:p w14:paraId="2DE01CD8" w14:textId="77777777" w:rsidR="0060396D" w:rsidRPr="005A6F44" w:rsidRDefault="0060396D" w:rsidP="00F46473">
            <w:pPr>
              <w:pStyle w:val="tabteksts"/>
              <w:jc w:val="right"/>
              <w:rPr>
                <w:snapToGrid w:val="0"/>
              </w:rPr>
            </w:pPr>
          </w:p>
        </w:tc>
        <w:tc>
          <w:tcPr>
            <w:tcW w:w="709" w:type="dxa"/>
            <w:tcBorders>
              <w:top w:val="single" w:sz="4" w:space="0" w:color="auto"/>
              <w:left w:val="nil"/>
              <w:bottom w:val="single" w:sz="4" w:space="0" w:color="auto"/>
              <w:right w:val="single" w:sz="4" w:space="0" w:color="auto"/>
            </w:tcBorders>
            <w:vAlign w:val="bottom"/>
          </w:tcPr>
          <w:p w14:paraId="09BF6330" w14:textId="77777777" w:rsidR="0060396D" w:rsidRPr="005A6F44" w:rsidRDefault="0060396D" w:rsidP="00F46473">
            <w:pPr>
              <w:pStyle w:val="tabteksts"/>
              <w:jc w:val="right"/>
              <w:rPr>
                <w:snapToGrid w:val="0"/>
              </w:rPr>
            </w:pPr>
          </w:p>
        </w:tc>
        <w:tc>
          <w:tcPr>
            <w:tcW w:w="709" w:type="dxa"/>
            <w:tcBorders>
              <w:top w:val="single" w:sz="4" w:space="0" w:color="auto"/>
              <w:left w:val="nil"/>
              <w:bottom w:val="single" w:sz="4" w:space="0" w:color="auto"/>
              <w:right w:val="single" w:sz="4" w:space="0" w:color="auto"/>
            </w:tcBorders>
            <w:vAlign w:val="bottom"/>
          </w:tcPr>
          <w:p w14:paraId="0E4CDE50" w14:textId="77777777" w:rsidR="0060396D" w:rsidRPr="005A6F44" w:rsidRDefault="0060396D" w:rsidP="00F46473">
            <w:pPr>
              <w:pStyle w:val="tabteksts"/>
              <w:jc w:val="right"/>
              <w:rPr>
                <w:snapToGrid w:val="0"/>
              </w:rPr>
            </w:pPr>
          </w:p>
        </w:tc>
        <w:tc>
          <w:tcPr>
            <w:tcW w:w="709" w:type="dxa"/>
            <w:tcBorders>
              <w:top w:val="single" w:sz="4" w:space="0" w:color="auto"/>
              <w:left w:val="nil"/>
              <w:bottom w:val="single" w:sz="4" w:space="0" w:color="auto"/>
              <w:right w:val="single" w:sz="4" w:space="0" w:color="auto"/>
            </w:tcBorders>
            <w:vAlign w:val="bottom"/>
          </w:tcPr>
          <w:p w14:paraId="35F96D8B" w14:textId="77777777" w:rsidR="0060396D" w:rsidRPr="005A6F44" w:rsidRDefault="0060396D" w:rsidP="00F46473">
            <w:pPr>
              <w:pStyle w:val="tabteksts"/>
              <w:jc w:val="right"/>
              <w:rPr>
                <w:snapToGrid w:val="0"/>
              </w:rPr>
            </w:pPr>
          </w:p>
        </w:tc>
        <w:tc>
          <w:tcPr>
            <w:tcW w:w="708" w:type="dxa"/>
            <w:tcBorders>
              <w:top w:val="single" w:sz="4" w:space="0" w:color="auto"/>
              <w:left w:val="nil"/>
              <w:bottom w:val="single" w:sz="4" w:space="0" w:color="auto"/>
              <w:right w:val="single" w:sz="4" w:space="0" w:color="auto"/>
            </w:tcBorders>
            <w:vAlign w:val="bottom"/>
          </w:tcPr>
          <w:p w14:paraId="3CEC361A" w14:textId="77777777" w:rsidR="0060396D" w:rsidRPr="005A6F44" w:rsidRDefault="0060396D" w:rsidP="00F46473">
            <w:pPr>
              <w:pStyle w:val="tabteksts"/>
              <w:jc w:val="right"/>
              <w:rPr>
                <w:snapToGrid w:val="0"/>
              </w:rPr>
            </w:pPr>
          </w:p>
        </w:tc>
        <w:tc>
          <w:tcPr>
            <w:tcW w:w="709" w:type="dxa"/>
            <w:tcBorders>
              <w:top w:val="single" w:sz="4" w:space="0" w:color="auto"/>
              <w:left w:val="single" w:sz="4" w:space="0" w:color="auto"/>
              <w:bottom w:val="single" w:sz="4" w:space="0" w:color="auto"/>
              <w:right w:val="double" w:sz="4" w:space="0" w:color="auto"/>
            </w:tcBorders>
            <w:vAlign w:val="bottom"/>
          </w:tcPr>
          <w:p w14:paraId="4CE45DA9" w14:textId="77777777" w:rsidR="0060396D" w:rsidRPr="005A6F44" w:rsidRDefault="0060396D" w:rsidP="00F46473">
            <w:pPr>
              <w:pStyle w:val="tabteksts"/>
              <w:jc w:val="right"/>
              <w:rPr>
                <w:snapToGrid w:val="0"/>
              </w:rPr>
            </w:pPr>
          </w:p>
        </w:tc>
      </w:tr>
      <w:tr w:rsidR="0060396D" w:rsidRPr="005A6F44" w14:paraId="15B30004"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tcPr>
          <w:p w14:paraId="7BD7C1A4" w14:textId="77777777" w:rsidR="0060396D" w:rsidRPr="005A6F44" w:rsidRDefault="0060396D" w:rsidP="00F46473">
            <w:pPr>
              <w:pStyle w:val="tabteksts"/>
              <w:rPr>
                <w:snapToGrid w:val="0"/>
              </w:rPr>
            </w:pPr>
            <w:r w:rsidRPr="005A6F44">
              <w:rPr>
                <w:snapToGrid w:val="0"/>
              </w:rPr>
              <w:t>4. Vietējā valdība</w:t>
            </w:r>
          </w:p>
        </w:tc>
        <w:tc>
          <w:tcPr>
            <w:tcW w:w="1134" w:type="dxa"/>
            <w:tcBorders>
              <w:top w:val="single" w:sz="4" w:space="0" w:color="auto"/>
              <w:left w:val="single" w:sz="4" w:space="0" w:color="auto"/>
              <w:bottom w:val="single" w:sz="4" w:space="0" w:color="auto"/>
              <w:right w:val="double" w:sz="4" w:space="0" w:color="auto"/>
            </w:tcBorders>
            <w:vAlign w:val="bottom"/>
          </w:tcPr>
          <w:p w14:paraId="1F2CA731" w14:textId="77777777" w:rsidR="0060396D" w:rsidRPr="005A6F44" w:rsidRDefault="0060396D" w:rsidP="00F46473">
            <w:pPr>
              <w:pStyle w:val="tabteksts"/>
            </w:pPr>
            <w:r w:rsidRPr="005A6F44">
              <w:t>S.1313</w:t>
            </w:r>
          </w:p>
        </w:tc>
        <w:tc>
          <w:tcPr>
            <w:tcW w:w="992" w:type="dxa"/>
            <w:tcBorders>
              <w:top w:val="single" w:sz="4" w:space="0" w:color="auto"/>
              <w:left w:val="double" w:sz="4" w:space="0" w:color="auto"/>
              <w:bottom w:val="single" w:sz="4" w:space="0" w:color="auto"/>
              <w:right w:val="single" w:sz="4" w:space="0" w:color="auto"/>
            </w:tcBorders>
            <w:vAlign w:val="bottom"/>
          </w:tcPr>
          <w:p w14:paraId="0F16CAF6" w14:textId="77777777" w:rsidR="0060396D" w:rsidRPr="005A6F44" w:rsidRDefault="0060396D" w:rsidP="00F46473">
            <w:pPr>
              <w:pStyle w:val="tabteksts"/>
              <w:jc w:val="right"/>
              <w:rPr>
                <w:snapToGrid w:val="0"/>
              </w:rPr>
            </w:pPr>
            <w:r w:rsidRPr="005A6F44">
              <w:rPr>
                <w:snapToGrid w:val="0"/>
              </w:rPr>
              <w:t>-36,4</w:t>
            </w:r>
          </w:p>
        </w:tc>
        <w:tc>
          <w:tcPr>
            <w:tcW w:w="709" w:type="dxa"/>
            <w:tcBorders>
              <w:top w:val="single" w:sz="4" w:space="0" w:color="auto"/>
              <w:left w:val="nil"/>
              <w:bottom w:val="single" w:sz="4" w:space="0" w:color="auto"/>
              <w:right w:val="single" w:sz="4" w:space="0" w:color="auto"/>
            </w:tcBorders>
            <w:vAlign w:val="bottom"/>
          </w:tcPr>
          <w:p w14:paraId="7874EFC5" w14:textId="77777777" w:rsidR="0060396D" w:rsidRPr="005A6F44" w:rsidRDefault="0060396D" w:rsidP="00F46473">
            <w:pPr>
              <w:pStyle w:val="tabteksts"/>
              <w:jc w:val="right"/>
              <w:rPr>
                <w:snapToGrid w:val="0"/>
              </w:rPr>
            </w:pPr>
            <w:r w:rsidRPr="005A6F44">
              <w:rPr>
                <w:snapToGrid w:val="0"/>
              </w:rPr>
              <w:t>-0,2</w:t>
            </w:r>
          </w:p>
        </w:tc>
        <w:tc>
          <w:tcPr>
            <w:tcW w:w="709" w:type="dxa"/>
            <w:tcBorders>
              <w:top w:val="single" w:sz="4" w:space="0" w:color="auto"/>
              <w:left w:val="nil"/>
              <w:bottom w:val="single" w:sz="4" w:space="0" w:color="auto"/>
              <w:right w:val="single" w:sz="4" w:space="0" w:color="auto"/>
            </w:tcBorders>
            <w:vAlign w:val="bottom"/>
          </w:tcPr>
          <w:p w14:paraId="391F3F72" w14:textId="77777777" w:rsidR="0060396D" w:rsidRPr="005A6F44" w:rsidRDefault="0060396D" w:rsidP="00F46473">
            <w:pPr>
              <w:pStyle w:val="tabteksts"/>
              <w:jc w:val="right"/>
              <w:rPr>
                <w:snapToGrid w:val="0"/>
              </w:rPr>
            </w:pPr>
            <w:r w:rsidRPr="005A6F44">
              <w:rPr>
                <w:snapToGrid w:val="0"/>
              </w:rPr>
              <w:t>-0,2</w:t>
            </w:r>
          </w:p>
        </w:tc>
        <w:tc>
          <w:tcPr>
            <w:tcW w:w="709" w:type="dxa"/>
            <w:tcBorders>
              <w:top w:val="single" w:sz="4" w:space="0" w:color="auto"/>
              <w:left w:val="nil"/>
              <w:bottom w:val="single" w:sz="4" w:space="0" w:color="auto"/>
              <w:right w:val="single" w:sz="4" w:space="0" w:color="auto"/>
            </w:tcBorders>
            <w:vAlign w:val="bottom"/>
          </w:tcPr>
          <w:p w14:paraId="7ED1BB06" w14:textId="77777777" w:rsidR="0060396D" w:rsidRPr="005A6F44" w:rsidRDefault="0060396D" w:rsidP="00F46473">
            <w:pPr>
              <w:pStyle w:val="tabteksts"/>
              <w:jc w:val="right"/>
              <w:rPr>
                <w:snapToGrid w:val="0"/>
              </w:rPr>
            </w:pPr>
            <w:r w:rsidRPr="005A6F44">
              <w:rPr>
                <w:snapToGrid w:val="0"/>
              </w:rPr>
              <w:t>-0,2</w:t>
            </w:r>
          </w:p>
        </w:tc>
        <w:tc>
          <w:tcPr>
            <w:tcW w:w="708" w:type="dxa"/>
            <w:tcBorders>
              <w:top w:val="single" w:sz="4" w:space="0" w:color="auto"/>
              <w:left w:val="nil"/>
              <w:bottom w:val="single" w:sz="4" w:space="0" w:color="auto"/>
              <w:right w:val="single" w:sz="4" w:space="0" w:color="auto"/>
            </w:tcBorders>
            <w:vAlign w:val="bottom"/>
          </w:tcPr>
          <w:p w14:paraId="4F00C160" w14:textId="77777777" w:rsidR="0060396D" w:rsidRPr="005A6F44" w:rsidRDefault="0060396D" w:rsidP="00F46473">
            <w:pPr>
              <w:pStyle w:val="tabteksts"/>
              <w:jc w:val="right"/>
              <w:rPr>
                <w:snapToGrid w:val="0"/>
              </w:rPr>
            </w:pPr>
            <w:r w:rsidRPr="005A6F44">
              <w:rPr>
                <w:snapToGrid w:val="0"/>
              </w:rPr>
              <w:t>-0,3</w:t>
            </w:r>
          </w:p>
        </w:tc>
        <w:tc>
          <w:tcPr>
            <w:tcW w:w="709" w:type="dxa"/>
            <w:tcBorders>
              <w:top w:val="single" w:sz="4" w:space="0" w:color="auto"/>
              <w:left w:val="single" w:sz="4" w:space="0" w:color="auto"/>
              <w:bottom w:val="single" w:sz="4" w:space="0" w:color="auto"/>
              <w:right w:val="double" w:sz="4" w:space="0" w:color="auto"/>
            </w:tcBorders>
            <w:vAlign w:val="bottom"/>
          </w:tcPr>
          <w:p w14:paraId="6B0764CD" w14:textId="77777777" w:rsidR="0060396D" w:rsidRPr="005A6F44" w:rsidRDefault="0060396D" w:rsidP="00F46473">
            <w:pPr>
              <w:pStyle w:val="tabteksts"/>
              <w:jc w:val="right"/>
              <w:rPr>
                <w:snapToGrid w:val="0"/>
              </w:rPr>
            </w:pPr>
            <w:r w:rsidRPr="005A6F44">
              <w:rPr>
                <w:snapToGrid w:val="0"/>
              </w:rPr>
              <w:t>-0,2</w:t>
            </w:r>
          </w:p>
        </w:tc>
      </w:tr>
      <w:tr w:rsidR="0060396D" w:rsidRPr="005A6F44" w14:paraId="2CE10C67"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tcPr>
          <w:p w14:paraId="0F145087" w14:textId="77777777" w:rsidR="0060396D" w:rsidRPr="005A6F44" w:rsidRDefault="0060396D" w:rsidP="00F46473">
            <w:pPr>
              <w:pStyle w:val="tabteksts"/>
              <w:rPr>
                <w:snapToGrid w:val="0"/>
              </w:rPr>
            </w:pPr>
            <w:r w:rsidRPr="005A6F44">
              <w:rPr>
                <w:snapToGrid w:val="0"/>
              </w:rPr>
              <w:t>5. Sociālās nodrošināšanas fondi</w:t>
            </w:r>
          </w:p>
        </w:tc>
        <w:tc>
          <w:tcPr>
            <w:tcW w:w="1134" w:type="dxa"/>
            <w:tcBorders>
              <w:top w:val="single" w:sz="4" w:space="0" w:color="auto"/>
              <w:left w:val="single" w:sz="4" w:space="0" w:color="auto"/>
              <w:bottom w:val="single" w:sz="4" w:space="0" w:color="auto"/>
              <w:right w:val="double" w:sz="4" w:space="0" w:color="auto"/>
            </w:tcBorders>
            <w:vAlign w:val="bottom"/>
          </w:tcPr>
          <w:p w14:paraId="196211EE" w14:textId="77777777" w:rsidR="0060396D" w:rsidRPr="005A6F44" w:rsidRDefault="0060396D" w:rsidP="00F46473">
            <w:pPr>
              <w:pStyle w:val="tabteksts"/>
            </w:pPr>
            <w:r w:rsidRPr="005A6F44">
              <w:t>S.1314</w:t>
            </w:r>
          </w:p>
        </w:tc>
        <w:tc>
          <w:tcPr>
            <w:tcW w:w="992" w:type="dxa"/>
            <w:tcBorders>
              <w:top w:val="single" w:sz="4" w:space="0" w:color="auto"/>
              <w:left w:val="double" w:sz="4" w:space="0" w:color="auto"/>
              <w:bottom w:val="single" w:sz="4" w:space="0" w:color="auto"/>
              <w:right w:val="single" w:sz="4" w:space="0" w:color="auto"/>
            </w:tcBorders>
            <w:vAlign w:val="bottom"/>
          </w:tcPr>
          <w:p w14:paraId="6256847E" w14:textId="77777777" w:rsidR="0060396D" w:rsidRPr="005A6F44" w:rsidRDefault="0060396D" w:rsidP="00F46473">
            <w:pPr>
              <w:pStyle w:val="tabteksts"/>
              <w:jc w:val="right"/>
              <w:rPr>
                <w:snapToGrid w:val="0"/>
              </w:rPr>
            </w:pPr>
            <w:r w:rsidRPr="005A6F44">
              <w:rPr>
                <w:snapToGrid w:val="0"/>
              </w:rPr>
              <w:t>-28,6</w:t>
            </w:r>
          </w:p>
        </w:tc>
        <w:tc>
          <w:tcPr>
            <w:tcW w:w="709" w:type="dxa"/>
            <w:tcBorders>
              <w:top w:val="single" w:sz="4" w:space="0" w:color="auto"/>
              <w:left w:val="nil"/>
              <w:bottom w:val="single" w:sz="4" w:space="0" w:color="auto"/>
              <w:right w:val="single" w:sz="4" w:space="0" w:color="auto"/>
            </w:tcBorders>
            <w:vAlign w:val="bottom"/>
          </w:tcPr>
          <w:p w14:paraId="2C25B5FC" w14:textId="77777777" w:rsidR="0060396D" w:rsidRPr="005A6F44" w:rsidRDefault="0060396D" w:rsidP="00F46473">
            <w:pPr>
              <w:pStyle w:val="tabteksts"/>
              <w:jc w:val="right"/>
              <w:rPr>
                <w:snapToGrid w:val="0"/>
              </w:rPr>
            </w:pPr>
            <w:r w:rsidRPr="005A6F44">
              <w:rPr>
                <w:snapToGrid w:val="0"/>
              </w:rPr>
              <w:t>-0,2</w:t>
            </w:r>
          </w:p>
        </w:tc>
        <w:tc>
          <w:tcPr>
            <w:tcW w:w="709" w:type="dxa"/>
            <w:tcBorders>
              <w:top w:val="single" w:sz="4" w:space="0" w:color="auto"/>
              <w:left w:val="nil"/>
              <w:bottom w:val="single" w:sz="4" w:space="0" w:color="auto"/>
              <w:right w:val="single" w:sz="4" w:space="0" w:color="auto"/>
            </w:tcBorders>
            <w:vAlign w:val="bottom"/>
          </w:tcPr>
          <w:p w14:paraId="3DC340B7" w14:textId="77777777" w:rsidR="0060396D" w:rsidRPr="005A6F44" w:rsidRDefault="0060396D" w:rsidP="00F46473">
            <w:pPr>
              <w:pStyle w:val="tabteksts"/>
              <w:jc w:val="right"/>
              <w:rPr>
                <w:snapToGrid w:val="0"/>
              </w:rPr>
            </w:pPr>
            <w:r w:rsidRPr="005A6F44">
              <w:rPr>
                <w:snapToGrid w:val="0"/>
              </w:rPr>
              <w:t>-0,4</w:t>
            </w:r>
          </w:p>
        </w:tc>
        <w:tc>
          <w:tcPr>
            <w:tcW w:w="709" w:type="dxa"/>
            <w:tcBorders>
              <w:top w:val="single" w:sz="4" w:space="0" w:color="auto"/>
              <w:left w:val="nil"/>
              <w:bottom w:val="single" w:sz="4" w:space="0" w:color="auto"/>
              <w:right w:val="single" w:sz="4" w:space="0" w:color="auto"/>
            </w:tcBorders>
            <w:vAlign w:val="bottom"/>
          </w:tcPr>
          <w:p w14:paraId="069680DB" w14:textId="77777777" w:rsidR="0060396D" w:rsidRPr="005A6F44" w:rsidRDefault="0060396D" w:rsidP="00F46473">
            <w:pPr>
              <w:pStyle w:val="tabteksts"/>
              <w:jc w:val="right"/>
              <w:rPr>
                <w:snapToGrid w:val="0"/>
              </w:rPr>
            </w:pPr>
            <w:r w:rsidRPr="005A6F44">
              <w:rPr>
                <w:snapToGrid w:val="0"/>
              </w:rPr>
              <w:t>0,8</w:t>
            </w:r>
          </w:p>
        </w:tc>
        <w:tc>
          <w:tcPr>
            <w:tcW w:w="708" w:type="dxa"/>
            <w:tcBorders>
              <w:top w:val="single" w:sz="4" w:space="0" w:color="auto"/>
              <w:left w:val="nil"/>
              <w:bottom w:val="single" w:sz="4" w:space="0" w:color="auto"/>
              <w:right w:val="single" w:sz="4" w:space="0" w:color="auto"/>
            </w:tcBorders>
            <w:vAlign w:val="bottom"/>
          </w:tcPr>
          <w:p w14:paraId="56D9F2E7" w14:textId="77777777" w:rsidR="0060396D" w:rsidRPr="005A6F44" w:rsidRDefault="0060396D" w:rsidP="00F46473">
            <w:pPr>
              <w:pStyle w:val="tabteksts"/>
              <w:jc w:val="right"/>
              <w:rPr>
                <w:snapToGrid w:val="0"/>
              </w:rPr>
            </w:pPr>
            <w:r w:rsidRPr="005A6F44">
              <w:rPr>
                <w:snapToGrid w:val="0"/>
              </w:rPr>
              <w:t>0,7</w:t>
            </w:r>
          </w:p>
        </w:tc>
        <w:tc>
          <w:tcPr>
            <w:tcW w:w="709" w:type="dxa"/>
            <w:tcBorders>
              <w:top w:val="single" w:sz="4" w:space="0" w:color="auto"/>
              <w:left w:val="single" w:sz="4" w:space="0" w:color="auto"/>
              <w:bottom w:val="single" w:sz="4" w:space="0" w:color="auto"/>
              <w:right w:val="double" w:sz="4" w:space="0" w:color="auto"/>
            </w:tcBorders>
            <w:vAlign w:val="bottom"/>
          </w:tcPr>
          <w:p w14:paraId="02485B3E" w14:textId="77777777" w:rsidR="0060396D" w:rsidRPr="005A6F44" w:rsidRDefault="0060396D" w:rsidP="00F46473">
            <w:pPr>
              <w:pStyle w:val="tabteksts"/>
              <w:jc w:val="right"/>
              <w:rPr>
                <w:snapToGrid w:val="0"/>
              </w:rPr>
            </w:pPr>
            <w:r w:rsidRPr="005A6F44">
              <w:rPr>
                <w:snapToGrid w:val="0"/>
              </w:rPr>
              <w:t>0,9</w:t>
            </w:r>
          </w:p>
        </w:tc>
      </w:tr>
      <w:tr w:rsidR="0060396D" w:rsidRPr="005A6F44" w14:paraId="28CA7347" w14:textId="77777777" w:rsidTr="00F46473">
        <w:trPr>
          <w:cantSplit/>
        </w:trPr>
        <w:tc>
          <w:tcPr>
            <w:tcW w:w="750" w:type="dxa"/>
            <w:tcBorders>
              <w:top w:val="single" w:sz="4" w:space="0" w:color="auto"/>
              <w:left w:val="double" w:sz="4" w:space="0" w:color="auto"/>
              <w:bottom w:val="single" w:sz="4" w:space="0" w:color="auto"/>
            </w:tcBorders>
          </w:tcPr>
          <w:p w14:paraId="50A58BB5" w14:textId="77777777" w:rsidR="0060396D" w:rsidRPr="005A6F44" w:rsidRDefault="0060396D" w:rsidP="00F46473">
            <w:pPr>
              <w:pStyle w:val="tabteksts"/>
              <w:jc w:val="center"/>
              <w:rPr>
                <w:b/>
                <w:snapToGrid w:val="0"/>
              </w:rPr>
            </w:pPr>
          </w:p>
        </w:tc>
        <w:tc>
          <w:tcPr>
            <w:tcW w:w="8606" w:type="dxa"/>
            <w:gridSpan w:val="8"/>
            <w:tcBorders>
              <w:top w:val="single" w:sz="4" w:space="0" w:color="auto"/>
              <w:bottom w:val="single" w:sz="4" w:space="0" w:color="auto"/>
              <w:right w:val="double" w:sz="4" w:space="0" w:color="auto"/>
            </w:tcBorders>
            <w:vAlign w:val="bottom"/>
          </w:tcPr>
          <w:p w14:paraId="79ED89C0" w14:textId="77777777" w:rsidR="0060396D" w:rsidRPr="005A6F44" w:rsidRDefault="0060396D" w:rsidP="00F46473">
            <w:pPr>
              <w:pStyle w:val="tabteksts"/>
              <w:jc w:val="center"/>
              <w:rPr>
                <w:b/>
                <w:snapToGrid w:val="0"/>
              </w:rPr>
            </w:pPr>
            <w:r w:rsidRPr="005A6F44">
              <w:rPr>
                <w:b/>
                <w:snapToGrid w:val="0"/>
              </w:rPr>
              <w:t>Vispārējā valdība (S.13)</w:t>
            </w:r>
          </w:p>
        </w:tc>
      </w:tr>
      <w:tr w:rsidR="0060396D" w:rsidRPr="005A6F44" w14:paraId="2D835DE6"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tcPr>
          <w:p w14:paraId="79B52D40" w14:textId="77777777" w:rsidR="0060396D" w:rsidRPr="005A6F44" w:rsidRDefault="0060396D" w:rsidP="00F46473">
            <w:pPr>
              <w:pStyle w:val="tabteksts"/>
              <w:rPr>
                <w:snapToGrid w:val="0"/>
              </w:rPr>
            </w:pPr>
            <w:r w:rsidRPr="005A6F44">
              <w:rPr>
                <w:snapToGrid w:val="0"/>
              </w:rPr>
              <w:t xml:space="preserve">6. Kopējie ieņēmumi </w:t>
            </w:r>
          </w:p>
        </w:tc>
        <w:tc>
          <w:tcPr>
            <w:tcW w:w="1134" w:type="dxa"/>
            <w:tcBorders>
              <w:top w:val="single" w:sz="4" w:space="0" w:color="auto"/>
              <w:left w:val="single" w:sz="4" w:space="0" w:color="auto"/>
              <w:bottom w:val="single" w:sz="4" w:space="0" w:color="auto"/>
              <w:right w:val="double" w:sz="4" w:space="0" w:color="auto"/>
            </w:tcBorders>
            <w:vAlign w:val="bottom"/>
          </w:tcPr>
          <w:p w14:paraId="3695F4E0" w14:textId="77777777" w:rsidR="0060396D" w:rsidRPr="005A6F44" w:rsidRDefault="0060396D" w:rsidP="00F46473">
            <w:pPr>
              <w:pStyle w:val="tabteksts"/>
            </w:pPr>
            <w:r w:rsidRPr="005A6F44">
              <w:t>TR</w:t>
            </w:r>
          </w:p>
        </w:tc>
        <w:tc>
          <w:tcPr>
            <w:tcW w:w="992" w:type="dxa"/>
            <w:tcBorders>
              <w:top w:val="single" w:sz="4" w:space="0" w:color="auto"/>
              <w:left w:val="double" w:sz="4" w:space="0" w:color="auto"/>
              <w:bottom w:val="single" w:sz="4" w:space="0" w:color="auto"/>
              <w:right w:val="single" w:sz="4" w:space="0" w:color="auto"/>
            </w:tcBorders>
            <w:vAlign w:val="bottom"/>
          </w:tcPr>
          <w:p w14:paraId="31DFFC55" w14:textId="77777777" w:rsidR="0060396D" w:rsidRPr="005A6F44" w:rsidRDefault="0060396D" w:rsidP="00F46473">
            <w:pPr>
              <w:pStyle w:val="tabteksts"/>
              <w:jc w:val="right"/>
              <w:rPr>
                <w:snapToGrid w:val="0"/>
              </w:rPr>
            </w:pPr>
            <w:r w:rsidRPr="005A6F44">
              <w:rPr>
                <w:snapToGrid w:val="0"/>
              </w:rPr>
              <w:t>5 468,1</w:t>
            </w:r>
          </w:p>
        </w:tc>
        <w:tc>
          <w:tcPr>
            <w:tcW w:w="709" w:type="dxa"/>
            <w:tcBorders>
              <w:top w:val="single" w:sz="4" w:space="0" w:color="auto"/>
              <w:left w:val="nil"/>
              <w:bottom w:val="single" w:sz="4" w:space="0" w:color="auto"/>
              <w:right w:val="single" w:sz="4" w:space="0" w:color="auto"/>
            </w:tcBorders>
            <w:vAlign w:val="bottom"/>
          </w:tcPr>
          <w:p w14:paraId="78E0233D" w14:textId="77777777" w:rsidR="0060396D" w:rsidRPr="005A6F44" w:rsidRDefault="0060396D" w:rsidP="00F46473">
            <w:pPr>
              <w:pStyle w:val="tabteksts"/>
              <w:jc w:val="right"/>
              <w:rPr>
                <w:snapToGrid w:val="0"/>
              </w:rPr>
            </w:pPr>
            <w:r w:rsidRPr="005A6F44">
              <w:rPr>
                <w:snapToGrid w:val="0"/>
              </w:rPr>
              <w:t>35,2</w:t>
            </w:r>
          </w:p>
        </w:tc>
        <w:tc>
          <w:tcPr>
            <w:tcW w:w="709" w:type="dxa"/>
            <w:tcBorders>
              <w:top w:val="single" w:sz="4" w:space="0" w:color="auto"/>
              <w:left w:val="nil"/>
              <w:bottom w:val="single" w:sz="4" w:space="0" w:color="auto"/>
              <w:right w:val="single" w:sz="4" w:space="0" w:color="auto"/>
            </w:tcBorders>
            <w:vAlign w:val="bottom"/>
          </w:tcPr>
          <w:p w14:paraId="49B4DD9C" w14:textId="77777777" w:rsidR="0060396D" w:rsidRPr="005A6F44" w:rsidRDefault="0060396D" w:rsidP="00F46473">
            <w:pPr>
              <w:pStyle w:val="tabteksts"/>
              <w:jc w:val="right"/>
              <w:rPr>
                <w:snapToGrid w:val="0"/>
              </w:rPr>
            </w:pPr>
            <w:r w:rsidRPr="005A6F44">
              <w:rPr>
                <w:snapToGrid w:val="0"/>
              </w:rPr>
              <w:t>35,2</w:t>
            </w:r>
          </w:p>
        </w:tc>
        <w:tc>
          <w:tcPr>
            <w:tcW w:w="709" w:type="dxa"/>
            <w:tcBorders>
              <w:top w:val="single" w:sz="4" w:space="0" w:color="auto"/>
              <w:left w:val="nil"/>
              <w:bottom w:val="single" w:sz="4" w:space="0" w:color="auto"/>
              <w:right w:val="single" w:sz="4" w:space="0" w:color="auto"/>
            </w:tcBorders>
            <w:vAlign w:val="bottom"/>
          </w:tcPr>
          <w:p w14:paraId="3AA68CA7" w14:textId="77777777" w:rsidR="0060396D" w:rsidRPr="005A6F44" w:rsidRDefault="0060396D" w:rsidP="00F46473">
            <w:pPr>
              <w:pStyle w:val="tabteksts"/>
              <w:jc w:val="right"/>
              <w:rPr>
                <w:snapToGrid w:val="0"/>
              </w:rPr>
            </w:pPr>
            <w:r w:rsidRPr="005A6F44">
              <w:rPr>
                <w:snapToGrid w:val="0"/>
              </w:rPr>
              <w:t>33,8</w:t>
            </w:r>
          </w:p>
        </w:tc>
        <w:tc>
          <w:tcPr>
            <w:tcW w:w="708" w:type="dxa"/>
            <w:tcBorders>
              <w:top w:val="single" w:sz="4" w:space="0" w:color="auto"/>
              <w:left w:val="nil"/>
              <w:bottom w:val="single" w:sz="4" w:space="0" w:color="auto"/>
              <w:right w:val="single" w:sz="4" w:space="0" w:color="auto"/>
            </w:tcBorders>
            <w:vAlign w:val="bottom"/>
          </w:tcPr>
          <w:p w14:paraId="226EBA7C" w14:textId="77777777" w:rsidR="0060396D" w:rsidRPr="005A6F44" w:rsidRDefault="0060396D" w:rsidP="00F46473">
            <w:pPr>
              <w:pStyle w:val="tabteksts"/>
              <w:jc w:val="right"/>
              <w:rPr>
                <w:snapToGrid w:val="0"/>
              </w:rPr>
            </w:pPr>
            <w:r w:rsidRPr="005A6F44">
              <w:rPr>
                <w:snapToGrid w:val="0"/>
              </w:rPr>
              <w:t>30,9</w:t>
            </w:r>
          </w:p>
        </w:tc>
        <w:tc>
          <w:tcPr>
            <w:tcW w:w="709" w:type="dxa"/>
            <w:tcBorders>
              <w:top w:val="single" w:sz="4" w:space="0" w:color="auto"/>
              <w:left w:val="single" w:sz="4" w:space="0" w:color="auto"/>
              <w:bottom w:val="single" w:sz="4" w:space="0" w:color="auto"/>
              <w:right w:val="double" w:sz="4" w:space="0" w:color="auto"/>
            </w:tcBorders>
            <w:vAlign w:val="bottom"/>
          </w:tcPr>
          <w:p w14:paraId="0CF4FC65" w14:textId="77777777" w:rsidR="0060396D" w:rsidRPr="005A6F44" w:rsidRDefault="0060396D" w:rsidP="00F46473">
            <w:pPr>
              <w:pStyle w:val="tabteksts"/>
              <w:jc w:val="right"/>
              <w:rPr>
                <w:snapToGrid w:val="0"/>
              </w:rPr>
            </w:pPr>
            <w:r w:rsidRPr="005A6F44">
              <w:rPr>
                <w:snapToGrid w:val="0"/>
              </w:rPr>
              <w:t>31,2</w:t>
            </w:r>
          </w:p>
        </w:tc>
      </w:tr>
      <w:tr w:rsidR="0060396D" w:rsidRPr="005A6F44" w14:paraId="5A6F10C9" w14:textId="77777777" w:rsidTr="00F46473">
        <w:trPr>
          <w:cantSplit/>
          <w:trHeight w:val="158"/>
        </w:trPr>
        <w:tc>
          <w:tcPr>
            <w:tcW w:w="3686" w:type="dxa"/>
            <w:gridSpan w:val="2"/>
            <w:tcBorders>
              <w:top w:val="single" w:sz="4" w:space="0" w:color="auto"/>
              <w:left w:val="double" w:sz="4" w:space="0" w:color="auto"/>
              <w:bottom w:val="single" w:sz="4" w:space="0" w:color="auto"/>
              <w:right w:val="single" w:sz="4" w:space="0" w:color="auto"/>
            </w:tcBorders>
          </w:tcPr>
          <w:p w14:paraId="23B604AB" w14:textId="77777777" w:rsidR="0060396D" w:rsidRPr="005A6F44" w:rsidRDefault="0060396D" w:rsidP="00F46473">
            <w:pPr>
              <w:pStyle w:val="tabteksts"/>
              <w:rPr>
                <w:snapToGrid w:val="0"/>
              </w:rPr>
            </w:pPr>
            <w:r w:rsidRPr="005A6F44">
              <w:rPr>
                <w:snapToGrid w:val="0"/>
              </w:rPr>
              <w:t>7. Kopējie izdevumi</w:t>
            </w:r>
          </w:p>
        </w:tc>
        <w:tc>
          <w:tcPr>
            <w:tcW w:w="1134" w:type="dxa"/>
            <w:tcBorders>
              <w:top w:val="single" w:sz="4" w:space="0" w:color="auto"/>
              <w:left w:val="single" w:sz="4" w:space="0" w:color="auto"/>
              <w:bottom w:val="single" w:sz="4" w:space="0" w:color="auto"/>
              <w:right w:val="double" w:sz="4" w:space="0" w:color="auto"/>
            </w:tcBorders>
            <w:vAlign w:val="bottom"/>
          </w:tcPr>
          <w:p w14:paraId="18DDCBDF" w14:textId="77777777" w:rsidR="0060396D" w:rsidRPr="005A6F44" w:rsidRDefault="0060396D" w:rsidP="00F46473">
            <w:pPr>
              <w:pStyle w:val="tabteksts"/>
            </w:pPr>
            <w:r w:rsidRPr="005A6F44">
              <w:t>TE</w:t>
            </w:r>
          </w:p>
        </w:tc>
        <w:tc>
          <w:tcPr>
            <w:tcW w:w="992" w:type="dxa"/>
            <w:tcBorders>
              <w:top w:val="single" w:sz="4" w:space="0" w:color="auto"/>
              <w:left w:val="double" w:sz="4" w:space="0" w:color="auto"/>
              <w:bottom w:val="single" w:sz="4" w:space="0" w:color="auto"/>
              <w:right w:val="single" w:sz="4" w:space="0" w:color="auto"/>
            </w:tcBorders>
            <w:vAlign w:val="bottom"/>
          </w:tcPr>
          <w:p w14:paraId="0FE2E2E3" w14:textId="77777777" w:rsidR="0060396D" w:rsidRPr="005A6F44" w:rsidRDefault="0060396D" w:rsidP="00F46473">
            <w:pPr>
              <w:pStyle w:val="tabteksts"/>
              <w:jc w:val="right"/>
              <w:rPr>
                <w:snapToGrid w:val="0"/>
              </w:rPr>
            </w:pPr>
            <w:r w:rsidRPr="005A6F44">
              <w:rPr>
                <w:snapToGrid w:val="0"/>
              </w:rPr>
              <w:t>5 655,3</w:t>
            </w:r>
          </w:p>
        </w:tc>
        <w:tc>
          <w:tcPr>
            <w:tcW w:w="709" w:type="dxa"/>
            <w:tcBorders>
              <w:top w:val="single" w:sz="4" w:space="0" w:color="auto"/>
              <w:left w:val="nil"/>
              <w:bottom w:val="single" w:sz="4" w:space="0" w:color="auto"/>
              <w:right w:val="single" w:sz="4" w:space="0" w:color="auto"/>
            </w:tcBorders>
            <w:vAlign w:val="bottom"/>
          </w:tcPr>
          <w:p w14:paraId="0E26CCC6" w14:textId="77777777" w:rsidR="0060396D" w:rsidRPr="005A6F44" w:rsidRDefault="0060396D" w:rsidP="00F46473">
            <w:pPr>
              <w:pStyle w:val="tabteksts"/>
              <w:jc w:val="right"/>
              <w:rPr>
                <w:snapToGrid w:val="0"/>
              </w:rPr>
            </w:pPr>
            <w:r w:rsidRPr="005A6F44">
              <w:rPr>
                <w:snapToGrid w:val="0"/>
              </w:rPr>
              <w:t>36,4</w:t>
            </w:r>
          </w:p>
        </w:tc>
        <w:tc>
          <w:tcPr>
            <w:tcW w:w="709" w:type="dxa"/>
            <w:tcBorders>
              <w:top w:val="single" w:sz="4" w:space="0" w:color="auto"/>
              <w:left w:val="nil"/>
              <w:bottom w:val="single" w:sz="4" w:space="0" w:color="auto"/>
              <w:right w:val="single" w:sz="4" w:space="0" w:color="auto"/>
            </w:tcBorders>
            <w:vAlign w:val="bottom"/>
          </w:tcPr>
          <w:p w14:paraId="018A8526" w14:textId="77777777" w:rsidR="0060396D" w:rsidRPr="005A6F44" w:rsidRDefault="0060396D" w:rsidP="00F46473">
            <w:pPr>
              <w:pStyle w:val="tabteksts"/>
              <w:jc w:val="right"/>
              <w:rPr>
                <w:snapToGrid w:val="0"/>
              </w:rPr>
            </w:pPr>
            <w:r w:rsidRPr="005A6F44">
              <w:rPr>
                <w:snapToGrid w:val="0"/>
              </w:rPr>
              <w:t>36,3</w:t>
            </w:r>
          </w:p>
        </w:tc>
        <w:tc>
          <w:tcPr>
            <w:tcW w:w="709" w:type="dxa"/>
            <w:tcBorders>
              <w:top w:val="single" w:sz="4" w:space="0" w:color="auto"/>
              <w:left w:val="nil"/>
              <w:bottom w:val="single" w:sz="4" w:space="0" w:color="auto"/>
              <w:right w:val="single" w:sz="4" w:space="0" w:color="auto"/>
            </w:tcBorders>
            <w:vAlign w:val="bottom"/>
          </w:tcPr>
          <w:p w14:paraId="3A22C5A4" w14:textId="77777777" w:rsidR="0060396D" w:rsidRPr="005A6F44" w:rsidRDefault="0060396D" w:rsidP="00F46473">
            <w:pPr>
              <w:pStyle w:val="tabteksts"/>
              <w:jc w:val="right"/>
              <w:rPr>
                <w:snapToGrid w:val="0"/>
              </w:rPr>
            </w:pPr>
            <w:r w:rsidRPr="005A6F44">
              <w:rPr>
                <w:snapToGrid w:val="0"/>
              </w:rPr>
              <w:t>34,7</w:t>
            </w:r>
          </w:p>
        </w:tc>
        <w:tc>
          <w:tcPr>
            <w:tcW w:w="708" w:type="dxa"/>
            <w:tcBorders>
              <w:top w:val="single" w:sz="4" w:space="0" w:color="auto"/>
              <w:left w:val="nil"/>
              <w:bottom w:val="single" w:sz="4" w:space="0" w:color="auto"/>
              <w:right w:val="single" w:sz="4" w:space="0" w:color="auto"/>
            </w:tcBorders>
            <w:vAlign w:val="bottom"/>
          </w:tcPr>
          <w:p w14:paraId="6304FF51" w14:textId="77777777" w:rsidR="0060396D" w:rsidRPr="005A6F44" w:rsidRDefault="0060396D" w:rsidP="00F46473">
            <w:pPr>
              <w:pStyle w:val="tabteksts"/>
              <w:jc w:val="right"/>
              <w:rPr>
                <w:snapToGrid w:val="0"/>
              </w:rPr>
            </w:pPr>
            <w:r w:rsidRPr="005A6F44">
              <w:rPr>
                <w:snapToGrid w:val="0"/>
              </w:rPr>
              <w:t>31,9</w:t>
            </w:r>
          </w:p>
        </w:tc>
        <w:tc>
          <w:tcPr>
            <w:tcW w:w="709" w:type="dxa"/>
            <w:tcBorders>
              <w:top w:val="single" w:sz="4" w:space="0" w:color="auto"/>
              <w:left w:val="single" w:sz="4" w:space="0" w:color="auto"/>
              <w:bottom w:val="single" w:sz="4" w:space="0" w:color="auto"/>
              <w:right w:val="double" w:sz="4" w:space="0" w:color="auto"/>
            </w:tcBorders>
            <w:vAlign w:val="bottom"/>
          </w:tcPr>
          <w:p w14:paraId="51C3AA74" w14:textId="77777777" w:rsidR="0060396D" w:rsidRPr="005A6F44" w:rsidRDefault="0060396D" w:rsidP="00F46473">
            <w:pPr>
              <w:pStyle w:val="tabteksts"/>
              <w:jc w:val="right"/>
              <w:rPr>
                <w:snapToGrid w:val="0"/>
              </w:rPr>
            </w:pPr>
            <w:r w:rsidRPr="005A6F44">
              <w:rPr>
                <w:snapToGrid w:val="0"/>
              </w:rPr>
              <w:t>32,0</w:t>
            </w:r>
          </w:p>
        </w:tc>
      </w:tr>
      <w:tr w:rsidR="0060396D" w:rsidRPr="005A6F44" w14:paraId="2EA7DB90"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tcPr>
          <w:p w14:paraId="71E3D764" w14:textId="77777777" w:rsidR="0060396D" w:rsidRPr="005A6F44" w:rsidRDefault="0060396D" w:rsidP="00F46473">
            <w:pPr>
              <w:pStyle w:val="tabteksts"/>
              <w:rPr>
                <w:snapToGrid w:val="0"/>
              </w:rPr>
            </w:pPr>
            <w:r w:rsidRPr="005A6F44">
              <w:rPr>
                <w:snapToGrid w:val="0"/>
              </w:rPr>
              <w:t>8. Budžeta bilance</w:t>
            </w:r>
          </w:p>
        </w:tc>
        <w:tc>
          <w:tcPr>
            <w:tcW w:w="1134" w:type="dxa"/>
            <w:tcBorders>
              <w:top w:val="single" w:sz="4" w:space="0" w:color="auto"/>
              <w:left w:val="single" w:sz="4" w:space="0" w:color="auto"/>
              <w:bottom w:val="single" w:sz="4" w:space="0" w:color="auto"/>
              <w:right w:val="double" w:sz="4" w:space="0" w:color="auto"/>
            </w:tcBorders>
            <w:vAlign w:val="bottom"/>
          </w:tcPr>
          <w:p w14:paraId="4CCB1881" w14:textId="77777777" w:rsidR="0060396D" w:rsidRPr="005A6F44" w:rsidRDefault="0060396D" w:rsidP="00F46473">
            <w:pPr>
              <w:pStyle w:val="tabteksts"/>
            </w:pPr>
            <w:r w:rsidRPr="005A6F44">
              <w:t>EDP B.9</w:t>
            </w:r>
          </w:p>
        </w:tc>
        <w:tc>
          <w:tcPr>
            <w:tcW w:w="992" w:type="dxa"/>
            <w:tcBorders>
              <w:top w:val="single" w:sz="4" w:space="0" w:color="auto"/>
              <w:left w:val="double" w:sz="4" w:space="0" w:color="auto"/>
              <w:bottom w:val="single" w:sz="4" w:space="0" w:color="auto"/>
              <w:right w:val="single" w:sz="4" w:space="0" w:color="auto"/>
            </w:tcBorders>
            <w:vAlign w:val="bottom"/>
          </w:tcPr>
          <w:p w14:paraId="2677EC66" w14:textId="77777777" w:rsidR="0060396D" w:rsidRPr="005A6F44" w:rsidRDefault="0060396D" w:rsidP="00F46473">
            <w:pPr>
              <w:pStyle w:val="tabteksts"/>
              <w:jc w:val="right"/>
              <w:rPr>
                <w:snapToGrid w:val="0"/>
              </w:rPr>
            </w:pPr>
            <w:r w:rsidRPr="005A6F44">
              <w:rPr>
                <w:snapToGrid w:val="0"/>
              </w:rPr>
              <w:t>-187,2</w:t>
            </w:r>
          </w:p>
        </w:tc>
        <w:tc>
          <w:tcPr>
            <w:tcW w:w="709" w:type="dxa"/>
            <w:tcBorders>
              <w:top w:val="single" w:sz="4" w:space="0" w:color="auto"/>
              <w:left w:val="nil"/>
              <w:bottom w:val="single" w:sz="4" w:space="0" w:color="auto"/>
              <w:right w:val="single" w:sz="4" w:space="0" w:color="auto"/>
            </w:tcBorders>
            <w:vAlign w:val="bottom"/>
          </w:tcPr>
          <w:p w14:paraId="61B4CF3B" w14:textId="77777777" w:rsidR="0060396D" w:rsidRPr="005A6F44" w:rsidRDefault="0060396D" w:rsidP="00F46473">
            <w:pPr>
              <w:pStyle w:val="tabteksts"/>
              <w:jc w:val="right"/>
              <w:rPr>
                <w:snapToGrid w:val="0"/>
              </w:rPr>
            </w:pPr>
            <w:r w:rsidRPr="005A6F44">
              <w:rPr>
                <w:snapToGrid w:val="0"/>
              </w:rPr>
              <w:t>-1,2</w:t>
            </w:r>
          </w:p>
        </w:tc>
        <w:tc>
          <w:tcPr>
            <w:tcW w:w="709" w:type="dxa"/>
            <w:tcBorders>
              <w:top w:val="single" w:sz="4" w:space="0" w:color="auto"/>
              <w:left w:val="nil"/>
              <w:bottom w:val="single" w:sz="4" w:space="0" w:color="auto"/>
              <w:right w:val="single" w:sz="4" w:space="0" w:color="auto"/>
            </w:tcBorders>
            <w:vAlign w:val="bottom"/>
          </w:tcPr>
          <w:p w14:paraId="707F03E4" w14:textId="77777777" w:rsidR="0060396D" w:rsidRPr="005A6F44" w:rsidRDefault="0060396D" w:rsidP="00F46473">
            <w:pPr>
              <w:pStyle w:val="tabteksts"/>
              <w:jc w:val="right"/>
              <w:rPr>
                <w:snapToGrid w:val="0"/>
              </w:rPr>
            </w:pPr>
            <w:r w:rsidRPr="005A6F44">
              <w:rPr>
                <w:snapToGrid w:val="0"/>
              </w:rPr>
              <w:t>-1,1</w:t>
            </w:r>
          </w:p>
        </w:tc>
        <w:tc>
          <w:tcPr>
            <w:tcW w:w="709" w:type="dxa"/>
            <w:tcBorders>
              <w:top w:val="single" w:sz="4" w:space="0" w:color="auto"/>
              <w:left w:val="nil"/>
              <w:bottom w:val="single" w:sz="4" w:space="0" w:color="auto"/>
              <w:right w:val="single" w:sz="4" w:space="0" w:color="auto"/>
            </w:tcBorders>
            <w:vAlign w:val="bottom"/>
          </w:tcPr>
          <w:p w14:paraId="53C52C86" w14:textId="77777777" w:rsidR="0060396D" w:rsidRPr="005A6F44" w:rsidRDefault="0060396D" w:rsidP="00F46473">
            <w:pPr>
              <w:pStyle w:val="tabteksts"/>
              <w:jc w:val="right"/>
              <w:rPr>
                <w:snapToGrid w:val="0"/>
              </w:rPr>
            </w:pPr>
            <w:r w:rsidRPr="005A6F44">
              <w:rPr>
                <w:snapToGrid w:val="0"/>
              </w:rPr>
              <w:t>-0,9</w:t>
            </w:r>
          </w:p>
        </w:tc>
        <w:tc>
          <w:tcPr>
            <w:tcW w:w="708" w:type="dxa"/>
            <w:tcBorders>
              <w:top w:val="single" w:sz="4" w:space="0" w:color="auto"/>
              <w:left w:val="nil"/>
              <w:bottom w:val="single" w:sz="4" w:space="0" w:color="auto"/>
              <w:right w:val="single" w:sz="4" w:space="0" w:color="auto"/>
            </w:tcBorders>
            <w:vAlign w:val="bottom"/>
          </w:tcPr>
          <w:p w14:paraId="4E4A03B2" w14:textId="77777777" w:rsidR="0060396D" w:rsidRPr="005A6F44" w:rsidRDefault="0060396D" w:rsidP="00F46473">
            <w:pPr>
              <w:pStyle w:val="tabteksts"/>
              <w:jc w:val="right"/>
              <w:rPr>
                <w:snapToGrid w:val="0"/>
              </w:rPr>
            </w:pPr>
            <w:r w:rsidRPr="005A6F44">
              <w:rPr>
                <w:snapToGrid w:val="0"/>
              </w:rPr>
              <w:t>-0,9</w:t>
            </w:r>
          </w:p>
        </w:tc>
        <w:tc>
          <w:tcPr>
            <w:tcW w:w="709" w:type="dxa"/>
            <w:tcBorders>
              <w:top w:val="single" w:sz="4" w:space="0" w:color="auto"/>
              <w:left w:val="single" w:sz="4" w:space="0" w:color="auto"/>
              <w:bottom w:val="single" w:sz="4" w:space="0" w:color="auto"/>
              <w:right w:val="double" w:sz="4" w:space="0" w:color="auto"/>
            </w:tcBorders>
            <w:vAlign w:val="bottom"/>
          </w:tcPr>
          <w:p w14:paraId="087C968A" w14:textId="77777777" w:rsidR="0060396D" w:rsidRPr="005A6F44" w:rsidRDefault="0060396D" w:rsidP="00F46473">
            <w:pPr>
              <w:pStyle w:val="tabteksts"/>
              <w:jc w:val="right"/>
              <w:rPr>
                <w:snapToGrid w:val="0"/>
              </w:rPr>
            </w:pPr>
            <w:r w:rsidRPr="005A6F44">
              <w:rPr>
                <w:snapToGrid w:val="0"/>
              </w:rPr>
              <w:t>-0,9</w:t>
            </w:r>
          </w:p>
        </w:tc>
      </w:tr>
      <w:tr w:rsidR="0060396D" w:rsidRPr="005A6F44" w14:paraId="1A46C27C"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vAlign w:val="center"/>
          </w:tcPr>
          <w:p w14:paraId="789EFC53" w14:textId="77777777" w:rsidR="0060396D" w:rsidRPr="005A6F44" w:rsidRDefault="0060396D" w:rsidP="00F46473">
            <w:pPr>
              <w:pStyle w:val="tabteksts"/>
              <w:rPr>
                <w:snapToGrid w:val="0"/>
              </w:rPr>
            </w:pPr>
            <w:r w:rsidRPr="005A6F44">
              <w:rPr>
                <w:snapToGrid w:val="0"/>
              </w:rPr>
              <w:t>9. Procentu izdevumi</w:t>
            </w:r>
          </w:p>
        </w:tc>
        <w:tc>
          <w:tcPr>
            <w:tcW w:w="1134" w:type="dxa"/>
            <w:tcBorders>
              <w:top w:val="single" w:sz="4" w:space="0" w:color="auto"/>
              <w:left w:val="single" w:sz="4" w:space="0" w:color="auto"/>
              <w:bottom w:val="single" w:sz="4" w:space="0" w:color="auto"/>
              <w:right w:val="double" w:sz="4" w:space="0" w:color="auto"/>
            </w:tcBorders>
            <w:vAlign w:val="bottom"/>
          </w:tcPr>
          <w:p w14:paraId="0642F444" w14:textId="77777777" w:rsidR="0060396D" w:rsidRPr="005A6F44" w:rsidRDefault="0060396D" w:rsidP="00F46473">
            <w:pPr>
              <w:pStyle w:val="tabteksts"/>
            </w:pPr>
            <w:r w:rsidRPr="005A6F44">
              <w:t xml:space="preserve">EDP D.41 </w:t>
            </w:r>
          </w:p>
        </w:tc>
        <w:tc>
          <w:tcPr>
            <w:tcW w:w="992" w:type="dxa"/>
            <w:tcBorders>
              <w:top w:val="single" w:sz="4" w:space="0" w:color="auto"/>
              <w:left w:val="double" w:sz="4" w:space="0" w:color="auto"/>
              <w:bottom w:val="single" w:sz="4" w:space="0" w:color="auto"/>
              <w:right w:val="single" w:sz="4" w:space="0" w:color="auto"/>
            </w:tcBorders>
            <w:vAlign w:val="bottom"/>
          </w:tcPr>
          <w:p w14:paraId="51A18EC6" w14:textId="77777777" w:rsidR="0060396D" w:rsidRPr="005A6F44" w:rsidRDefault="0060396D" w:rsidP="00F46473">
            <w:pPr>
              <w:pStyle w:val="tabteksts"/>
              <w:jc w:val="right"/>
              <w:rPr>
                <w:snapToGrid w:val="0"/>
              </w:rPr>
            </w:pPr>
            <w:r w:rsidRPr="005A6F44">
              <w:rPr>
                <w:snapToGrid w:val="0"/>
              </w:rPr>
              <w:t>204,5</w:t>
            </w:r>
          </w:p>
        </w:tc>
        <w:tc>
          <w:tcPr>
            <w:tcW w:w="709" w:type="dxa"/>
            <w:tcBorders>
              <w:top w:val="single" w:sz="4" w:space="0" w:color="auto"/>
              <w:left w:val="nil"/>
              <w:bottom w:val="single" w:sz="4" w:space="0" w:color="auto"/>
              <w:right w:val="single" w:sz="4" w:space="0" w:color="auto"/>
            </w:tcBorders>
            <w:vAlign w:val="bottom"/>
          </w:tcPr>
          <w:p w14:paraId="3DEF1301" w14:textId="77777777" w:rsidR="0060396D" w:rsidRPr="005A6F44" w:rsidRDefault="0060396D" w:rsidP="00F46473">
            <w:pPr>
              <w:pStyle w:val="tabteksts"/>
              <w:jc w:val="right"/>
              <w:rPr>
                <w:snapToGrid w:val="0"/>
              </w:rPr>
            </w:pPr>
            <w:r w:rsidRPr="005A6F44">
              <w:rPr>
                <w:snapToGrid w:val="0"/>
              </w:rPr>
              <w:t>1,3</w:t>
            </w:r>
          </w:p>
        </w:tc>
        <w:tc>
          <w:tcPr>
            <w:tcW w:w="709" w:type="dxa"/>
            <w:tcBorders>
              <w:top w:val="single" w:sz="4" w:space="0" w:color="auto"/>
              <w:left w:val="nil"/>
              <w:bottom w:val="single" w:sz="4" w:space="0" w:color="auto"/>
              <w:right w:val="single" w:sz="4" w:space="0" w:color="auto"/>
            </w:tcBorders>
            <w:vAlign w:val="bottom"/>
          </w:tcPr>
          <w:p w14:paraId="17B8D55F" w14:textId="77777777" w:rsidR="0060396D" w:rsidRPr="005A6F44" w:rsidRDefault="0060396D" w:rsidP="00F46473">
            <w:pPr>
              <w:pStyle w:val="tabteksts"/>
              <w:jc w:val="right"/>
              <w:rPr>
                <w:snapToGrid w:val="0"/>
              </w:rPr>
            </w:pPr>
            <w:r w:rsidRPr="005A6F44">
              <w:rPr>
                <w:snapToGrid w:val="0"/>
              </w:rPr>
              <w:t>1,5</w:t>
            </w:r>
          </w:p>
        </w:tc>
        <w:tc>
          <w:tcPr>
            <w:tcW w:w="709" w:type="dxa"/>
            <w:tcBorders>
              <w:top w:val="single" w:sz="4" w:space="0" w:color="auto"/>
              <w:left w:val="nil"/>
              <w:bottom w:val="single" w:sz="4" w:space="0" w:color="auto"/>
              <w:right w:val="single" w:sz="4" w:space="0" w:color="auto"/>
            </w:tcBorders>
            <w:vAlign w:val="bottom"/>
          </w:tcPr>
          <w:p w14:paraId="28DE6658" w14:textId="77777777" w:rsidR="0060396D" w:rsidRPr="005A6F44" w:rsidRDefault="0060396D" w:rsidP="00F46473">
            <w:pPr>
              <w:pStyle w:val="tabteksts"/>
              <w:jc w:val="right"/>
              <w:rPr>
                <w:snapToGrid w:val="0"/>
              </w:rPr>
            </w:pPr>
            <w:r w:rsidRPr="005A6F44">
              <w:rPr>
                <w:snapToGrid w:val="0"/>
              </w:rPr>
              <w:t>1,6</w:t>
            </w:r>
          </w:p>
        </w:tc>
        <w:tc>
          <w:tcPr>
            <w:tcW w:w="708" w:type="dxa"/>
            <w:tcBorders>
              <w:top w:val="single" w:sz="4" w:space="0" w:color="auto"/>
              <w:left w:val="nil"/>
              <w:bottom w:val="single" w:sz="4" w:space="0" w:color="auto"/>
              <w:right w:val="single" w:sz="4" w:space="0" w:color="auto"/>
            </w:tcBorders>
            <w:vAlign w:val="bottom"/>
          </w:tcPr>
          <w:p w14:paraId="770906B9" w14:textId="77777777" w:rsidR="0060396D" w:rsidRPr="005A6F44" w:rsidRDefault="0060396D" w:rsidP="00F46473">
            <w:pPr>
              <w:pStyle w:val="tabteksts"/>
              <w:jc w:val="right"/>
              <w:rPr>
                <w:snapToGrid w:val="0"/>
              </w:rPr>
            </w:pPr>
            <w:r w:rsidRPr="005A6F44">
              <w:rPr>
                <w:snapToGrid w:val="0"/>
              </w:rPr>
              <w:t>1,5</w:t>
            </w:r>
          </w:p>
        </w:tc>
        <w:tc>
          <w:tcPr>
            <w:tcW w:w="709" w:type="dxa"/>
            <w:tcBorders>
              <w:top w:val="single" w:sz="4" w:space="0" w:color="auto"/>
              <w:left w:val="single" w:sz="4" w:space="0" w:color="auto"/>
              <w:bottom w:val="single" w:sz="4" w:space="0" w:color="auto"/>
              <w:right w:val="double" w:sz="4" w:space="0" w:color="auto"/>
            </w:tcBorders>
            <w:vAlign w:val="bottom"/>
          </w:tcPr>
          <w:p w14:paraId="3053CF5C" w14:textId="77777777" w:rsidR="0060396D" w:rsidRPr="005A6F44" w:rsidRDefault="0060396D" w:rsidP="00F46473">
            <w:pPr>
              <w:pStyle w:val="tabteksts"/>
              <w:jc w:val="right"/>
              <w:rPr>
                <w:snapToGrid w:val="0"/>
              </w:rPr>
            </w:pPr>
            <w:r w:rsidRPr="005A6F44">
              <w:rPr>
                <w:snapToGrid w:val="0"/>
              </w:rPr>
              <w:t>1,4</w:t>
            </w:r>
          </w:p>
        </w:tc>
      </w:tr>
      <w:tr w:rsidR="0060396D" w:rsidRPr="005A6F44" w14:paraId="6FFB7E49" w14:textId="77777777" w:rsidTr="00F46473">
        <w:trPr>
          <w:cantSplit/>
        </w:trPr>
        <w:tc>
          <w:tcPr>
            <w:tcW w:w="3686" w:type="dxa"/>
            <w:gridSpan w:val="2"/>
            <w:tcBorders>
              <w:top w:val="single" w:sz="4" w:space="0" w:color="auto"/>
              <w:left w:val="double" w:sz="4" w:space="0" w:color="auto"/>
              <w:bottom w:val="single" w:sz="4" w:space="0" w:color="auto"/>
              <w:right w:val="single" w:sz="4" w:space="0" w:color="auto"/>
            </w:tcBorders>
          </w:tcPr>
          <w:p w14:paraId="279FBC28" w14:textId="77777777" w:rsidR="0060396D" w:rsidRPr="005A6F44" w:rsidRDefault="0060396D" w:rsidP="00F46473">
            <w:pPr>
              <w:pStyle w:val="tabteksts"/>
              <w:rPr>
                <w:snapToGrid w:val="0"/>
              </w:rPr>
            </w:pPr>
            <w:r w:rsidRPr="005A6F44">
              <w:rPr>
                <w:snapToGrid w:val="0"/>
              </w:rPr>
              <w:t>10. Primārā bilance</w:t>
            </w:r>
          </w:p>
        </w:tc>
        <w:tc>
          <w:tcPr>
            <w:tcW w:w="1134" w:type="dxa"/>
            <w:tcBorders>
              <w:top w:val="single" w:sz="4" w:space="0" w:color="auto"/>
              <w:left w:val="single" w:sz="4" w:space="0" w:color="auto"/>
              <w:bottom w:val="single" w:sz="4" w:space="0" w:color="auto"/>
              <w:right w:val="double" w:sz="4" w:space="0" w:color="auto"/>
            </w:tcBorders>
            <w:vAlign w:val="bottom"/>
          </w:tcPr>
          <w:p w14:paraId="36020B58" w14:textId="77777777" w:rsidR="0060396D" w:rsidRPr="005A6F44" w:rsidRDefault="0060396D" w:rsidP="00F46473">
            <w:pPr>
              <w:pStyle w:val="tabteksts"/>
            </w:pPr>
          </w:p>
        </w:tc>
        <w:tc>
          <w:tcPr>
            <w:tcW w:w="992" w:type="dxa"/>
            <w:tcBorders>
              <w:top w:val="single" w:sz="4" w:space="0" w:color="auto"/>
              <w:left w:val="double" w:sz="4" w:space="0" w:color="auto"/>
              <w:bottom w:val="single" w:sz="4" w:space="0" w:color="auto"/>
              <w:right w:val="single" w:sz="4" w:space="0" w:color="auto"/>
            </w:tcBorders>
            <w:vAlign w:val="bottom"/>
          </w:tcPr>
          <w:p w14:paraId="077A0D62" w14:textId="77777777" w:rsidR="0060396D" w:rsidRPr="005A6F44" w:rsidRDefault="0060396D" w:rsidP="00F46473">
            <w:pPr>
              <w:pStyle w:val="tabteksts"/>
              <w:jc w:val="right"/>
              <w:rPr>
                <w:snapToGrid w:val="0"/>
              </w:rPr>
            </w:pPr>
            <w:r w:rsidRPr="005A6F44">
              <w:rPr>
                <w:snapToGrid w:val="0"/>
              </w:rPr>
              <w:t>17,3</w:t>
            </w:r>
          </w:p>
        </w:tc>
        <w:tc>
          <w:tcPr>
            <w:tcW w:w="709" w:type="dxa"/>
            <w:tcBorders>
              <w:top w:val="single" w:sz="4" w:space="0" w:color="auto"/>
              <w:left w:val="nil"/>
              <w:bottom w:val="single" w:sz="4" w:space="0" w:color="auto"/>
              <w:right w:val="single" w:sz="4" w:space="0" w:color="auto"/>
            </w:tcBorders>
            <w:vAlign w:val="bottom"/>
          </w:tcPr>
          <w:p w14:paraId="706016FB" w14:textId="77777777" w:rsidR="0060396D" w:rsidRPr="005A6F44" w:rsidRDefault="0060396D" w:rsidP="00F46473">
            <w:pPr>
              <w:pStyle w:val="tabteksts"/>
              <w:jc w:val="right"/>
              <w:rPr>
                <w:snapToGrid w:val="0"/>
              </w:rPr>
            </w:pPr>
            <w:r w:rsidRPr="005A6F44">
              <w:rPr>
                <w:snapToGrid w:val="0"/>
              </w:rPr>
              <w:t>0,1</w:t>
            </w:r>
          </w:p>
        </w:tc>
        <w:tc>
          <w:tcPr>
            <w:tcW w:w="709" w:type="dxa"/>
            <w:tcBorders>
              <w:top w:val="single" w:sz="4" w:space="0" w:color="auto"/>
              <w:left w:val="nil"/>
              <w:bottom w:val="single" w:sz="4" w:space="0" w:color="auto"/>
              <w:right w:val="single" w:sz="4" w:space="0" w:color="auto"/>
            </w:tcBorders>
            <w:vAlign w:val="bottom"/>
          </w:tcPr>
          <w:p w14:paraId="315E85BC" w14:textId="77777777" w:rsidR="0060396D" w:rsidRPr="005A6F44" w:rsidRDefault="0060396D" w:rsidP="00F46473">
            <w:pPr>
              <w:pStyle w:val="tabteksts"/>
              <w:jc w:val="right"/>
              <w:rPr>
                <w:snapToGrid w:val="0"/>
              </w:rPr>
            </w:pPr>
            <w:r w:rsidRPr="005A6F44">
              <w:rPr>
                <w:snapToGrid w:val="0"/>
              </w:rPr>
              <w:t>0,4</w:t>
            </w:r>
          </w:p>
        </w:tc>
        <w:tc>
          <w:tcPr>
            <w:tcW w:w="709" w:type="dxa"/>
            <w:tcBorders>
              <w:top w:val="single" w:sz="4" w:space="0" w:color="auto"/>
              <w:left w:val="nil"/>
              <w:bottom w:val="single" w:sz="4" w:space="0" w:color="auto"/>
              <w:right w:val="single" w:sz="4" w:space="0" w:color="auto"/>
            </w:tcBorders>
            <w:vAlign w:val="bottom"/>
          </w:tcPr>
          <w:p w14:paraId="123D3C2A" w14:textId="77777777" w:rsidR="0060396D" w:rsidRPr="005A6F44" w:rsidRDefault="0060396D" w:rsidP="00F46473">
            <w:pPr>
              <w:pStyle w:val="tabteksts"/>
              <w:jc w:val="right"/>
              <w:rPr>
                <w:snapToGrid w:val="0"/>
              </w:rPr>
            </w:pPr>
            <w:r w:rsidRPr="005A6F44">
              <w:rPr>
                <w:snapToGrid w:val="0"/>
              </w:rPr>
              <w:t>0,8</w:t>
            </w:r>
          </w:p>
        </w:tc>
        <w:tc>
          <w:tcPr>
            <w:tcW w:w="708" w:type="dxa"/>
            <w:tcBorders>
              <w:top w:val="single" w:sz="4" w:space="0" w:color="auto"/>
              <w:left w:val="nil"/>
              <w:bottom w:val="single" w:sz="4" w:space="0" w:color="auto"/>
              <w:right w:val="single" w:sz="4" w:space="0" w:color="auto"/>
            </w:tcBorders>
            <w:vAlign w:val="bottom"/>
          </w:tcPr>
          <w:p w14:paraId="5239D9F1" w14:textId="77777777" w:rsidR="0060396D" w:rsidRPr="005A6F44" w:rsidRDefault="0060396D" w:rsidP="00F46473">
            <w:pPr>
              <w:pStyle w:val="tabteksts"/>
              <w:jc w:val="right"/>
              <w:rPr>
                <w:snapToGrid w:val="0"/>
              </w:rPr>
            </w:pPr>
            <w:r w:rsidRPr="005A6F44">
              <w:rPr>
                <w:snapToGrid w:val="0"/>
              </w:rPr>
              <w:t>0,6</w:t>
            </w:r>
          </w:p>
        </w:tc>
        <w:tc>
          <w:tcPr>
            <w:tcW w:w="709" w:type="dxa"/>
            <w:tcBorders>
              <w:top w:val="single" w:sz="4" w:space="0" w:color="auto"/>
              <w:left w:val="single" w:sz="4" w:space="0" w:color="auto"/>
              <w:bottom w:val="single" w:sz="4" w:space="0" w:color="auto"/>
              <w:right w:val="double" w:sz="4" w:space="0" w:color="auto"/>
            </w:tcBorders>
            <w:vAlign w:val="bottom"/>
          </w:tcPr>
          <w:p w14:paraId="106AE5B8" w14:textId="77777777" w:rsidR="0060396D" w:rsidRPr="005A6F44" w:rsidRDefault="0060396D" w:rsidP="00F46473">
            <w:pPr>
              <w:pStyle w:val="tabteksts"/>
              <w:jc w:val="right"/>
              <w:rPr>
                <w:snapToGrid w:val="0"/>
              </w:rPr>
            </w:pPr>
            <w:r w:rsidRPr="005A6F44">
              <w:rPr>
                <w:snapToGrid w:val="0"/>
              </w:rPr>
              <w:t>0,6</w:t>
            </w:r>
          </w:p>
        </w:tc>
      </w:tr>
      <w:tr w:rsidR="0060396D" w:rsidRPr="00BC0D7E" w14:paraId="4AF886B0" w14:textId="77777777" w:rsidTr="00F46473">
        <w:trPr>
          <w:cantSplit/>
        </w:trPr>
        <w:tc>
          <w:tcPr>
            <w:tcW w:w="3686" w:type="dxa"/>
            <w:gridSpan w:val="2"/>
            <w:tcBorders>
              <w:top w:val="single" w:sz="4" w:space="0" w:color="auto"/>
              <w:left w:val="double" w:sz="4" w:space="0" w:color="auto"/>
              <w:bottom w:val="double" w:sz="4" w:space="0" w:color="auto"/>
              <w:right w:val="single" w:sz="4" w:space="0" w:color="auto"/>
            </w:tcBorders>
          </w:tcPr>
          <w:p w14:paraId="1E28AA70" w14:textId="77777777" w:rsidR="0060396D" w:rsidRPr="005A6F44" w:rsidRDefault="0060396D" w:rsidP="00F46473">
            <w:pPr>
              <w:pStyle w:val="tabteksts"/>
              <w:rPr>
                <w:snapToGrid w:val="0"/>
              </w:rPr>
            </w:pPr>
            <w:r w:rsidRPr="005A6F44">
              <w:rPr>
                <w:snapToGrid w:val="0"/>
              </w:rPr>
              <w:t xml:space="preserve">11. Vienreizējie un citi pagaidu pasākumi </w:t>
            </w:r>
          </w:p>
        </w:tc>
        <w:tc>
          <w:tcPr>
            <w:tcW w:w="1134" w:type="dxa"/>
            <w:tcBorders>
              <w:top w:val="single" w:sz="4" w:space="0" w:color="auto"/>
              <w:left w:val="single" w:sz="4" w:space="0" w:color="auto"/>
              <w:bottom w:val="double" w:sz="4" w:space="0" w:color="auto"/>
              <w:right w:val="double" w:sz="4" w:space="0" w:color="auto"/>
            </w:tcBorders>
            <w:vAlign w:val="bottom"/>
          </w:tcPr>
          <w:p w14:paraId="191F3E2A" w14:textId="77777777" w:rsidR="0060396D" w:rsidRPr="005A6F44" w:rsidRDefault="0060396D" w:rsidP="00F46473">
            <w:pPr>
              <w:pStyle w:val="tabteksts"/>
            </w:pPr>
          </w:p>
        </w:tc>
        <w:tc>
          <w:tcPr>
            <w:tcW w:w="992" w:type="dxa"/>
            <w:tcBorders>
              <w:top w:val="single" w:sz="4" w:space="0" w:color="auto"/>
              <w:left w:val="double" w:sz="4" w:space="0" w:color="auto"/>
              <w:bottom w:val="double" w:sz="4" w:space="0" w:color="auto"/>
              <w:right w:val="single" w:sz="4" w:space="0" w:color="auto"/>
            </w:tcBorders>
            <w:vAlign w:val="bottom"/>
          </w:tcPr>
          <w:p w14:paraId="5EA0A2EE" w14:textId="77777777" w:rsidR="0060396D" w:rsidRPr="005A6F44" w:rsidRDefault="0060396D" w:rsidP="00F46473">
            <w:pPr>
              <w:pStyle w:val="tabteksts"/>
              <w:jc w:val="right"/>
              <w:rPr>
                <w:snapToGrid w:val="0"/>
              </w:rPr>
            </w:pPr>
            <w:r w:rsidRPr="005A6F44">
              <w:rPr>
                <w:snapToGrid w:val="0"/>
              </w:rPr>
              <w:t>81,3</w:t>
            </w:r>
          </w:p>
        </w:tc>
        <w:tc>
          <w:tcPr>
            <w:tcW w:w="709" w:type="dxa"/>
            <w:tcBorders>
              <w:top w:val="single" w:sz="4" w:space="0" w:color="auto"/>
              <w:left w:val="nil"/>
              <w:bottom w:val="double" w:sz="4" w:space="0" w:color="auto"/>
              <w:right w:val="single" w:sz="4" w:space="0" w:color="auto"/>
            </w:tcBorders>
            <w:vAlign w:val="bottom"/>
          </w:tcPr>
          <w:p w14:paraId="53975DD9" w14:textId="77777777" w:rsidR="0060396D" w:rsidRPr="005A6F44" w:rsidRDefault="0060396D" w:rsidP="00F46473">
            <w:pPr>
              <w:pStyle w:val="tabteksts"/>
              <w:jc w:val="right"/>
              <w:rPr>
                <w:snapToGrid w:val="0"/>
              </w:rPr>
            </w:pPr>
            <w:r w:rsidRPr="005A6F44">
              <w:rPr>
                <w:snapToGrid w:val="0"/>
              </w:rPr>
              <w:t>0,5</w:t>
            </w:r>
          </w:p>
        </w:tc>
        <w:tc>
          <w:tcPr>
            <w:tcW w:w="709" w:type="dxa"/>
            <w:tcBorders>
              <w:top w:val="single" w:sz="4" w:space="0" w:color="auto"/>
              <w:left w:val="nil"/>
              <w:bottom w:val="double" w:sz="4" w:space="0" w:color="auto"/>
              <w:right w:val="single" w:sz="4" w:space="0" w:color="auto"/>
            </w:tcBorders>
            <w:vAlign w:val="bottom"/>
          </w:tcPr>
          <w:p w14:paraId="70F8426B" w14:textId="77777777" w:rsidR="0060396D" w:rsidRPr="005A6F44" w:rsidRDefault="0060396D" w:rsidP="00F46473">
            <w:pPr>
              <w:pStyle w:val="tabteksts"/>
              <w:jc w:val="right"/>
              <w:rPr>
                <w:snapToGrid w:val="0"/>
              </w:rPr>
            </w:pPr>
            <w:r w:rsidRPr="005A6F44">
              <w:rPr>
                <w:snapToGrid w:val="0"/>
              </w:rPr>
              <w:t>0,0</w:t>
            </w:r>
          </w:p>
        </w:tc>
        <w:tc>
          <w:tcPr>
            <w:tcW w:w="709" w:type="dxa"/>
            <w:tcBorders>
              <w:top w:val="single" w:sz="4" w:space="0" w:color="auto"/>
              <w:left w:val="nil"/>
              <w:bottom w:val="double" w:sz="4" w:space="0" w:color="auto"/>
              <w:right w:val="single" w:sz="4" w:space="0" w:color="auto"/>
            </w:tcBorders>
            <w:vAlign w:val="bottom"/>
          </w:tcPr>
          <w:p w14:paraId="7F18F4FC" w14:textId="77777777" w:rsidR="0060396D" w:rsidRPr="005A6F44" w:rsidRDefault="0060396D" w:rsidP="00F46473">
            <w:pPr>
              <w:pStyle w:val="tabteksts"/>
              <w:jc w:val="right"/>
              <w:rPr>
                <w:snapToGrid w:val="0"/>
              </w:rPr>
            </w:pPr>
            <w:r w:rsidRPr="005A6F44">
              <w:rPr>
                <w:snapToGrid w:val="0"/>
              </w:rPr>
              <w:t>0,0</w:t>
            </w:r>
          </w:p>
        </w:tc>
        <w:tc>
          <w:tcPr>
            <w:tcW w:w="708" w:type="dxa"/>
            <w:tcBorders>
              <w:top w:val="single" w:sz="4" w:space="0" w:color="auto"/>
              <w:left w:val="nil"/>
              <w:bottom w:val="double" w:sz="4" w:space="0" w:color="auto"/>
              <w:right w:val="single" w:sz="4" w:space="0" w:color="auto"/>
            </w:tcBorders>
            <w:vAlign w:val="bottom"/>
          </w:tcPr>
          <w:p w14:paraId="7B7B59F6" w14:textId="77777777" w:rsidR="0060396D" w:rsidRPr="005A6F44" w:rsidRDefault="0060396D" w:rsidP="00F46473">
            <w:pPr>
              <w:pStyle w:val="tabteksts"/>
              <w:jc w:val="right"/>
              <w:rPr>
                <w:snapToGrid w:val="0"/>
              </w:rPr>
            </w:pPr>
            <w:r w:rsidRPr="005A6F44">
              <w:rPr>
                <w:snapToGrid w:val="0"/>
              </w:rPr>
              <w:t>0,0</w:t>
            </w:r>
          </w:p>
        </w:tc>
        <w:tc>
          <w:tcPr>
            <w:tcW w:w="709" w:type="dxa"/>
            <w:tcBorders>
              <w:top w:val="single" w:sz="4" w:space="0" w:color="auto"/>
              <w:left w:val="single" w:sz="4" w:space="0" w:color="auto"/>
              <w:bottom w:val="double" w:sz="4" w:space="0" w:color="auto"/>
              <w:right w:val="double" w:sz="4" w:space="0" w:color="auto"/>
            </w:tcBorders>
            <w:vAlign w:val="bottom"/>
          </w:tcPr>
          <w:p w14:paraId="46371A4B" w14:textId="77777777" w:rsidR="0060396D" w:rsidRPr="005A6F44" w:rsidRDefault="0060396D" w:rsidP="00F46473">
            <w:pPr>
              <w:pStyle w:val="tabteksts"/>
              <w:jc w:val="right"/>
              <w:rPr>
                <w:snapToGrid w:val="0"/>
              </w:rPr>
            </w:pPr>
            <w:r w:rsidRPr="005A6F44">
              <w:rPr>
                <w:snapToGrid w:val="0"/>
              </w:rPr>
              <w:t>0,0</w:t>
            </w:r>
          </w:p>
        </w:tc>
      </w:tr>
    </w:tbl>
    <w:p w14:paraId="220B84E2" w14:textId="5392ED36" w:rsidR="00113E0D" w:rsidRPr="00BE13C0" w:rsidRDefault="0060396D" w:rsidP="00BE13C0">
      <w:pPr>
        <w:pStyle w:val="teksts"/>
        <w:spacing w:before="120"/>
        <w:ind w:firstLine="720"/>
        <w:rPr>
          <w:rFonts w:ascii="Times New Roman" w:eastAsia="Calibri" w:hAnsi="Times New Roman"/>
          <w:szCs w:val="24"/>
        </w:rPr>
      </w:pPr>
      <w:r w:rsidRPr="003D351D">
        <w:rPr>
          <w:rFonts w:ascii="Times New Roman" w:eastAsia="Calibri" w:hAnsi="Times New Roman"/>
        </w:rPr>
        <w:t xml:space="preserve">Analizējot budžeta prognozes </w:t>
      </w:r>
      <w:r w:rsidR="007C5AAA" w:rsidRPr="003D351D">
        <w:rPr>
          <w:rFonts w:ascii="Times New Roman" w:eastAsia="Calibri" w:hAnsi="Times New Roman"/>
          <w:szCs w:val="24"/>
        </w:rPr>
        <w:t xml:space="preserve">pēc naudas plūsmas metodoloģijas </w:t>
      </w:r>
      <w:r w:rsidRPr="003D351D">
        <w:rPr>
          <w:rFonts w:ascii="Times New Roman" w:eastAsia="Calibri" w:hAnsi="Times New Roman"/>
        </w:rPr>
        <w:t xml:space="preserve">pa valdības </w:t>
      </w:r>
      <w:r w:rsidR="00AB5D6E" w:rsidRPr="003D351D">
        <w:rPr>
          <w:rFonts w:ascii="Times New Roman" w:eastAsia="Calibri" w:hAnsi="Times New Roman"/>
          <w:szCs w:val="24"/>
        </w:rPr>
        <w:t>sektoriem</w:t>
      </w:r>
      <w:r w:rsidRPr="003D351D">
        <w:rPr>
          <w:rFonts w:ascii="Times New Roman" w:eastAsia="Calibri" w:hAnsi="Times New Roman"/>
        </w:rPr>
        <w:t>, tajās izmantotie galvenie pieņēmumi aprakstīti turpmāk.</w:t>
      </w:r>
      <w:r w:rsidRPr="002929BB">
        <w:rPr>
          <w:rFonts w:ascii="Times New Roman" w:eastAsia="Calibri" w:hAnsi="Times New Roman"/>
          <w:szCs w:val="24"/>
        </w:rPr>
        <w:t xml:space="preserve"> </w:t>
      </w:r>
    </w:p>
    <w:p w14:paraId="1CCA30A6" w14:textId="77777777" w:rsidR="0060396D" w:rsidRPr="002929BB" w:rsidRDefault="0060396D" w:rsidP="00F95DC6">
      <w:pPr>
        <w:pStyle w:val="teksts"/>
        <w:ind w:firstLine="720"/>
        <w:rPr>
          <w:rFonts w:ascii="Times New Roman" w:eastAsia="Calibri" w:hAnsi="Times New Roman"/>
          <w:b/>
          <w:szCs w:val="24"/>
        </w:rPr>
      </w:pPr>
      <w:r w:rsidRPr="002929BB">
        <w:rPr>
          <w:rFonts w:ascii="Times New Roman" w:eastAsia="Calibri" w:hAnsi="Times New Roman"/>
          <w:b/>
          <w:szCs w:val="24"/>
        </w:rPr>
        <w:lastRenderedPageBreak/>
        <w:t>Centrālā valdība</w:t>
      </w:r>
    </w:p>
    <w:p w14:paraId="13B9128B" w14:textId="2CE8CBC0" w:rsidR="00376953" w:rsidRPr="002929BB" w:rsidRDefault="0060396D" w:rsidP="00097E66">
      <w:pPr>
        <w:pStyle w:val="teksts"/>
        <w:spacing w:before="120" w:after="240"/>
        <w:rPr>
          <w:rFonts w:ascii="Times New Roman" w:eastAsia="Calibri" w:hAnsi="Times New Roman"/>
          <w:szCs w:val="24"/>
        </w:rPr>
      </w:pPr>
      <w:r w:rsidRPr="002929BB">
        <w:rPr>
          <w:rFonts w:ascii="Times New Roman" w:eastAsia="Calibri" w:hAnsi="Times New Roman"/>
          <w:szCs w:val="24"/>
        </w:rPr>
        <w:tab/>
        <w:t xml:space="preserve">Tiek prognozēts, ka situācija centrālās valdības budžetā uzlabosies līdz 2015. gadam, un tajā sagaidāms pārpalikums, savukārt 2016. gadā tiek prognozēts deficīts, kas skaidrojams ar augstākiem izdevumiem ES fondu projektu īstenošanai, par kuriem vēl netiks saņemti maksājumi no </w:t>
      </w:r>
      <w:r w:rsidR="00E65E0E">
        <w:rPr>
          <w:rFonts w:ascii="Times New Roman" w:eastAsia="Calibri" w:hAnsi="Times New Roman"/>
          <w:szCs w:val="24"/>
        </w:rPr>
        <w:t>EK</w:t>
      </w:r>
      <w:r w:rsidRPr="002929BB">
        <w:rPr>
          <w:rFonts w:ascii="Times New Roman" w:eastAsia="Calibri" w:hAnsi="Times New Roman"/>
          <w:szCs w:val="24"/>
        </w:rPr>
        <w:t>. Ieņēmum</w:t>
      </w:r>
      <w:r w:rsidR="003E2421">
        <w:rPr>
          <w:rFonts w:ascii="Times New Roman" w:eastAsia="Calibri" w:hAnsi="Times New Roman"/>
          <w:szCs w:val="24"/>
        </w:rPr>
        <w:t xml:space="preserve">u daļā ir </w:t>
      </w:r>
      <w:r w:rsidR="003E2421" w:rsidRPr="003D351D">
        <w:rPr>
          <w:rFonts w:ascii="Times New Roman" w:eastAsia="Calibri" w:hAnsi="Times New Roman"/>
          <w:szCs w:val="24"/>
        </w:rPr>
        <w:t>izmantotas aktualizētā</w:t>
      </w:r>
      <w:r w:rsidRPr="003D351D">
        <w:rPr>
          <w:rFonts w:ascii="Times New Roman" w:eastAsia="Calibri" w:hAnsi="Times New Roman"/>
          <w:szCs w:val="24"/>
        </w:rPr>
        <w:t xml:space="preserve">s nodokļu ieņēmumu prognozes, kas paredz mērenu nodokļu ieņēmumu pieaugumu 2014.-2016. gadā. Savukārt izdevumus turpmākajos gados ietekmēs apstiprinātās izmaiņas saistībā ar pensiju piemaksu izmaksu pārcelšanu no </w:t>
      </w:r>
      <w:r w:rsidRPr="003D351D">
        <w:rPr>
          <w:rFonts w:ascii="Times New Roman" w:eastAsia="Calibri" w:hAnsi="Times New Roman"/>
        </w:rPr>
        <w:t xml:space="preserve">sociālās </w:t>
      </w:r>
      <w:r w:rsidR="00FE0E5F" w:rsidRPr="003D351D">
        <w:rPr>
          <w:rFonts w:ascii="Times New Roman" w:eastAsia="Calibri" w:hAnsi="Times New Roman"/>
        </w:rPr>
        <w:t xml:space="preserve">nodrošināšanas </w:t>
      </w:r>
      <w:r w:rsidR="00E65E0E">
        <w:rPr>
          <w:rFonts w:ascii="Times New Roman" w:eastAsia="Calibri" w:hAnsi="Times New Roman"/>
        </w:rPr>
        <w:t>fondiem</w:t>
      </w:r>
      <w:r w:rsidRPr="003D351D">
        <w:rPr>
          <w:rFonts w:ascii="Times New Roman" w:eastAsia="Calibri" w:hAnsi="Times New Roman"/>
          <w:szCs w:val="24"/>
        </w:rPr>
        <w:t xml:space="preserve"> uz </w:t>
      </w:r>
      <w:r w:rsidR="00E65E0E">
        <w:rPr>
          <w:rFonts w:ascii="Times New Roman" w:eastAsia="Calibri" w:hAnsi="Times New Roman"/>
          <w:szCs w:val="24"/>
        </w:rPr>
        <w:t>centrālās valdības budžetu</w:t>
      </w:r>
      <w:r w:rsidRPr="003D351D">
        <w:rPr>
          <w:rFonts w:ascii="Times New Roman" w:eastAsia="Calibri" w:hAnsi="Times New Roman"/>
          <w:szCs w:val="24"/>
        </w:rPr>
        <w:t xml:space="preserve">, sākot ar 2014. gadu. Tāpat budžeta attīstību ietekmēs zemāki izdevumi ES fondu projektu īstenošanai, kas samazināsies līdz 2015. gadam, ņemot vērā pašreizējā </w:t>
      </w:r>
      <w:r w:rsidRPr="003D351D">
        <w:rPr>
          <w:rFonts w:ascii="Times New Roman" w:eastAsia="Calibri" w:hAnsi="Times New Roman"/>
        </w:rPr>
        <w:t>plānošanas perioda noslēgšanos</w:t>
      </w:r>
      <w:r w:rsidRPr="003D351D">
        <w:rPr>
          <w:rFonts w:ascii="Times New Roman" w:eastAsia="Calibri" w:hAnsi="Times New Roman"/>
          <w:szCs w:val="24"/>
        </w:rPr>
        <w:t xml:space="preserve">. Vienlaicīgi jāatzīmē, ka prognozētais vispārējās valdības kapitālo izdevumu apjoms turpmākajos gados samazinās, taču jāņem vērā, ka </w:t>
      </w:r>
      <w:r w:rsidR="00CB7D73" w:rsidRPr="003D351D">
        <w:rPr>
          <w:rFonts w:ascii="Times New Roman" w:eastAsia="Calibri" w:hAnsi="Times New Roman"/>
          <w:szCs w:val="24"/>
        </w:rPr>
        <w:t xml:space="preserve">nozīmīgs </w:t>
      </w:r>
      <w:r w:rsidR="00F47A50" w:rsidRPr="003D351D">
        <w:rPr>
          <w:rFonts w:ascii="Times New Roman" w:eastAsia="Calibri" w:hAnsi="Times New Roman"/>
          <w:szCs w:val="24"/>
        </w:rPr>
        <w:t xml:space="preserve">budžetā ieplānotais </w:t>
      </w:r>
      <w:r w:rsidRPr="003D351D">
        <w:rPr>
          <w:rFonts w:ascii="Times New Roman" w:eastAsia="Calibri" w:hAnsi="Times New Roman"/>
          <w:szCs w:val="24"/>
        </w:rPr>
        <w:t>finanšu resurs</w:t>
      </w:r>
      <w:r w:rsidR="00CB7D73" w:rsidRPr="003D351D">
        <w:rPr>
          <w:rFonts w:ascii="Times New Roman" w:eastAsia="Calibri" w:hAnsi="Times New Roman"/>
          <w:szCs w:val="24"/>
        </w:rPr>
        <w:t>u apjoms</w:t>
      </w:r>
      <w:r w:rsidRPr="003D351D">
        <w:rPr>
          <w:rFonts w:ascii="Times New Roman" w:eastAsia="Calibri" w:hAnsi="Times New Roman"/>
          <w:szCs w:val="24"/>
        </w:rPr>
        <w:t xml:space="preserve"> ES fondu projektu īstenošanai </w:t>
      </w:r>
      <w:r w:rsidR="00202216" w:rsidRPr="003D351D">
        <w:rPr>
          <w:rFonts w:ascii="Times New Roman" w:eastAsia="Calibri" w:hAnsi="Times New Roman"/>
          <w:szCs w:val="24"/>
        </w:rPr>
        <w:t xml:space="preserve">gan esošajā, gan </w:t>
      </w:r>
      <w:r w:rsidR="00AB5D6E" w:rsidRPr="003D351D">
        <w:rPr>
          <w:rFonts w:ascii="Times New Roman" w:eastAsia="Calibri" w:hAnsi="Times New Roman"/>
          <w:szCs w:val="24"/>
        </w:rPr>
        <w:t xml:space="preserve">jaunajā plānošanas periodā </w:t>
      </w:r>
      <w:r w:rsidR="00CB7D73" w:rsidRPr="003D351D">
        <w:rPr>
          <w:rFonts w:ascii="Times New Roman" w:eastAsia="Calibri" w:hAnsi="Times New Roman"/>
          <w:szCs w:val="24"/>
        </w:rPr>
        <w:t xml:space="preserve">pašlaik vēl nav pilnībā pārdalīts nozaru ministriju </w:t>
      </w:r>
      <w:r w:rsidR="00CB7D73" w:rsidRPr="003D351D">
        <w:rPr>
          <w:rFonts w:ascii="Times New Roman" w:eastAsia="Calibri" w:hAnsi="Times New Roman"/>
        </w:rPr>
        <w:t>budžetos</w:t>
      </w:r>
      <w:r w:rsidR="008E211B" w:rsidRPr="003D351D">
        <w:rPr>
          <w:rFonts w:ascii="Times New Roman" w:eastAsia="Calibri" w:hAnsi="Times New Roman"/>
        </w:rPr>
        <w:t xml:space="preserve"> (esošā plānošanas periodā – nav apstiprināti līgumi, līdz ar to nevar paredzēt finansējumu nozaru ministriju budžetos, savukārt </w:t>
      </w:r>
      <w:r w:rsidR="00503D60">
        <w:rPr>
          <w:rFonts w:ascii="Times New Roman" w:eastAsia="Calibri" w:hAnsi="Times New Roman"/>
        </w:rPr>
        <w:t xml:space="preserve">attiecībā uz </w:t>
      </w:r>
      <w:r w:rsidR="008E211B" w:rsidRPr="003D351D">
        <w:rPr>
          <w:rFonts w:ascii="Times New Roman" w:eastAsia="Calibri" w:hAnsi="Times New Roman"/>
        </w:rPr>
        <w:t>jaun</w:t>
      </w:r>
      <w:r w:rsidR="00503D60">
        <w:rPr>
          <w:rFonts w:ascii="Times New Roman" w:eastAsia="Calibri" w:hAnsi="Times New Roman"/>
        </w:rPr>
        <w:t>o</w:t>
      </w:r>
      <w:r w:rsidR="008E211B" w:rsidRPr="003D351D">
        <w:rPr>
          <w:rFonts w:ascii="Times New Roman" w:eastAsia="Calibri" w:hAnsi="Times New Roman"/>
        </w:rPr>
        <w:t xml:space="preserve"> plānošanas period</w:t>
      </w:r>
      <w:r w:rsidR="00503D60">
        <w:rPr>
          <w:rFonts w:ascii="Times New Roman" w:eastAsia="Calibri" w:hAnsi="Times New Roman"/>
        </w:rPr>
        <w:t>u</w:t>
      </w:r>
      <w:r w:rsidR="008E211B" w:rsidRPr="003D351D">
        <w:rPr>
          <w:rFonts w:ascii="Times New Roman" w:eastAsia="Calibri" w:hAnsi="Times New Roman"/>
        </w:rPr>
        <w:t xml:space="preserve"> – šobrīd notiek darbs pie plānošanas dokumentu izstrādes, darbības programm</w:t>
      </w:r>
      <w:r w:rsidR="00426797">
        <w:rPr>
          <w:rFonts w:ascii="Times New Roman" w:eastAsia="Calibri" w:hAnsi="Times New Roman"/>
        </w:rPr>
        <w:t>u</w:t>
      </w:r>
      <w:r w:rsidR="008E211B" w:rsidRPr="003D351D">
        <w:rPr>
          <w:rFonts w:ascii="Times New Roman" w:eastAsia="Calibri" w:hAnsi="Times New Roman"/>
        </w:rPr>
        <w:t xml:space="preserve"> definēšanas)</w:t>
      </w:r>
      <w:r w:rsidR="00503D60">
        <w:rPr>
          <w:rFonts w:ascii="Times New Roman" w:eastAsia="Calibri" w:hAnsi="Times New Roman"/>
        </w:rPr>
        <w:t xml:space="preserve">. </w:t>
      </w:r>
      <w:r w:rsidR="00CB7D73" w:rsidRPr="003D351D">
        <w:rPr>
          <w:rFonts w:ascii="Times New Roman" w:eastAsia="Calibri" w:hAnsi="Times New Roman"/>
          <w:szCs w:val="24"/>
        </w:rPr>
        <w:t xml:space="preserve">Ieplānojot nepārdalītos finanšu resursus nozaru ministriju budžetos, </w:t>
      </w:r>
      <w:r w:rsidRPr="003D351D">
        <w:rPr>
          <w:rFonts w:ascii="Times New Roman" w:eastAsia="Calibri" w:hAnsi="Times New Roman"/>
          <w:szCs w:val="24"/>
        </w:rPr>
        <w:t>sagaidāms, ka turpmākajos gados</w:t>
      </w:r>
      <w:r w:rsidRPr="002929BB">
        <w:rPr>
          <w:rFonts w:ascii="Times New Roman" w:eastAsia="Calibri" w:hAnsi="Times New Roman"/>
          <w:szCs w:val="24"/>
        </w:rPr>
        <w:t xml:space="preserve"> </w:t>
      </w:r>
      <w:r w:rsidR="00E93D1A" w:rsidRPr="002929BB">
        <w:rPr>
          <w:rFonts w:ascii="Times New Roman" w:eastAsia="Calibri" w:hAnsi="Times New Roman"/>
          <w:szCs w:val="24"/>
        </w:rPr>
        <w:t>kapitāl</w:t>
      </w:r>
      <w:r w:rsidR="00E93D1A">
        <w:rPr>
          <w:rFonts w:ascii="Times New Roman" w:eastAsia="Calibri" w:hAnsi="Times New Roman"/>
          <w:szCs w:val="24"/>
        </w:rPr>
        <w:t>o</w:t>
      </w:r>
      <w:r w:rsidR="00E93D1A" w:rsidRPr="002929BB">
        <w:rPr>
          <w:rFonts w:ascii="Times New Roman" w:eastAsia="Calibri" w:hAnsi="Times New Roman"/>
          <w:szCs w:val="24"/>
        </w:rPr>
        <w:t xml:space="preserve"> izdevum</w:t>
      </w:r>
      <w:r w:rsidR="00E93D1A">
        <w:rPr>
          <w:rFonts w:ascii="Times New Roman" w:eastAsia="Calibri" w:hAnsi="Times New Roman"/>
          <w:szCs w:val="24"/>
        </w:rPr>
        <w:t>u apjoms</w:t>
      </w:r>
      <w:r w:rsidR="00E93D1A" w:rsidRPr="002929BB">
        <w:rPr>
          <w:rFonts w:ascii="Times New Roman" w:eastAsia="Calibri" w:hAnsi="Times New Roman"/>
          <w:szCs w:val="24"/>
        </w:rPr>
        <w:t xml:space="preserve"> </w:t>
      </w:r>
      <w:r w:rsidRPr="002929BB">
        <w:rPr>
          <w:rFonts w:ascii="Times New Roman" w:eastAsia="Calibri" w:hAnsi="Times New Roman"/>
          <w:szCs w:val="24"/>
        </w:rPr>
        <w:t>būs augstāk</w:t>
      </w:r>
      <w:r w:rsidR="00E93D1A">
        <w:rPr>
          <w:rFonts w:ascii="Times New Roman" w:eastAsia="Calibri" w:hAnsi="Times New Roman"/>
          <w:szCs w:val="24"/>
        </w:rPr>
        <w:t>s pret pašlaik ieplānoto.</w:t>
      </w:r>
    </w:p>
    <w:p w14:paraId="3E0927DA" w14:textId="77777777" w:rsidR="0060396D" w:rsidRPr="002929BB" w:rsidRDefault="0060396D" w:rsidP="00097E66">
      <w:pPr>
        <w:pStyle w:val="teksts"/>
        <w:spacing w:before="120" w:after="240"/>
        <w:ind w:firstLine="720"/>
        <w:rPr>
          <w:rFonts w:ascii="Times New Roman" w:eastAsia="Calibri" w:hAnsi="Times New Roman"/>
          <w:b/>
          <w:szCs w:val="24"/>
        </w:rPr>
      </w:pPr>
      <w:r w:rsidRPr="002929BB">
        <w:rPr>
          <w:rFonts w:ascii="Times New Roman" w:eastAsia="Calibri" w:hAnsi="Times New Roman"/>
          <w:b/>
          <w:szCs w:val="24"/>
        </w:rPr>
        <w:t>Sociālās nodrošināšanas fondi</w:t>
      </w:r>
    </w:p>
    <w:p w14:paraId="004AA95F" w14:textId="130AA279" w:rsidR="00097E66" w:rsidRPr="00045692" w:rsidRDefault="0060396D" w:rsidP="00045692">
      <w:pPr>
        <w:pStyle w:val="teksts"/>
        <w:ind w:firstLine="720"/>
        <w:rPr>
          <w:rFonts w:ascii="Times New Roman" w:eastAsia="Calibri" w:hAnsi="Times New Roman"/>
          <w:szCs w:val="24"/>
        </w:rPr>
      </w:pPr>
      <w:r w:rsidRPr="002929BB">
        <w:rPr>
          <w:rFonts w:ascii="Times New Roman" w:eastAsia="Calibri" w:hAnsi="Times New Roman"/>
          <w:szCs w:val="24"/>
        </w:rPr>
        <w:t xml:space="preserve">Pozitīvas attīstības tendences turpmākajos gados sagaidāmas </w:t>
      </w:r>
      <w:r w:rsidRPr="00E9723A">
        <w:rPr>
          <w:rFonts w:ascii="Times New Roman" w:eastAsia="Calibri" w:hAnsi="Times New Roman"/>
        </w:rPr>
        <w:t xml:space="preserve">sociālās </w:t>
      </w:r>
      <w:r w:rsidR="00FE0E5F" w:rsidRPr="00E9723A">
        <w:rPr>
          <w:rFonts w:ascii="Times New Roman" w:eastAsia="Calibri" w:hAnsi="Times New Roman"/>
        </w:rPr>
        <w:t>nodrošināšanas</w:t>
      </w:r>
      <w:r w:rsidR="00E9723A" w:rsidRPr="00E9723A">
        <w:rPr>
          <w:rFonts w:ascii="Times New Roman" w:eastAsia="Calibri" w:hAnsi="Times New Roman"/>
        </w:rPr>
        <w:t xml:space="preserve"> fondos</w:t>
      </w:r>
      <w:r w:rsidRPr="002929BB">
        <w:rPr>
          <w:rFonts w:ascii="Times New Roman" w:eastAsia="Calibri" w:hAnsi="Times New Roman"/>
          <w:szCs w:val="24"/>
        </w:rPr>
        <w:t>, kur</w:t>
      </w:r>
      <w:r w:rsidR="00FE0E5F">
        <w:rPr>
          <w:rFonts w:ascii="Times New Roman" w:eastAsia="Calibri" w:hAnsi="Times New Roman"/>
          <w:szCs w:val="24"/>
        </w:rPr>
        <w:t>,</w:t>
      </w:r>
      <w:r w:rsidRPr="002929BB">
        <w:rPr>
          <w:rFonts w:ascii="Times New Roman" w:eastAsia="Calibri" w:hAnsi="Times New Roman"/>
          <w:szCs w:val="24"/>
        </w:rPr>
        <w:t xml:space="preserve"> sākot ar 2014. </w:t>
      </w:r>
      <w:r w:rsidR="00FE0E5F">
        <w:rPr>
          <w:rFonts w:ascii="Times New Roman" w:eastAsia="Calibri" w:hAnsi="Times New Roman"/>
          <w:szCs w:val="24"/>
        </w:rPr>
        <w:t>g</w:t>
      </w:r>
      <w:r w:rsidRPr="002929BB">
        <w:rPr>
          <w:rFonts w:ascii="Times New Roman" w:eastAsia="Calibri" w:hAnsi="Times New Roman"/>
          <w:szCs w:val="24"/>
        </w:rPr>
        <w:t>adu</w:t>
      </w:r>
      <w:r w:rsidR="00FE0E5F">
        <w:rPr>
          <w:rFonts w:ascii="Times New Roman" w:eastAsia="Calibri" w:hAnsi="Times New Roman"/>
          <w:szCs w:val="24"/>
        </w:rPr>
        <w:t>,</w:t>
      </w:r>
      <w:r w:rsidRPr="002929BB">
        <w:rPr>
          <w:rFonts w:ascii="Times New Roman" w:eastAsia="Calibri" w:hAnsi="Times New Roman"/>
          <w:szCs w:val="24"/>
        </w:rPr>
        <w:t xml:space="preserve"> tiek prognozēts pārpalikums. Jāatzīmē, ka situāciju sociālās </w:t>
      </w:r>
      <w:r w:rsidR="00701D88">
        <w:rPr>
          <w:rFonts w:ascii="Times New Roman" w:eastAsia="Calibri" w:hAnsi="Times New Roman"/>
          <w:szCs w:val="24"/>
        </w:rPr>
        <w:t>nodrošināšanas fondos,</w:t>
      </w:r>
      <w:r w:rsidRPr="002929BB">
        <w:rPr>
          <w:rFonts w:ascii="Times New Roman" w:eastAsia="Calibri" w:hAnsi="Times New Roman"/>
          <w:szCs w:val="24"/>
        </w:rPr>
        <w:t xml:space="preserve"> galvenokārt</w:t>
      </w:r>
      <w:r w:rsidR="00701D88">
        <w:rPr>
          <w:rFonts w:ascii="Times New Roman" w:eastAsia="Calibri" w:hAnsi="Times New Roman"/>
          <w:szCs w:val="24"/>
        </w:rPr>
        <w:t>,</w:t>
      </w:r>
      <w:r w:rsidRPr="002929BB">
        <w:rPr>
          <w:rFonts w:ascii="Times New Roman" w:eastAsia="Calibri" w:hAnsi="Times New Roman"/>
          <w:szCs w:val="24"/>
        </w:rPr>
        <w:t xml:space="preserve"> ietekmēs izmaiņas ieņēmumu daļā, kas paredz, ka sākot ar nākošo gadu no </w:t>
      </w:r>
      <w:r w:rsidR="00DB4AEE">
        <w:rPr>
          <w:rFonts w:ascii="Times New Roman" w:eastAsia="Calibri" w:hAnsi="Times New Roman"/>
          <w:szCs w:val="24"/>
        </w:rPr>
        <w:t>centrālās valdības budžeta</w:t>
      </w:r>
      <w:r w:rsidRPr="002929BB">
        <w:rPr>
          <w:rFonts w:ascii="Times New Roman" w:eastAsia="Calibri" w:hAnsi="Times New Roman"/>
          <w:szCs w:val="24"/>
        </w:rPr>
        <w:t xml:space="preserve"> tiks saņemti transferti pensiju piemaksu veikšanai, tādējādi samazinot slogu </w:t>
      </w:r>
      <w:r w:rsidR="00DB4AEE">
        <w:rPr>
          <w:rFonts w:ascii="Times New Roman" w:eastAsia="Calibri" w:hAnsi="Times New Roman"/>
          <w:szCs w:val="24"/>
        </w:rPr>
        <w:t>sociālās nodrošināšanas fondos</w:t>
      </w:r>
      <w:r w:rsidRPr="002929BB">
        <w:rPr>
          <w:rFonts w:ascii="Times New Roman" w:eastAsia="Calibri" w:hAnsi="Times New Roman"/>
          <w:szCs w:val="24"/>
        </w:rPr>
        <w:t xml:space="preserve"> šādu izdevumu segšanai. Spēkā esošā likumdošana paredz pakāpenisku likmju paaugstināšanu iemaksām fondēto pensiju shēmā - 2013. gadā no 2% uz 4%, 2015. gadā uz 5% un 2016. gadā</w:t>
      </w:r>
      <w:r w:rsidR="00C7620F">
        <w:rPr>
          <w:rFonts w:ascii="Times New Roman" w:eastAsia="Calibri" w:hAnsi="Times New Roman"/>
          <w:szCs w:val="24"/>
        </w:rPr>
        <w:t xml:space="preserve"> uz 6%</w:t>
      </w:r>
      <w:r w:rsidRPr="002929BB">
        <w:rPr>
          <w:rFonts w:ascii="Times New Roman" w:eastAsia="Calibri" w:hAnsi="Times New Roman"/>
          <w:szCs w:val="24"/>
        </w:rPr>
        <w:t xml:space="preserve">, kā rezultātā samazinās ieņēmumi sociālās </w:t>
      </w:r>
      <w:r w:rsidR="005A3511">
        <w:rPr>
          <w:rFonts w:ascii="Times New Roman" w:eastAsia="Calibri" w:hAnsi="Times New Roman"/>
          <w:szCs w:val="24"/>
        </w:rPr>
        <w:t>nodrošināšanas</w:t>
      </w:r>
      <w:r w:rsidR="005A3511" w:rsidRPr="002929BB">
        <w:rPr>
          <w:rFonts w:ascii="Times New Roman" w:eastAsia="Calibri" w:hAnsi="Times New Roman"/>
          <w:szCs w:val="24"/>
        </w:rPr>
        <w:t xml:space="preserve"> </w:t>
      </w:r>
      <w:r w:rsidR="00DB4AEE">
        <w:rPr>
          <w:rFonts w:ascii="Times New Roman" w:eastAsia="Calibri" w:hAnsi="Times New Roman"/>
          <w:szCs w:val="24"/>
        </w:rPr>
        <w:t>fondos</w:t>
      </w:r>
      <w:r w:rsidRPr="00426797">
        <w:rPr>
          <w:rFonts w:ascii="Times New Roman" w:eastAsia="Calibri" w:hAnsi="Times New Roman"/>
        </w:rPr>
        <w:t>.</w:t>
      </w:r>
      <w:r w:rsidRPr="002929BB">
        <w:rPr>
          <w:rFonts w:ascii="Times New Roman" w:eastAsia="Calibri" w:hAnsi="Times New Roman"/>
          <w:szCs w:val="24"/>
        </w:rPr>
        <w:t xml:space="preserve"> Taču, ņemot vērā prognozēto</w:t>
      </w:r>
      <w:r w:rsidR="00DB4AEE">
        <w:rPr>
          <w:rFonts w:ascii="Times New Roman" w:eastAsia="Calibri" w:hAnsi="Times New Roman"/>
          <w:szCs w:val="24"/>
        </w:rPr>
        <w:t xml:space="preserve"> attīstību darba tirgū, turpmākajos trīs gados</w:t>
      </w:r>
      <w:r w:rsidR="00DB4AEE" w:rsidRPr="002929BB">
        <w:rPr>
          <w:rFonts w:ascii="Times New Roman" w:eastAsia="Calibri" w:hAnsi="Times New Roman"/>
          <w:szCs w:val="24"/>
        </w:rPr>
        <w:t xml:space="preserve"> </w:t>
      </w:r>
      <w:r w:rsidR="00DB4AEE">
        <w:rPr>
          <w:rFonts w:ascii="Times New Roman" w:eastAsia="Calibri" w:hAnsi="Times New Roman"/>
          <w:szCs w:val="24"/>
        </w:rPr>
        <w:t>šī</w:t>
      </w:r>
      <w:r w:rsidRPr="002929BB">
        <w:rPr>
          <w:rFonts w:ascii="Times New Roman" w:eastAsia="Calibri" w:hAnsi="Times New Roman"/>
          <w:szCs w:val="24"/>
        </w:rPr>
        <w:t xml:space="preserve"> budžeta ieņēmumos tiek prognozēts neliels pieaugums. Savukārt izdevumi vidējā termiņā tiek prognozēti ar mērenu pieaugumu.</w:t>
      </w:r>
    </w:p>
    <w:p w14:paraId="4B504673" w14:textId="77777777" w:rsidR="00045692" w:rsidRPr="008E211B" w:rsidRDefault="0060396D" w:rsidP="00DA405B">
      <w:pPr>
        <w:pStyle w:val="teksts"/>
        <w:ind w:firstLine="720"/>
        <w:rPr>
          <w:rFonts w:ascii="Times New Roman" w:eastAsia="Calibri" w:hAnsi="Times New Roman"/>
          <w:b/>
          <w:szCs w:val="24"/>
        </w:rPr>
      </w:pPr>
      <w:r w:rsidRPr="008E211B">
        <w:rPr>
          <w:rFonts w:ascii="Times New Roman" w:eastAsia="Calibri" w:hAnsi="Times New Roman"/>
          <w:b/>
          <w:szCs w:val="24"/>
        </w:rPr>
        <w:t>Vietējā valdība</w:t>
      </w:r>
    </w:p>
    <w:p w14:paraId="61AB98AC" w14:textId="1E992446" w:rsidR="0060396D" w:rsidRPr="008E211B" w:rsidRDefault="007C5AAA" w:rsidP="00045692">
      <w:pPr>
        <w:pStyle w:val="teksts"/>
        <w:ind w:firstLine="720"/>
        <w:rPr>
          <w:rFonts w:ascii="Times New Roman" w:eastAsia="Calibri" w:hAnsi="Times New Roman"/>
        </w:rPr>
      </w:pPr>
      <w:r w:rsidRPr="008E211B">
        <w:rPr>
          <w:rFonts w:ascii="Times New Roman" w:eastAsia="Calibri" w:hAnsi="Times New Roman"/>
          <w:szCs w:val="24"/>
        </w:rPr>
        <w:t xml:space="preserve">Vietējās valdības budžetā </w:t>
      </w:r>
      <w:r w:rsidR="00B40B13" w:rsidRPr="00B40B13">
        <w:rPr>
          <w:rFonts w:ascii="Times New Roman" w:eastAsia="Calibri" w:hAnsi="Times New Roman"/>
        </w:rPr>
        <w:t xml:space="preserve">2013.-2015. gadā </w:t>
      </w:r>
      <w:r w:rsidR="0060396D" w:rsidRPr="00B40B13">
        <w:rPr>
          <w:rFonts w:ascii="Times New Roman" w:eastAsia="Calibri" w:hAnsi="Times New Roman"/>
        </w:rPr>
        <w:t>tiek</w:t>
      </w:r>
      <w:r w:rsidR="0060396D" w:rsidRPr="008E211B">
        <w:rPr>
          <w:rFonts w:ascii="Times New Roman" w:eastAsia="Calibri" w:hAnsi="Times New Roman"/>
        </w:rPr>
        <w:t xml:space="preserve"> prognozēts deficīts, ko ietekmēs izmaiņas </w:t>
      </w:r>
      <w:r w:rsidR="000C515F" w:rsidRPr="008E211B">
        <w:rPr>
          <w:rFonts w:ascii="Times New Roman" w:eastAsia="Calibri" w:hAnsi="Times New Roman"/>
          <w:szCs w:val="24"/>
        </w:rPr>
        <w:t xml:space="preserve">gan ieņēmumu, gan izdevumu daļā. </w:t>
      </w:r>
      <w:r w:rsidR="00716F6D" w:rsidRPr="008E211B">
        <w:rPr>
          <w:rFonts w:ascii="Times New Roman" w:eastAsia="Calibri" w:hAnsi="Times New Roman"/>
          <w:szCs w:val="24"/>
        </w:rPr>
        <w:t>Nodokļu ieņēmumos tiek prognozēts samazinājums 2014. un 201</w:t>
      </w:r>
      <w:r w:rsidR="002C0396" w:rsidRPr="008E211B">
        <w:rPr>
          <w:rFonts w:ascii="Times New Roman" w:eastAsia="Calibri" w:hAnsi="Times New Roman"/>
          <w:szCs w:val="24"/>
        </w:rPr>
        <w:t>5</w:t>
      </w:r>
      <w:r w:rsidR="00716F6D" w:rsidRPr="008E211B">
        <w:rPr>
          <w:rFonts w:ascii="Times New Roman" w:eastAsia="Calibri" w:hAnsi="Times New Roman"/>
          <w:szCs w:val="24"/>
        </w:rPr>
        <w:t xml:space="preserve">. gadā, </w:t>
      </w:r>
      <w:r w:rsidR="006B277F" w:rsidRPr="008E211B">
        <w:rPr>
          <w:rFonts w:ascii="Times New Roman" w:eastAsia="Calibri" w:hAnsi="Times New Roman"/>
          <w:szCs w:val="24"/>
        </w:rPr>
        <w:t xml:space="preserve">kas skaidrojams ar </w:t>
      </w:r>
      <w:r w:rsidR="0060396D" w:rsidRPr="008E211B">
        <w:rPr>
          <w:rFonts w:ascii="Times New Roman" w:eastAsia="Calibri" w:hAnsi="Times New Roman"/>
        </w:rPr>
        <w:t>apstiprināt</w:t>
      </w:r>
      <w:r w:rsidR="006B277F" w:rsidRPr="008E211B">
        <w:rPr>
          <w:rFonts w:ascii="Times New Roman" w:eastAsia="Calibri" w:hAnsi="Times New Roman"/>
          <w:szCs w:val="24"/>
        </w:rPr>
        <w:t>aj</w:t>
      </w:r>
      <w:r w:rsidR="0060396D" w:rsidRPr="008E211B">
        <w:rPr>
          <w:rFonts w:ascii="Times New Roman" w:eastAsia="Calibri" w:hAnsi="Times New Roman"/>
        </w:rPr>
        <w:t>ā</w:t>
      </w:r>
      <w:r w:rsidR="006B277F" w:rsidRPr="008E211B">
        <w:rPr>
          <w:rFonts w:ascii="Times New Roman" w:eastAsia="Calibri" w:hAnsi="Times New Roman"/>
          <w:szCs w:val="24"/>
        </w:rPr>
        <w:t>m</w:t>
      </w:r>
      <w:r w:rsidR="0060396D" w:rsidRPr="008E211B">
        <w:rPr>
          <w:rFonts w:ascii="Times New Roman" w:eastAsia="Calibri" w:hAnsi="Times New Roman"/>
        </w:rPr>
        <w:t xml:space="preserve"> </w:t>
      </w:r>
      <w:r w:rsidR="006B277F" w:rsidRPr="008E211B">
        <w:rPr>
          <w:rFonts w:ascii="Times New Roman" w:eastAsia="Calibri" w:hAnsi="Times New Roman"/>
          <w:szCs w:val="24"/>
        </w:rPr>
        <w:t xml:space="preserve">izmaiņām </w:t>
      </w:r>
      <w:r w:rsidR="0060396D" w:rsidRPr="008E211B">
        <w:rPr>
          <w:rFonts w:ascii="Times New Roman" w:eastAsia="Calibri" w:hAnsi="Times New Roman"/>
        </w:rPr>
        <w:t>attiecībā uz iedzīvotāju ienākuma nodokļa likmes samazinājumu</w:t>
      </w:r>
      <w:r w:rsidR="002C0396" w:rsidRPr="008E211B">
        <w:rPr>
          <w:rFonts w:ascii="Times New Roman" w:eastAsia="Calibri" w:hAnsi="Times New Roman"/>
          <w:szCs w:val="24"/>
        </w:rPr>
        <w:t>.</w:t>
      </w:r>
      <w:r w:rsidR="00716F6D" w:rsidRPr="008E211B">
        <w:rPr>
          <w:rFonts w:ascii="Times New Roman" w:eastAsia="Calibri" w:hAnsi="Times New Roman"/>
          <w:szCs w:val="24"/>
        </w:rPr>
        <w:t xml:space="preserve"> </w:t>
      </w:r>
      <w:r w:rsidR="002C0396" w:rsidRPr="008E211B">
        <w:rPr>
          <w:rFonts w:ascii="Times New Roman" w:eastAsia="Calibri" w:hAnsi="Times New Roman"/>
          <w:szCs w:val="24"/>
        </w:rPr>
        <w:t>S</w:t>
      </w:r>
      <w:r w:rsidR="00716F6D" w:rsidRPr="008E211B">
        <w:rPr>
          <w:rFonts w:ascii="Times New Roman" w:eastAsia="Calibri" w:hAnsi="Times New Roman"/>
          <w:szCs w:val="24"/>
        </w:rPr>
        <w:t xml:space="preserve">avukārt 2016. gadā </w:t>
      </w:r>
      <w:r w:rsidR="002C0396" w:rsidRPr="008E211B">
        <w:rPr>
          <w:rFonts w:ascii="Times New Roman" w:eastAsia="Calibri" w:hAnsi="Times New Roman"/>
          <w:szCs w:val="24"/>
        </w:rPr>
        <w:t>sagaidāms pieaugums</w:t>
      </w:r>
      <w:r w:rsidR="006B277F" w:rsidRPr="008E211B">
        <w:rPr>
          <w:rFonts w:ascii="Times New Roman" w:eastAsia="Calibri" w:hAnsi="Times New Roman"/>
          <w:szCs w:val="24"/>
        </w:rPr>
        <w:t>, ņemot vērā prognozēto situāciju darba tirgū</w:t>
      </w:r>
      <w:r w:rsidR="00035496" w:rsidRPr="008E211B">
        <w:rPr>
          <w:rFonts w:ascii="Times New Roman" w:eastAsia="Calibri" w:hAnsi="Times New Roman"/>
          <w:szCs w:val="24"/>
        </w:rPr>
        <w:t xml:space="preserve">. </w:t>
      </w:r>
      <w:r w:rsidR="002B402C" w:rsidRPr="008E211B">
        <w:rPr>
          <w:rFonts w:ascii="Times New Roman" w:eastAsia="Calibri" w:hAnsi="Times New Roman"/>
          <w:szCs w:val="24"/>
        </w:rPr>
        <w:t xml:space="preserve">Saskaņā ar šobrīd spēkā esošo politiku, pārējos ieņēmumos nav gaidāmas būtiskas izmaiņas. </w:t>
      </w:r>
      <w:r w:rsidR="006B277F" w:rsidRPr="008E211B">
        <w:rPr>
          <w:rFonts w:ascii="Times New Roman" w:eastAsia="Calibri" w:hAnsi="Times New Roman"/>
          <w:szCs w:val="24"/>
        </w:rPr>
        <w:t>Sagaidāms, ka i</w:t>
      </w:r>
      <w:r w:rsidR="009E65F7" w:rsidRPr="008E211B">
        <w:rPr>
          <w:rFonts w:ascii="Times New Roman" w:eastAsia="Calibri" w:hAnsi="Times New Roman"/>
          <w:szCs w:val="24"/>
        </w:rPr>
        <w:t>zdevumi pamatfunkciju īstenošanai turpmākajos gados pieaugs</w:t>
      </w:r>
      <w:r w:rsidR="006B277F" w:rsidRPr="008E211B">
        <w:rPr>
          <w:rFonts w:ascii="Times New Roman" w:eastAsia="Calibri" w:hAnsi="Times New Roman"/>
          <w:szCs w:val="24"/>
        </w:rPr>
        <w:t xml:space="preserve"> gandrīz visās pozīcijās</w:t>
      </w:r>
      <w:r w:rsidR="009E65F7" w:rsidRPr="008E211B">
        <w:rPr>
          <w:rFonts w:ascii="Times New Roman" w:eastAsia="Calibri" w:hAnsi="Times New Roman"/>
          <w:szCs w:val="24"/>
        </w:rPr>
        <w:t>,</w:t>
      </w:r>
      <w:r w:rsidR="006B277F" w:rsidRPr="008E211B">
        <w:rPr>
          <w:rFonts w:ascii="Times New Roman" w:eastAsia="Calibri" w:hAnsi="Times New Roman"/>
          <w:szCs w:val="24"/>
        </w:rPr>
        <w:t xml:space="preserve"> izņemot izdevumus sociālajiem pabalstiem. Izdevumu prognozēs tiek ņemtas v</w:t>
      </w:r>
      <w:r w:rsidR="009E65F7" w:rsidRPr="008E211B">
        <w:rPr>
          <w:rFonts w:ascii="Times New Roman" w:eastAsia="Calibri" w:hAnsi="Times New Roman"/>
          <w:szCs w:val="24"/>
        </w:rPr>
        <w:t>ērā iepriekšējo gadu tendences</w:t>
      </w:r>
      <w:r w:rsidR="0060396D" w:rsidRPr="008E211B">
        <w:rPr>
          <w:rFonts w:ascii="Times New Roman" w:eastAsia="Calibri" w:hAnsi="Times New Roman"/>
        </w:rPr>
        <w:t xml:space="preserve">, kā arī </w:t>
      </w:r>
      <w:r w:rsidR="006B277F" w:rsidRPr="008E211B">
        <w:rPr>
          <w:rFonts w:ascii="Times New Roman" w:eastAsia="Calibri" w:hAnsi="Times New Roman"/>
          <w:szCs w:val="24"/>
        </w:rPr>
        <w:t xml:space="preserve">faktors, ka </w:t>
      </w:r>
      <w:r w:rsidR="00DB4AEE">
        <w:rPr>
          <w:rFonts w:ascii="Times New Roman" w:eastAsia="Calibri" w:hAnsi="Times New Roman"/>
        </w:rPr>
        <w:t>aktīva</w:t>
      </w:r>
      <w:r w:rsidR="0060396D" w:rsidRPr="008E211B">
        <w:rPr>
          <w:rFonts w:ascii="Times New Roman" w:eastAsia="Calibri" w:hAnsi="Times New Roman"/>
        </w:rPr>
        <w:t xml:space="preserve"> </w:t>
      </w:r>
      <w:proofErr w:type="spellStart"/>
      <w:r w:rsidR="0060396D" w:rsidRPr="008E211B">
        <w:rPr>
          <w:rFonts w:ascii="Times New Roman" w:eastAsia="Calibri" w:hAnsi="Times New Roman"/>
        </w:rPr>
        <w:t>turpinā</w:t>
      </w:r>
      <w:r w:rsidR="00DB4AEE">
        <w:rPr>
          <w:rFonts w:ascii="Times New Roman" w:eastAsia="Calibri" w:hAnsi="Times New Roman"/>
        </w:rPr>
        <w:t>ka</w:t>
      </w:r>
      <w:proofErr w:type="spellEnd"/>
      <w:r w:rsidR="0060396D" w:rsidRPr="008E211B">
        <w:rPr>
          <w:rFonts w:ascii="Times New Roman" w:eastAsia="Calibri" w:hAnsi="Times New Roman"/>
        </w:rPr>
        <w:t xml:space="preserve"> ES fondu projektu īstenošana.</w:t>
      </w:r>
      <w:r w:rsidR="0060396D" w:rsidRPr="002929BB">
        <w:rPr>
          <w:rFonts w:ascii="Times New Roman" w:eastAsia="Calibri" w:hAnsi="Times New Roman"/>
          <w:szCs w:val="24"/>
        </w:rPr>
        <w:t xml:space="preserve"> </w:t>
      </w:r>
    </w:p>
    <w:p w14:paraId="0F0CE01F" w14:textId="77777777" w:rsidR="0060396D" w:rsidRPr="00AE6118" w:rsidRDefault="0060396D" w:rsidP="0016508C">
      <w:pPr>
        <w:pStyle w:val="H2"/>
        <w:tabs>
          <w:tab w:val="clear" w:pos="1134"/>
        </w:tabs>
        <w:ind w:left="0" w:right="-58" w:firstLine="720"/>
        <w:rPr>
          <w:rFonts w:ascii="Times New Roman" w:hAnsi="Times New Roman"/>
          <w:szCs w:val="32"/>
        </w:rPr>
      </w:pPr>
      <w:bookmarkStart w:id="35" w:name="_Toc323120287"/>
      <w:bookmarkStart w:id="36" w:name="_Toc354671223"/>
      <w:r w:rsidRPr="00AE6118">
        <w:rPr>
          <w:rFonts w:ascii="Times New Roman" w:hAnsi="Times New Roman"/>
          <w:szCs w:val="32"/>
        </w:rPr>
        <w:t>4.3. Vidēja termiņa mērķis un strukturālā bilance</w:t>
      </w:r>
      <w:bookmarkEnd w:id="35"/>
      <w:bookmarkEnd w:id="36"/>
    </w:p>
    <w:p w14:paraId="7BFEAC5F" w14:textId="7B9F09BF" w:rsidR="0060396D" w:rsidRDefault="0060396D" w:rsidP="0060396D">
      <w:pPr>
        <w:ind w:firstLine="851"/>
      </w:pPr>
      <w:r>
        <w:t xml:space="preserve">Saskaņā ar </w:t>
      </w:r>
      <w:r w:rsidR="001F23F6">
        <w:t>FM</w:t>
      </w:r>
      <w:r>
        <w:t xml:space="preserve"> </w:t>
      </w:r>
      <w:r w:rsidRPr="00C52F5F">
        <w:t>aprēķiniem,</w:t>
      </w:r>
      <w:r>
        <w:t xml:space="preserve"> izlaižu starpība noslēdzas 2013. gadā, negatīvā izlaižu starpība jeb n</w:t>
      </w:r>
      <w:r w:rsidRPr="00257126">
        <w:t>eizmantotā ekonomikas kapacitāte, kas radusies krīzes periodā, tuvojas izsīkumam – kopēj</w:t>
      </w:r>
      <w:r>
        <w:t>ās</w:t>
      </w:r>
      <w:r w:rsidRPr="00257126">
        <w:t xml:space="preserve"> faktoru produktivitātes </w:t>
      </w:r>
      <w:r w:rsidR="0097509C">
        <w:t>virziena</w:t>
      </w:r>
      <w:r w:rsidRPr="00257126">
        <w:t xml:space="preserve"> līmenis ir sasniedzis pirmskrīzes maksimumu, uzkrātais kapitāls turpina stiprināt ekonomikas potenciālu – lai arī ar zemākiem </w:t>
      </w:r>
      <w:r w:rsidRPr="00257126">
        <w:lastRenderedPageBreak/>
        <w:t>pieauguma tempiem, nekā pirms krīzes, tomēr pietiekoši, lai nodrošinātu konverģenci uz ES vidēj</w:t>
      </w:r>
      <w:r>
        <w:t>o</w:t>
      </w:r>
      <w:r w:rsidRPr="00257126">
        <w:t xml:space="preserve"> līme</w:t>
      </w:r>
      <w:r>
        <w:t>ni</w:t>
      </w:r>
      <w:r w:rsidRPr="00257126">
        <w:t>. Turpmākā ekonomikas attīstība lielā mērā ir atkarīga no investīciju apjoma, kas ļaus uzlabot produktivitāti. Bažas gan rada potenciālā darbaspēka komponente, kas nesasniegs savu vēsturisko maksimumu prognozēšanas periodā, jo darba tirgu ietekmē nelabvēlīgie demogrāfijas rādītāji</w:t>
      </w:r>
      <w:r>
        <w:t xml:space="preserve"> un</w:t>
      </w:r>
      <w:r w:rsidRPr="00257126">
        <w:t xml:space="preserve"> liela nozīme ir tam, cik veiksmīgi tiks īstenotas darba tirgus strukturālās reformas</w:t>
      </w:r>
      <w:r>
        <w:t>, lai veicinātu efektīvāku iekļaušanu darba tirgū, ceļot darbaspējas vecuma iedzīvotāju aktivitāti un sabalansējot darba tirgus pieprasījumu ar piedāvājumu</w:t>
      </w:r>
      <w:r w:rsidRPr="00257126">
        <w:t xml:space="preserve">. </w:t>
      </w:r>
    </w:p>
    <w:p w14:paraId="7427B1AB" w14:textId="77777777" w:rsidR="0060396D" w:rsidRDefault="0060396D" w:rsidP="0060396D">
      <w:pPr>
        <w:jc w:val="center"/>
      </w:pPr>
      <w:r>
        <w:rPr>
          <w:noProof/>
          <w:lang w:eastAsia="lv-LV"/>
        </w:rPr>
        <w:drawing>
          <wp:inline distT="0" distB="0" distL="0" distR="0" wp14:anchorId="6745D5CF" wp14:editId="7D2864C0">
            <wp:extent cx="4380865" cy="24771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t="1730" r="1405" b="2405"/>
                    <a:stretch>
                      <a:fillRect/>
                    </a:stretch>
                  </pic:blipFill>
                  <pic:spPr bwMode="auto">
                    <a:xfrm>
                      <a:off x="0" y="0"/>
                      <a:ext cx="4380865" cy="2477135"/>
                    </a:xfrm>
                    <a:prstGeom prst="rect">
                      <a:avLst/>
                    </a:prstGeom>
                    <a:noFill/>
                    <a:ln>
                      <a:noFill/>
                    </a:ln>
                  </pic:spPr>
                </pic:pic>
              </a:graphicData>
            </a:graphic>
          </wp:inline>
        </w:drawing>
      </w:r>
    </w:p>
    <w:p w14:paraId="31D7E263" w14:textId="77777777" w:rsidR="0060396D" w:rsidRPr="00EC300C" w:rsidRDefault="001F23F6" w:rsidP="0060396D">
      <w:pPr>
        <w:jc w:val="center"/>
      </w:pPr>
      <w:r w:rsidRPr="001F23F6">
        <w:t>4.4</w:t>
      </w:r>
      <w:r w:rsidR="0060396D" w:rsidRPr="001F23F6">
        <w:t>.att.</w:t>
      </w:r>
      <w:r w:rsidR="0060396D">
        <w:t xml:space="preserve"> </w:t>
      </w:r>
      <w:r w:rsidR="0060396D" w:rsidRPr="00EC300C">
        <w:t>Potenciālā IKP pieaugums pret iepriekšējo gadu un komponenšu devums, %</w:t>
      </w:r>
    </w:p>
    <w:p w14:paraId="4214ADC8" w14:textId="1A2EF403" w:rsidR="0060396D" w:rsidRDefault="0060396D" w:rsidP="0060396D">
      <w:pPr>
        <w:ind w:firstLine="709"/>
      </w:pPr>
      <w:r>
        <w:t xml:space="preserve">Atbilstoši </w:t>
      </w:r>
      <w:r w:rsidR="001F23F6">
        <w:t>FM</w:t>
      </w:r>
      <w:r w:rsidRPr="00257126">
        <w:t xml:space="preserve"> novērtējumam, ekonomikas </w:t>
      </w:r>
      <w:r w:rsidRPr="00C52F5F">
        <w:t xml:space="preserve">potenciālā izaugsme ilgtermiņā </w:t>
      </w:r>
      <w:r w:rsidR="0013431E">
        <w:t>virz</w:t>
      </w:r>
      <w:r w:rsidR="00A43D43">
        <w:t>ās</w:t>
      </w:r>
      <w:r w:rsidR="0013431E" w:rsidRPr="00257126">
        <w:t xml:space="preserve"> </w:t>
      </w:r>
      <w:r w:rsidRPr="00257126">
        <w:t>aptuveni uz 4 procentiem. Izaugsme pārsvarā balstīsies uz kopējās faktoru produktivitātes pieaugumu un investīcijām. Izlaižu starpība 2013.</w:t>
      </w:r>
      <w:r>
        <w:t> </w:t>
      </w:r>
      <w:r w:rsidRPr="00257126">
        <w:t xml:space="preserve">gadā noslēgsies un vidējā termiņā paliks noturīga pie neitrālas vērtības. </w:t>
      </w:r>
    </w:p>
    <w:p w14:paraId="2E5BA5E1" w14:textId="77777777" w:rsidR="0060396D" w:rsidRDefault="0060396D" w:rsidP="0060396D">
      <w:pPr>
        <w:ind w:firstLine="0"/>
        <w:jc w:val="center"/>
      </w:pPr>
      <w:r>
        <w:rPr>
          <w:noProof/>
          <w:lang w:eastAsia="lv-LV"/>
        </w:rPr>
        <w:drawing>
          <wp:inline distT="0" distB="0" distL="0" distR="0" wp14:anchorId="11AE11F0" wp14:editId="5DF2E526">
            <wp:extent cx="4168140" cy="237109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l="922" r="1657" b="2904"/>
                    <a:stretch>
                      <a:fillRect/>
                    </a:stretch>
                  </pic:blipFill>
                  <pic:spPr bwMode="auto">
                    <a:xfrm>
                      <a:off x="0" y="0"/>
                      <a:ext cx="4168140" cy="2371090"/>
                    </a:xfrm>
                    <a:prstGeom prst="rect">
                      <a:avLst/>
                    </a:prstGeom>
                    <a:noFill/>
                    <a:ln>
                      <a:noFill/>
                    </a:ln>
                  </pic:spPr>
                </pic:pic>
              </a:graphicData>
            </a:graphic>
          </wp:inline>
        </w:drawing>
      </w:r>
    </w:p>
    <w:p w14:paraId="0CF76283" w14:textId="77777777" w:rsidR="0060396D" w:rsidRPr="00EC300C" w:rsidRDefault="001F23F6" w:rsidP="0060396D">
      <w:pPr>
        <w:jc w:val="center"/>
      </w:pPr>
      <w:r w:rsidRPr="001F23F6">
        <w:t>4.5</w:t>
      </w:r>
      <w:r w:rsidR="0060396D" w:rsidRPr="001F23F6">
        <w:t>.att.</w:t>
      </w:r>
      <w:r w:rsidR="0060396D">
        <w:t xml:space="preserve"> </w:t>
      </w:r>
      <w:r w:rsidR="0060396D" w:rsidRPr="00EC300C">
        <w:t>Izlaižu starpības dinamika, % no potenciālā IKP</w:t>
      </w:r>
    </w:p>
    <w:p w14:paraId="32444DE0" w14:textId="71AD1DBD" w:rsidR="00DA4BDE" w:rsidRDefault="0060396D" w:rsidP="00AD361B">
      <w:r>
        <w:t xml:space="preserve">Ņemot vērā izlaižu starpības aprēķināto vērtību vēsturiskās svārstības, ir pamats uzskatīt, ka indikatoram piemīt mērena nenoteiktība. Līdz ar to var pieņemt, ka atšķirības starp </w:t>
      </w:r>
      <w:r w:rsidR="001F23F6">
        <w:t>FM</w:t>
      </w:r>
      <w:r>
        <w:t xml:space="preserve"> un </w:t>
      </w:r>
      <w:r w:rsidR="001F23F6">
        <w:t>EK</w:t>
      </w:r>
      <w:r w:rsidR="00AD361B">
        <w:t xml:space="preserve"> </w:t>
      </w:r>
      <w:r>
        <w:t>aprēķiniem ir nenozīmīgas.</w:t>
      </w:r>
    </w:p>
    <w:p w14:paraId="1C4961AE" w14:textId="77777777" w:rsidR="00113E0D" w:rsidRDefault="00113E0D" w:rsidP="0060396D">
      <w:pPr>
        <w:ind w:firstLine="0"/>
        <w:jc w:val="right"/>
      </w:pPr>
    </w:p>
    <w:p w14:paraId="463503FD" w14:textId="77777777" w:rsidR="00113E0D" w:rsidRDefault="00113E0D" w:rsidP="0060396D">
      <w:pPr>
        <w:ind w:firstLine="0"/>
        <w:jc w:val="right"/>
      </w:pPr>
    </w:p>
    <w:p w14:paraId="7AE6C817" w14:textId="77777777" w:rsidR="00113E0D" w:rsidRDefault="00113E0D" w:rsidP="0060396D">
      <w:pPr>
        <w:ind w:firstLine="0"/>
        <w:jc w:val="right"/>
      </w:pPr>
    </w:p>
    <w:p w14:paraId="4D0DB0B8" w14:textId="77777777" w:rsidR="0060396D" w:rsidRDefault="001F23F6" w:rsidP="0060396D">
      <w:pPr>
        <w:ind w:firstLine="0"/>
        <w:jc w:val="right"/>
      </w:pPr>
      <w:r>
        <w:lastRenderedPageBreak/>
        <w:t>4.3</w:t>
      </w:r>
      <w:r w:rsidR="0060396D" w:rsidRPr="00130927">
        <w:t>. tabula. Cikliskā attīstība</w:t>
      </w:r>
    </w:p>
    <w:tbl>
      <w:tblPr>
        <w:tblW w:w="9095" w:type="dxa"/>
        <w:tblInd w:w="85" w:type="dxa"/>
        <w:tblLook w:val="04A0" w:firstRow="1" w:lastRow="0" w:firstColumn="1" w:lastColumn="0" w:noHBand="0" w:noVBand="1"/>
      </w:tblPr>
      <w:tblGrid>
        <w:gridCol w:w="4134"/>
        <w:gridCol w:w="709"/>
        <w:gridCol w:w="850"/>
        <w:gridCol w:w="851"/>
        <w:gridCol w:w="850"/>
        <w:gridCol w:w="851"/>
        <w:gridCol w:w="850"/>
      </w:tblGrid>
      <w:tr w:rsidR="0060396D" w:rsidRPr="00B177B8" w14:paraId="50282E4D" w14:textId="77777777" w:rsidTr="00F46473">
        <w:trPr>
          <w:trHeight w:val="660"/>
        </w:trPr>
        <w:tc>
          <w:tcPr>
            <w:tcW w:w="4134"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2141600F"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xml:space="preserve">% no IKP </w:t>
            </w:r>
          </w:p>
        </w:tc>
        <w:tc>
          <w:tcPr>
            <w:tcW w:w="709" w:type="dxa"/>
            <w:tcBorders>
              <w:top w:val="double" w:sz="6" w:space="0" w:color="auto"/>
              <w:left w:val="nil"/>
              <w:bottom w:val="double" w:sz="6" w:space="0" w:color="auto"/>
              <w:right w:val="double" w:sz="6" w:space="0" w:color="auto"/>
            </w:tcBorders>
            <w:shd w:val="clear" w:color="auto" w:fill="auto"/>
            <w:vAlign w:val="bottom"/>
            <w:hideMark/>
          </w:tcPr>
          <w:p w14:paraId="640ED16D"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EKS Kods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2785225C"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2012</w:t>
            </w:r>
          </w:p>
        </w:tc>
        <w:tc>
          <w:tcPr>
            <w:tcW w:w="851" w:type="dxa"/>
            <w:tcBorders>
              <w:top w:val="double" w:sz="6" w:space="0" w:color="auto"/>
              <w:left w:val="nil"/>
              <w:bottom w:val="double" w:sz="6" w:space="0" w:color="auto"/>
              <w:right w:val="single" w:sz="4" w:space="0" w:color="auto"/>
            </w:tcBorders>
            <w:shd w:val="clear" w:color="auto" w:fill="auto"/>
            <w:noWrap/>
            <w:vAlign w:val="center"/>
            <w:hideMark/>
          </w:tcPr>
          <w:p w14:paraId="3983DC25"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2013</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12A13E2D"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2014</w:t>
            </w:r>
          </w:p>
        </w:tc>
        <w:tc>
          <w:tcPr>
            <w:tcW w:w="851" w:type="dxa"/>
            <w:tcBorders>
              <w:top w:val="double" w:sz="6" w:space="0" w:color="auto"/>
              <w:left w:val="nil"/>
              <w:bottom w:val="double" w:sz="6" w:space="0" w:color="auto"/>
              <w:right w:val="single" w:sz="4" w:space="0" w:color="auto"/>
            </w:tcBorders>
            <w:shd w:val="clear" w:color="auto" w:fill="auto"/>
            <w:noWrap/>
            <w:vAlign w:val="center"/>
            <w:hideMark/>
          </w:tcPr>
          <w:p w14:paraId="4EDB09CE"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2015</w:t>
            </w:r>
          </w:p>
        </w:tc>
        <w:tc>
          <w:tcPr>
            <w:tcW w:w="850" w:type="dxa"/>
            <w:tcBorders>
              <w:top w:val="double" w:sz="6" w:space="0" w:color="auto"/>
              <w:left w:val="nil"/>
              <w:bottom w:val="double" w:sz="6" w:space="0" w:color="auto"/>
              <w:right w:val="double" w:sz="6" w:space="0" w:color="auto"/>
            </w:tcBorders>
            <w:shd w:val="clear" w:color="auto" w:fill="auto"/>
            <w:noWrap/>
            <w:vAlign w:val="center"/>
            <w:hideMark/>
          </w:tcPr>
          <w:p w14:paraId="44140C49"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2016</w:t>
            </w:r>
          </w:p>
        </w:tc>
      </w:tr>
      <w:tr w:rsidR="0060396D" w:rsidRPr="00B177B8" w14:paraId="55603976" w14:textId="77777777" w:rsidTr="00F46473">
        <w:trPr>
          <w:trHeight w:val="59"/>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30851B63"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1. IKP pieaugums salīdzināmās cenās (%)</w:t>
            </w:r>
          </w:p>
        </w:tc>
        <w:tc>
          <w:tcPr>
            <w:tcW w:w="709" w:type="dxa"/>
            <w:tcBorders>
              <w:top w:val="nil"/>
              <w:left w:val="nil"/>
              <w:bottom w:val="single" w:sz="4" w:space="0" w:color="auto"/>
              <w:right w:val="double" w:sz="6" w:space="0" w:color="auto"/>
            </w:tcBorders>
            <w:shd w:val="clear" w:color="auto" w:fill="auto"/>
            <w:noWrap/>
            <w:vAlign w:val="center"/>
            <w:hideMark/>
          </w:tcPr>
          <w:p w14:paraId="7D786F84" w14:textId="77777777" w:rsidR="0060396D" w:rsidRPr="00B177B8" w:rsidRDefault="0060396D" w:rsidP="00F46473">
            <w:pPr>
              <w:spacing w:after="0"/>
              <w:ind w:firstLine="0"/>
              <w:jc w:val="center"/>
              <w:rPr>
                <w:sz w:val="20"/>
                <w:lang w:eastAsia="lv-LV"/>
              </w:rPr>
            </w:pPr>
            <w:r w:rsidRPr="00B177B8">
              <w:rPr>
                <w:sz w:val="20"/>
                <w:lang w:eastAsia="lv-LV"/>
              </w:rPr>
              <w:t>B1g</w:t>
            </w:r>
          </w:p>
        </w:tc>
        <w:tc>
          <w:tcPr>
            <w:tcW w:w="850" w:type="dxa"/>
            <w:tcBorders>
              <w:top w:val="nil"/>
              <w:left w:val="nil"/>
              <w:bottom w:val="single" w:sz="4" w:space="0" w:color="auto"/>
              <w:right w:val="single" w:sz="4" w:space="0" w:color="auto"/>
            </w:tcBorders>
            <w:shd w:val="clear" w:color="auto" w:fill="auto"/>
            <w:noWrap/>
            <w:vAlign w:val="bottom"/>
            <w:hideMark/>
          </w:tcPr>
          <w:p w14:paraId="105B10E5"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5,6</w:t>
            </w:r>
          </w:p>
        </w:tc>
        <w:tc>
          <w:tcPr>
            <w:tcW w:w="851" w:type="dxa"/>
            <w:tcBorders>
              <w:top w:val="nil"/>
              <w:left w:val="nil"/>
              <w:bottom w:val="single" w:sz="4" w:space="0" w:color="auto"/>
              <w:right w:val="single" w:sz="4" w:space="0" w:color="auto"/>
            </w:tcBorders>
            <w:shd w:val="clear" w:color="auto" w:fill="auto"/>
            <w:noWrap/>
            <w:vAlign w:val="bottom"/>
            <w:hideMark/>
          </w:tcPr>
          <w:p w14:paraId="10A3D11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4,0</w:t>
            </w:r>
          </w:p>
        </w:tc>
        <w:tc>
          <w:tcPr>
            <w:tcW w:w="850" w:type="dxa"/>
            <w:tcBorders>
              <w:top w:val="nil"/>
              <w:left w:val="nil"/>
              <w:bottom w:val="single" w:sz="4" w:space="0" w:color="auto"/>
              <w:right w:val="single" w:sz="4" w:space="0" w:color="auto"/>
            </w:tcBorders>
            <w:shd w:val="clear" w:color="auto" w:fill="auto"/>
            <w:noWrap/>
            <w:vAlign w:val="bottom"/>
            <w:hideMark/>
          </w:tcPr>
          <w:p w14:paraId="77987BFF"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4,0</w:t>
            </w:r>
          </w:p>
        </w:tc>
        <w:tc>
          <w:tcPr>
            <w:tcW w:w="851" w:type="dxa"/>
            <w:tcBorders>
              <w:top w:val="nil"/>
              <w:left w:val="nil"/>
              <w:bottom w:val="single" w:sz="4" w:space="0" w:color="auto"/>
              <w:right w:val="single" w:sz="4" w:space="0" w:color="auto"/>
            </w:tcBorders>
            <w:shd w:val="clear" w:color="auto" w:fill="auto"/>
            <w:noWrap/>
            <w:vAlign w:val="bottom"/>
            <w:hideMark/>
          </w:tcPr>
          <w:p w14:paraId="2FD9EB6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4,0</w:t>
            </w:r>
          </w:p>
        </w:tc>
        <w:tc>
          <w:tcPr>
            <w:tcW w:w="850" w:type="dxa"/>
            <w:tcBorders>
              <w:top w:val="nil"/>
              <w:left w:val="nil"/>
              <w:bottom w:val="single" w:sz="4" w:space="0" w:color="auto"/>
              <w:right w:val="double" w:sz="6" w:space="0" w:color="auto"/>
            </w:tcBorders>
            <w:shd w:val="clear" w:color="auto" w:fill="auto"/>
            <w:noWrap/>
            <w:vAlign w:val="bottom"/>
            <w:hideMark/>
          </w:tcPr>
          <w:p w14:paraId="5627F148"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4,0</w:t>
            </w:r>
          </w:p>
        </w:tc>
      </w:tr>
      <w:tr w:rsidR="0060396D" w:rsidRPr="00B177B8" w14:paraId="61CF95D7" w14:textId="77777777" w:rsidTr="00F46473">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678949B1"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2. Faktiskā budžeta bilance</w:t>
            </w:r>
          </w:p>
        </w:tc>
        <w:tc>
          <w:tcPr>
            <w:tcW w:w="709" w:type="dxa"/>
            <w:tcBorders>
              <w:top w:val="nil"/>
              <w:left w:val="nil"/>
              <w:bottom w:val="single" w:sz="4" w:space="0" w:color="auto"/>
              <w:right w:val="double" w:sz="6" w:space="0" w:color="auto"/>
            </w:tcBorders>
            <w:shd w:val="clear" w:color="auto" w:fill="auto"/>
            <w:noWrap/>
            <w:vAlign w:val="bottom"/>
            <w:hideMark/>
          </w:tcPr>
          <w:p w14:paraId="18DD05BC"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B.9</w:t>
            </w:r>
          </w:p>
        </w:tc>
        <w:tc>
          <w:tcPr>
            <w:tcW w:w="850" w:type="dxa"/>
            <w:tcBorders>
              <w:top w:val="nil"/>
              <w:left w:val="nil"/>
              <w:bottom w:val="single" w:sz="4" w:space="0" w:color="auto"/>
              <w:right w:val="single" w:sz="4" w:space="0" w:color="auto"/>
            </w:tcBorders>
            <w:shd w:val="clear" w:color="auto" w:fill="auto"/>
            <w:noWrap/>
            <w:vAlign w:val="bottom"/>
            <w:hideMark/>
          </w:tcPr>
          <w:p w14:paraId="7231CF7E"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F89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CDA1D8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6AAD2AE"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-0,9</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02611782"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-0,9</w:t>
            </w:r>
          </w:p>
        </w:tc>
      </w:tr>
      <w:tr w:rsidR="00B51348" w:rsidRPr="00B177B8" w14:paraId="55653F83" w14:textId="77777777" w:rsidTr="000521E5">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73B43B1C"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xml:space="preserve">3. Procentu izdevumi  </w:t>
            </w:r>
          </w:p>
        </w:tc>
        <w:tc>
          <w:tcPr>
            <w:tcW w:w="709" w:type="dxa"/>
            <w:tcBorders>
              <w:top w:val="nil"/>
              <w:left w:val="nil"/>
              <w:bottom w:val="nil"/>
              <w:right w:val="double" w:sz="6" w:space="0" w:color="auto"/>
            </w:tcBorders>
            <w:shd w:val="clear" w:color="auto" w:fill="auto"/>
            <w:noWrap/>
            <w:vAlign w:val="bottom"/>
            <w:hideMark/>
          </w:tcPr>
          <w:p w14:paraId="644CA87E" w14:textId="77777777" w:rsidR="0060396D" w:rsidRPr="00B177B8" w:rsidRDefault="0060396D" w:rsidP="00F46473">
            <w:pPr>
              <w:spacing w:after="0"/>
              <w:ind w:firstLine="0"/>
              <w:jc w:val="center"/>
              <w:rPr>
                <w:color w:val="000000"/>
                <w:sz w:val="20"/>
                <w:lang w:eastAsia="lv-LV"/>
              </w:rPr>
            </w:pPr>
            <w:r w:rsidRPr="00B177B8">
              <w:rPr>
                <w:color w:val="000000"/>
                <w:sz w:val="20"/>
                <w:lang w:eastAsia="lv-LV"/>
              </w:rPr>
              <w:t>D.41</w:t>
            </w:r>
          </w:p>
        </w:tc>
        <w:tc>
          <w:tcPr>
            <w:tcW w:w="850" w:type="dxa"/>
            <w:tcBorders>
              <w:top w:val="nil"/>
              <w:left w:val="nil"/>
              <w:bottom w:val="single" w:sz="4" w:space="0" w:color="auto"/>
              <w:right w:val="single" w:sz="4" w:space="0" w:color="auto"/>
            </w:tcBorders>
            <w:shd w:val="clear" w:color="auto" w:fill="auto"/>
            <w:noWrap/>
            <w:vAlign w:val="bottom"/>
            <w:hideMark/>
          </w:tcPr>
          <w:p w14:paraId="6BE8C569"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BEA2C9A"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14:paraId="41BDF9AB"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1,6</w:t>
            </w:r>
          </w:p>
        </w:tc>
        <w:tc>
          <w:tcPr>
            <w:tcW w:w="851" w:type="dxa"/>
            <w:tcBorders>
              <w:top w:val="nil"/>
              <w:left w:val="nil"/>
              <w:bottom w:val="single" w:sz="4" w:space="0" w:color="auto"/>
              <w:right w:val="single" w:sz="4" w:space="0" w:color="auto"/>
            </w:tcBorders>
            <w:shd w:val="clear" w:color="auto" w:fill="auto"/>
            <w:noWrap/>
            <w:vAlign w:val="bottom"/>
            <w:hideMark/>
          </w:tcPr>
          <w:p w14:paraId="301FFA47"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1,5</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55D1318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1,4</w:t>
            </w:r>
          </w:p>
        </w:tc>
      </w:tr>
      <w:tr w:rsidR="0060396D" w:rsidRPr="00B177B8" w14:paraId="44E94FAA" w14:textId="77777777" w:rsidTr="00F46473">
        <w:trPr>
          <w:trHeight w:val="70"/>
        </w:trPr>
        <w:tc>
          <w:tcPr>
            <w:tcW w:w="413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8426506"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4. Vienreizēji un citi īslaicīgi pasākumi</w:t>
            </w:r>
          </w:p>
        </w:tc>
        <w:tc>
          <w:tcPr>
            <w:tcW w:w="709" w:type="dxa"/>
            <w:tcBorders>
              <w:top w:val="single" w:sz="4" w:space="0" w:color="auto"/>
              <w:left w:val="nil"/>
              <w:bottom w:val="single" w:sz="4" w:space="0" w:color="auto"/>
              <w:right w:val="double" w:sz="6" w:space="0" w:color="auto"/>
            </w:tcBorders>
            <w:shd w:val="clear" w:color="auto" w:fill="auto"/>
            <w:noWrap/>
            <w:vAlign w:val="bottom"/>
            <w:hideMark/>
          </w:tcPr>
          <w:p w14:paraId="162A6841"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73EE4D9E" w14:textId="77777777" w:rsidR="0060396D" w:rsidRPr="00B177B8" w:rsidRDefault="0060396D" w:rsidP="00F46473">
            <w:pPr>
              <w:spacing w:after="0"/>
              <w:ind w:firstLine="0"/>
              <w:jc w:val="right"/>
              <w:rPr>
                <w:sz w:val="20"/>
                <w:lang w:eastAsia="lv-LV"/>
              </w:rPr>
            </w:pPr>
            <w:r w:rsidRPr="00B177B8">
              <w:rPr>
                <w:sz w:val="20"/>
                <w:lang w:eastAsia="lv-LV"/>
              </w:rPr>
              <w:t>-0,5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8249598" w14:textId="77777777" w:rsidR="0060396D" w:rsidRPr="00B177B8" w:rsidRDefault="0060396D" w:rsidP="00F46473">
            <w:pPr>
              <w:spacing w:after="0"/>
              <w:ind w:firstLine="0"/>
              <w:jc w:val="left"/>
              <w:rPr>
                <w:sz w:val="20"/>
                <w:lang w:eastAsia="lv-LV"/>
              </w:rPr>
            </w:pPr>
            <w:r w:rsidRPr="00B177B8">
              <w:rPr>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4E8BB0F9" w14:textId="77777777" w:rsidR="0060396D" w:rsidRPr="00B177B8" w:rsidRDefault="0060396D" w:rsidP="00F46473">
            <w:pPr>
              <w:spacing w:after="0"/>
              <w:ind w:firstLine="0"/>
              <w:jc w:val="left"/>
              <w:rPr>
                <w:sz w:val="20"/>
                <w:lang w:eastAsia="lv-LV"/>
              </w:rPr>
            </w:pPr>
            <w:r w:rsidRPr="00B177B8">
              <w:rPr>
                <w:sz w:val="20"/>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14:paraId="6011289B" w14:textId="77777777" w:rsidR="0060396D" w:rsidRPr="00B177B8" w:rsidRDefault="0060396D" w:rsidP="00F46473">
            <w:pPr>
              <w:spacing w:after="0"/>
              <w:ind w:firstLine="0"/>
              <w:jc w:val="left"/>
              <w:rPr>
                <w:sz w:val="20"/>
                <w:lang w:eastAsia="lv-LV"/>
              </w:rPr>
            </w:pPr>
            <w:r w:rsidRPr="00B177B8">
              <w:rPr>
                <w:sz w:val="20"/>
                <w:lang w:eastAsia="lv-LV"/>
              </w:rPr>
              <w:t> </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0D4FAE95" w14:textId="77777777" w:rsidR="0060396D" w:rsidRPr="00B177B8" w:rsidRDefault="0060396D" w:rsidP="00F46473">
            <w:pPr>
              <w:spacing w:after="0"/>
              <w:ind w:firstLine="0"/>
              <w:jc w:val="left"/>
              <w:rPr>
                <w:sz w:val="20"/>
                <w:lang w:eastAsia="lv-LV"/>
              </w:rPr>
            </w:pPr>
            <w:r w:rsidRPr="00B177B8">
              <w:rPr>
                <w:sz w:val="20"/>
                <w:lang w:eastAsia="lv-LV"/>
              </w:rPr>
              <w:t> </w:t>
            </w:r>
          </w:p>
        </w:tc>
      </w:tr>
      <w:tr w:rsidR="0060396D" w:rsidRPr="00B177B8" w14:paraId="386543C4" w14:textId="77777777" w:rsidTr="00F46473">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45A1F5D0"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5. Potenciālā IKP pieaugums (%)</w:t>
            </w:r>
          </w:p>
        </w:tc>
        <w:tc>
          <w:tcPr>
            <w:tcW w:w="709" w:type="dxa"/>
            <w:tcBorders>
              <w:top w:val="nil"/>
              <w:left w:val="nil"/>
              <w:bottom w:val="single" w:sz="4" w:space="0" w:color="auto"/>
              <w:right w:val="double" w:sz="6" w:space="0" w:color="auto"/>
            </w:tcBorders>
            <w:shd w:val="clear" w:color="auto" w:fill="auto"/>
            <w:noWrap/>
            <w:vAlign w:val="bottom"/>
            <w:hideMark/>
          </w:tcPr>
          <w:p w14:paraId="71600A38"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0C75087F"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0D3B73F"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3,1</w:t>
            </w:r>
          </w:p>
        </w:tc>
        <w:tc>
          <w:tcPr>
            <w:tcW w:w="850" w:type="dxa"/>
            <w:tcBorders>
              <w:top w:val="nil"/>
              <w:left w:val="nil"/>
              <w:bottom w:val="single" w:sz="4" w:space="0" w:color="auto"/>
              <w:right w:val="single" w:sz="4" w:space="0" w:color="auto"/>
            </w:tcBorders>
            <w:shd w:val="clear" w:color="auto" w:fill="auto"/>
            <w:noWrap/>
            <w:vAlign w:val="bottom"/>
            <w:hideMark/>
          </w:tcPr>
          <w:p w14:paraId="5529ADD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3,8</w:t>
            </w:r>
          </w:p>
        </w:tc>
        <w:tc>
          <w:tcPr>
            <w:tcW w:w="851" w:type="dxa"/>
            <w:tcBorders>
              <w:top w:val="nil"/>
              <w:left w:val="nil"/>
              <w:bottom w:val="single" w:sz="4" w:space="0" w:color="auto"/>
              <w:right w:val="single" w:sz="4" w:space="0" w:color="auto"/>
            </w:tcBorders>
            <w:shd w:val="clear" w:color="auto" w:fill="auto"/>
            <w:noWrap/>
            <w:vAlign w:val="bottom"/>
            <w:hideMark/>
          </w:tcPr>
          <w:p w14:paraId="3AFE4B80"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4,1</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48A33641"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4,2</w:t>
            </w:r>
          </w:p>
        </w:tc>
      </w:tr>
      <w:tr w:rsidR="0060396D" w:rsidRPr="00B177B8" w14:paraId="2007563F" w14:textId="77777777" w:rsidTr="00F46473">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1FE57C1D" w14:textId="77777777" w:rsidR="0060396D" w:rsidRPr="00B177B8" w:rsidRDefault="0060396D" w:rsidP="00F46473">
            <w:pPr>
              <w:spacing w:after="0"/>
              <w:ind w:firstLineChars="100" w:firstLine="200"/>
              <w:jc w:val="left"/>
              <w:rPr>
                <w:color w:val="000000"/>
                <w:sz w:val="20"/>
                <w:lang w:eastAsia="lv-LV"/>
              </w:rPr>
            </w:pPr>
            <w:r w:rsidRPr="00B177B8">
              <w:rPr>
                <w:color w:val="000000"/>
                <w:sz w:val="20"/>
                <w:lang w:eastAsia="lv-LV"/>
              </w:rPr>
              <w:t>ieguldījums:</w:t>
            </w:r>
          </w:p>
        </w:tc>
        <w:tc>
          <w:tcPr>
            <w:tcW w:w="709" w:type="dxa"/>
            <w:tcBorders>
              <w:top w:val="nil"/>
              <w:left w:val="nil"/>
              <w:bottom w:val="nil"/>
              <w:right w:val="double" w:sz="6" w:space="0" w:color="auto"/>
            </w:tcBorders>
            <w:shd w:val="clear" w:color="auto" w:fill="auto"/>
            <w:noWrap/>
            <w:vAlign w:val="bottom"/>
            <w:hideMark/>
          </w:tcPr>
          <w:p w14:paraId="41D72A12"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7675BD97"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4DE2"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33738CAD"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14:paraId="72E89DD0"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60FB3404"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r>
      <w:tr w:rsidR="0060396D" w:rsidRPr="00B177B8" w14:paraId="5C22CA41" w14:textId="77777777" w:rsidTr="00F46473">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54846BBA" w14:textId="77777777" w:rsidR="0060396D" w:rsidRPr="00B177B8" w:rsidRDefault="0060396D" w:rsidP="00F46473">
            <w:pPr>
              <w:spacing w:after="0"/>
              <w:ind w:firstLineChars="200" w:firstLine="400"/>
              <w:jc w:val="left"/>
              <w:rPr>
                <w:color w:val="000000"/>
                <w:sz w:val="20"/>
                <w:lang w:eastAsia="lv-LV"/>
              </w:rPr>
            </w:pPr>
            <w:r w:rsidRPr="00B177B8">
              <w:rPr>
                <w:color w:val="000000"/>
                <w:sz w:val="20"/>
                <w:lang w:eastAsia="lv-LV"/>
              </w:rPr>
              <w:t xml:space="preserve"> - nodarbinātības</w:t>
            </w:r>
          </w:p>
        </w:tc>
        <w:tc>
          <w:tcPr>
            <w:tcW w:w="709" w:type="dxa"/>
            <w:tcBorders>
              <w:top w:val="nil"/>
              <w:left w:val="nil"/>
              <w:bottom w:val="nil"/>
              <w:right w:val="double" w:sz="6" w:space="0" w:color="auto"/>
            </w:tcBorders>
            <w:shd w:val="clear" w:color="auto" w:fill="auto"/>
            <w:noWrap/>
            <w:vAlign w:val="bottom"/>
            <w:hideMark/>
          </w:tcPr>
          <w:p w14:paraId="7725AB4A"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7B292539" w14:textId="77777777" w:rsidR="0060396D" w:rsidRPr="00B177B8" w:rsidRDefault="0060396D" w:rsidP="00F46473">
            <w:pPr>
              <w:spacing w:after="0"/>
              <w:ind w:firstLine="0"/>
              <w:jc w:val="right"/>
              <w:rPr>
                <w:sz w:val="20"/>
                <w:lang w:eastAsia="lv-LV"/>
              </w:rPr>
            </w:pPr>
            <w:r w:rsidRPr="00B177B8">
              <w:rPr>
                <w:sz w:val="20"/>
                <w:lang w:eastAsia="lv-LV"/>
              </w:rPr>
              <w:t>-0,3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485F8E9" w14:textId="77777777" w:rsidR="0060396D" w:rsidRPr="00B177B8" w:rsidRDefault="0060396D" w:rsidP="00F46473">
            <w:pPr>
              <w:spacing w:after="0"/>
              <w:ind w:firstLine="0"/>
              <w:jc w:val="right"/>
              <w:rPr>
                <w:sz w:val="20"/>
                <w:lang w:eastAsia="lv-LV"/>
              </w:rPr>
            </w:pPr>
            <w:r w:rsidRPr="00B177B8">
              <w:rPr>
                <w:sz w:val="20"/>
                <w:lang w:eastAsia="lv-LV"/>
              </w:rPr>
              <w:t>0,5</w:t>
            </w:r>
          </w:p>
        </w:tc>
        <w:tc>
          <w:tcPr>
            <w:tcW w:w="850" w:type="dxa"/>
            <w:tcBorders>
              <w:top w:val="nil"/>
              <w:left w:val="nil"/>
              <w:bottom w:val="single" w:sz="4" w:space="0" w:color="auto"/>
              <w:right w:val="single" w:sz="4" w:space="0" w:color="auto"/>
            </w:tcBorders>
            <w:shd w:val="clear" w:color="auto" w:fill="auto"/>
            <w:noWrap/>
            <w:vAlign w:val="bottom"/>
            <w:hideMark/>
          </w:tcPr>
          <w:p w14:paraId="52AAF090" w14:textId="77777777" w:rsidR="0060396D" w:rsidRPr="00B177B8" w:rsidRDefault="0060396D" w:rsidP="00F46473">
            <w:pPr>
              <w:spacing w:after="0"/>
              <w:ind w:firstLine="0"/>
              <w:jc w:val="right"/>
              <w:rPr>
                <w:sz w:val="20"/>
                <w:lang w:eastAsia="lv-LV"/>
              </w:rPr>
            </w:pPr>
            <w:r w:rsidRPr="00B177B8">
              <w:rPr>
                <w:sz w:val="20"/>
                <w:lang w:eastAsia="lv-LV"/>
              </w:rPr>
              <w:t>0,7</w:t>
            </w:r>
          </w:p>
        </w:tc>
        <w:tc>
          <w:tcPr>
            <w:tcW w:w="851" w:type="dxa"/>
            <w:tcBorders>
              <w:top w:val="nil"/>
              <w:left w:val="nil"/>
              <w:bottom w:val="single" w:sz="4" w:space="0" w:color="auto"/>
              <w:right w:val="single" w:sz="4" w:space="0" w:color="auto"/>
            </w:tcBorders>
            <w:shd w:val="clear" w:color="auto" w:fill="auto"/>
            <w:noWrap/>
            <w:vAlign w:val="bottom"/>
            <w:hideMark/>
          </w:tcPr>
          <w:p w14:paraId="02DBB023" w14:textId="77777777" w:rsidR="0060396D" w:rsidRPr="00B177B8" w:rsidRDefault="0060396D" w:rsidP="00F46473">
            <w:pPr>
              <w:spacing w:after="0"/>
              <w:ind w:firstLine="0"/>
              <w:jc w:val="right"/>
              <w:rPr>
                <w:sz w:val="20"/>
                <w:lang w:eastAsia="lv-LV"/>
              </w:rPr>
            </w:pPr>
            <w:r w:rsidRPr="00B177B8">
              <w:rPr>
                <w:sz w:val="20"/>
                <w:lang w:eastAsia="lv-LV"/>
              </w:rPr>
              <w:t>0,7</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4100F0CD" w14:textId="77777777" w:rsidR="0060396D" w:rsidRPr="00B177B8" w:rsidRDefault="0060396D" w:rsidP="00F46473">
            <w:pPr>
              <w:spacing w:after="0"/>
              <w:ind w:firstLine="0"/>
              <w:jc w:val="right"/>
              <w:rPr>
                <w:sz w:val="20"/>
                <w:lang w:eastAsia="lv-LV"/>
              </w:rPr>
            </w:pPr>
            <w:r w:rsidRPr="00B177B8">
              <w:rPr>
                <w:sz w:val="20"/>
                <w:lang w:eastAsia="lv-LV"/>
              </w:rPr>
              <w:t>0,5</w:t>
            </w:r>
          </w:p>
        </w:tc>
      </w:tr>
      <w:tr w:rsidR="0060396D" w:rsidRPr="00B177B8" w14:paraId="7A374875" w14:textId="77777777" w:rsidTr="00F46473">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3DB61207" w14:textId="77777777" w:rsidR="0060396D" w:rsidRPr="00B177B8" w:rsidRDefault="0060396D" w:rsidP="00F46473">
            <w:pPr>
              <w:spacing w:after="0"/>
              <w:ind w:firstLineChars="200" w:firstLine="400"/>
              <w:jc w:val="left"/>
              <w:rPr>
                <w:color w:val="000000"/>
                <w:sz w:val="20"/>
                <w:lang w:eastAsia="lv-LV"/>
              </w:rPr>
            </w:pPr>
            <w:r w:rsidRPr="00B177B8">
              <w:rPr>
                <w:color w:val="000000"/>
                <w:sz w:val="20"/>
                <w:lang w:eastAsia="lv-LV"/>
              </w:rPr>
              <w:t xml:space="preserve"> - kapitāla</w:t>
            </w:r>
          </w:p>
        </w:tc>
        <w:tc>
          <w:tcPr>
            <w:tcW w:w="709" w:type="dxa"/>
            <w:tcBorders>
              <w:top w:val="nil"/>
              <w:left w:val="nil"/>
              <w:bottom w:val="nil"/>
              <w:right w:val="double" w:sz="6" w:space="0" w:color="auto"/>
            </w:tcBorders>
            <w:shd w:val="clear" w:color="auto" w:fill="auto"/>
            <w:noWrap/>
            <w:vAlign w:val="bottom"/>
            <w:hideMark/>
          </w:tcPr>
          <w:p w14:paraId="0CDE7E66"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4EA3B917" w14:textId="77777777" w:rsidR="0060396D" w:rsidRPr="00B177B8" w:rsidRDefault="0060396D" w:rsidP="00F46473">
            <w:pPr>
              <w:spacing w:after="0"/>
              <w:ind w:firstLine="0"/>
              <w:jc w:val="right"/>
              <w:rPr>
                <w:sz w:val="20"/>
                <w:lang w:eastAsia="lv-LV"/>
              </w:rPr>
            </w:pPr>
            <w:r w:rsidRPr="00B177B8">
              <w:rPr>
                <w:sz w:val="20"/>
                <w:lang w:eastAsia="lv-LV"/>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A007D5F" w14:textId="77777777" w:rsidR="0060396D" w:rsidRPr="00B177B8" w:rsidRDefault="0060396D" w:rsidP="00F46473">
            <w:pPr>
              <w:spacing w:after="0"/>
              <w:ind w:firstLine="0"/>
              <w:jc w:val="right"/>
              <w:rPr>
                <w:sz w:val="20"/>
                <w:lang w:eastAsia="lv-LV"/>
              </w:rPr>
            </w:pPr>
            <w:r w:rsidRPr="00B177B8">
              <w:rPr>
                <w:sz w:val="20"/>
                <w:lang w:eastAsia="lv-LV"/>
              </w:rPr>
              <w:t>1,3</w:t>
            </w:r>
          </w:p>
        </w:tc>
        <w:tc>
          <w:tcPr>
            <w:tcW w:w="850" w:type="dxa"/>
            <w:tcBorders>
              <w:top w:val="nil"/>
              <w:left w:val="nil"/>
              <w:bottom w:val="single" w:sz="4" w:space="0" w:color="auto"/>
              <w:right w:val="single" w:sz="4" w:space="0" w:color="auto"/>
            </w:tcBorders>
            <w:shd w:val="clear" w:color="auto" w:fill="auto"/>
            <w:noWrap/>
            <w:vAlign w:val="bottom"/>
            <w:hideMark/>
          </w:tcPr>
          <w:p w14:paraId="7FD6936E" w14:textId="77777777" w:rsidR="0060396D" w:rsidRPr="00B177B8" w:rsidRDefault="0060396D" w:rsidP="00F46473">
            <w:pPr>
              <w:spacing w:after="0"/>
              <w:ind w:firstLine="0"/>
              <w:jc w:val="right"/>
              <w:rPr>
                <w:sz w:val="20"/>
                <w:lang w:eastAsia="lv-LV"/>
              </w:rPr>
            </w:pPr>
            <w:r w:rsidRPr="00B177B8">
              <w:rPr>
                <w:sz w:val="20"/>
                <w:lang w:eastAsia="lv-LV"/>
              </w:rPr>
              <w:t>1,3</w:t>
            </w:r>
          </w:p>
        </w:tc>
        <w:tc>
          <w:tcPr>
            <w:tcW w:w="851" w:type="dxa"/>
            <w:tcBorders>
              <w:top w:val="nil"/>
              <w:left w:val="nil"/>
              <w:bottom w:val="single" w:sz="4" w:space="0" w:color="auto"/>
              <w:right w:val="single" w:sz="4" w:space="0" w:color="auto"/>
            </w:tcBorders>
            <w:shd w:val="clear" w:color="auto" w:fill="auto"/>
            <w:noWrap/>
            <w:vAlign w:val="bottom"/>
            <w:hideMark/>
          </w:tcPr>
          <w:p w14:paraId="65E2CEC8" w14:textId="77777777" w:rsidR="0060396D" w:rsidRPr="00B177B8" w:rsidRDefault="0060396D" w:rsidP="00F46473">
            <w:pPr>
              <w:spacing w:after="0"/>
              <w:ind w:firstLine="0"/>
              <w:jc w:val="right"/>
              <w:rPr>
                <w:sz w:val="20"/>
                <w:lang w:eastAsia="lv-LV"/>
              </w:rPr>
            </w:pPr>
            <w:r w:rsidRPr="00B177B8">
              <w:rPr>
                <w:sz w:val="20"/>
                <w:lang w:eastAsia="lv-LV"/>
              </w:rPr>
              <w:t>1,4</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4923B72E" w14:textId="77777777" w:rsidR="0060396D" w:rsidRPr="00B177B8" w:rsidRDefault="0060396D" w:rsidP="00F46473">
            <w:pPr>
              <w:spacing w:after="0"/>
              <w:ind w:firstLine="0"/>
              <w:jc w:val="right"/>
              <w:rPr>
                <w:sz w:val="20"/>
                <w:lang w:eastAsia="lv-LV"/>
              </w:rPr>
            </w:pPr>
            <w:r w:rsidRPr="00B177B8">
              <w:rPr>
                <w:sz w:val="20"/>
                <w:lang w:eastAsia="lv-LV"/>
              </w:rPr>
              <w:t>1,5</w:t>
            </w:r>
          </w:p>
        </w:tc>
      </w:tr>
      <w:tr w:rsidR="0060396D" w:rsidRPr="00B177B8" w14:paraId="66F1A04C" w14:textId="77777777" w:rsidTr="00F46473">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35E3AE29" w14:textId="77777777" w:rsidR="0060396D" w:rsidRPr="00B177B8" w:rsidRDefault="0060396D" w:rsidP="00F46473">
            <w:pPr>
              <w:spacing w:after="0"/>
              <w:ind w:firstLineChars="200" w:firstLine="400"/>
              <w:jc w:val="left"/>
              <w:rPr>
                <w:color w:val="000000"/>
                <w:sz w:val="20"/>
                <w:lang w:eastAsia="lv-LV"/>
              </w:rPr>
            </w:pPr>
            <w:r w:rsidRPr="00B177B8">
              <w:rPr>
                <w:color w:val="000000"/>
                <w:sz w:val="20"/>
                <w:lang w:eastAsia="lv-LV"/>
              </w:rPr>
              <w:t xml:space="preserve"> - kopējās ražošanas faktoru produktivitāte </w:t>
            </w:r>
          </w:p>
        </w:tc>
        <w:tc>
          <w:tcPr>
            <w:tcW w:w="709" w:type="dxa"/>
            <w:tcBorders>
              <w:top w:val="nil"/>
              <w:left w:val="nil"/>
              <w:bottom w:val="single" w:sz="4" w:space="0" w:color="auto"/>
              <w:right w:val="double" w:sz="6" w:space="0" w:color="auto"/>
            </w:tcBorders>
            <w:shd w:val="clear" w:color="auto" w:fill="auto"/>
            <w:noWrap/>
            <w:vAlign w:val="bottom"/>
            <w:hideMark/>
          </w:tcPr>
          <w:p w14:paraId="7A9D25E5"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79C3BB92" w14:textId="77777777" w:rsidR="0060396D" w:rsidRPr="00B177B8" w:rsidRDefault="0060396D" w:rsidP="00F46473">
            <w:pPr>
              <w:spacing w:after="0"/>
              <w:ind w:firstLine="0"/>
              <w:jc w:val="right"/>
              <w:rPr>
                <w:sz w:val="20"/>
                <w:lang w:eastAsia="lv-LV"/>
              </w:rPr>
            </w:pPr>
            <w:r w:rsidRPr="00B177B8">
              <w:rPr>
                <w:sz w:val="20"/>
                <w:lang w:eastAsia="lv-LV"/>
              </w:rPr>
              <w:t>0,7</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4FFDA21" w14:textId="77777777" w:rsidR="0060396D" w:rsidRPr="00B177B8" w:rsidRDefault="0060396D" w:rsidP="00F46473">
            <w:pPr>
              <w:spacing w:after="0"/>
              <w:ind w:firstLine="0"/>
              <w:jc w:val="right"/>
              <w:rPr>
                <w:sz w:val="20"/>
                <w:lang w:eastAsia="lv-LV"/>
              </w:rPr>
            </w:pPr>
            <w:r w:rsidRPr="00B177B8">
              <w:rPr>
                <w:sz w:val="20"/>
                <w:lang w:eastAsia="lv-LV"/>
              </w:rPr>
              <w:t>1,3</w:t>
            </w:r>
          </w:p>
        </w:tc>
        <w:tc>
          <w:tcPr>
            <w:tcW w:w="850" w:type="dxa"/>
            <w:tcBorders>
              <w:top w:val="nil"/>
              <w:left w:val="nil"/>
              <w:bottom w:val="single" w:sz="4" w:space="0" w:color="auto"/>
              <w:right w:val="single" w:sz="4" w:space="0" w:color="auto"/>
            </w:tcBorders>
            <w:shd w:val="clear" w:color="auto" w:fill="auto"/>
            <w:noWrap/>
            <w:vAlign w:val="bottom"/>
            <w:hideMark/>
          </w:tcPr>
          <w:p w14:paraId="46601B33" w14:textId="77777777" w:rsidR="0060396D" w:rsidRPr="00B177B8" w:rsidRDefault="0060396D" w:rsidP="00F46473">
            <w:pPr>
              <w:spacing w:after="0"/>
              <w:ind w:firstLine="0"/>
              <w:jc w:val="right"/>
              <w:rPr>
                <w:sz w:val="20"/>
                <w:lang w:eastAsia="lv-LV"/>
              </w:rPr>
            </w:pPr>
            <w:r w:rsidRPr="00B177B8">
              <w:rPr>
                <w:sz w:val="20"/>
                <w:lang w:eastAsia="lv-LV"/>
              </w:rPr>
              <w:t>1,7</w:t>
            </w:r>
          </w:p>
        </w:tc>
        <w:tc>
          <w:tcPr>
            <w:tcW w:w="851" w:type="dxa"/>
            <w:tcBorders>
              <w:top w:val="nil"/>
              <w:left w:val="nil"/>
              <w:bottom w:val="single" w:sz="4" w:space="0" w:color="auto"/>
              <w:right w:val="single" w:sz="4" w:space="0" w:color="auto"/>
            </w:tcBorders>
            <w:shd w:val="clear" w:color="auto" w:fill="auto"/>
            <w:noWrap/>
            <w:vAlign w:val="bottom"/>
            <w:hideMark/>
          </w:tcPr>
          <w:p w14:paraId="70004CFD" w14:textId="77777777" w:rsidR="0060396D" w:rsidRPr="00B177B8" w:rsidRDefault="0060396D" w:rsidP="00F46473">
            <w:pPr>
              <w:spacing w:after="0"/>
              <w:ind w:firstLine="0"/>
              <w:jc w:val="right"/>
              <w:rPr>
                <w:sz w:val="20"/>
                <w:lang w:eastAsia="lv-LV"/>
              </w:rPr>
            </w:pPr>
            <w:r w:rsidRPr="00B177B8">
              <w:rPr>
                <w:sz w:val="20"/>
                <w:lang w:eastAsia="lv-LV"/>
              </w:rPr>
              <w:t>2,0</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56968177" w14:textId="77777777" w:rsidR="0060396D" w:rsidRPr="00B177B8" w:rsidRDefault="0060396D" w:rsidP="00F46473">
            <w:pPr>
              <w:spacing w:after="0"/>
              <w:ind w:firstLine="0"/>
              <w:jc w:val="right"/>
              <w:rPr>
                <w:sz w:val="20"/>
                <w:lang w:eastAsia="lv-LV"/>
              </w:rPr>
            </w:pPr>
            <w:r w:rsidRPr="00B177B8">
              <w:rPr>
                <w:sz w:val="20"/>
                <w:lang w:eastAsia="lv-LV"/>
              </w:rPr>
              <w:t>2,1</w:t>
            </w:r>
          </w:p>
        </w:tc>
      </w:tr>
      <w:tr w:rsidR="0060396D" w:rsidRPr="00B177B8" w14:paraId="0C5F6929" w14:textId="77777777" w:rsidTr="00F46473">
        <w:trPr>
          <w:trHeight w:val="70"/>
        </w:trPr>
        <w:tc>
          <w:tcPr>
            <w:tcW w:w="4134" w:type="dxa"/>
            <w:tcBorders>
              <w:top w:val="nil"/>
              <w:left w:val="double" w:sz="6" w:space="0" w:color="auto"/>
              <w:bottom w:val="single" w:sz="4" w:space="0" w:color="auto"/>
              <w:right w:val="single" w:sz="4" w:space="0" w:color="auto"/>
            </w:tcBorders>
            <w:shd w:val="clear" w:color="auto" w:fill="auto"/>
            <w:vAlign w:val="bottom"/>
            <w:hideMark/>
          </w:tcPr>
          <w:p w14:paraId="5E9F7D4B"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xml:space="preserve">6. Starpība starp faktisko un potenciālo IKP </w:t>
            </w:r>
            <w:r w:rsidRPr="00B177B8">
              <w:rPr>
                <w:color w:val="000000"/>
                <w:sz w:val="20"/>
                <w:lang w:eastAsia="lv-LV"/>
              </w:rPr>
              <w:br/>
              <w:t>(% no potenciālā IKP)</w:t>
            </w:r>
          </w:p>
        </w:tc>
        <w:tc>
          <w:tcPr>
            <w:tcW w:w="709" w:type="dxa"/>
            <w:tcBorders>
              <w:top w:val="nil"/>
              <w:left w:val="nil"/>
              <w:bottom w:val="single" w:sz="4" w:space="0" w:color="auto"/>
              <w:right w:val="double" w:sz="6" w:space="0" w:color="auto"/>
            </w:tcBorders>
            <w:shd w:val="clear" w:color="auto" w:fill="auto"/>
            <w:noWrap/>
            <w:vAlign w:val="center"/>
            <w:hideMark/>
          </w:tcPr>
          <w:p w14:paraId="27967F7D"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53A59EB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C60D06"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0,2</w:t>
            </w:r>
          </w:p>
        </w:tc>
        <w:tc>
          <w:tcPr>
            <w:tcW w:w="850" w:type="dxa"/>
            <w:tcBorders>
              <w:top w:val="nil"/>
              <w:left w:val="nil"/>
              <w:bottom w:val="single" w:sz="4" w:space="0" w:color="auto"/>
              <w:right w:val="single" w:sz="4" w:space="0" w:color="auto"/>
            </w:tcBorders>
            <w:shd w:val="clear" w:color="auto" w:fill="auto"/>
            <w:noWrap/>
            <w:vAlign w:val="center"/>
            <w:hideMark/>
          </w:tcPr>
          <w:p w14:paraId="2FEE6A69"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0,4</w:t>
            </w:r>
          </w:p>
        </w:tc>
        <w:tc>
          <w:tcPr>
            <w:tcW w:w="851" w:type="dxa"/>
            <w:tcBorders>
              <w:top w:val="nil"/>
              <w:left w:val="nil"/>
              <w:bottom w:val="single" w:sz="4" w:space="0" w:color="auto"/>
              <w:right w:val="single" w:sz="4" w:space="0" w:color="auto"/>
            </w:tcBorders>
            <w:shd w:val="clear" w:color="auto" w:fill="auto"/>
            <w:noWrap/>
            <w:vAlign w:val="center"/>
            <w:hideMark/>
          </w:tcPr>
          <w:p w14:paraId="6874FFB4"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0,3</w:t>
            </w:r>
          </w:p>
        </w:tc>
        <w:tc>
          <w:tcPr>
            <w:tcW w:w="850" w:type="dxa"/>
            <w:tcBorders>
              <w:top w:val="nil"/>
              <w:left w:val="single" w:sz="4" w:space="0" w:color="auto"/>
              <w:bottom w:val="single" w:sz="4" w:space="0" w:color="auto"/>
              <w:right w:val="double" w:sz="6" w:space="0" w:color="auto"/>
            </w:tcBorders>
            <w:shd w:val="clear" w:color="auto" w:fill="auto"/>
            <w:noWrap/>
            <w:vAlign w:val="center"/>
            <w:hideMark/>
          </w:tcPr>
          <w:p w14:paraId="6B829A1E"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0,2</w:t>
            </w:r>
          </w:p>
        </w:tc>
      </w:tr>
      <w:tr w:rsidR="0060396D" w:rsidRPr="00B177B8" w14:paraId="6A215C20" w14:textId="77777777" w:rsidTr="00F46473">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435211E7"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7. Budžeta bilances cikliskā komponente</w:t>
            </w:r>
          </w:p>
        </w:tc>
        <w:tc>
          <w:tcPr>
            <w:tcW w:w="709" w:type="dxa"/>
            <w:tcBorders>
              <w:top w:val="nil"/>
              <w:left w:val="nil"/>
              <w:bottom w:val="single" w:sz="4" w:space="0" w:color="auto"/>
              <w:right w:val="double" w:sz="6" w:space="0" w:color="auto"/>
            </w:tcBorders>
            <w:shd w:val="clear" w:color="auto" w:fill="auto"/>
            <w:noWrap/>
            <w:vAlign w:val="bottom"/>
            <w:hideMark/>
          </w:tcPr>
          <w:p w14:paraId="3E8593C0"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2581F582"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5B43E04"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0,0</w:t>
            </w:r>
          </w:p>
        </w:tc>
        <w:tc>
          <w:tcPr>
            <w:tcW w:w="850" w:type="dxa"/>
            <w:tcBorders>
              <w:top w:val="nil"/>
              <w:left w:val="nil"/>
              <w:bottom w:val="single" w:sz="4" w:space="0" w:color="auto"/>
              <w:right w:val="single" w:sz="4" w:space="0" w:color="auto"/>
            </w:tcBorders>
            <w:shd w:val="clear" w:color="auto" w:fill="auto"/>
            <w:noWrap/>
            <w:vAlign w:val="bottom"/>
            <w:hideMark/>
          </w:tcPr>
          <w:p w14:paraId="6EBBE55C"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0,1</w:t>
            </w:r>
          </w:p>
        </w:tc>
        <w:tc>
          <w:tcPr>
            <w:tcW w:w="851" w:type="dxa"/>
            <w:tcBorders>
              <w:top w:val="nil"/>
              <w:left w:val="nil"/>
              <w:bottom w:val="single" w:sz="4" w:space="0" w:color="auto"/>
              <w:right w:val="single" w:sz="4" w:space="0" w:color="auto"/>
            </w:tcBorders>
            <w:shd w:val="clear" w:color="auto" w:fill="auto"/>
            <w:noWrap/>
            <w:vAlign w:val="bottom"/>
            <w:hideMark/>
          </w:tcPr>
          <w:p w14:paraId="395AE652"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0,1</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6F42A0D7"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0,0</w:t>
            </w:r>
          </w:p>
        </w:tc>
      </w:tr>
      <w:tr w:rsidR="0060396D" w:rsidRPr="00B177B8" w14:paraId="049E17A6" w14:textId="77777777" w:rsidTr="00F46473">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1CD839EE"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8. Cikliski koriģētā bilance (2-7)</w:t>
            </w:r>
          </w:p>
        </w:tc>
        <w:tc>
          <w:tcPr>
            <w:tcW w:w="709" w:type="dxa"/>
            <w:tcBorders>
              <w:top w:val="nil"/>
              <w:left w:val="nil"/>
              <w:bottom w:val="single" w:sz="4" w:space="0" w:color="auto"/>
              <w:right w:val="double" w:sz="6" w:space="0" w:color="auto"/>
            </w:tcBorders>
            <w:shd w:val="clear" w:color="auto" w:fill="auto"/>
            <w:noWrap/>
            <w:vAlign w:val="bottom"/>
            <w:hideMark/>
          </w:tcPr>
          <w:p w14:paraId="2E330E11"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77AF7B4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218B86C"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-1,1</w:t>
            </w:r>
          </w:p>
        </w:tc>
        <w:tc>
          <w:tcPr>
            <w:tcW w:w="850" w:type="dxa"/>
            <w:tcBorders>
              <w:top w:val="nil"/>
              <w:left w:val="nil"/>
              <w:bottom w:val="single" w:sz="4" w:space="0" w:color="auto"/>
              <w:right w:val="single" w:sz="4" w:space="0" w:color="auto"/>
            </w:tcBorders>
            <w:shd w:val="clear" w:color="auto" w:fill="auto"/>
            <w:noWrap/>
            <w:vAlign w:val="bottom"/>
            <w:hideMark/>
          </w:tcPr>
          <w:p w14:paraId="2967BD1C"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-1,0</w:t>
            </w:r>
          </w:p>
        </w:tc>
        <w:tc>
          <w:tcPr>
            <w:tcW w:w="851" w:type="dxa"/>
            <w:tcBorders>
              <w:top w:val="nil"/>
              <w:left w:val="nil"/>
              <w:bottom w:val="single" w:sz="4" w:space="0" w:color="auto"/>
              <w:right w:val="single" w:sz="4" w:space="0" w:color="auto"/>
            </w:tcBorders>
            <w:shd w:val="clear" w:color="auto" w:fill="auto"/>
            <w:noWrap/>
            <w:vAlign w:val="bottom"/>
            <w:hideMark/>
          </w:tcPr>
          <w:p w14:paraId="0BCEA5A7"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-1,0</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11B5C047"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-0,9</w:t>
            </w:r>
          </w:p>
        </w:tc>
      </w:tr>
      <w:tr w:rsidR="0060396D" w:rsidRPr="00B177B8" w14:paraId="24ECDB8D" w14:textId="77777777" w:rsidTr="00F46473">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3FFDE318"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9. Cikliski koriģētā primārā bilance (8+3)</w:t>
            </w:r>
          </w:p>
        </w:tc>
        <w:tc>
          <w:tcPr>
            <w:tcW w:w="709" w:type="dxa"/>
            <w:tcBorders>
              <w:top w:val="nil"/>
              <w:left w:val="nil"/>
              <w:bottom w:val="single" w:sz="4" w:space="0" w:color="auto"/>
              <w:right w:val="double" w:sz="6" w:space="0" w:color="auto"/>
            </w:tcBorders>
            <w:shd w:val="clear" w:color="auto" w:fill="auto"/>
            <w:noWrap/>
            <w:vAlign w:val="bottom"/>
            <w:hideMark/>
          </w:tcPr>
          <w:p w14:paraId="09FDD482"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69CE28F6"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50645E0"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0,4</w:t>
            </w:r>
          </w:p>
        </w:tc>
        <w:tc>
          <w:tcPr>
            <w:tcW w:w="850" w:type="dxa"/>
            <w:tcBorders>
              <w:top w:val="nil"/>
              <w:left w:val="nil"/>
              <w:bottom w:val="single" w:sz="4" w:space="0" w:color="auto"/>
              <w:right w:val="single" w:sz="4" w:space="0" w:color="auto"/>
            </w:tcBorders>
            <w:shd w:val="clear" w:color="auto" w:fill="auto"/>
            <w:noWrap/>
            <w:vAlign w:val="bottom"/>
            <w:hideMark/>
          </w:tcPr>
          <w:p w14:paraId="7CB37A6A"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0,6</w:t>
            </w:r>
          </w:p>
        </w:tc>
        <w:tc>
          <w:tcPr>
            <w:tcW w:w="851" w:type="dxa"/>
            <w:tcBorders>
              <w:top w:val="nil"/>
              <w:left w:val="nil"/>
              <w:bottom w:val="single" w:sz="4" w:space="0" w:color="auto"/>
              <w:right w:val="single" w:sz="4" w:space="0" w:color="auto"/>
            </w:tcBorders>
            <w:shd w:val="clear" w:color="auto" w:fill="auto"/>
            <w:noWrap/>
            <w:vAlign w:val="bottom"/>
            <w:hideMark/>
          </w:tcPr>
          <w:p w14:paraId="0C6C1EC2"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0,5</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2AE4C1D5"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0,5</w:t>
            </w:r>
          </w:p>
        </w:tc>
      </w:tr>
      <w:tr w:rsidR="0060396D" w:rsidRPr="00B177B8" w14:paraId="7B1065A2" w14:textId="77777777" w:rsidTr="00F46473">
        <w:trPr>
          <w:trHeight w:val="70"/>
        </w:trPr>
        <w:tc>
          <w:tcPr>
            <w:tcW w:w="4134" w:type="dxa"/>
            <w:tcBorders>
              <w:top w:val="nil"/>
              <w:left w:val="double" w:sz="6" w:space="0" w:color="auto"/>
              <w:bottom w:val="double" w:sz="6" w:space="0" w:color="auto"/>
              <w:right w:val="single" w:sz="4" w:space="0" w:color="auto"/>
            </w:tcBorders>
            <w:shd w:val="clear" w:color="auto" w:fill="auto"/>
            <w:noWrap/>
            <w:vAlign w:val="bottom"/>
            <w:hideMark/>
          </w:tcPr>
          <w:p w14:paraId="2DAF7B87"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10. Strukturālā bilance (8-4)</w:t>
            </w:r>
          </w:p>
        </w:tc>
        <w:tc>
          <w:tcPr>
            <w:tcW w:w="709" w:type="dxa"/>
            <w:tcBorders>
              <w:top w:val="nil"/>
              <w:left w:val="nil"/>
              <w:bottom w:val="double" w:sz="6" w:space="0" w:color="auto"/>
              <w:right w:val="double" w:sz="6" w:space="0" w:color="auto"/>
            </w:tcBorders>
            <w:shd w:val="clear" w:color="auto" w:fill="auto"/>
            <w:noWrap/>
            <w:vAlign w:val="bottom"/>
            <w:hideMark/>
          </w:tcPr>
          <w:p w14:paraId="4022B293" w14:textId="77777777" w:rsidR="0060396D" w:rsidRPr="00B177B8" w:rsidRDefault="0060396D"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double" w:sz="6" w:space="0" w:color="auto"/>
              <w:right w:val="single" w:sz="4" w:space="0" w:color="auto"/>
            </w:tcBorders>
            <w:shd w:val="clear" w:color="auto" w:fill="auto"/>
            <w:noWrap/>
            <w:vAlign w:val="bottom"/>
            <w:hideMark/>
          </w:tcPr>
          <w:p w14:paraId="0E2984A7"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-0,5</w:t>
            </w:r>
          </w:p>
        </w:tc>
        <w:tc>
          <w:tcPr>
            <w:tcW w:w="851" w:type="dxa"/>
            <w:tcBorders>
              <w:top w:val="single" w:sz="4" w:space="0" w:color="auto"/>
              <w:left w:val="nil"/>
              <w:bottom w:val="double" w:sz="6" w:space="0" w:color="auto"/>
              <w:right w:val="single" w:sz="4" w:space="0" w:color="auto"/>
            </w:tcBorders>
            <w:shd w:val="clear" w:color="auto" w:fill="auto"/>
            <w:noWrap/>
            <w:vAlign w:val="bottom"/>
            <w:hideMark/>
          </w:tcPr>
          <w:p w14:paraId="69D2A693"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-1,1</w:t>
            </w:r>
          </w:p>
        </w:tc>
        <w:tc>
          <w:tcPr>
            <w:tcW w:w="850" w:type="dxa"/>
            <w:tcBorders>
              <w:top w:val="single" w:sz="4" w:space="0" w:color="auto"/>
              <w:left w:val="nil"/>
              <w:bottom w:val="double" w:sz="6" w:space="0" w:color="auto"/>
              <w:right w:val="single" w:sz="4" w:space="0" w:color="auto"/>
            </w:tcBorders>
            <w:shd w:val="clear" w:color="auto" w:fill="auto"/>
            <w:noWrap/>
            <w:vAlign w:val="bottom"/>
            <w:hideMark/>
          </w:tcPr>
          <w:p w14:paraId="514D402D"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-1,0</w:t>
            </w:r>
          </w:p>
        </w:tc>
        <w:tc>
          <w:tcPr>
            <w:tcW w:w="851" w:type="dxa"/>
            <w:tcBorders>
              <w:top w:val="single" w:sz="4" w:space="0" w:color="auto"/>
              <w:left w:val="nil"/>
              <w:bottom w:val="double" w:sz="6" w:space="0" w:color="auto"/>
              <w:right w:val="single" w:sz="4" w:space="0" w:color="auto"/>
            </w:tcBorders>
            <w:shd w:val="clear" w:color="auto" w:fill="auto"/>
            <w:noWrap/>
            <w:vAlign w:val="bottom"/>
            <w:hideMark/>
          </w:tcPr>
          <w:p w14:paraId="1BA3D1F8"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-1,0</w:t>
            </w:r>
          </w:p>
        </w:tc>
        <w:tc>
          <w:tcPr>
            <w:tcW w:w="850" w:type="dxa"/>
            <w:tcBorders>
              <w:top w:val="nil"/>
              <w:left w:val="nil"/>
              <w:bottom w:val="double" w:sz="6" w:space="0" w:color="auto"/>
              <w:right w:val="double" w:sz="6" w:space="0" w:color="auto"/>
            </w:tcBorders>
            <w:shd w:val="clear" w:color="auto" w:fill="auto"/>
            <w:noWrap/>
            <w:vAlign w:val="bottom"/>
            <w:hideMark/>
          </w:tcPr>
          <w:p w14:paraId="76BAE5D7" w14:textId="77777777" w:rsidR="0060396D" w:rsidRPr="00B177B8" w:rsidRDefault="0060396D" w:rsidP="00F46473">
            <w:pPr>
              <w:spacing w:after="0"/>
              <w:ind w:firstLine="0"/>
              <w:jc w:val="right"/>
              <w:rPr>
                <w:color w:val="000000"/>
                <w:sz w:val="20"/>
                <w:lang w:eastAsia="lv-LV"/>
              </w:rPr>
            </w:pPr>
            <w:r w:rsidRPr="00B177B8">
              <w:rPr>
                <w:color w:val="000000"/>
                <w:sz w:val="20"/>
                <w:lang w:eastAsia="lv-LV"/>
              </w:rPr>
              <w:t>-0,9</w:t>
            </w:r>
          </w:p>
        </w:tc>
      </w:tr>
    </w:tbl>
    <w:p w14:paraId="78D6FDD9" w14:textId="77777777" w:rsidR="00252A22" w:rsidRDefault="00252A22" w:rsidP="00252A22">
      <w:pPr>
        <w:spacing w:before="120"/>
        <w:ind w:firstLine="720"/>
      </w:pPr>
      <w:r>
        <w:t>Analizējot vispārējās valdības budžeta bilances struktūru, jāsecina, ka tās pamatā ir strukturālā komponente, taču straujas ekonomikas izaugsmes (2006.-2007. gadā) un lejupslīdes (2008.-2010. gadā) laikā palielinājusies ietekme no svārstībām ekonomikā. Strukturālo budžeta bilanci</w:t>
      </w:r>
      <w:r w:rsidRPr="00091EEC">
        <w:rPr>
          <w:rStyle w:val="FootnoteReference"/>
        </w:rPr>
        <w:footnoteReference w:id="12"/>
      </w:r>
      <w:r>
        <w:t xml:space="preserve"> ekonomiskās izaugsmes gados uzlaboja augstāki nodokļu ieņēmumi, savukārt, ekonomiskās krīzes laikā ieņēmumi samazinājās un pieauga izdevumi sociālajiem pabalstiem, piemēram, saistībā ar bezdarba līmeņa pieaugumu. </w:t>
      </w:r>
    </w:p>
    <w:p w14:paraId="6AD56AA9" w14:textId="0CC4C2B5" w:rsidR="00252A22" w:rsidRPr="00663F66" w:rsidRDefault="00252A22" w:rsidP="00252A22">
      <w:pPr>
        <w:spacing w:before="120"/>
        <w:ind w:firstLine="720"/>
      </w:pPr>
      <w:r w:rsidRPr="00663F66">
        <w:rPr>
          <w:szCs w:val="24"/>
        </w:rPr>
        <w:t xml:space="preserve">Jāatzīmē, ka budžeta bilances izmaiņas ietekmē arī procentu izdevumi un tiek prognozēts, ka 2013.-2016. gadā tie būs 1,4-1,6% no IKP līmenī. Cikliski koriģētās primārās budžeta bilances aprēķinos procentu izdevumi netiek ņemti vērā un tādēļ, izslēdzot procentu izdevumus, budžeta bilance </w:t>
      </w:r>
      <w:r>
        <w:rPr>
          <w:szCs w:val="24"/>
        </w:rPr>
        <w:t xml:space="preserve">būs </w:t>
      </w:r>
      <w:r w:rsidRPr="00426797">
        <w:t>vēl labāka.</w:t>
      </w:r>
    </w:p>
    <w:p w14:paraId="3F17F3DC" w14:textId="77777777" w:rsidR="0060396D" w:rsidRDefault="0060396D" w:rsidP="0060396D">
      <w:pPr>
        <w:ind w:firstLine="0"/>
        <w:jc w:val="left"/>
      </w:pPr>
    </w:p>
    <w:p w14:paraId="4AD65BDC" w14:textId="77777777" w:rsidR="0060396D" w:rsidRDefault="0013431E" w:rsidP="00D57E75">
      <w:pPr>
        <w:ind w:firstLine="0"/>
        <w:jc w:val="center"/>
      </w:pPr>
      <w:r w:rsidRPr="0013431E">
        <w:rPr>
          <w:noProof/>
          <w:lang w:eastAsia="lv-LV"/>
        </w:rPr>
        <w:lastRenderedPageBreak/>
        <w:drawing>
          <wp:inline distT="0" distB="0" distL="0" distR="0" wp14:anchorId="4A4DCF27" wp14:editId="2610D7AC">
            <wp:extent cx="4678326" cy="2270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25706"/>
                    <a:stretch/>
                  </pic:blipFill>
                  <pic:spPr bwMode="auto">
                    <a:xfrm>
                      <a:off x="0" y="0"/>
                      <a:ext cx="4680029" cy="2271649"/>
                    </a:xfrm>
                    <a:prstGeom prst="rect">
                      <a:avLst/>
                    </a:prstGeom>
                    <a:noFill/>
                    <a:ln>
                      <a:noFill/>
                    </a:ln>
                    <a:extLst>
                      <a:ext uri="{53640926-AAD7-44D8-BBD7-CCE9431645EC}">
                        <a14:shadowObscured xmlns:a14="http://schemas.microsoft.com/office/drawing/2010/main"/>
                      </a:ext>
                    </a:extLst>
                  </pic:spPr>
                </pic:pic>
              </a:graphicData>
            </a:graphic>
          </wp:inline>
        </w:drawing>
      </w:r>
    </w:p>
    <w:p w14:paraId="1C8EE269" w14:textId="77777777" w:rsidR="0060396D" w:rsidRPr="00153133" w:rsidRDefault="001F23F6" w:rsidP="0060396D">
      <w:pPr>
        <w:pStyle w:val="teksts"/>
        <w:spacing w:line="276" w:lineRule="auto"/>
        <w:ind w:firstLine="720"/>
        <w:jc w:val="center"/>
        <w:rPr>
          <w:rFonts w:ascii="Times New Roman" w:eastAsia="Calibri" w:hAnsi="Times New Roman"/>
          <w:szCs w:val="24"/>
        </w:rPr>
      </w:pPr>
      <w:r w:rsidRPr="001F23F6">
        <w:rPr>
          <w:rFonts w:ascii="Times New Roman" w:eastAsia="Calibri" w:hAnsi="Times New Roman"/>
          <w:szCs w:val="24"/>
        </w:rPr>
        <w:t>4.6</w:t>
      </w:r>
      <w:r w:rsidR="0060396D" w:rsidRPr="001F23F6">
        <w:rPr>
          <w:rFonts w:ascii="Times New Roman" w:eastAsia="Calibri" w:hAnsi="Times New Roman"/>
          <w:szCs w:val="24"/>
        </w:rPr>
        <w:t>. att.</w:t>
      </w:r>
      <w:r w:rsidR="0060396D" w:rsidRPr="00153133">
        <w:rPr>
          <w:rFonts w:ascii="Times New Roman" w:eastAsia="Calibri" w:hAnsi="Times New Roman"/>
          <w:szCs w:val="24"/>
        </w:rPr>
        <w:t xml:space="preserve"> Izlaižu </w:t>
      </w:r>
      <w:r w:rsidR="0060396D" w:rsidRPr="00426797">
        <w:rPr>
          <w:rFonts w:ascii="Times New Roman" w:eastAsia="Calibri" w:hAnsi="Times New Roman"/>
        </w:rPr>
        <w:t>starpība un vispārējās valdības budžeta bilance sadalījumā pa komponentēm 2005.-2016. gadā, % no IKP</w:t>
      </w:r>
    </w:p>
    <w:p w14:paraId="31D7DBDF" w14:textId="77777777" w:rsidR="0088146B" w:rsidRDefault="0088146B" w:rsidP="008570AF">
      <w:pPr>
        <w:pStyle w:val="otrais"/>
        <w:pageBreakBefore/>
        <w:spacing w:before="0"/>
        <w:ind w:left="0" w:firstLine="0"/>
        <w:rPr>
          <w:szCs w:val="32"/>
        </w:rPr>
      </w:pPr>
      <w:bookmarkStart w:id="37" w:name="_Toc354671224"/>
      <w:r w:rsidRPr="00607A2A">
        <w:rPr>
          <w:szCs w:val="32"/>
        </w:rPr>
        <w:lastRenderedPageBreak/>
        <w:t>4.4. Valdības parāda vidējā termiņa attīstības tendences</w:t>
      </w:r>
      <w:bookmarkEnd w:id="30"/>
      <w:bookmarkEnd w:id="37"/>
    </w:p>
    <w:p w14:paraId="411AC504" w14:textId="61DD1784" w:rsidR="00955652" w:rsidRPr="00F55E50" w:rsidRDefault="00955652" w:rsidP="00955652">
      <w:pPr>
        <w:ind w:firstLine="720"/>
        <w:rPr>
          <w:szCs w:val="24"/>
        </w:rPr>
      </w:pPr>
      <w:r w:rsidRPr="00F55E50">
        <w:rPr>
          <w:szCs w:val="24"/>
        </w:rPr>
        <w:t xml:space="preserve">Saskaņā ar valsts budžeta deficīta un parāda 2013.gada aprīļa notifikācijas rezultātiem, kuri sagatavoti atbilstoši </w:t>
      </w:r>
      <w:r w:rsidR="00CE0674">
        <w:rPr>
          <w:szCs w:val="24"/>
        </w:rPr>
        <w:t xml:space="preserve">EKS’95 </w:t>
      </w:r>
      <w:r w:rsidRPr="00F55E50">
        <w:rPr>
          <w:szCs w:val="24"/>
        </w:rPr>
        <w:t xml:space="preserve">metodoloģijai, vispārējās valdības parāds 2012.gada beigās sasniedza 6 309,2 </w:t>
      </w:r>
      <w:proofErr w:type="spellStart"/>
      <w:r w:rsidRPr="00F55E50">
        <w:rPr>
          <w:szCs w:val="24"/>
        </w:rPr>
        <w:t>milj.latu</w:t>
      </w:r>
      <w:proofErr w:type="spellEnd"/>
      <w:r w:rsidRPr="00F55E50">
        <w:rPr>
          <w:szCs w:val="24"/>
        </w:rPr>
        <w:t xml:space="preserve"> jeb 40,7% no </w:t>
      </w:r>
      <w:r w:rsidR="004D59A7">
        <w:rPr>
          <w:szCs w:val="24"/>
        </w:rPr>
        <w:t>IKP</w:t>
      </w:r>
      <w:r w:rsidRPr="00F55E50">
        <w:rPr>
          <w:szCs w:val="24"/>
        </w:rPr>
        <w:t>. Vispārējās valdības parāda līmeni</w:t>
      </w:r>
      <w:r w:rsidR="004D59A7">
        <w:rPr>
          <w:szCs w:val="24"/>
        </w:rPr>
        <w:t>,</w:t>
      </w:r>
      <w:r w:rsidRPr="00F55E50">
        <w:rPr>
          <w:szCs w:val="24"/>
        </w:rPr>
        <w:t xml:space="preserve"> galvenokārt</w:t>
      </w:r>
      <w:r w:rsidR="004D59A7">
        <w:rPr>
          <w:szCs w:val="24"/>
        </w:rPr>
        <w:t>,</w:t>
      </w:r>
      <w:r w:rsidRPr="00F55E50">
        <w:rPr>
          <w:szCs w:val="24"/>
        </w:rPr>
        <w:t xml:space="preserve"> ietekmē centrālās valdības parāds, kas uz 2012.gada beigām bija 5 821,5 </w:t>
      </w:r>
      <w:proofErr w:type="spellStart"/>
      <w:r w:rsidRPr="00F55E50">
        <w:rPr>
          <w:szCs w:val="24"/>
        </w:rPr>
        <w:t>milj.latu</w:t>
      </w:r>
      <w:proofErr w:type="spellEnd"/>
      <w:r w:rsidRPr="00F55E50">
        <w:rPr>
          <w:szCs w:val="24"/>
        </w:rPr>
        <w:t xml:space="preserve">. </w:t>
      </w:r>
    </w:p>
    <w:p w14:paraId="3B04FD79" w14:textId="09B6EFD1" w:rsidR="00955652" w:rsidRPr="00F55E50" w:rsidRDefault="00955652" w:rsidP="00955652">
      <w:pPr>
        <w:ind w:firstLine="720"/>
        <w:rPr>
          <w:szCs w:val="24"/>
        </w:rPr>
      </w:pPr>
      <w:r w:rsidRPr="00F55E50">
        <w:rPr>
          <w:szCs w:val="24"/>
        </w:rPr>
        <w:t>Centrālās valdības parāda vadības mērķis ir nodrošināt nepieciešamos finanšu resursus parāda pārfinansēšanai, budžeta deficīta finansēšanai un finanšu resursu rezerves uzturēšanai ar iespējami zemākām izmaksām, ierobežojot finanšu riskus un ņemot vērā Latvijas valsts makroekonomikas</w:t>
      </w:r>
      <w:r w:rsidR="00CE0674">
        <w:rPr>
          <w:szCs w:val="24"/>
        </w:rPr>
        <w:t xml:space="preserve"> situāciju, kapitāla tirgu</w:t>
      </w:r>
      <w:r w:rsidRPr="00F55E50">
        <w:rPr>
          <w:szCs w:val="24"/>
        </w:rPr>
        <w:t xml:space="preserve"> un visas finanšu sistēmas attīstību, kas vērsta uz pievienošanos </w:t>
      </w:r>
      <w:proofErr w:type="spellStart"/>
      <w:r w:rsidRPr="00F55E50">
        <w:rPr>
          <w:szCs w:val="24"/>
        </w:rPr>
        <w:t>e</w:t>
      </w:r>
      <w:r>
        <w:rPr>
          <w:szCs w:val="24"/>
        </w:rPr>
        <w:t>i</w:t>
      </w:r>
      <w:r w:rsidRPr="00F55E50">
        <w:rPr>
          <w:szCs w:val="24"/>
        </w:rPr>
        <w:t>rozonai</w:t>
      </w:r>
      <w:proofErr w:type="spellEnd"/>
      <w:r w:rsidRPr="00F55E50">
        <w:rPr>
          <w:szCs w:val="24"/>
        </w:rPr>
        <w:t xml:space="preserve">. </w:t>
      </w:r>
    </w:p>
    <w:p w14:paraId="497CEEB0" w14:textId="4A1ACD9D" w:rsidR="00955652" w:rsidRPr="00F55E50" w:rsidRDefault="00955652" w:rsidP="00955652">
      <w:pPr>
        <w:ind w:firstLine="720"/>
        <w:rPr>
          <w:szCs w:val="24"/>
        </w:rPr>
      </w:pPr>
      <w:r w:rsidRPr="00F55E50">
        <w:rPr>
          <w:szCs w:val="24"/>
        </w:rPr>
        <w:t xml:space="preserve">Centrālās valdības parāda portfeļa un aizņēmumu vadības mērķus, pamatprincipus un uzdevumus parāda vadības ietvaros </w:t>
      </w:r>
      <w:r w:rsidR="004D59A7">
        <w:rPr>
          <w:szCs w:val="24"/>
        </w:rPr>
        <w:t>vidējā termiņā nosaka Latvijas V</w:t>
      </w:r>
      <w:r w:rsidRPr="00F55E50">
        <w:rPr>
          <w:szCs w:val="24"/>
        </w:rPr>
        <w:t>alsts parāda vadības stratēģija, kas paredz centrālās valdības parāda portfeļa struktūras optimālu rādītāju ievērošanu attiecībā uz parāda valūtu kompozīciju, dzēšanas profilu, procentu likmju vidējo svērto fiksēto periodu un fiksētās procentu likmes optimālo īpatsvaru parāda portfelī.</w:t>
      </w:r>
    </w:p>
    <w:p w14:paraId="58DDA6B6" w14:textId="77777777" w:rsidR="00955652" w:rsidRPr="00F55E50" w:rsidRDefault="00955652" w:rsidP="00955652">
      <w:pPr>
        <w:ind w:firstLine="720"/>
        <w:rPr>
          <w:szCs w:val="24"/>
        </w:rPr>
      </w:pPr>
      <w:r w:rsidRPr="00F55E50">
        <w:rPr>
          <w:szCs w:val="24"/>
        </w:rPr>
        <w:t>Aizņemšanās apjomu un centrālās valdības parāda līmeni ietekmē kopējā finansēšanas nepieciešamība (valsts budžeta izpildes nodrošināšanai un centrālās valdības parāda saistību atmaksai attiecīgajā periodā nepieciešamais resursu apjoms) un finanšu resursu rezerves uzturēšanai nepieciešamais finansējums.</w:t>
      </w:r>
    </w:p>
    <w:p w14:paraId="4A51669D" w14:textId="77777777" w:rsidR="00955652" w:rsidRPr="00F55E50" w:rsidRDefault="00955652" w:rsidP="00955652">
      <w:pPr>
        <w:ind w:firstLine="720"/>
        <w:rPr>
          <w:szCs w:val="24"/>
        </w:rPr>
      </w:pPr>
      <w:r w:rsidRPr="00F55E50">
        <w:rPr>
          <w:szCs w:val="24"/>
        </w:rPr>
        <w:t xml:space="preserve">Pēc sekmīgas </w:t>
      </w:r>
      <w:r>
        <w:rPr>
          <w:szCs w:val="24"/>
        </w:rPr>
        <w:t>Aizdevuma</w:t>
      </w:r>
      <w:r w:rsidRPr="00F55E50">
        <w:rPr>
          <w:szCs w:val="24"/>
        </w:rPr>
        <w:t xml:space="preserve"> programmas pabeigšanas Latvija vairākkārt apliecinājusi spēju piesaistīt finansējumu starptautiskajos finanšu tirgos ar labvēlīgiem nosacījumiem, organizējot publiskas valsts parāda vērtspapīru emisijas. Lai gan pēc 2012.gada februārī veiktās eiroobligāciju emisijas (1 mljrd.</w:t>
      </w:r>
      <w:r>
        <w:rPr>
          <w:szCs w:val="24"/>
        </w:rPr>
        <w:t xml:space="preserve"> </w:t>
      </w:r>
      <w:r w:rsidRPr="00F55E50">
        <w:rPr>
          <w:szCs w:val="24"/>
        </w:rPr>
        <w:t>ASV dolāru apmērā) 2012.gada aizņemšanās plāns starptautiskajos finanšu tirgos bija izpildīts, 2012.gada decembrī, izmantojot īpaši labvēlīgu situāciju starptautiskajos finanšu tirgos, kā arī pozitīvas izmaiņas Latvijas kredītreitinga līmenī, tika pieņemts lēmums atkārtoti atgriezties starptautiskajos finanšu tirgos ar vēl vienu obligāciju emisiju 1,25 mljrd.</w:t>
      </w:r>
      <w:r>
        <w:rPr>
          <w:szCs w:val="24"/>
        </w:rPr>
        <w:t xml:space="preserve"> </w:t>
      </w:r>
      <w:r w:rsidRPr="00F55E50">
        <w:rPr>
          <w:szCs w:val="24"/>
        </w:rPr>
        <w:t xml:space="preserve">ASV dolāru apmērā ar septiņu gadu dzēšanas termiņu. Šo emisiju var uzskatīt par īpaši veiksmīgu darījumu, jo tajā tika fiksēta kupona likme 2,75%, kas ir vēsturiski zemākā vērtspapīru procentu likme, kopš Latvija veic publiskus aizņēmumus starptautiskajos finanšu tirgos, un emisijas brīdī zemākā likme salīdzinājumā ar līdzīgu valstu aizņēmuma likmēm, kā arī tā ir zemāka par </w:t>
      </w:r>
      <w:r>
        <w:rPr>
          <w:szCs w:val="24"/>
        </w:rPr>
        <w:t>Aizdevuma</w:t>
      </w:r>
      <w:r w:rsidRPr="00F55E50">
        <w:rPr>
          <w:szCs w:val="24"/>
        </w:rPr>
        <w:t xml:space="preserve"> programmas finansējuma likmēm. Resursu piesaiste ar īpaši zemu likmi šīs emisijas ietvaros apliecina ne tikai investoru augsto novērtējumu par paveikto Latvijas valsts ekonomikā iepriekšējos gados, bet arī uzticību Latvijas attīstības ilgtermiņa stratēģijai, kuras būtiskākā prioritāte ir virzība uz pievienošanos </w:t>
      </w:r>
      <w:proofErr w:type="spellStart"/>
      <w:r w:rsidRPr="00F55E50">
        <w:rPr>
          <w:szCs w:val="24"/>
        </w:rPr>
        <w:t>e</w:t>
      </w:r>
      <w:r>
        <w:rPr>
          <w:szCs w:val="24"/>
        </w:rPr>
        <w:t>i</w:t>
      </w:r>
      <w:r w:rsidRPr="00F55E50">
        <w:rPr>
          <w:szCs w:val="24"/>
        </w:rPr>
        <w:t>rozonai</w:t>
      </w:r>
      <w:proofErr w:type="spellEnd"/>
      <w:r w:rsidRPr="00F55E50">
        <w:rPr>
          <w:szCs w:val="24"/>
        </w:rPr>
        <w:t xml:space="preserve"> no 2014.gada 1.janvāra.</w:t>
      </w:r>
    </w:p>
    <w:p w14:paraId="2FDA6E5A" w14:textId="46E9F07D" w:rsidR="00955652" w:rsidRPr="00F55E50" w:rsidRDefault="00955652" w:rsidP="00955652">
      <w:pPr>
        <w:ind w:firstLine="720"/>
        <w:rPr>
          <w:szCs w:val="24"/>
        </w:rPr>
      </w:pPr>
      <w:r w:rsidRPr="00F55E50">
        <w:rPr>
          <w:szCs w:val="24"/>
        </w:rPr>
        <w:t xml:space="preserve">Pēdējā eiroobligāciju emisijā piesaistītais finansējums tika izmantots </w:t>
      </w:r>
      <w:r>
        <w:rPr>
          <w:szCs w:val="24"/>
        </w:rPr>
        <w:t>SVF</w:t>
      </w:r>
      <w:r w:rsidRPr="00F55E50">
        <w:rPr>
          <w:szCs w:val="24"/>
        </w:rPr>
        <w:t xml:space="preserve"> aizdevuma pirmstermiņa atmaksai pilnā apmērā 2012.gada beigās. Veicot pirmstermiņa atmaksu, tika samazināts </w:t>
      </w:r>
      <w:r w:rsidR="004D59A7">
        <w:rPr>
          <w:szCs w:val="24"/>
        </w:rPr>
        <w:t>centrālās valdības</w:t>
      </w:r>
      <w:r w:rsidRPr="00F55E50">
        <w:rPr>
          <w:szCs w:val="24"/>
        </w:rPr>
        <w:t xml:space="preserve"> parāda pārfinansēšanas risks, kā arī optimizēti </w:t>
      </w:r>
      <w:r w:rsidR="00225205">
        <w:rPr>
          <w:szCs w:val="24"/>
        </w:rPr>
        <w:t>centrālās valdības</w:t>
      </w:r>
      <w:r w:rsidRPr="00F55E50">
        <w:rPr>
          <w:szCs w:val="24"/>
        </w:rPr>
        <w:t xml:space="preserve"> parāda procentu izdevumi vidējā termiņā. </w:t>
      </w:r>
    </w:p>
    <w:p w14:paraId="69C839F3" w14:textId="34561A0C" w:rsidR="00955652" w:rsidRPr="00F55E50" w:rsidRDefault="00955652" w:rsidP="00955652">
      <w:pPr>
        <w:ind w:firstLine="720"/>
        <w:rPr>
          <w:szCs w:val="24"/>
        </w:rPr>
      </w:pPr>
      <w:r w:rsidRPr="00F55E50">
        <w:rPr>
          <w:szCs w:val="24"/>
        </w:rPr>
        <w:t xml:space="preserve">Iekšējā finanšu tirgū 2012.gadā </w:t>
      </w:r>
      <w:r w:rsidR="00723451">
        <w:rPr>
          <w:szCs w:val="24"/>
        </w:rPr>
        <w:t>VK</w:t>
      </w:r>
      <w:r w:rsidR="00CE67E9">
        <w:rPr>
          <w:szCs w:val="24"/>
        </w:rPr>
        <w:t xml:space="preserve"> </w:t>
      </w:r>
      <w:r w:rsidRPr="00F55E50">
        <w:rPr>
          <w:szCs w:val="24"/>
        </w:rPr>
        <w:t>turpināja regulāras valsts vērtspapīru izsoles, palielinot valsts iekšējā aizņēmuma obligāciju un samazinot parādzīmju piedāvājumu investoriem. Līdzīgi kā iepriekšējos gados īstermiņa parādzīmju izsoles rīkotas, lai nodrošinātu īstermiņa latu resursu aizņemšanās etalona regulāru aktualizēšanu tirgū</w:t>
      </w:r>
      <w:r w:rsidRPr="00F55E50" w:rsidDel="00301145">
        <w:rPr>
          <w:szCs w:val="24"/>
        </w:rPr>
        <w:t xml:space="preserve"> </w:t>
      </w:r>
      <w:r w:rsidRPr="00F55E50">
        <w:rPr>
          <w:szCs w:val="24"/>
        </w:rPr>
        <w:t>un lētu īstermiņa resursu pieejamību likviditātes vadībai. Savukārt, lai nodrošinātu vidēja un ilgtermiņa vērtspapīru piedāvājumu institucionālajiem investoriem, 2012.gadā uzsāktas jaunas 5 un 10 gadu obligāciju programmas, kuru rezultāti apliecina iekšzemes investoru stabilu interesi par ieguldījumiem valsts iekšējā aizņēmuma ilgtermiņa vērtspapīros.</w:t>
      </w:r>
    </w:p>
    <w:p w14:paraId="41641584" w14:textId="7222F4BD" w:rsidR="00955652" w:rsidRPr="00F55E50" w:rsidRDefault="0090733A" w:rsidP="00955652">
      <w:pPr>
        <w:ind w:firstLine="720"/>
        <w:rPr>
          <w:szCs w:val="24"/>
        </w:rPr>
      </w:pPr>
      <w:r>
        <w:rPr>
          <w:szCs w:val="24"/>
        </w:rPr>
        <w:lastRenderedPageBreak/>
        <w:t>Lai saskaņā ar Latvijas V</w:t>
      </w:r>
      <w:r w:rsidR="00955652" w:rsidRPr="00F55E50">
        <w:rPr>
          <w:szCs w:val="24"/>
        </w:rPr>
        <w:t xml:space="preserve">alsts parāda vadības stratēģijas vadlīnijām nodrošinātu </w:t>
      </w:r>
      <w:r>
        <w:rPr>
          <w:szCs w:val="24"/>
        </w:rPr>
        <w:t xml:space="preserve">centrālās valdības </w:t>
      </w:r>
      <w:r w:rsidR="00955652" w:rsidRPr="00F55E50">
        <w:rPr>
          <w:szCs w:val="24"/>
        </w:rPr>
        <w:t>parāda pārfinansēšanas riska novēršanu un parāda vadības izdevumu optimizēšanu, vidēja termiņa aizņemšanās stratēģijas realizēšanā izvirzītas šādas prioritātes:</w:t>
      </w:r>
    </w:p>
    <w:p w14:paraId="379A348E" w14:textId="4213DBD0" w:rsidR="00955652" w:rsidRPr="005F00E5" w:rsidRDefault="00955652" w:rsidP="00955652">
      <w:pPr>
        <w:spacing w:after="0"/>
        <w:ind w:firstLine="720"/>
        <w:rPr>
          <w:szCs w:val="24"/>
        </w:rPr>
      </w:pPr>
      <w:r w:rsidRPr="00F55E50">
        <w:rPr>
          <w:szCs w:val="24"/>
        </w:rPr>
        <w:t xml:space="preserve">1) turpināt pakāpenisku un savlaicīgu aizņemšanos starptautiskajos finanšu tirgos, galvenokārt organizējot regulāras publiskas valsts parāda vērtspapīru emisijas, lai saskaņā ar noteiktiem atmaksas grafikiem nodrošinātu </w:t>
      </w:r>
      <w:r>
        <w:rPr>
          <w:szCs w:val="24"/>
        </w:rPr>
        <w:t>Aizdevuma</w:t>
      </w:r>
      <w:r w:rsidRPr="005F00E5">
        <w:rPr>
          <w:szCs w:val="24"/>
        </w:rPr>
        <w:t xml:space="preserve"> programmas ietvaros uzņemto </w:t>
      </w:r>
      <w:r w:rsidR="0090733A">
        <w:rPr>
          <w:szCs w:val="24"/>
        </w:rPr>
        <w:t xml:space="preserve">centrālās valdības </w:t>
      </w:r>
      <w:r w:rsidRPr="005F00E5">
        <w:rPr>
          <w:szCs w:val="24"/>
        </w:rPr>
        <w:t>parāda saistību pārfinansēšanu ar aizņēmumu likmju un termiņu ziņā labvēlīgiem nosacījumiem;</w:t>
      </w:r>
    </w:p>
    <w:p w14:paraId="31DF0FFE" w14:textId="0EE49CA6" w:rsidR="00955652" w:rsidRPr="005F00E5" w:rsidRDefault="00955652" w:rsidP="00955652">
      <w:pPr>
        <w:spacing w:after="0"/>
        <w:ind w:firstLine="720"/>
        <w:rPr>
          <w:szCs w:val="24"/>
        </w:rPr>
      </w:pPr>
      <w:r w:rsidRPr="005F00E5">
        <w:rPr>
          <w:szCs w:val="24"/>
        </w:rPr>
        <w:t>2) nodrošināt valsts vērtspapīru investoru loka diversifikāciju un paplašināšanu, īstenojot regulāru, pastāvīgu dialogu un ilgtermiņa darbu ar investoriem un sadarbības partneriem, lai veicinātu dažādu pasaules reģionu investoru aktīvu dalību valsts ārējā aizņēmuma vērtspapīru sākotnējā izvietoša</w:t>
      </w:r>
      <w:r w:rsidR="0090733A">
        <w:rPr>
          <w:szCs w:val="24"/>
        </w:rPr>
        <w:t>nā</w:t>
      </w:r>
      <w:r w:rsidRPr="005F00E5">
        <w:rPr>
          <w:szCs w:val="24"/>
        </w:rPr>
        <w:t>;</w:t>
      </w:r>
    </w:p>
    <w:p w14:paraId="55754609" w14:textId="77777777" w:rsidR="00955652" w:rsidRPr="005F00E5" w:rsidRDefault="00955652" w:rsidP="00955652">
      <w:pPr>
        <w:spacing w:after="0"/>
        <w:ind w:firstLine="720"/>
        <w:rPr>
          <w:szCs w:val="24"/>
        </w:rPr>
      </w:pPr>
      <w:r w:rsidRPr="005F00E5">
        <w:rPr>
          <w:szCs w:val="24"/>
        </w:rPr>
        <w:t xml:space="preserve">3) ņemot vērā Latvijas virzību uz pievienošanos </w:t>
      </w:r>
      <w:proofErr w:type="spellStart"/>
      <w:r w:rsidRPr="005F00E5">
        <w:rPr>
          <w:szCs w:val="24"/>
        </w:rPr>
        <w:t>e</w:t>
      </w:r>
      <w:r>
        <w:rPr>
          <w:szCs w:val="24"/>
        </w:rPr>
        <w:t>i</w:t>
      </w:r>
      <w:r w:rsidRPr="005F00E5">
        <w:rPr>
          <w:szCs w:val="24"/>
        </w:rPr>
        <w:t>rozonai</w:t>
      </w:r>
      <w:proofErr w:type="spellEnd"/>
      <w:r w:rsidRPr="005F00E5">
        <w:rPr>
          <w:szCs w:val="24"/>
        </w:rPr>
        <w:t>, veicināt iekšzemes finanšu tirgus attīstību un nodrošināt atbilstošas ieguldījumu iespējas iekšzemes finanšu tirgus dalībniekiem, pilnveidojot piedāvāto finanšu instrumentu spektru atbilstoši investoru pieprasījumam, lai izmantotu aizņemšanās iekšzemes finanšu tirgū potenciālu.</w:t>
      </w:r>
    </w:p>
    <w:p w14:paraId="0F0C9B0B" w14:textId="66F79CB7" w:rsidR="00955652" w:rsidRPr="005F00E5" w:rsidRDefault="00955652" w:rsidP="00955652">
      <w:pPr>
        <w:rPr>
          <w:szCs w:val="24"/>
        </w:rPr>
      </w:pPr>
      <w:r w:rsidRPr="005F00E5">
        <w:rPr>
          <w:szCs w:val="24"/>
        </w:rPr>
        <w:t xml:space="preserve">Ņemot vērā vidējā termiņā atmaksājamo </w:t>
      </w:r>
      <w:r w:rsidR="0090733A">
        <w:rPr>
          <w:szCs w:val="24"/>
        </w:rPr>
        <w:t>centrālās valdības</w:t>
      </w:r>
      <w:r w:rsidRPr="005F00E5">
        <w:rPr>
          <w:szCs w:val="24"/>
        </w:rPr>
        <w:t xml:space="preserve"> parāda saistību ievērojamu apjomu (2013. – 2016.gadā LVL 2,6 mljrd. apmērā), kurā lielāko īpatsvaru veido 2014. un 2015.gadā atmaksājamie </w:t>
      </w:r>
      <w:r>
        <w:rPr>
          <w:szCs w:val="24"/>
        </w:rPr>
        <w:t>Aizdevuma</w:t>
      </w:r>
      <w:r w:rsidRPr="005F00E5">
        <w:rPr>
          <w:szCs w:val="24"/>
        </w:rPr>
        <w:t xml:space="preserve"> programmas ietvaros piešķirtie </w:t>
      </w:r>
      <w:r>
        <w:rPr>
          <w:szCs w:val="24"/>
        </w:rPr>
        <w:t>EK</w:t>
      </w:r>
      <w:r w:rsidRPr="005F00E5">
        <w:rPr>
          <w:szCs w:val="24"/>
        </w:rPr>
        <w:t xml:space="preserve"> aizdevumi un 2014.gadā dzēšamās eiroobligācijas (sk. </w:t>
      </w:r>
      <w:r>
        <w:rPr>
          <w:szCs w:val="24"/>
        </w:rPr>
        <w:t>4.</w:t>
      </w:r>
      <w:r w:rsidR="001F23F6">
        <w:rPr>
          <w:szCs w:val="24"/>
        </w:rPr>
        <w:t>6</w:t>
      </w:r>
      <w:r w:rsidRPr="005F00E5">
        <w:rPr>
          <w:szCs w:val="24"/>
        </w:rPr>
        <w:t xml:space="preserve">.attēlu), jānodrošina atbilstoša finansējuma savlaicīga piesaiste, lai samazinātu </w:t>
      </w:r>
      <w:r w:rsidR="0090733A">
        <w:rPr>
          <w:szCs w:val="24"/>
        </w:rPr>
        <w:t>centrālās valdības</w:t>
      </w:r>
      <w:r w:rsidRPr="005F00E5">
        <w:rPr>
          <w:szCs w:val="24"/>
        </w:rPr>
        <w:t xml:space="preserve"> parāda pārfinansēšanas risku.</w:t>
      </w:r>
    </w:p>
    <w:p w14:paraId="71A4AB51" w14:textId="77777777" w:rsidR="00955652" w:rsidRDefault="00955652" w:rsidP="00955652">
      <w:pPr>
        <w:spacing w:after="0"/>
        <w:ind w:firstLine="0"/>
        <w:jc w:val="center"/>
        <w:rPr>
          <w:b/>
          <w:sz w:val="26"/>
          <w:szCs w:val="26"/>
        </w:rPr>
      </w:pPr>
      <w:r>
        <w:rPr>
          <w:b/>
          <w:noProof/>
          <w:sz w:val="26"/>
          <w:szCs w:val="26"/>
          <w:lang w:eastAsia="lv-LV"/>
        </w:rPr>
        <w:drawing>
          <wp:inline distT="0" distB="0" distL="0" distR="0" wp14:anchorId="6F2EA66A" wp14:editId="6BB334E7">
            <wp:extent cx="5610116" cy="190322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25364" cy="1908401"/>
                    </a:xfrm>
                    <a:prstGeom prst="rect">
                      <a:avLst/>
                    </a:prstGeom>
                    <a:noFill/>
                  </pic:spPr>
                </pic:pic>
              </a:graphicData>
            </a:graphic>
          </wp:inline>
        </w:drawing>
      </w:r>
    </w:p>
    <w:p w14:paraId="554D36B7" w14:textId="77777777" w:rsidR="00955652" w:rsidRPr="005F00E5" w:rsidRDefault="00955652" w:rsidP="00955652">
      <w:pPr>
        <w:spacing w:after="0"/>
        <w:ind w:firstLine="0"/>
        <w:jc w:val="center"/>
        <w:rPr>
          <w:szCs w:val="24"/>
        </w:rPr>
      </w:pPr>
      <w:r>
        <w:rPr>
          <w:szCs w:val="24"/>
        </w:rPr>
        <w:t>4.</w:t>
      </w:r>
      <w:r w:rsidR="001F23F6">
        <w:rPr>
          <w:szCs w:val="24"/>
        </w:rPr>
        <w:t>6</w:t>
      </w:r>
      <w:r w:rsidRPr="005F00E5">
        <w:rPr>
          <w:szCs w:val="24"/>
        </w:rPr>
        <w:t xml:space="preserve">.attēls. Centrālās valdības parāda atmaksas profils </w:t>
      </w:r>
    </w:p>
    <w:p w14:paraId="0E38E0BA" w14:textId="77777777" w:rsidR="00955652" w:rsidRPr="005F00E5" w:rsidRDefault="00955652" w:rsidP="00955652">
      <w:pPr>
        <w:ind w:firstLine="0"/>
        <w:jc w:val="center"/>
        <w:rPr>
          <w:szCs w:val="24"/>
        </w:rPr>
      </w:pPr>
      <w:r w:rsidRPr="005F00E5">
        <w:rPr>
          <w:szCs w:val="24"/>
        </w:rPr>
        <w:t>(līdz 2013.gada 31.martam uzņemtās saistības, nominālvērtībā)</w:t>
      </w:r>
    </w:p>
    <w:p w14:paraId="3711F5AB" w14:textId="77777777" w:rsidR="00955652" w:rsidRPr="005F00E5" w:rsidRDefault="00955652" w:rsidP="00955652">
      <w:pPr>
        <w:ind w:firstLine="720"/>
        <w:rPr>
          <w:szCs w:val="24"/>
        </w:rPr>
      </w:pPr>
      <w:r w:rsidRPr="005F00E5">
        <w:rPr>
          <w:szCs w:val="24"/>
        </w:rPr>
        <w:t xml:space="preserve">Ņemot vērā aizņemšanās stratēģiskos mērķus, tuvākajos gados tieši ārēja aizņēmuma instrumenti veidos būtiskāko daļu no kopēja piesaistāmā finanšu resursu apjoma. Aizņēmumus starptautiskajos finanšu un kapitāla tirgos plānots balstīt uz publiskiem darījumiem globālajos finanšu tirgos – ASV un Eiropā, kā arī vēršoties pie citu reģionu investoriem. </w:t>
      </w:r>
    </w:p>
    <w:p w14:paraId="470A8081" w14:textId="77777777" w:rsidR="00955652" w:rsidRPr="005F00E5" w:rsidRDefault="00955652" w:rsidP="00955652">
      <w:pPr>
        <w:ind w:firstLine="720"/>
        <w:rPr>
          <w:szCs w:val="24"/>
        </w:rPr>
      </w:pPr>
      <w:r w:rsidRPr="005F00E5">
        <w:rPr>
          <w:szCs w:val="24"/>
        </w:rPr>
        <w:t xml:space="preserve">Iekšzemes finanšu tirgū arī turpmāk plānots piedāvāt pilnu iekšējā aizņēmuma vērtspapīru standarta termiņu spektru – no īstermiņa līdz ilgtermiņa vērtspapīriem, sekmējot valsts vērtspapīru tirgus attīstību un aktivitāti ar Primāro dīleru sistēmu, kas darbojas kopš 2013.gada sākuma. Primāro dīleru sistēma veicinās likvīdāka un investoriem pievilcīgāka valsts vērtspapīru tirgus veidošanos, sekmējot investoru pieprasījuma pēc valsts iekšējā aizņēmuma vērtspapīriem pieaugumu. Lai veicinātu potenciāli jaunu ieguldītāju – privātpersonu – ieguldījumus iekšzemes finanšu tirgus instrumentos, sākot ar 2013.gadu plānots iedzīvotājiem piedāvāt iespēju iegādāties valsts </w:t>
      </w:r>
      <w:proofErr w:type="spellStart"/>
      <w:r w:rsidRPr="005F00E5">
        <w:rPr>
          <w:szCs w:val="24"/>
        </w:rPr>
        <w:t>krājobligācijas</w:t>
      </w:r>
      <w:proofErr w:type="spellEnd"/>
      <w:r w:rsidRPr="005F00E5">
        <w:rPr>
          <w:szCs w:val="24"/>
        </w:rPr>
        <w:t xml:space="preserve">. </w:t>
      </w:r>
    </w:p>
    <w:p w14:paraId="78F0B777" w14:textId="7D957A2A" w:rsidR="00955652" w:rsidRPr="005F00E5" w:rsidRDefault="00955652" w:rsidP="00955652">
      <w:pPr>
        <w:ind w:firstLine="720"/>
        <w:rPr>
          <w:b/>
          <w:bCs/>
          <w:szCs w:val="24"/>
        </w:rPr>
      </w:pPr>
      <w:r w:rsidRPr="005F00E5">
        <w:rPr>
          <w:szCs w:val="24"/>
        </w:rPr>
        <w:t xml:space="preserve">Veicot savlaicīgus aizņemšanās pasākumus atbilstoši vidējā termiņa stratēģijai, kā arī turpinot īstenot ilgtspējīgu fiskālo politiku, ir iespējams ar likmju un termiņu ziņā labvēlīgiem </w:t>
      </w:r>
      <w:r w:rsidRPr="005F00E5">
        <w:rPr>
          <w:szCs w:val="24"/>
        </w:rPr>
        <w:lastRenderedPageBreak/>
        <w:t xml:space="preserve">nosacījumiem pārfinansēt pašreiz uzņemtās </w:t>
      </w:r>
      <w:r w:rsidR="0051389D">
        <w:rPr>
          <w:szCs w:val="24"/>
        </w:rPr>
        <w:t>centrālās valdības</w:t>
      </w:r>
      <w:r w:rsidRPr="005F00E5">
        <w:rPr>
          <w:szCs w:val="24"/>
        </w:rPr>
        <w:t xml:space="preserve"> parāda saistības, kā arī ilgtermiņā panākt </w:t>
      </w:r>
      <w:r w:rsidR="0051389D">
        <w:rPr>
          <w:szCs w:val="24"/>
        </w:rPr>
        <w:t>vispārējās valdības</w:t>
      </w:r>
      <w:r w:rsidRPr="005F00E5">
        <w:rPr>
          <w:szCs w:val="24"/>
        </w:rPr>
        <w:t xml:space="preserve"> parāda līmeņa samazināšanos un stabilizēšanos ilgtspējīgā līmenī, pārliecinoši ievērojot Māstrihtas līgumā noteikto vispārējās valdības parāda apjoma kritēriju (sk. </w:t>
      </w:r>
      <w:r>
        <w:rPr>
          <w:szCs w:val="24"/>
        </w:rPr>
        <w:t>4.</w:t>
      </w:r>
      <w:r w:rsidR="001F23F6">
        <w:rPr>
          <w:szCs w:val="24"/>
        </w:rPr>
        <w:t>7</w:t>
      </w:r>
      <w:r w:rsidRPr="005F00E5">
        <w:rPr>
          <w:szCs w:val="24"/>
        </w:rPr>
        <w:t>.attēlu).</w:t>
      </w:r>
    </w:p>
    <w:p w14:paraId="45BB51EE" w14:textId="77777777" w:rsidR="00955652" w:rsidRPr="002301FB" w:rsidRDefault="00955652" w:rsidP="00955652">
      <w:pPr>
        <w:ind w:firstLine="0"/>
        <w:jc w:val="center"/>
        <w:rPr>
          <w:sz w:val="26"/>
          <w:szCs w:val="26"/>
        </w:rPr>
      </w:pPr>
      <w:r>
        <w:rPr>
          <w:noProof/>
          <w:sz w:val="26"/>
          <w:szCs w:val="26"/>
          <w:lang w:eastAsia="lv-LV"/>
        </w:rPr>
        <w:drawing>
          <wp:inline distT="0" distB="0" distL="0" distR="0" wp14:anchorId="5501809F" wp14:editId="35B03399">
            <wp:extent cx="4922874" cy="222220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44830" cy="2232116"/>
                    </a:xfrm>
                    <a:prstGeom prst="rect">
                      <a:avLst/>
                    </a:prstGeom>
                    <a:noFill/>
                  </pic:spPr>
                </pic:pic>
              </a:graphicData>
            </a:graphic>
          </wp:inline>
        </w:drawing>
      </w:r>
    </w:p>
    <w:p w14:paraId="3E43017C" w14:textId="77777777" w:rsidR="00955652" w:rsidRPr="005F00E5" w:rsidRDefault="00955652" w:rsidP="00955652">
      <w:pPr>
        <w:ind w:firstLine="0"/>
        <w:jc w:val="center"/>
        <w:rPr>
          <w:szCs w:val="24"/>
        </w:rPr>
      </w:pPr>
      <w:r>
        <w:rPr>
          <w:szCs w:val="24"/>
        </w:rPr>
        <w:t>4.</w:t>
      </w:r>
      <w:r w:rsidR="001F23F6">
        <w:rPr>
          <w:szCs w:val="24"/>
        </w:rPr>
        <w:t>7</w:t>
      </w:r>
      <w:r w:rsidRPr="005F00E5">
        <w:rPr>
          <w:szCs w:val="24"/>
        </w:rPr>
        <w:t>.attēls. Vispārējās valdības parāda attīstības tendences (% no IKP)</w:t>
      </w:r>
    </w:p>
    <w:p w14:paraId="2B9CCCB6" w14:textId="77777777" w:rsidR="005231AC" w:rsidRPr="00607A2A" w:rsidRDefault="005231AC" w:rsidP="0088146B">
      <w:pPr>
        <w:pStyle w:val="otrais"/>
        <w:rPr>
          <w:szCs w:val="32"/>
        </w:rPr>
      </w:pPr>
    </w:p>
    <w:p w14:paraId="396633B7" w14:textId="77777777" w:rsidR="000F6956" w:rsidRPr="009C61B1" w:rsidRDefault="00283B8B" w:rsidP="002D62B9">
      <w:pPr>
        <w:pStyle w:val="PIRMAIS"/>
      </w:pPr>
      <w:bookmarkStart w:id="38" w:name="_Toc354671225"/>
      <w:bookmarkStart w:id="39" w:name="_Toc284924054"/>
      <w:bookmarkStart w:id="40" w:name="_Toc92091188"/>
      <w:bookmarkStart w:id="41" w:name="_Toc120504687"/>
      <w:bookmarkStart w:id="42" w:name="_Toc155518728"/>
      <w:bookmarkStart w:id="43" w:name="_Toc214080403"/>
      <w:bookmarkStart w:id="44" w:name="_Toc215906646"/>
      <w:bookmarkStart w:id="45" w:name="_Toc120504688"/>
      <w:bookmarkEnd w:id="19"/>
      <w:bookmarkEnd w:id="20"/>
      <w:r>
        <w:lastRenderedPageBreak/>
        <w:t>5</w:t>
      </w:r>
      <w:r w:rsidR="000F6956" w:rsidRPr="009C61B1">
        <w:t>.</w:t>
      </w:r>
      <w:r w:rsidR="000F6956" w:rsidRPr="009C61B1">
        <w:tab/>
        <w:t>Jutīguma analīze un salīdzinājums</w:t>
      </w:r>
      <w:bookmarkEnd w:id="38"/>
      <w:r w:rsidR="000F6956" w:rsidRPr="009C61B1">
        <w:t xml:space="preserve"> </w:t>
      </w:r>
      <w:bookmarkEnd w:id="39"/>
    </w:p>
    <w:p w14:paraId="20DAC5E7" w14:textId="77777777" w:rsidR="000F6956" w:rsidRDefault="00283B8B" w:rsidP="002D62B9">
      <w:pPr>
        <w:pStyle w:val="otrais"/>
        <w:rPr>
          <w:szCs w:val="32"/>
        </w:rPr>
      </w:pPr>
      <w:bookmarkStart w:id="46" w:name="_Toc290024504"/>
      <w:bookmarkStart w:id="47" w:name="_Toc354671226"/>
      <w:bookmarkEnd w:id="40"/>
      <w:bookmarkEnd w:id="41"/>
      <w:bookmarkEnd w:id="42"/>
      <w:bookmarkEnd w:id="43"/>
      <w:bookmarkEnd w:id="44"/>
      <w:r w:rsidRPr="00914541">
        <w:rPr>
          <w:szCs w:val="32"/>
        </w:rPr>
        <w:t>5</w:t>
      </w:r>
      <w:r w:rsidR="000F6956" w:rsidRPr="00914541">
        <w:rPr>
          <w:szCs w:val="32"/>
        </w:rPr>
        <w:t>.1. Makroekonomiskā scenārija riski</w:t>
      </w:r>
      <w:bookmarkEnd w:id="46"/>
      <w:bookmarkEnd w:id="47"/>
    </w:p>
    <w:p w14:paraId="03E70145" w14:textId="77777777" w:rsidR="007043C5" w:rsidRPr="001B00AF" w:rsidRDefault="007043C5" w:rsidP="001D4221">
      <w:pPr>
        <w:ind w:firstLine="720"/>
        <w:rPr>
          <w:color w:val="FF0000"/>
          <w:szCs w:val="24"/>
        </w:rPr>
      </w:pPr>
      <w:r w:rsidRPr="00C85CA0">
        <w:rPr>
          <w:szCs w:val="24"/>
        </w:rPr>
        <w:t>Makroekonomiskā scenārija izpildi 2013. – 2016. gadā</w:t>
      </w:r>
      <w:r w:rsidRPr="001B00AF">
        <w:rPr>
          <w:color w:val="FF0000"/>
          <w:szCs w:val="24"/>
        </w:rPr>
        <w:t xml:space="preserve"> </w:t>
      </w:r>
      <w:r w:rsidRPr="00C00F3E">
        <w:rPr>
          <w:szCs w:val="24"/>
        </w:rPr>
        <w:t>ietekmēs ārējās vides turpmākā attīstība. Latvijas ekonomikas atkarību no ārējās vides izmaiņām nosaka augstais eksporta īpatsvars IKP un Skandināv</w:t>
      </w:r>
      <w:r>
        <w:rPr>
          <w:szCs w:val="24"/>
        </w:rPr>
        <w:t>ijas</w:t>
      </w:r>
      <w:r w:rsidRPr="00C00F3E">
        <w:rPr>
          <w:szCs w:val="24"/>
        </w:rPr>
        <w:t xml:space="preserve"> banku īpatsvars Latvijas banku sektorā. Galvenais risku avots pasaules ekonomikas izaugsmē ir situācijas neuzlabošanās vai pat turpmāka pasliktināšanās Eiropā - satricinājumi finanšu sistēmā, atsevišķu valstu finanšu ilgtspēja un parāda apkalpošanas izmaksas, nepieciešamie fiskālās konsolidācijas pasākumi.</w:t>
      </w:r>
    </w:p>
    <w:p w14:paraId="50285915" w14:textId="77777777" w:rsidR="007043C5" w:rsidRPr="00C673E7" w:rsidRDefault="007043C5" w:rsidP="001D4221">
      <w:pPr>
        <w:ind w:firstLine="720"/>
        <w:rPr>
          <w:szCs w:val="24"/>
        </w:rPr>
      </w:pPr>
      <w:r w:rsidRPr="00C673E7">
        <w:rPr>
          <w:szCs w:val="24"/>
        </w:rPr>
        <w:t xml:space="preserve">Papildus ārējās vides riskiem makroekonomiskā scenārija izpildi ietekmēs arī iekšējie faktori – uzņēmumu iespējas piesaistīt </w:t>
      </w:r>
      <w:r>
        <w:rPr>
          <w:szCs w:val="24"/>
        </w:rPr>
        <w:t xml:space="preserve">finanšu līdzekļus </w:t>
      </w:r>
      <w:r w:rsidRPr="00C673E7">
        <w:rPr>
          <w:szCs w:val="24"/>
        </w:rPr>
        <w:t>un īstenot investīciju projektus, lai palielinātu ražošanas jaudas, situācija darba tirgū, kreditēšanas attīstība u.c. faktori, kas tiešā veidā ietekmē valsts kredītreitingu, procentu likmes, konfidences rādītājus un iekšzemes pieprasījumu.</w:t>
      </w:r>
    </w:p>
    <w:p w14:paraId="36EE4A21" w14:textId="77777777" w:rsidR="007043C5" w:rsidRPr="00C00F3E" w:rsidRDefault="007043C5" w:rsidP="001D4221">
      <w:pPr>
        <w:rPr>
          <w:szCs w:val="24"/>
          <w:lang w:eastAsia="lv-LV"/>
        </w:rPr>
      </w:pPr>
      <w:r w:rsidRPr="00C00F3E">
        <w:rPr>
          <w:szCs w:val="24"/>
        </w:rPr>
        <w:t xml:space="preserve">Makroekonomiskos riskus, kas noteiks tautsaimniecības attīstību Konverģences programmas periodā, var iedalīt negatīvajos un pozitīvajos. Makroekonomiskās attīstības scenārijs ir balstīts uz konservatīviem pieņēmumiem par ārējā un iekšējā pieprasījuma pieaugumu un ņem vērā gan iekšējos, gan ārējos riskus. Jāņem vērā, ka </w:t>
      </w:r>
      <w:r w:rsidRPr="00C00F3E">
        <w:rPr>
          <w:szCs w:val="24"/>
          <w:lang w:eastAsia="lv-LV"/>
        </w:rPr>
        <w:t>vairāku risku vienlaicīga īstenošanās var pastiprināt to efektu.</w:t>
      </w:r>
    </w:p>
    <w:p w14:paraId="6E9EA31C" w14:textId="77777777" w:rsidR="007043C5" w:rsidRPr="001B00AF" w:rsidRDefault="007043C5" w:rsidP="007043C5">
      <w:pPr>
        <w:rPr>
          <w:color w:val="FF0000"/>
          <w:szCs w:val="24"/>
          <w:u w:val="single"/>
        </w:rPr>
      </w:pPr>
    </w:p>
    <w:p w14:paraId="56E4622E" w14:textId="77777777" w:rsidR="007043C5" w:rsidRPr="00B2246F" w:rsidRDefault="007043C5" w:rsidP="007043C5">
      <w:pPr>
        <w:rPr>
          <w:szCs w:val="24"/>
          <w:u w:val="single"/>
        </w:rPr>
      </w:pPr>
      <w:r>
        <w:rPr>
          <w:szCs w:val="24"/>
          <w:u w:val="single"/>
        </w:rPr>
        <w:t>Negatīvie  riski</w:t>
      </w:r>
    </w:p>
    <w:p w14:paraId="1297660A" w14:textId="77777777" w:rsidR="007043C5" w:rsidRPr="009579D3" w:rsidRDefault="007043C5" w:rsidP="007043C5">
      <w:pPr>
        <w:pStyle w:val="ListParagraph"/>
        <w:numPr>
          <w:ilvl w:val="0"/>
          <w:numId w:val="8"/>
        </w:numPr>
        <w:spacing w:after="0" w:line="240" w:lineRule="auto"/>
        <w:jc w:val="both"/>
        <w:rPr>
          <w:rFonts w:ascii="Times New Roman" w:hAnsi="Times New Roman"/>
          <w:sz w:val="24"/>
          <w:szCs w:val="24"/>
          <w:lang w:eastAsia="lv-LV"/>
        </w:rPr>
      </w:pPr>
      <w:r w:rsidRPr="00F752AA">
        <w:rPr>
          <w:rFonts w:ascii="Times New Roman" w:hAnsi="Times New Roman"/>
          <w:b/>
          <w:sz w:val="24"/>
          <w:szCs w:val="24"/>
          <w:lang w:eastAsia="lv-LV"/>
        </w:rPr>
        <w:t>Ekonomikas izaugsme</w:t>
      </w:r>
      <w:r w:rsidR="00151FC8" w:rsidRPr="00DA405B">
        <w:rPr>
          <w:rFonts w:ascii="Times New Roman" w:hAnsi="Times New Roman"/>
          <w:b/>
          <w:sz w:val="24"/>
          <w:lang w:val="lv-LV"/>
        </w:rPr>
        <w:t>s</w:t>
      </w:r>
      <w:r w:rsidRPr="00F752AA">
        <w:rPr>
          <w:rFonts w:ascii="Times New Roman" w:hAnsi="Times New Roman"/>
          <w:b/>
          <w:sz w:val="24"/>
          <w:szCs w:val="24"/>
          <w:lang w:eastAsia="lv-LV"/>
        </w:rPr>
        <w:t xml:space="preserve"> atjaunošanās </w:t>
      </w:r>
      <w:proofErr w:type="spellStart"/>
      <w:r w:rsidRPr="00F752AA">
        <w:rPr>
          <w:rFonts w:ascii="Times New Roman" w:hAnsi="Times New Roman"/>
          <w:b/>
          <w:sz w:val="24"/>
          <w:szCs w:val="24"/>
          <w:lang w:eastAsia="lv-LV"/>
        </w:rPr>
        <w:t>eirozonā</w:t>
      </w:r>
      <w:proofErr w:type="spellEnd"/>
      <w:r w:rsidRPr="00F752AA">
        <w:rPr>
          <w:rFonts w:ascii="Times New Roman" w:hAnsi="Times New Roman"/>
          <w:b/>
          <w:sz w:val="24"/>
          <w:szCs w:val="24"/>
          <w:lang w:eastAsia="lv-LV"/>
        </w:rPr>
        <w:t xml:space="preserve"> var notikt lēnāk kā prognozēts</w:t>
      </w:r>
      <w:r w:rsidRPr="003D3163">
        <w:rPr>
          <w:rFonts w:ascii="Times New Roman" w:hAnsi="Times New Roman"/>
          <w:sz w:val="24"/>
          <w:szCs w:val="24"/>
          <w:lang w:eastAsia="lv-LV"/>
        </w:rPr>
        <w:t xml:space="preserve">. </w:t>
      </w:r>
      <w:r w:rsidRPr="00733F5E">
        <w:rPr>
          <w:rFonts w:ascii="Times New Roman" w:hAnsi="Times New Roman"/>
          <w:sz w:val="24"/>
          <w:szCs w:val="24"/>
          <w:lang w:eastAsia="lv-LV"/>
        </w:rPr>
        <w:t xml:space="preserve"> </w:t>
      </w:r>
      <w:r>
        <w:rPr>
          <w:rFonts w:ascii="Times New Roman" w:hAnsi="Times New Roman"/>
          <w:sz w:val="24"/>
          <w:szCs w:val="24"/>
          <w:lang w:eastAsia="lv-LV"/>
        </w:rPr>
        <w:t>P</w:t>
      </w:r>
      <w:r w:rsidRPr="00733F5E">
        <w:rPr>
          <w:rFonts w:ascii="Times New Roman" w:hAnsi="Times New Roman"/>
          <w:sz w:val="24"/>
          <w:szCs w:val="24"/>
          <w:lang w:eastAsia="lv-LV"/>
        </w:rPr>
        <w:t xml:space="preserve">ēdējo mēnešu laikā </w:t>
      </w:r>
      <w:r w:rsidRPr="00DA405B">
        <w:rPr>
          <w:rFonts w:ascii="Times New Roman" w:hAnsi="Times New Roman"/>
          <w:sz w:val="24"/>
          <w:lang w:val="lv-LV"/>
        </w:rPr>
        <w:t xml:space="preserve">panāktie risinājumi </w:t>
      </w:r>
      <w:r w:rsidRPr="00733F5E">
        <w:rPr>
          <w:rFonts w:ascii="Times New Roman" w:hAnsi="Times New Roman"/>
          <w:sz w:val="24"/>
          <w:szCs w:val="24"/>
          <w:lang w:eastAsia="lv-LV"/>
        </w:rPr>
        <w:t xml:space="preserve">vairākos ar </w:t>
      </w:r>
      <w:proofErr w:type="spellStart"/>
      <w:r w:rsidRPr="00733F5E">
        <w:rPr>
          <w:rFonts w:ascii="Times New Roman" w:hAnsi="Times New Roman"/>
          <w:sz w:val="24"/>
          <w:szCs w:val="24"/>
          <w:lang w:eastAsia="lv-LV"/>
        </w:rPr>
        <w:t>eirozonas</w:t>
      </w:r>
      <w:proofErr w:type="spellEnd"/>
      <w:r w:rsidRPr="00733F5E">
        <w:rPr>
          <w:rFonts w:ascii="Times New Roman" w:hAnsi="Times New Roman"/>
          <w:sz w:val="24"/>
          <w:szCs w:val="24"/>
          <w:lang w:eastAsia="lv-LV"/>
        </w:rPr>
        <w:t xml:space="preserve"> parāda krīzi saistītos jautājumos </w:t>
      </w:r>
      <w:r w:rsidRPr="00DA405B">
        <w:rPr>
          <w:rFonts w:ascii="Times New Roman" w:hAnsi="Times New Roman"/>
          <w:sz w:val="24"/>
          <w:lang w:val="lv-LV"/>
        </w:rPr>
        <w:t>(</w:t>
      </w:r>
      <w:r w:rsidRPr="00887F18">
        <w:rPr>
          <w:rFonts w:ascii="Times New Roman" w:hAnsi="Times New Roman"/>
          <w:sz w:val="24"/>
          <w:szCs w:val="24"/>
          <w:lang w:eastAsia="lv-LV"/>
        </w:rPr>
        <w:t>Eiropas Stabilitātes mehānisma iedibināšana, progress vienotas kredītiestāžu savienības izveidē</w:t>
      </w:r>
      <w:r w:rsidRPr="00DA405B">
        <w:rPr>
          <w:rFonts w:ascii="Times New Roman" w:hAnsi="Times New Roman"/>
          <w:sz w:val="24"/>
          <w:lang w:val="lv-LV"/>
        </w:rPr>
        <w:t xml:space="preserve">) </w:t>
      </w:r>
      <w:r>
        <w:rPr>
          <w:rFonts w:ascii="Times New Roman" w:hAnsi="Times New Roman"/>
          <w:sz w:val="24"/>
          <w:szCs w:val="24"/>
          <w:lang w:eastAsia="lv-LV"/>
        </w:rPr>
        <w:t xml:space="preserve">var nebūt </w:t>
      </w:r>
      <w:r w:rsidRPr="00DA405B">
        <w:rPr>
          <w:rFonts w:ascii="Times New Roman" w:hAnsi="Times New Roman"/>
          <w:sz w:val="24"/>
          <w:lang w:val="lv-LV"/>
        </w:rPr>
        <w:t>pietiekami</w:t>
      </w:r>
      <w:r>
        <w:rPr>
          <w:rFonts w:ascii="Times New Roman" w:hAnsi="Times New Roman"/>
          <w:sz w:val="24"/>
          <w:szCs w:val="24"/>
          <w:lang w:eastAsia="lv-LV"/>
        </w:rPr>
        <w:t>.</w:t>
      </w:r>
      <w:r w:rsidRPr="00DA405B">
        <w:rPr>
          <w:rFonts w:ascii="Times New Roman" w:hAnsi="Times New Roman"/>
          <w:sz w:val="24"/>
          <w:lang w:val="lv-LV"/>
        </w:rPr>
        <w:t xml:space="preserve"> </w:t>
      </w:r>
      <w:r w:rsidRPr="003D3163">
        <w:rPr>
          <w:rFonts w:ascii="Times New Roman" w:hAnsi="Times New Roman"/>
          <w:sz w:val="24"/>
          <w:szCs w:val="24"/>
          <w:lang w:eastAsia="lv-LV"/>
        </w:rPr>
        <w:t>Valst</w:t>
      </w:r>
      <w:r w:rsidRPr="00DA405B">
        <w:rPr>
          <w:rFonts w:ascii="Times New Roman" w:hAnsi="Times New Roman"/>
          <w:sz w:val="24"/>
          <w:lang w:val="lv-LV"/>
        </w:rPr>
        <w:t>īm</w:t>
      </w:r>
      <w:r w:rsidRPr="003D3163">
        <w:rPr>
          <w:rFonts w:ascii="Times New Roman" w:hAnsi="Times New Roman"/>
          <w:sz w:val="24"/>
          <w:szCs w:val="24"/>
          <w:lang w:eastAsia="lv-LV"/>
        </w:rPr>
        <w:t xml:space="preserve"> nespējot veikt nopietnas strukturālās reformas un mazināt budžeta deficītus</w:t>
      </w:r>
      <w:r w:rsidRPr="00DA405B">
        <w:rPr>
          <w:rFonts w:ascii="Times New Roman" w:hAnsi="Times New Roman"/>
          <w:sz w:val="24"/>
          <w:lang w:val="lv-LV"/>
        </w:rPr>
        <w:t>,</w:t>
      </w:r>
      <w:r w:rsidRPr="003D3163">
        <w:rPr>
          <w:rFonts w:ascii="Times New Roman" w:hAnsi="Times New Roman"/>
          <w:sz w:val="24"/>
          <w:szCs w:val="24"/>
          <w:lang w:eastAsia="lv-LV"/>
        </w:rPr>
        <w:t xml:space="preserve"> </w:t>
      </w:r>
      <w:r w:rsidRPr="00DA405B">
        <w:rPr>
          <w:rFonts w:ascii="Times New Roman" w:hAnsi="Times New Roman"/>
          <w:sz w:val="24"/>
          <w:lang w:val="lv-LV"/>
        </w:rPr>
        <w:t xml:space="preserve">var atjaunoties </w:t>
      </w:r>
      <w:r w:rsidRPr="003D3163">
        <w:rPr>
          <w:rFonts w:ascii="Times New Roman" w:hAnsi="Times New Roman"/>
          <w:sz w:val="24"/>
          <w:szCs w:val="24"/>
          <w:lang w:eastAsia="lv-LV"/>
        </w:rPr>
        <w:t>spriedze</w:t>
      </w:r>
      <w:r>
        <w:rPr>
          <w:rFonts w:ascii="Times New Roman" w:hAnsi="Times New Roman"/>
          <w:sz w:val="24"/>
          <w:szCs w:val="24"/>
          <w:lang w:eastAsia="lv-LV"/>
        </w:rPr>
        <w:t xml:space="preserve"> finanšu tirgos.</w:t>
      </w:r>
      <w:r w:rsidRPr="003D3163">
        <w:rPr>
          <w:rFonts w:ascii="Times New Roman" w:hAnsi="Times New Roman"/>
          <w:sz w:val="24"/>
          <w:szCs w:val="24"/>
          <w:lang w:eastAsia="lv-LV"/>
        </w:rPr>
        <w:t xml:space="preserve"> </w:t>
      </w:r>
      <w:r w:rsidRPr="00DA405B">
        <w:rPr>
          <w:rFonts w:ascii="Times New Roman" w:hAnsi="Times New Roman"/>
          <w:sz w:val="24"/>
          <w:lang w:val="lv-LV"/>
        </w:rPr>
        <w:t xml:space="preserve">Tas negatīvi ietekmētu piesardzīgi augošos </w:t>
      </w:r>
      <w:proofErr w:type="spellStart"/>
      <w:r w:rsidRPr="00DA405B">
        <w:rPr>
          <w:rFonts w:ascii="Times New Roman" w:hAnsi="Times New Roman"/>
          <w:sz w:val="24"/>
          <w:lang w:val="lv-LV"/>
        </w:rPr>
        <w:t>eirozonas</w:t>
      </w:r>
      <w:proofErr w:type="spellEnd"/>
      <w:r w:rsidRPr="00DA405B">
        <w:rPr>
          <w:rFonts w:ascii="Times New Roman" w:hAnsi="Times New Roman"/>
          <w:sz w:val="24"/>
          <w:lang w:val="lv-LV"/>
        </w:rPr>
        <w:t xml:space="preserve"> uzņēmēju un patērētāju </w:t>
      </w:r>
      <w:r w:rsidRPr="003D3163">
        <w:rPr>
          <w:rFonts w:ascii="Times New Roman" w:hAnsi="Times New Roman"/>
          <w:sz w:val="24"/>
          <w:szCs w:val="24"/>
          <w:lang w:eastAsia="lv-LV"/>
        </w:rPr>
        <w:t>konfiden</w:t>
      </w:r>
      <w:r w:rsidRPr="00DA405B">
        <w:rPr>
          <w:rFonts w:ascii="Times New Roman" w:hAnsi="Times New Roman"/>
          <w:sz w:val="24"/>
          <w:lang w:val="lv-LV"/>
        </w:rPr>
        <w:t>ču rādītājus, mazinātu pieprasījumu un tādējādi negatīvi atsauktos uz Latvijas eksportu. Ņemot vērā zemo uzkrājumu līmeni un ekonomikas izmēru, iekšējais patēriņš nevar ilgstoši un noturīgi augt bez eksporta kāpuma, līdz ar to iespējama būtiska Latvijas kopējo izaugsmes tempu samazināšanās.</w:t>
      </w:r>
    </w:p>
    <w:p w14:paraId="5532539D" w14:textId="77777777" w:rsidR="007043C5" w:rsidRPr="00790C97" w:rsidRDefault="007043C5" w:rsidP="007043C5">
      <w:pPr>
        <w:numPr>
          <w:ilvl w:val="0"/>
          <w:numId w:val="11"/>
        </w:numPr>
        <w:spacing w:after="0"/>
        <w:rPr>
          <w:szCs w:val="24"/>
        </w:rPr>
      </w:pPr>
      <w:r w:rsidRPr="00790C97">
        <w:rPr>
          <w:b/>
          <w:szCs w:val="24"/>
        </w:rPr>
        <w:t xml:space="preserve">Nepārliecinoša ekonomikas atgūšanās </w:t>
      </w:r>
      <w:proofErr w:type="spellStart"/>
      <w:r w:rsidRPr="00790C97">
        <w:rPr>
          <w:b/>
          <w:szCs w:val="24"/>
        </w:rPr>
        <w:t>eirozonā</w:t>
      </w:r>
      <w:proofErr w:type="spellEnd"/>
      <w:r w:rsidRPr="00790C97">
        <w:rPr>
          <w:szCs w:val="24"/>
        </w:rPr>
        <w:t xml:space="preserve"> un </w:t>
      </w:r>
      <w:r w:rsidRPr="00790C97">
        <w:rPr>
          <w:b/>
          <w:szCs w:val="24"/>
        </w:rPr>
        <w:t>Latvijas ekonomikas attīstības tempu samazināšanā</w:t>
      </w:r>
      <w:r w:rsidRPr="005F00E5">
        <w:rPr>
          <w:b/>
          <w:szCs w:val="24"/>
        </w:rPr>
        <w:t>s</w:t>
      </w:r>
      <w:r w:rsidRPr="00790C97">
        <w:rPr>
          <w:szCs w:val="24"/>
        </w:rPr>
        <w:t xml:space="preserve"> var ietekmēt uzņēmēju un patērētāju konfidenci, kā rezultātā var samazināties kopējais pieprasījuma pieaugums Latvijā, mājsaimniecībām izvēloties veidot uzkrājumus (atbilstoši iepriekš novērotai patērētāju cikliskai uzkrājumu veidošanai) un atliekot patēriņu, savukārt uzņēmējiem – mazinot investīciju pieaugumu apjomu. </w:t>
      </w:r>
    </w:p>
    <w:p w14:paraId="06BEA0E7" w14:textId="77777777" w:rsidR="007043C5" w:rsidRDefault="007043C5" w:rsidP="007043C5">
      <w:pPr>
        <w:numPr>
          <w:ilvl w:val="0"/>
          <w:numId w:val="11"/>
        </w:numPr>
        <w:spacing w:after="0"/>
        <w:rPr>
          <w:szCs w:val="24"/>
        </w:rPr>
      </w:pPr>
      <w:r>
        <w:rPr>
          <w:szCs w:val="24"/>
        </w:rPr>
        <w:t>Darbaspēka</w:t>
      </w:r>
      <w:r w:rsidRPr="00545B55">
        <w:rPr>
          <w:szCs w:val="24"/>
        </w:rPr>
        <w:t xml:space="preserve"> izmaksu pieaugums,</w:t>
      </w:r>
      <w:r>
        <w:rPr>
          <w:szCs w:val="24"/>
        </w:rPr>
        <w:t xml:space="preserve"> ekonomiski aktīvo iedzīvotāju skaita samazināšanās, darbaspēka pieprasījuma un piedāvājuma </w:t>
      </w:r>
      <w:r w:rsidR="00750035">
        <w:rPr>
          <w:szCs w:val="24"/>
        </w:rPr>
        <w:t xml:space="preserve">nesabalansētības </w:t>
      </w:r>
      <w:r>
        <w:rPr>
          <w:szCs w:val="24"/>
        </w:rPr>
        <w:t xml:space="preserve">prasmju un ģeogrāfiskās pieejamības ziņā, darbaspēka novecošanās atsevišķās profesijās vidējā termiņā var radīt problēmas darba devējiem </w:t>
      </w:r>
      <w:r w:rsidRPr="00F752AA">
        <w:rPr>
          <w:b/>
          <w:szCs w:val="24"/>
        </w:rPr>
        <w:t>darbaspēka resursu nodrošināšanā,</w:t>
      </w:r>
      <w:r>
        <w:rPr>
          <w:szCs w:val="24"/>
        </w:rPr>
        <w:t xml:space="preserve"> mazināt Latvijas eksporta apjomu kāpumu, eksporta konkurētspēju, kā arī investīcijas. </w:t>
      </w:r>
    </w:p>
    <w:p w14:paraId="5A2F82DA" w14:textId="77777777" w:rsidR="007043C5" w:rsidRPr="002664E1" w:rsidRDefault="007043C5" w:rsidP="007043C5">
      <w:pPr>
        <w:pStyle w:val="ListParagraph"/>
        <w:numPr>
          <w:ilvl w:val="0"/>
          <w:numId w:val="11"/>
        </w:numPr>
        <w:spacing w:after="0" w:line="240" w:lineRule="auto"/>
        <w:jc w:val="both"/>
        <w:rPr>
          <w:rFonts w:ascii="Times New Roman" w:hAnsi="Times New Roman"/>
          <w:sz w:val="24"/>
          <w:szCs w:val="24"/>
          <w:lang w:eastAsia="lv-LV"/>
        </w:rPr>
      </w:pPr>
      <w:r w:rsidRPr="003D3163">
        <w:rPr>
          <w:rFonts w:ascii="Times New Roman" w:hAnsi="Times New Roman"/>
          <w:sz w:val="24"/>
          <w:szCs w:val="24"/>
          <w:lang w:eastAsia="lv-LV"/>
        </w:rPr>
        <w:t xml:space="preserve">Tā kā Latvijas </w:t>
      </w:r>
      <w:r w:rsidRPr="00F752AA">
        <w:rPr>
          <w:rFonts w:ascii="Times New Roman" w:hAnsi="Times New Roman"/>
          <w:b/>
          <w:sz w:val="24"/>
          <w:szCs w:val="24"/>
          <w:lang w:eastAsia="lv-LV"/>
        </w:rPr>
        <w:t>banku sektors</w:t>
      </w:r>
      <w:r w:rsidRPr="003D3163">
        <w:rPr>
          <w:rFonts w:ascii="Times New Roman" w:hAnsi="Times New Roman"/>
          <w:sz w:val="24"/>
          <w:szCs w:val="24"/>
          <w:lang w:eastAsia="lv-LV"/>
        </w:rPr>
        <w:t xml:space="preserve"> ir cieši saistīts ar Skandināvijas bankām, </w:t>
      </w:r>
      <w:r>
        <w:rPr>
          <w:rFonts w:ascii="Times New Roman" w:hAnsi="Times New Roman"/>
          <w:sz w:val="24"/>
          <w:szCs w:val="24"/>
          <w:lang w:eastAsia="lv-LV"/>
        </w:rPr>
        <w:t>problēm</w:t>
      </w:r>
      <w:r w:rsidRPr="00DA405B">
        <w:rPr>
          <w:rFonts w:ascii="Times New Roman" w:hAnsi="Times New Roman"/>
          <w:sz w:val="24"/>
          <w:lang w:val="lv-LV"/>
        </w:rPr>
        <w:t>u saasinājumi</w:t>
      </w:r>
      <w:r>
        <w:rPr>
          <w:rFonts w:ascii="Times New Roman" w:hAnsi="Times New Roman"/>
          <w:sz w:val="24"/>
          <w:szCs w:val="24"/>
          <w:lang w:eastAsia="lv-LV"/>
        </w:rPr>
        <w:t xml:space="preserve"> </w:t>
      </w:r>
      <w:proofErr w:type="spellStart"/>
      <w:r>
        <w:rPr>
          <w:rFonts w:ascii="Times New Roman" w:hAnsi="Times New Roman"/>
          <w:sz w:val="24"/>
          <w:szCs w:val="24"/>
          <w:lang w:eastAsia="lv-LV"/>
        </w:rPr>
        <w:t>e</w:t>
      </w:r>
      <w:r w:rsidRPr="003D3163">
        <w:rPr>
          <w:rFonts w:ascii="Times New Roman" w:hAnsi="Times New Roman"/>
          <w:sz w:val="24"/>
          <w:szCs w:val="24"/>
          <w:lang w:eastAsia="lv-LV"/>
        </w:rPr>
        <w:t>irozonas</w:t>
      </w:r>
      <w:proofErr w:type="spellEnd"/>
      <w:r w:rsidRPr="003D3163">
        <w:rPr>
          <w:rFonts w:ascii="Times New Roman" w:hAnsi="Times New Roman"/>
          <w:sz w:val="24"/>
          <w:szCs w:val="24"/>
          <w:lang w:eastAsia="lv-LV"/>
        </w:rPr>
        <w:t xml:space="preserve"> valstu finanšu tirgos var paātrināt kredītsaistību samazināšanu pret </w:t>
      </w:r>
      <w:proofErr w:type="spellStart"/>
      <w:r w:rsidRPr="003D3163">
        <w:rPr>
          <w:rFonts w:ascii="Times New Roman" w:hAnsi="Times New Roman"/>
          <w:sz w:val="24"/>
          <w:szCs w:val="24"/>
          <w:lang w:eastAsia="lv-LV"/>
        </w:rPr>
        <w:t>mātesbankām</w:t>
      </w:r>
      <w:proofErr w:type="spellEnd"/>
      <w:r w:rsidRPr="003D3163">
        <w:rPr>
          <w:rFonts w:ascii="Times New Roman" w:hAnsi="Times New Roman"/>
          <w:sz w:val="24"/>
          <w:szCs w:val="24"/>
          <w:lang w:eastAsia="lv-LV"/>
        </w:rPr>
        <w:t xml:space="preserve"> un veicināt kredītu pieejamības samazināšanos Latvijā, radot būtisku negatīvu ietekmi uz finanšu tirgu Latvijā, t.sk. samazinot uzņēmēju iespējas </w:t>
      </w:r>
      <w:r w:rsidRPr="003D3163">
        <w:rPr>
          <w:rFonts w:ascii="Times New Roman" w:hAnsi="Times New Roman"/>
          <w:sz w:val="24"/>
          <w:szCs w:val="24"/>
          <w:lang w:eastAsia="lv-LV"/>
        </w:rPr>
        <w:lastRenderedPageBreak/>
        <w:t>aizņemties investīciju projektu realizācijai (t.sk. ES fondu līdzfinansētu projektu realizācijai), kā arī sadārdzinot kredītu izmaksas</w:t>
      </w:r>
      <w:r w:rsidRPr="00DA405B">
        <w:rPr>
          <w:rFonts w:ascii="Times New Roman" w:hAnsi="Times New Roman"/>
          <w:sz w:val="24"/>
          <w:lang w:val="lv-LV"/>
        </w:rPr>
        <w:t>.</w:t>
      </w:r>
    </w:p>
    <w:p w14:paraId="6BBBC33A" w14:textId="77777777" w:rsidR="007043C5" w:rsidRPr="009579D3" w:rsidRDefault="007043C5" w:rsidP="007043C5">
      <w:pPr>
        <w:numPr>
          <w:ilvl w:val="0"/>
          <w:numId w:val="11"/>
        </w:numPr>
        <w:spacing w:after="0"/>
        <w:rPr>
          <w:szCs w:val="24"/>
        </w:rPr>
      </w:pPr>
      <w:r w:rsidRPr="009579D3">
        <w:rPr>
          <w:szCs w:val="24"/>
        </w:rPr>
        <w:t xml:space="preserve">Paredzamais </w:t>
      </w:r>
      <w:r w:rsidRPr="00F752AA">
        <w:rPr>
          <w:b/>
          <w:szCs w:val="24"/>
        </w:rPr>
        <w:t>e</w:t>
      </w:r>
      <w:r>
        <w:rPr>
          <w:b/>
          <w:szCs w:val="24"/>
        </w:rPr>
        <w:t>lektroe</w:t>
      </w:r>
      <w:r w:rsidRPr="00F752AA">
        <w:rPr>
          <w:b/>
          <w:szCs w:val="24"/>
        </w:rPr>
        <w:t>nerģijas cenu pieaugums</w:t>
      </w:r>
      <w:r>
        <w:rPr>
          <w:b/>
          <w:szCs w:val="24"/>
        </w:rPr>
        <w:t xml:space="preserve"> Latvijā</w:t>
      </w:r>
      <w:r w:rsidRPr="009579D3">
        <w:rPr>
          <w:szCs w:val="24"/>
        </w:rPr>
        <w:t xml:space="preserve"> un neskaidrības, kas saistās ar </w:t>
      </w:r>
      <w:r w:rsidRPr="00F752AA">
        <w:rPr>
          <w:b/>
          <w:szCs w:val="24"/>
        </w:rPr>
        <w:t>enerģētikas politikas</w:t>
      </w:r>
      <w:r w:rsidRPr="009579D3">
        <w:rPr>
          <w:szCs w:val="24"/>
        </w:rPr>
        <w:t xml:space="preserve"> ietekmi uz izmaksām nākotnē, ir viens no negatīvajiem riskiem ražotāju konkurētspējai un investīciju piesaistei.</w:t>
      </w:r>
    </w:p>
    <w:p w14:paraId="1D3D86B4" w14:textId="77777777" w:rsidR="007043C5" w:rsidRPr="00790C97" w:rsidRDefault="007043C5" w:rsidP="007043C5">
      <w:pPr>
        <w:numPr>
          <w:ilvl w:val="0"/>
          <w:numId w:val="11"/>
        </w:numPr>
        <w:spacing w:after="0"/>
        <w:rPr>
          <w:szCs w:val="24"/>
        </w:rPr>
      </w:pPr>
      <w:r w:rsidRPr="00790C97">
        <w:rPr>
          <w:b/>
          <w:szCs w:val="24"/>
        </w:rPr>
        <w:t>Negatīvi stimuli iedzīvotāju pirktspējas pieaugumam</w:t>
      </w:r>
      <w:r w:rsidRPr="00790C97">
        <w:rPr>
          <w:szCs w:val="24"/>
        </w:rPr>
        <w:t xml:space="preserve"> - lēnāks kā prognozēts bezdarba līmeņa samazinājums, uzņēmēju piesardzība algu paaugstināšanā un valsts fiskālā disciplīna, kas ierobežo publiskā sektora algu pieaugumu, parādsaistību samazināšana un piesardzība jaunu kredītu ņemšanā, vai augstāka kā prognozēts inflācija var būtiski kavēt privātā patēriņa pieaugumu. </w:t>
      </w:r>
    </w:p>
    <w:p w14:paraId="5C6559F7" w14:textId="77777777" w:rsidR="007043C5" w:rsidRDefault="007043C5" w:rsidP="007043C5">
      <w:pPr>
        <w:numPr>
          <w:ilvl w:val="0"/>
          <w:numId w:val="11"/>
        </w:numPr>
        <w:spacing w:after="0"/>
        <w:rPr>
          <w:szCs w:val="24"/>
        </w:rPr>
      </w:pPr>
      <w:r w:rsidRPr="002E0FBD">
        <w:rPr>
          <w:szCs w:val="24"/>
        </w:rPr>
        <w:t xml:space="preserve">Augšupvērsti </w:t>
      </w:r>
      <w:r>
        <w:rPr>
          <w:b/>
          <w:szCs w:val="24"/>
        </w:rPr>
        <w:t>p</w:t>
      </w:r>
      <w:r w:rsidRPr="00F752AA">
        <w:rPr>
          <w:b/>
          <w:szCs w:val="24"/>
        </w:rPr>
        <w:t>asaules energoresursu un izejvielu cenu</w:t>
      </w:r>
      <w:r>
        <w:rPr>
          <w:szCs w:val="24"/>
        </w:rPr>
        <w:t xml:space="preserve"> šoki, kā arī pieprasījuma puses faktori vietējā tirgū var veicināt straujāku kā prognozēts cenu pieaugumu. </w:t>
      </w:r>
    </w:p>
    <w:p w14:paraId="373949E0" w14:textId="77777777" w:rsidR="007043C5" w:rsidRPr="00D366F9" w:rsidRDefault="007043C5" w:rsidP="007043C5">
      <w:pPr>
        <w:pStyle w:val="ListParagraph"/>
        <w:numPr>
          <w:ilvl w:val="0"/>
          <w:numId w:val="9"/>
        </w:numPr>
        <w:autoSpaceDE w:val="0"/>
        <w:autoSpaceDN w:val="0"/>
        <w:adjustRightInd w:val="0"/>
        <w:spacing w:after="0" w:line="240" w:lineRule="auto"/>
        <w:ind w:left="714" w:hanging="357"/>
        <w:contextualSpacing w:val="0"/>
        <w:jc w:val="both"/>
        <w:rPr>
          <w:rFonts w:ascii="Times New Roman" w:hAnsi="Times New Roman"/>
          <w:sz w:val="24"/>
          <w:szCs w:val="24"/>
        </w:rPr>
      </w:pPr>
      <w:r w:rsidRPr="00DA405B">
        <w:rPr>
          <w:rFonts w:ascii="Times New Roman" w:hAnsi="Times New Roman"/>
          <w:b/>
          <w:sz w:val="24"/>
          <w:lang w:val="lv-LV"/>
        </w:rPr>
        <w:t>ASV fiskālās politikas</w:t>
      </w:r>
      <w:r w:rsidRPr="00DA405B">
        <w:rPr>
          <w:rFonts w:ascii="Times New Roman" w:hAnsi="Times New Roman"/>
          <w:sz w:val="24"/>
          <w:lang w:val="lv-LV"/>
        </w:rPr>
        <w:t xml:space="preserve"> problēmas, kā arī kādas </w:t>
      </w:r>
      <w:r w:rsidRPr="00F752AA">
        <w:rPr>
          <w:rFonts w:ascii="Times New Roman" w:hAnsi="Times New Roman"/>
          <w:b/>
          <w:sz w:val="24"/>
          <w:szCs w:val="24"/>
        </w:rPr>
        <w:t>attīstības valst</w:t>
      </w:r>
      <w:r w:rsidR="001D4221" w:rsidRPr="00DA405B">
        <w:rPr>
          <w:rFonts w:ascii="Times New Roman" w:hAnsi="Times New Roman"/>
          <w:b/>
          <w:sz w:val="24"/>
          <w:lang w:val="lv-LV"/>
        </w:rPr>
        <w:t>s</w:t>
      </w:r>
      <w:r w:rsidRPr="00D366F9">
        <w:rPr>
          <w:rFonts w:ascii="Times New Roman" w:hAnsi="Times New Roman"/>
          <w:sz w:val="24"/>
          <w:szCs w:val="24"/>
        </w:rPr>
        <w:t xml:space="preserve"> ekonomik</w:t>
      </w:r>
      <w:r w:rsidR="001D4221" w:rsidRPr="00DA405B">
        <w:rPr>
          <w:rFonts w:ascii="Times New Roman" w:hAnsi="Times New Roman"/>
          <w:sz w:val="24"/>
          <w:lang w:val="lv-LV"/>
        </w:rPr>
        <w:t>as</w:t>
      </w:r>
      <w:r w:rsidRPr="00D366F9">
        <w:rPr>
          <w:rFonts w:ascii="Times New Roman" w:hAnsi="Times New Roman"/>
          <w:sz w:val="24"/>
          <w:szCs w:val="24"/>
        </w:rPr>
        <w:t xml:space="preserve"> „smagā piezemēšanās” būtiski pasliktinātu ārējo vidi, samazinot pasaules kopējo pieprasījumu. Samazinoties pasaules ekonomikas izaugsmei, t.sk. mazinoties pieprasījumam pēc ES valstīs ražotām precēm un samazinoties investīciju plūsmai, būtisks </w:t>
      </w:r>
      <w:r w:rsidR="00C73D54" w:rsidRPr="00DA405B">
        <w:rPr>
          <w:rFonts w:ascii="Times New Roman" w:hAnsi="Times New Roman"/>
          <w:sz w:val="24"/>
          <w:lang w:val="lv-LV"/>
        </w:rPr>
        <w:t>negatīvs</w:t>
      </w:r>
      <w:r w:rsidRPr="00D366F9">
        <w:rPr>
          <w:rFonts w:ascii="Times New Roman" w:hAnsi="Times New Roman"/>
          <w:sz w:val="24"/>
          <w:szCs w:val="24"/>
        </w:rPr>
        <w:t xml:space="preserve"> iespaids tiktu atstāts arī uz Latvijas eksporta attīstību</w:t>
      </w:r>
      <w:r w:rsidRPr="00DA405B">
        <w:rPr>
          <w:rFonts w:ascii="Times New Roman" w:hAnsi="Times New Roman"/>
          <w:sz w:val="24"/>
          <w:lang w:val="lv-LV"/>
        </w:rPr>
        <w:t>.</w:t>
      </w:r>
    </w:p>
    <w:p w14:paraId="788BAF80" w14:textId="77777777" w:rsidR="007043C5" w:rsidRPr="001B00AF" w:rsidRDefault="007043C5" w:rsidP="007043C5">
      <w:pPr>
        <w:autoSpaceDE w:val="0"/>
        <w:autoSpaceDN w:val="0"/>
        <w:adjustRightInd w:val="0"/>
        <w:rPr>
          <w:color w:val="FF0000"/>
          <w:szCs w:val="24"/>
          <w:u w:val="single"/>
        </w:rPr>
      </w:pPr>
    </w:p>
    <w:p w14:paraId="21D8B784" w14:textId="77777777" w:rsidR="007043C5" w:rsidRPr="007554F9" w:rsidRDefault="007043C5" w:rsidP="007043C5">
      <w:pPr>
        <w:autoSpaceDE w:val="0"/>
        <w:autoSpaceDN w:val="0"/>
        <w:adjustRightInd w:val="0"/>
        <w:rPr>
          <w:szCs w:val="24"/>
          <w:u w:val="single"/>
        </w:rPr>
      </w:pPr>
      <w:r>
        <w:rPr>
          <w:szCs w:val="24"/>
          <w:u w:val="single"/>
        </w:rPr>
        <w:t>Pozitīvie riski</w:t>
      </w:r>
    </w:p>
    <w:p w14:paraId="1204F9BB" w14:textId="77777777" w:rsidR="007043C5" w:rsidRPr="007554F9" w:rsidRDefault="007043C5" w:rsidP="007043C5">
      <w:pPr>
        <w:autoSpaceDE w:val="0"/>
        <w:autoSpaceDN w:val="0"/>
        <w:adjustRightInd w:val="0"/>
        <w:ind w:firstLine="717"/>
        <w:rPr>
          <w:szCs w:val="24"/>
        </w:rPr>
      </w:pPr>
      <w:r w:rsidRPr="007554F9">
        <w:rPr>
          <w:szCs w:val="24"/>
        </w:rPr>
        <w:t>Galvenie pozitīvie riski Latvijas ekonomikas attīstībai saistīti ar negatīvo risku neīstenošanos.</w:t>
      </w:r>
    </w:p>
    <w:p w14:paraId="63ED25F1" w14:textId="5D9A95B5" w:rsidR="007043C5" w:rsidRPr="00266A18" w:rsidRDefault="007043C5" w:rsidP="007043C5">
      <w:pPr>
        <w:pStyle w:val="ListParagraph"/>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F752AA">
        <w:rPr>
          <w:rFonts w:ascii="Times New Roman" w:hAnsi="Times New Roman"/>
          <w:b/>
          <w:sz w:val="24"/>
          <w:szCs w:val="24"/>
        </w:rPr>
        <w:t>Eirozonas</w:t>
      </w:r>
      <w:proofErr w:type="spellEnd"/>
      <w:r w:rsidRPr="00F752AA">
        <w:rPr>
          <w:rFonts w:ascii="Times New Roman" w:hAnsi="Times New Roman"/>
          <w:b/>
          <w:sz w:val="24"/>
          <w:szCs w:val="24"/>
        </w:rPr>
        <w:t xml:space="preserve"> parādu krīzes risinājumi</w:t>
      </w:r>
      <w:r w:rsidRPr="00266A18">
        <w:rPr>
          <w:rFonts w:ascii="Times New Roman" w:hAnsi="Times New Roman"/>
          <w:sz w:val="24"/>
          <w:szCs w:val="24"/>
        </w:rPr>
        <w:t xml:space="preserve"> var dot labāku rezultātu kā sagaidāms. Finanšu tirgus atlabšana un strukturālās reformas var ātrāk uzlabot </w:t>
      </w:r>
      <w:r w:rsidRPr="00DA405B">
        <w:rPr>
          <w:rFonts w:ascii="Times New Roman" w:hAnsi="Times New Roman"/>
          <w:sz w:val="24"/>
          <w:lang w:val="lv-LV"/>
        </w:rPr>
        <w:t xml:space="preserve">finansējuma pieejamību un uzņēmēju un patērētāju </w:t>
      </w:r>
      <w:r w:rsidRPr="00266A18">
        <w:rPr>
          <w:rFonts w:ascii="Times New Roman" w:hAnsi="Times New Roman"/>
          <w:sz w:val="24"/>
          <w:szCs w:val="24"/>
        </w:rPr>
        <w:t>konfidences rādītājus, kas ļautu ES ekonomikai ātrāk un straujāk kā prognozēts atgriezties pie izaugsmes. Tas būtiski uzlabotu Latvijas ekonomikas attīstības perspektīvas, gan</w:t>
      </w:r>
      <w:r w:rsidRPr="00DA405B">
        <w:rPr>
          <w:rFonts w:ascii="Times New Roman" w:hAnsi="Times New Roman"/>
          <w:sz w:val="24"/>
          <w:lang w:val="lv-LV"/>
        </w:rPr>
        <w:t xml:space="preserve"> straujāk</w:t>
      </w:r>
      <w:r w:rsidRPr="00266A18">
        <w:rPr>
          <w:rFonts w:ascii="Times New Roman" w:hAnsi="Times New Roman"/>
          <w:sz w:val="24"/>
          <w:szCs w:val="24"/>
        </w:rPr>
        <w:t xml:space="preserve"> augot eksporta pieprasījumam, gan </w:t>
      </w:r>
      <w:r w:rsidRPr="00DA405B">
        <w:rPr>
          <w:rFonts w:ascii="Times New Roman" w:hAnsi="Times New Roman"/>
          <w:sz w:val="24"/>
          <w:lang w:val="lv-LV"/>
        </w:rPr>
        <w:t xml:space="preserve">straujāk </w:t>
      </w:r>
      <w:r w:rsidRPr="00266A18">
        <w:rPr>
          <w:rFonts w:ascii="Times New Roman" w:hAnsi="Times New Roman"/>
          <w:sz w:val="24"/>
          <w:szCs w:val="24"/>
        </w:rPr>
        <w:t>uzlabojoties patērētāju un invest</w:t>
      </w:r>
      <w:r w:rsidR="00956ECC">
        <w:rPr>
          <w:rFonts w:ascii="Times New Roman" w:hAnsi="Times New Roman"/>
          <w:sz w:val="24"/>
          <w:szCs w:val="24"/>
        </w:rPr>
        <w:t>oru konfidenc</w:t>
      </w:r>
      <w:r w:rsidR="00956ECC">
        <w:rPr>
          <w:rFonts w:ascii="Times New Roman" w:hAnsi="Times New Roman"/>
          <w:sz w:val="24"/>
          <w:szCs w:val="24"/>
          <w:lang w:val="lv-LV"/>
        </w:rPr>
        <w:t>ei</w:t>
      </w:r>
      <w:r w:rsidRPr="00DA405B">
        <w:rPr>
          <w:rFonts w:ascii="Times New Roman" w:hAnsi="Times New Roman"/>
          <w:sz w:val="24"/>
          <w:lang w:val="lv-LV"/>
        </w:rPr>
        <w:t>.</w:t>
      </w:r>
    </w:p>
    <w:p w14:paraId="1BD5726F" w14:textId="0E6E33FF" w:rsidR="007043C5" w:rsidRPr="00266A18" w:rsidRDefault="007043C5" w:rsidP="007043C5">
      <w:pPr>
        <w:pStyle w:val="ListParagraph"/>
        <w:numPr>
          <w:ilvl w:val="0"/>
          <w:numId w:val="10"/>
        </w:numPr>
        <w:autoSpaceDE w:val="0"/>
        <w:autoSpaceDN w:val="0"/>
        <w:adjustRightInd w:val="0"/>
        <w:spacing w:after="0" w:line="240" w:lineRule="auto"/>
        <w:jc w:val="both"/>
        <w:rPr>
          <w:rFonts w:ascii="Times New Roman" w:hAnsi="Times New Roman"/>
          <w:sz w:val="24"/>
          <w:szCs w:val="24"/>
        </w:rPr>
      </w:pPr>
      <w:r w:rsidRPr="00266A18">
        <w:rPr>
          <w:rFonts w:ascii="Times New Roman" w:hAnsi="Times New Roman"/>
          <w:sz w:val="24"/>
          <w:szCs w:val="24"/>
        </w:rPr>
        <w:t xml:space="preserve">Augstāka kā prognozēts </w:t>
      </w:r>
      <w:r w:rsidRPr="00F752AA">
        <w:rPr>
          <w:rFonts w:ascii="Times New Roman" w:hAnsi="Times New Roman"/>
          <w:b/>
          <w:sz w:val="24"/>
          <w:szCs w:val="24"/>
        </w:rPr>
        <w:t>pasaules ekonomikas attīstība</w:t>
      </w:r>
      <w:r w:rsidRPr="00266A18">
        <w:rPr>
          <w:rFonts w:ascii="Times New Roman" w:hAnsi="Times New Roman"/>
          <w:sz w:val="24"/>
          <w:szCs w:val="24"/>
        </w:rPr>
        <w:t>, t.sk. ASV un attī</w:t>
      </w:r>
      <w:r w:rsidR="004E427D">
        <w:rPr>
          <w:rFonts w:ascii="Times New Roman" w:hAnsi="Times New Roman"/>
          <w:sz w:val="24"/>
          <w:szCs w:val="24"/>
        </w:rPr>
        <w:t>stības valstīs, var dot papildu</w:t>
      </w:r>
      <w:r w:rsidRPr="00266A18">
        <w:rPr>
          <w:rFonts w:ascii="Times New Roman" w:hAnsi="Times New Roman"/>
          <w:sz w:val="24"/>
          <w:szCs w:val="24"/>
        </w:rPr>
        <w:t xml:space="preserve"> stimulu augsto ie</w:t>
      </w:r>
      <w:r>
        <w:rPr>
          <w:rFonts w:ascii="Times New Roman" w:hAnsi="Times New Roman"/>
          <w:sz w:val="24"/>
          <w:szCs w:val="24"/>
        </w:rPr>
        <w:t xml:space="preserve">nākumu valstīm, t.sk. veicināt </w:t>
      </w:r>
      <w:proofErr w:type="spellStart"/>
      <w:r>
        <w:rPr>
          <w:rFonts w:ascii="Times New Roman" w:hAnsi="Times New Roman"/>
          <w:sz w:val="24"/>
          <w:szCs w:val="24"/>
        </w:rPr>
        <w:t>e</w:t>
      </w:r>
      <w:r w:rsidRPr="00266A18">
        <w:rPr>
          <w:rFonts w:ascii="Times New Roman" w:hAnsi="Times New Roman"/>
          <w:sz w:val="24"/>
          <w:szCs w:val="24"/>
        </w:rPr>
        <w:t>irozonas</w:t>
      </w:r>
      <w:proofErr w:type="spellEnd"/>
      <w:r w:rsidRPr="00266A18">
        <w:rPr>
          <w:rFonts w:ascii="Times New Roman" w:hAnsi="Times New Roman"/>
          <w:sz w:val="24"/>
          <w:szCs w:val="24"/>
        </w:rPr>
        <w:t xml:space="preserve"> krīzes pārvarēšanu</w:t>
      </w:r>
      <w:r w:rsidRPr="00DA405B">
        <w:rPr>
          <w:rFonts w:ascii="Times New Roman" w:hAnsi="Times New Roman"/>
          <w:sz w:val="24"/>
          <w:lang w:val="lv-LV"/>
        </w:rPr>
        <w:t>.</w:t>
      </w:r>
    </w:p>
    <w:p w14:paraId="6693C4AB" w14:textId="77777777" w:rsidR="007043C5" w:rsidRPr="00266A18" w:rsidRDefault="007043C5" w:rsidP="007043C5">
      <w:pPr>
        <w:pStyle w:val="ListParagraph"/>
        <w:numPr>
          <w:ilvl w:val="0"/>
          <w:numId w:val="10"/>
        </w:numPr>
        <w:spacing w:after="0" w:line="240" w:lineRule="auto"/>
        <w:ind w:left="1071" w:hanging="357"/>
        <w:jc w:val="both"/>
        <w:rPr>
          <w:rFonts w:ascii="Times New Roman" w:hAnsi="Times New Roman"/>
          <w:sz w:val="24"/>
          <w:szCs w:val="24"/>
        </w:rPr>
      </w:pPr>
      <w:r w:rsidRPr="00266A18">
        <w:rPr>
          <w:rFonts w:ascii="Times New Roman" w:hAnsi="Times New Roman"/>
          <w:sz w:val="24"/>
          <w:szCs w:val="24"/>
        </w:rPr>
        <w:t xml:space="preserve">Starptautisko aizdevēju </w:t>
      </w:r>
      <w:r w:rsidRPr="00F752AA">
        <w:rPr>
          <w:rFonts w:ascii="Times New Roman" w:hAnsi="Times New Roman"/>
          <w:b/>
          <w:sz w:val="24"/>
          <w:szCs w:val="24"/>
        </w:rPr>
        <w:t>un kredītreitinga aģentūru labvēlīgais vērtējums</w:t>
      </w:r>
      <w:r w:rsidRPr="00266A18">
        <w:rPr>
          <w:rFonts w:ascii="Times New Roman" w:hAnsi="Times New Roman"/>
          <w:sz w:val="24"/>
          <w:szCs w:val="24"/>
        </w:rPr>
        <w:t xml:space="preserve"> Latvijas tautsaimniecībai apstiprina to, ka uzņēmējdarbības vide Latvijā </w:t>
      </w:r>
      <w:r w:rsidRPr="00DA405B">
        <w:rPr>
          <w:rFonts w:ascii="Times New Roman" w:hAnsi="Times New Roman"/>
          <w:sz w:val="24"/>
          <w:lang w:val="lv-LV"/>
        </w:rPr>
        <w:t>turpina uzlaboties.</w:t>
      </w:r>
      <w:r w:rsidRPr="00266A18">
        <w:rPr>
          <w:rFonts w:ascii="Times New Roman" w:hAnsi="Times New Roman"/>
          <w:sz w:val="24"/>
          <w:szCs w:val="24"/>
        </w:rPr>
        <w:t xml:space="preserve"> Tas var</w:t>
      </w:r>
      <w:r w:rsidRPr="00DA405B">
        <w:rPr>
          <w:rFonts w:ascii="Times New Roman" w:hAnsi="Times New Roman"/>
          <w:sz w:val="24"/>
          <w:lang w:val="lv-LV"/>
        </w:rPr>
        <w:t xml:space="preserve"> </w:t>
      </w:r>
      <w:r w:rsidRPr="00266A18">
        <w:rPr>
          <w:rFonts w:ascii="Times New Roman" w:hAnsi="Times New Roman"/>
          <w:sz w:val="24"/>
          <w:szCs w:val="24"/>
        </w:rPr>
        <w:t>veicināt investīciju ieplūdes, kas, iespējams, palielinās apstrād</w:t>
      </w:r>
      <w:r w:rsidR="004E427D">
        <w:rPr>
          <w:rFonts w:ascii="Times New Roman" w:hAnsi="Times New Roman"/>
          <w:sz w:val="24"/>
          <w:szCs w:val="24"/>
        </w:rPr>
        <w:t>es rūpniecības un eksporta jaud</w:t>
      </w:r>
      <w:r w:rsidR="00C20617" w:rsidRPr="002D6C72">
        <w:rPr>
          <w:rFonts w:ascii="Times New Roman" w:hAnsi="Times New Roman"/>
          <w:sz w:val="24"/>
          <w:lang w:val="lv-LV"/>
        </w:rPr>
        <w:t>u</w:t>
      </w:r>
      <w:r w:rsidRPr="00DA405B">
        <w:rPr>
          <w:rFonts w:ascii="Times New Roman" w:hAnsi="Times New Roman"/>
          <w:sz w:val="24"/>
          <w:lang w:val="lv-LV"/>
        </w:rPr>
        <w:t>.</w:t>
      </w:r>
    </w:p>
    <w:p w14:paraId="4DECC4BD" w14:textId="34CD7F0D" w:rsidR="007043C5" w:rsidRDefault="007043C5" w:rsidP="007043C5">
      <w:pPr>
        <w:numPr>
          <w:ilvl w:val="0"/>
          <w:numId w:val="10"/>
        </w:numPr>
        <w:spacing w:after="0"/>
        <w:ind w:left="1071" w:hanging="357"/>
        <w:rPr>
          <w:szCs w:val="24"/>
        </w:rPr>
      </w:pPr>
      <w:r w:rsidRPr="00F752AA">
        <w:rPr>
          <w:b/>
          <w:szCs w:val="24"/>
        </w:rPr>
        <w:t>Likviditātes pietiekamība</w:t>
      </w:r>
      <w:r>
        <w:rPr>
          <w:szCs w:val="24"/>
        </w:rPr>
        <w:t xml:space="preserve"> bankās un gatavība kreditēt liek saglabāt arī kreditēšanas apjomu straujāku pieaugumu</w:t>
      </w:r>
      <w:r w:rsidRPr="00266A18">
        <w:rPr>
          <w:szCs w:val="24"/>
        </w:rPr>
        <w:t xml:space="preserve"> kā pozitīv</w:t>
      </w:r>
      <w:r>
        <w:rPr>
          <w:szCs w:val="24"/>
        </w:rPr>
        <w:t>o risku</w:t>
      </w:r>
      <w:r w:rsidRPr="00266A18">
        <w:rPr>
          <w:szCs w:val="24"/>
        </w:rPr>
        <w:t xml:space="preserve">, kas uzņēmējiem ļautu veikt </w:t>
      </w:r>
      <w:r>
        <w:rPr>
          <w:szCs w:val="24"/>
        </w:rPr>
        <w:t xml:space="preserve">nepieciešamās </w:t>
      </w:r>
      <w:r w:rsidR="004E427D">
        <w:rPr>
          <w:szCs w:val="24"/>
        </w:rPr>
        <w:t>papildu</w:t>
      </w:r>
      <w:r w:rsidRPr="00266A18">
        <w:rPr>
          <w:szCs w:val="24"/>
        </w:rPr>
        <w:t xml:space="preserve"> investīcijas, lai palielinātu ražošanas jaudas. Tādā veidā tiktu pozitīvi ietekmēti </w:t>
      </w:r>
      <w:r>
        <w:rPr>
          <w:szCs w:val="24"/>
        </w:rPr>
        <w:t xml:space="preserve">eksporta un investīciju, kā arī </w:t>
      </w:r>
      <w:r w:rsidRPr="00266A18">
        <w:rPr>
          <w:szCs w:val="24"/>
        </w:rPr>
        <w:t>privāt</w:t>
      </w:r>
      <w:r>
        <w:rPr>
          <w:szCs w:val="24"/>
        </w:rPr>
        <w:t>ā patēriņa apjomi</w:t>
      </w:r>
      <w:r w:rsidRPr="00266A18">
        <w:rPr>
          <w:szCs w:val="24"/>
        </w:rPr>
        <w:t>, sevišķi vidējā termiņā</w:t>
      </w:r>
      <w:r>
        <w:rPr>
          <w:szCs w:val="24"/>
        </w:rPr>
        <w:t>.</w:t>
      </w:r>
    </w:p>
    <w:p w14:paraId="0F4460BA" w14:textId="77777777" w:rsidR="007043C5" w:rsidRPr="00D54DA3" w:rsidRDefault="007043C5" w:rsidP="007043C5">
      <w:pPr>
        <w:numPr>
          <w:ilvl w:val="0"/>
          <w:numId w:val="10"/>
        </w:numPr>
        <w:spacing w:after="0"/>
        <w:ind w:left="1071" w:hanging="357"/>
        <w:rPr>
          <w:szCs w:val="24"/>
        </w:rPr>
      </w:pPr>
      <w:r w:rsidRPr="00F752AA">
        <w:rPr>
          <w:b/>
          <w:szCs w:val="24"/>
        </w:rPr>
        <w:t>ES fondu apgūšanas</w:t>
      </w:r>
      <w:r w:rsidRPr="00D54DA3">
        <w:rPr>
          <w:szCs w:val="24"/>
        </w:rPr>
        <w:t xml:space="preserve"> intensitātes pieaugums un </w:t>
      </w:r>
      <w:r w:rsidRPr="00F752AA">
        <w:rPr>
          <w:b/>
          <w:szCs w:val="24"/>
        </w:rPr>
        <w:t>uzņēmēju uzkrātie līdzekļi</w:t>
      </w:r>
      <w:r w:rsidRPr="00D54DA3">
        <w:rPr>
          <w:szCs w:val="24"/>
        </w:rPr>
        <w:t xml:space="preserve"> pēdējo divu gadu laikā ir pozitīvs risks investīciju pieauguma</w:t>
      </w:r>
      <w:r>
        <w:rPr>
          <w:szCs w:val="24"/>
        </w:rPr>
        <w:t>m</w:t>
      </w:r>
      <w:r w:rsidRPr="00D54DA3">
        <w:rPr>
          <w:szCs w:val="24"/>
        </w:rPr>
        <w:t xml:space="preserve"> Latvijas ekonomikā. </w:t>
      </w:r>
    </w:p>
    <w:p w14:paraId="4D3F7FC9" w14:textId="77777777" w:rsidR="007043C5" w:rsidRPr="00D54DA3" w:rsidRDefault="007043C5" w:rsidP="007043C5">
      <w:pPr>
        <w:numPr>
          <w:ilvl w:val="0"/>
          <w:numId w:val="10"/>
        </w:numPr>
        <w:spacing w:after="0"/>
        <w:ind w:left="1071" w:hanging="357"/>
        <w:rPr>
          <w:szCs w:val="24"/>
        </w:rPr>
      </w:pPr>
      <w:r w:rsidRPr="00D54DA3">
        <w:rPr>
          <w:szCs w:val="24"/>
        </w:rPr>
        <w:t xml:space="preserve">Latvijas plānotā </w:t>
      </w:r>
      <w:r w:rsidRPr="00F752AA">
        <w:rPr>
          <w:b/>
          <w:szCs w:val="24"/>
        </w:rPr>
        <w:t xml:space="preserve">pievienošanās </w:t>
      </w:r>
      <w:proofErr w:type="spellStart"/>
      <w:r w:rsidRPr="00F752AA">
        <w:rPr>
          <w:b/>
          <w:szCs w:val="24"/>
        </w:rPr>
        <w:t>eirozonai</w:t>
      </w:r>
      <w:proofErr w:type="spellEnd"/>
      <w:r w:rsidRPr="00F752AA">
        <w:rPr>
          <w:b/>
          <w:szCs w:val="24"/>
        </w:rPr>
        <w:t xml:space="preserve"> 2014.gadā</w:t>
      </w:r>
      <w:r w:rsidRPr="00D54DA3">
        <w:rPr>
          <w:szCs w:val="24"/>
        </w:rPr>
        <w:t xml:space="preserve"> vidējā termiņā ir būtisks pozitīvs risks jaunu investoru piesaistei, palielinoties valsts atpazīstamībai un uzticamībai. Valūtas riska mazināšanās var veicināt arī straujāku eksporta kāpumu.</w:t>
      </w:r>
    </w:p>
    <w:p w14:paraId="18160F0C" w14:textId="7E1021F2" w:rsidR="007043C5" w:rsidRPr="00D54DA3" w:rsidRDefault="007043C5" w:rsidP="007043C5">
      <w:pPr>
        <w:numPr>
          <w:ilvl w:val="0"/>
          <w:numId w:val="10"/>
        </w:numPr>
        <w:spacing w:after="0"/>
        <w:ind w:left="1071" w:hanging="357"/>
        <w:rPr>
          <w:szCs w:val="24"/>
        </w:rPr>
      </w:pPr>
      <w:r w:rsidRPr="00D54DA3">
        <w:rPr>
          <w:szCs w:val="24"/>
        </w:rPr>
        <w:t xml:space="preserve">Spēcīgi </w:t>
      </w:r>
      <w:r w:rsidRPr="00F752AA">
        <w:rPr>
          <w:b/>
          <w:szCs w:val="24"/>
        </w:rPr>
        <w:t>stimuli privātā patēriņa pieaugumam</w:t>
      </w:r>
      <w:r w:rsidRPr="00D54DA3">
        <w:rPr>
          <w:szCs w:val="24"/>
        </w:rPr>
        <w:t xml:space="preserve"> - darba algu pieaugums, nodokļu sloga samazināšana, zema inflācija un konfidenču kāpums saistībā ar ekonomisko attīstību pēdējo divu gadu laikā un plānoto </w:t>
      </w:r>
      <w:proofErr w:type="spellStart"/>
      <w:r w:rsidR="00C04DE7" w:rsidRPr="00E54AB9">
        <w:rPr>
          <w:i/>
          <w:szCs w:val="24"/>
        </w:rPr>
        <w:t>euro</w:t>
      </w:r>
      <w:proofErr w:type="spellEnd"/>
      <w:r w:rsidRPr="00D54DA3">
        <w:rPr>
          <w:szCs w:val="24"/>
        </w:rPr>
        <w:t xml:space="preserve"> ieviešanu, var attiecīgi dot augstāku kā prognozēts privātā patēriņa izaugsmi.</w:t>
      </w:r>
    </w:p>
    <w:p w14:paraId="214C0EB6" w14:textId="77777777" w:rsidR="007043C5" w:rsidRDefault="007043C5" w:rsidP="007043C5">
      <w:pPr>
        <w:numPr>
          <w:ilvl w:val="0"/>
          <w:numId w:val="10"/>
        </w:numPr>
        <w:spacing w:after="0"/>
        <w:ind w:left="1071" w:hanging="357"/>
        <w:rPr>
          <w:szCs w:val="24"/>
        </w:rPr>
      </w:pPr>
      <w:r>
        <w:rPr>
          <w:szCs w:val="24"/>
        </w:rPr>
        <w:lastRenderedPageBreak/>
        <w:t xml:space="preserve">Produktivitātes pieauguma virzīts algu pieaugums un valsts atbalsts </w:t>
      </w:r>
      <w:proofErr w:type="spellStart"/>
      <w:r>
        <w:rPr>
          <w:szCs w:val="24"/>
        </w:rPr>
        <w:t>reemigrācijas</w:t>
      </w:r>
      <w:proofErr w:type="spellEnd"/>
      <w:r>
        <w:rPr>
          <w:szCs w:val="24"/>
        </w:rPr>
        <w:t xml:space="preserve">, mobilitātes, pārkvalifikācijas, izglītības reformu u.c. </w:t>
      </w:r>
      <w:r w:rsidRPr="00F752AA">
        <w:rPr>
          <w:b/>
          <w:szCs w:val="24"/>
        </w:rPr>
        <w:t xml:space="preserve">darba tirgus sabalansēšanas pasākumiem </w:t>
      </w:r>
      <w:r>
        <w:rPr>
          <w:szCs w:val="24"/>
        </w:rPr>
        <w:t xml:space="preserve">vidējā termiņā var radīt pozitīvos riskus </w:t>
      </w:r>
      <w:proofErr w:type="spellStart"/>
      <w:r>
        <w:rPr>
          <w:szCs w:val="24"/>
        </w:rPr>
        <w:t>reemigrācijas</w:t>
      </w:r>
      <w:proofErr w:type="spellEnd"/>
      <w:r>
        <w:rPr>
          <w:szCs w:val="24"/>
        </w:rPr>
        <w:t>, darba spēka mobilitātes un darbaspēka prasmju atbilstības pieprasījuma pieaugumam, kas veicinātu straujāku kā prognozēts ekonomikas attīstību.</w:t>
      </w:r>
    </w:p>
    <w:p w14:paraId="7DDD1D4D" w14:textId="77777777" w:rsidR="007043C5" w:rsidRPr="003D4464" w:rsidRDefault="007043C5" w:rsidP="003D4464">
      <w:pPr>
        <w:numPr>
          <w:ilvl w:val="0"/>
          <w:numId w:val="10"/>
        </w:numPr>
        <w:spacing w:after="0"/>
        <w:ind w:left="1071" w:hanging="357"/>
        <w:rPr>
          <w:szCs w:val="24"/>
        </w:rPr>
      </w:pPr>
      <w:r w:rsidRPr="002E0FBD">
        <w:t xml:space="preserve">Lejupvērsti </w:t>
      </w:r>
      <w:r>
        <w:rPr>
          <w:b/>
        </w:rPr>
        <w:t>p</w:t>
      </w:r>
      <w:r w:rsidRPr="001812C5">
        <w:rPr>
          <w:b/>
        </w:rPr>
        <w:t>asaules energoresursu un izejvielu cenu šoki</w:t>
      </w:r>
      <w:r>
        <w:t>, kā arī lēnāks</w:t>
      </w:r>
      <w:r w:rsidRPr="007A79E0">
        <w:t xml:space="preserve"> </w:t>
      </w:r>
      <w:r>
        <w:t>kā prognozēts aktivitātes un algu pieaugums darba tirgū Latvijā</w:t>
      </w:r>
      <w:r w:rsidRPr="007A79E0">
        <w:t xml:space="preserve"> rada </w:t>
      </w:r>
      <w:r>
        <w:t xml:space="preserve">pozitīvu </w:t>
      </w:r>
      <w:r w:rsidRPr="007A79E0">
        <w:t xml:space="preserve">risku, ka inflācija būs zemāka par prognozēto. </w:t>
      </w:r>
    </w:p>
    <w:p w14:paraId="26BA143A" w14:textId="77777777" w:rsidR="00C5794C" w:rsidRPr="00914541" w:rsidRDefault="00BE5D7D" w:rsidP="002D62B9">
      <w:pPr>
        <w:pStyle w:val="H2"/>
        <w:ind w:left="0" w:firstLine="0"/>
        <w:rPr>
          <w:rFonts w:ascii="Times New Roman" w:hAnsi="Times New Roman"/>
          <w:szCs w:val="32"/>
        </w:rPr>
      </w:pPr>
      <w:bookmarkStart w:id="48" w:name="_Toc354671227"/>
      <w:r w:rsidRPr="00914541">
        <w:rPr>
          <w:rFonts w:ascii="Times New Roman" w:hAnsi="Times New Roman"/>
          <w:szCs w:val="32"/>
        </w:rPr>
        <w:t>5</w:t>
      </w:r>
      <w:r w:rsidR="00C5794C" w:rsidRPr="00914541">
        <w:rPr>
          <w:rFonts w:ascii="Times New Roman" w:hAnsi="Times New Roman"/>
          <w:szCs w:val="32"/>
        </w:rPr>
        <w:t>.2. Jutīguma analīze</w:t>
      </w:r>
      <w:bookmarkEnd w:id="48"/>
    </w:p>
    <w:p w14:paraId="4BA6B549" w14:textId="77777777" w:rsidR="007043C5" w:rsidRPr="00790C97" w:rsidRDefault="007043C5" w:rsidP="007043C5">
      <w:r w:rsidRPr="00790C97">
        <w:t>Balstoties uz 5.1. nodaļā apskatīto makroekonomisko risku iespējamo ietekmi uz tautsaimniecību, ir izstrādāti divi alternatīvie makroekonomiskās attīstības scenāriji. Konverģences programmas centrālais makroekonomiskās attīstības scenārijs ir izstrādāts, balstoties uz konservatīviem ārējās vides pieņēmumiem. Tādējādi pesimistiskā scenārija iestāšanās varbūtība vērtējama kā neliela.</w:t>
      </w:r>
    </w:p>
    <w:p w14:paraId="55857E8B" w14:textId="77777777" w:rsidR="007043C5" w:rsidRPr="00790C97" w:rsidRDefault="007043C5" w:rsidP="007043C5">
      <w:pPr>
        <w:pStyle w:val="T"/>
        <w:ind w:left="720"/>
        <w:jc w:val="right"/>
        <w:rPr>
          <w:rFonts w:ascii="Times New Roman" w:hAnsi="Times New Roman"/>
          <w:b w:val="0"/>
        </w:rPr>
      </w:pPr>
      <w:r w:rsidRPr="00790C97">
        <w:rPr>
          <w:rFonts w:ascii="Times New Roman" w:hAnsi="Times New Roman"/>
          <w:b w:val="0"/>
        </w:rPr>
        <w:t>5.1. tabula. Optimistiskais makroekonomiskais scenārijs</w:t>
      </w:r>
    </w:p>
    <w:tbl>
      <w:tblPr>
        <w:tblW w:w="8889" w:type="dxa"/>
        <w:tblInd w:w="2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969"/>
        <w:gridCol w:w="980"/>
        <w:gridCol w:w="1000"/>
        <w:gridCol w:w="980"/>
        <w:gridCol w:w="980"/>
        <w:gridCol w:w="980"/>
      </w:tblGrid>
      <w:tr w:rsidR="007043C5" w:rsidRPr="00790C97" w14:paraId="67B20CB5" w14:textId="77777777" w:rsidTr="00045692">
        <w:trPr>
          <w:trHeight w:val="300"/>
        </w:trPr>
        <w:tc>
          <w:tcPr>
            <w:tcW w:w="3969" w:type="dxa"/>
            <w:tcBorders>
              <w:top w:val="double" w:sz="4" w:space="0" w:color="auto"/>
              <w:bottom w:val="double" w:sz="4" w:space="0" w:color="auto"/>
              <w:right w:val="double" w:sz="4" w:space="0" w:color="auto"/>
            </w:tcBorders>
            <w:shd w:val="clear" w:color="auto" w:fill="auto"/>
            <w:noWrap/>
            <w:vAlign w:val="bottom"/>
            <w:hideMark/>
          </w:tcPr>
          <w:p w14:paraId="7D549034" w14:textId="77777777" w:rsidR="007043C5" w:rsidRPr="00790C97" w:rsidRDefault="007043C5" w:rsidP="00DA2735">
            <w:pPr>
              <w:pStyle w:val="tabteksts"/>
            </w:pPr>
            <w:r w:rsidRPr="00790C97">
              <w:t xml:space="preserve">                                                  </w:t>
            </w:r>
          </w:p>
        </w:tc>
        <w:tc>
          <w:tcPr>
            <w:tcW w:w="980" w:type="dxa"/>
            <w:tcBorders>
              <w:top w:val="double" w:sz="4" w:space="0" w:color="auto"/>
              <w:left w:val="double" w:sz="4" w:space="0" w:color="auto"/>
              <w:bottom w:val="double" w:sz="4" w:space="0" w:color="auto"/>
              <w:right w:val="single" w:sz="4" w:space="0" w:color="auto"/>
            </w:tcBorders>
            <w:shd w:val="clear" w:color="auto" w:fill="auto"/>
            <w:noWrap/>
            <w:vAlign w:val="bottom"/>
            <w:hideMark/>
          </w:tcPr>
          <w:p w14:paraId="302D28CE" w14:textId="77777777" w:rsidR="007043C5" w:rsidRPr="00790C97" w:rsidRDefault="007043C5" w:rsidP="00DA2735">
            <w:pPr>
              <w:pStyle w:val="tabteksts"/>
              <w:jc w:val="center"/>
              <w:rPr>
                <w:b/>
              </w:rPr>
            </w:pPr>
            <w:r w:rsidRPr="00790C97">
              <w:rPr>
                <w:b/>
              </w:rPr>
              <w:t>2012</w:t>
            </w:r>
          </w:p>
        </w:tc>
        <w:tc>
          <w:tcPr>
            <w:tcW w:w="100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4F8341E0" w14:textId="77777777" w:rsidR="007043C5" w:rsidRPr="00790C97" w:rsidRDefault="007043C5" w:rsidP="00DA2735">
            <w:pPr>
              <w:pStyle w:val="tabteksts"/>
              <w:jc w:val="center"/>
              <w:rPr>
                <w:b/>
              </w:rPr>
            </w:pPr>
            <w:r w:rsidRPr="00790C97">
              <w:rPr>
                <w:b/>
              </w:rPr>
              <w:t>2013</w:t>
            </w:r>
          </w:p>
        </w:tc>
        <w:tc>
          <w:tcPr>
            <w:tcW w:w="98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7982FC72" w14:textId="77777777" w:rsidR="007043C5" w:rsidRPr="00790C97" w:rsidRDefault="007043C5" w:rsidP="00DA2735">
            <w:pPr>
              <w:pStyle w:val="tabteksts"/>
              <w:jc w:val="center"/>
              <w:rPr>
                <w:b/>
              </w:rPr>
            </w:pPr>
            <w:r w:rsidRPr="00790C97">
              <w:rPr>
                <w:b/>
              </w:rPr>
              <w:t>2014</w:t>
            </w:r>
          </w:p>
        </w:tc>
        <w:tc>
          <w:tcPr>
            <w:tcW w:w="98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311BABF5" w14:textId="77777777" w:rsidR="007043C5" w:rsidRPr="00790C97" w:rsidRDefault="007043C5" w:rsidP="00DA2735">
            <w:pPr>
              <w:pStyle w:val="tabteksts"/>
              <w:jc w:val="center"/>
              <w:rPr>
                <w:b/>
              </w:rPr>
            </w:pPr>
            <w:r w:rsidRPr="00790C97">
              <w:rPr>
                <w:b/>
              </w:rPr>
              <w:t>2015</w:t>
            </w:r>
          </w:p>
        </w:tc>
        <w:tc>
          <w:tcPr>
            <w:tcW w:w="980" w:type="dxa"/>
            <w:tcBorders>
              <w:top w:val="double" w:sz="4" w:space="0" w:color="auto"/>
              <w:left w:val="single" w:sz="4" w:space="0" w:color="auto"/>
              <w:bottom w:val="double" w:sz="4" w:space="0" w:color="auto"/>
            </w:tcBorders>
            <w:shd w:val="clear" w:color="auto" w:fill="auto"/>
            <w:noWrap/>
            <w:vAlign w:val="bottom"/>
            <w:hideMark/>
          </w:tcPr>
          <w:p w14:paraId="0DA0AA4D" w14:textId="77777777" w:rsidR="007043C5" w:rsidRPr="00790C97" w:rsidRDefault="007043C5" w:rsidP="00DA2735">
            <w:pPr>
              <w:pStyle w:val="tabteksts"/>
              <w:jc w:val="center"/>
              <w:rPr>
                <w:b/>
              </w:rPr>
            </w:pPr>
            <w:r w:rsidRPr="00790C97">
              <w:rPr>
                <w:b/>
              </w:rPr>
              <w:t>2016</w:t>
            </w:r>
          </w:p>
        </w:tc>
      </w:tr>
      <w:tr w:rsidR="007043C5" w:rsidRPr="00790C97" w14:paraId="53B80E2C" w14:textId="77777777" w:rsidTr="00045692">
        <w:trPr>
          <w:trHeight w:val="300"/>
        </w:trPr>
        <w:tc>
          <w:tcPr>
            <w:tcW w:w="3969" w:type="dxa"/>
            <w:tcBorders>
              <w:top w:val="double" w:sz="4" w:space="0" w:color="auto"/>
              <w:bottom w:val="single" w:sz="4" w:space="0" w:color="auto"/>
              <w:right w:val="double" w:sz="4" w:space="0" w:color="auto"/>
            </w:tcBorders>
            <w:shd w:val="clear" w:color="auto" w:fill="auto"/>
            <w:noWrap/>
            <w:vAlign w:val="bottom"/>
            <w:hideMark/>
          </w:tcPr>
          <w:p w14:paraId="349E798F" w14:textId="77777777" w:rsidR="007043C5" w:rsidRPr="00790C97" w:rsidRDefault="007043C5" w:rsidP="00DA2735">
            <w:pPr>
              <w:pStyle w:val="tabteksts"/>
            </w:pPr>
            <w:r w:rsidRPr="00790C97">
              <w:t>Iekšzemes kopprodukts, faktiskajās cenās, milj. Ls</w:t>
            </w:r>
          </w:p>
        </w:tc>
        <w:tc>
          <w:tcPr>
            <w:tcW w:w="980"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3EAA3BD1" w14:textId="77777777" w:rsidR="007043C5" w:rsidRPr="00790C97" w:rsidRDefault="007043C5" w:rsidP="00DA2735">
            <w:pPr>
              <w:pStyle w:val="tabteksts"/>
              <w:jc w:val="center"/>
            </w:pPr>
            <w:r w:rsidRPr="00790C97">
              <w:t>15520</w:t>
            </w:r>
          </w:p>
        </w:tc>
        <w:tc>
          <w:tcPr>
            <w:tcW w:w="100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3C584BD" w14:textId="77777777" w:rsidR="007043C5" w:rsidRPr="00790C97" w:rsidRDefault="007043C5" w:rsidP="00DA2735">
            <w:pPr>
              <w:pStyle w:val="tabteksts"/>
              <w:jc w:val="center"/>
            </w:pPr>
            <w:r w:rsidRPr="00790C97">
              <w:t>16777</w:t>
            </w:r>
          </w:p>
        </w:tc>
        <w:tc>
          <w:tcPr>
            <w:tcW w:w="98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6B8208E5" w14:textId="77777777" w:rsidR="007043C5" w:rsidRPr="00790C97" w:rsidRDefault="007043C5" w:rsidP="00DA2735">
            <w:pPr>
              <w:pStyle w:val="tabteksts"/>
              <w:jc w:val="center"/>
            </w:pPr>
            <w:r w:rsidRPr="00790C97">
              <w:t>18310</w:t>
            </w:r>
          </w:p>
        </w:tc>
        <w:tc>
          <w:tcPr>
            <w:tcW w:w="98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769C28E8" w14:textId="77777777" w:rsidR="007043C5" w:rsidRPr="00790C97" w:rsidRDefault="007043C5" w:rsidP="00DA2735">
            <w:pPr>
              <w:pStyle w:val="tabteksts"/>
              <w:jc w:val="center"/>
            </w:pPr>
            <w:r w:rsidRPr="00790C97">
              <w:t>19986</w:t>
            </w:r>
          </w:p>
        </w:tc>
        <w:tc>
          <w:tcPr>
            <w:tcW w:w="980" w:type="dxa"/>
            <w:tcBorders>
              <w:top w:val="double" w:sz="4" w:space="0" w:color="auto"/>
              <w:left w:val="single" w:sz="4" w:space="0" w:color="auto"/>
              <w:bottom w:val="single" w:sz="4" w:space="0" w:color="auto"/>
            </w:tcBorders>
            <w:shd w:val="clear" w:color="auto" w:fill="auto"/>
            <w:noWrap/>
            <w:vAlign w:val="bottom"/>
            <w:hideMark/>
          </w:tcPr>
          <w:p w14:paraId="5FDA45E3" w14:textId="77777777" w:rsidR="007043C5" w:rsidRPr="00790C97" w:rsidRDefault="007043C5" w:rsidP="00DA2735">
            <w:pPr>
              <w:pStyle w:val="tabteksts"/>
              <w:jc w:val="center"/>
            </w:pPr>
            <w:r w:rsidRPr="00790C97">
              <w:t>21821</w:t>
            </w:r>
          </w:p>
        </w:tc>
      </w:tr>
      <w:tr w:rsidR="007043C5" w:rsidRPr="00790C97" w14:paraId="6D1A2D32"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57049FB9" w14:textId="77777777" w:rsidR="007043C5" w:rsidRPr="00790C97" w:rsidRDefault="007043C5" w:rsidP="00DA2735">
            <w:pPr>
              <w:pStyle w:val="tabteksts"/>
              <w:ind w:firstLine="474"/>
            </w:pPr>
            <w:r w:rsidRPr="00790C97">
              <w:t>pieaugums faktiskajās cenās ,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67707211" w14:textId="77777777" w:rsidR="007043C5" w:rsidRPr="00790C97" w:rsidRDefault="007043C5" w:rsidP="00DA2735">
            <w:pPr>
              <w:pStyle w:val="tabteksts"/>
              <w:jc w:val="center"/>
            </w:pPr>
            <w:r w:rsidRPr="00790C97">
              <w:t>8,7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4EBA9" w14:textId="77777777" w:rsidR="007043C5" w:rsidRPr="00790C97" w:rsidRDefault="007043C5" w:rsidP="00DA2735">
            <w:pPr>
              <w:pStyle w:val="tabteksts"/>
              <w:jc w:val="center"/>
            </w:pPr>
            <w:r w:rsidRPr="00790C97">
              <w:t>8,1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1AB68" w14:textId="77777777" w:rsidR="007043C5" w:rsidRPr="00790C97" w:rsidRDefault="007043C5" w:rsidP="00DA2735">
            <w:pPr>
              <w:pStyle w:val="tabteksts"/>
              <w:jc w:val="center"/>
            </w:pPr>
            <w:r w:rsidRPr="00790C97">
              <w:t>9,1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975AB" w14:textId="77777777" w:rsidR="007043C5" w:rsidRPr="00790C97" w:rsidRDefault="007043C5" w:rsidP="00DA2735">
            <w:pPr>
              <w:pStyle w:val="tabteksts"/>
              <w:jc w:val="center"/>
            </w:pPr>
            <w:r w:rsidRPr="00790C97">
              <w:t>9,2</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5C24067F" w14:textId="77777777" w:rsidR="007043C5" w:rsidRPr="00790C97" w:rsidRDefault="007043C5" w:rsidP="00DA2735">
            <w:pPr>
              <w:pStyle w:val="tabteksts"/>
              <w:jc w:val="center"/>
            </w:pPr>
            <w:r w:rsidRPr="00790C97">
              <w:t>9,2</w:t>
            </w:r>
          </w:p>
        </w:tc>
      </w:tr>
      <w:tr w:rsidR="007043C5" w:rsidRPr="00790C97" w14:paraId="38E312ED"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2044C90F" w14:textId="77777777" w:rsidR="007043C5" w:rsidRPr="00790C97" w:rsidRDefault="007043C5" w:rsidP="00DA2735">
            <w:pPr>
              <w:pStyle w:val="tabteksts"/>
              <w:ind w:firstLine="474"/>
            </w:pPr>
            <w:r w:rsidRPr="00790C97">
              <w:t>pieaugums salīdzināmās cenās,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09E1FB86" w14:textId="77777777" w:rsidR="007043C5" w:rsidRPr="00790C97" w:rsidRDefault="007043C5" w:rsidP="00DA2735">
            <w:pPr>
              <w:pStyle w:val="tabteksts"/>
              <w:jc w:val="center"/>
            </w:pPr>
            <w:r w:rsidRPr="00790C97">
              <w:t>5,6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B0A90" w14:textId="77777777" w:rsidR="007043C5" w:rsidRPr="00790C97" w:rsidRDefault="007043C5" w:rsidP="00DA2735">
            <w:pPr>
              <w:pStyle w:val="tabteksts"/>
              <w:jc w:val="center"/>
            </w:pPr>
            <w:r w:rsidRPr="00790C97">
              <w:t>6,0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09B5" w14:textId="77777777" w:rsidR="007043C5" w:rsidRPr="00790C97" w:rsidRDefault="007043C5" w:rsidP="00DA2735">
            <w:pPr>
              <w:pStyle w:val="tabteksts"/>
              <w:jc w:val="center"/>
            </w:pPr>
            <w:r w:rsidRPr="00790C97">
              <w:t>6,0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E44F7" w14:textId="77777777" w:rsidR="007043C5" w:rsidRPr="00790C97" w:rsidRDefault="007043C5" w:rsidP="00DA2735">
            <w:pPr>
              <w:pStyle w:val="tabteksts"/>
              <w:jc w:val="center"/>
            </w:pPr>
            <w:r w:rsidRPr="00790C97">
              <w:t>6,0</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06D873E7" w14:textId="77777777" w:rsidR="007043C5" w:rsidRPr="00790C97" w:rsidRDefault="007043C5" w:rsidP="00DA2735">
            <w:pPr>
              <w:pStyle w:val="tabteksts"/>
              <w:jc w:val="center"/>
            </w:pPr>
            <w:r w:rsidRPr="00790C97">
              <w:t>6,0</w:t>
            </w:r>
          </w:p>
        </w:tc>
      </w:tr>
      <w:tr w:rsidR="007043C5" w:rsidRPr="00790C97" w14:paraId="1120094F"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7A59D5CD" w14:textId="77777777" w:rsidR="007043C5" w:rsidRPr="00790C97" w:rsidRDefault="007043C5" w:rsidP="00DA2735">
            <w:pPr>
              <w:pStyle w:val="tabteksts"/>
            </w:pPr>
            <w:r w:rsidRPr="00790C97">
              <w:t>PCI, (gada vidējā),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636C1328" w14:textId="77777777" w:rsidR="007043C5" w:rsidRPr="00790C97" w:rsidRDefault="007043C5" w:rsidP="00DA2735">
            <w:pPr>
              <w:pStyle w:val="tabteksts"/>
              <w:jc w:val="center"/>
            </w:pPr>
            <w:r w:rsidRPr="00790C97">
              <w:t>2,3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7BEC5" w14:textId="77777777" w:rsidR="007043C5" w:rsidRPr="00790C97" w:rsidRDefault="007043C5" w:rsidP="00DA2735">
            <w:pPr>
              <w:pStyle w:val="tabteksts"/>
              <w:jc w:val="center"/>
            </w:pPr>
            <w:r w:rsidRPr="00790C97">
              <w:t>2,0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7238" w14:textId="77777777" w:rsidR="007043C5" w:rsidRPr="00790C97" w:rsidRDefault="007043C5" w:rsidP="00DA2735">
            <w:pPr>
              <w:pStyle w:val="tabteksts"/>
              <w:jc w:val="center"/>
            </w:pPr>
            <w:r w:rsidRPr="00790C97">
              <w:t>3,0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0A256" w14:textId="77777777" w:rsidR="007043C5" w:rsidRPr="00790C97" w:rsidRDefault="007043C5" w:rsidP="00DA2735">
            <w:pPr>
              <w:pStyle w:val="tabteksts"/>
              <w:jc w:val="center"/>
            </w:pPr>
            <w:r w:rsidRPr="00790C97">
              <w:t>3,0</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4D60AED5" w14:textId="77777777" w:rsidR="007043C5" w:rsidRPr="00790C97" w:rsidRDefault="007043C5" w:rsidP="00DA2735">
            <w:pPr>
              <w:pStyle w:val="tabteksts"/>
              <w:jc w:val="center"/>
            </w:pPr>
            <w:r w:rsidRPr="00790C97">
              <w:t>3,0</w:t>
            </w:r>
          </w:p>
        </w:tc>
      </w:tr>
      <w:tr w:rsidR="007043C5" w:rsidRPr="00790C97" w14:paraId="53990E8B"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1511CCB5" w14:textId="77777777" w:rsidR="007043C5" w:rsidRPr="00790C97" w:rsidRDefault="007043C5" w:rsidP="00DA2735">
            <w:pPr>
              <w:pStyle w:val="tabteksts"/>
            </w:pPr>
            <w:r w:rsidRPr="00790C97">
              <w:t>Vidējā darba samaksa tautsaimniecība, latos</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66E6E749" w14:textId="77777777" w:rsidR="007043C5" w:rsidRPr="00790C97" w:rsidRDefault="007043C5" w:rsidP="00DA2735">
            <w:pPr>
              <w:pStyle w:val="tabteksts"/>
              <w:jc w:val="center"/>
            </w:pPr>
            <w:r w:rsidRPr="00790C97">
              <w:t>481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3C9D0" w14:textId="77777777" w:rsidR="007043C5" w:rsidRPr="00790C97" w:rsidRDefault="007043C5" w:rsidP="00DA2735">
            <w:pPr>
              <w:pStyle w:val="tabteksts"/>
              <w:jc w:val="center"/>
            </w:pPr>
            <w:r w:rsidRPr="00790C97">
              <w:t>509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218CA" w14:textId="77777777" w:rsidR="007043C5" w:rsidRPr="00790C97" w:rsidRDefault="007043C5" w:rsidP="00DA2735">
            <w:pPr>
              <w:pStyle w:val="tabteksts"/>
              <w:jc w:val="center"/>
            </w:pPr>
            <w:r w:rsidRPr="00790C97">
              <w:t>541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DCA42" w14:textId="77777777" w:rsidR="007043C5" w:rsidRPr="00790C97" w:rsidRDefault="007043C5" w:rsidP="00DA2735">
            <w:pPr>
              <w:pStyle w:val="tabteksts"/>
              <w:jc w:val="center"/>
            </w:pPr>
            <w:r w:rsidRPr="00790C97">
              <w:t>577</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5B652DC0" w14:textId="77777777" w:rsidR="007043C5" w:rsidRPr="00790C97" w:rsidRDefault="007043C5" w:rsidP="00DA2735">
            <w:pPr>
              <w:pStyle w:val="tabteksts"/>
              <w:jc w:val="center"/>
            </w:pPr>
            <w:r w:rsidRPr="00790C97">
              <w:t>615</w:t>
            </w:r>
          </w:p>
        </w:tc>
      </w:tr>
      <w:tr w:rsidR="007043C5" w:rsidRPr="00790C97" w14:paraId="4DA41543"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31CFC4A3" w14:textId="77777777" w:rsidR="007043C5" w:rsidRPr="00790C97" w:rsidRDefault="007043C5" w:rsidP="00DA2735">
            <w:pPr>
              <w:pStyle w:val="tabteksts"/>
              <w:ind w:firstLine="474"/>
            </w:pPr>
            <w:r w:rsidRPr="00790C97">
              <w:t>pieaugums faktiskajās cenās,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0AB76866" w14:textId="77777777" w:rsidR="007043C5" w:rsidRPr="00790C97" w:rsidRDefault="007043C5" w:rsidP="00DA2735">
            <w:pPr>
              <w:pStyle w:val="tabteksts"/>
              <w:jc w:val="center"/>
            </w:pPr>
            <w:r w:rsidRPr="00790C97">
              <w:t>3,7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CD9F6" w14:textId="77777777" w:rsidR="007043C5" w:rsidRPr="00790C97" w:rsidRDefault="007043C5" w:rsidP="00DA2735">
            <w:pPr>
              <w:pStyle w:val="tabteksts"/>
              <w:jc w:val="center"/>
            </w:pPr>
            <w:r w:rsidRPr="00790C97">
              <w:t>5,8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28218" w14:textId="77777777" w:rsidR="007043C5" w:rsidRPr="00790C97" w:rsidRDefault="007043C5" w:rsidP="00DA2735">
            <w:pPr>
              <w:pStyle w:val="tabteksts"/>
              <w:jc w:val="center"/>
            </w:pPr>
            <w:r w:rsidRPr="00790C97">
              <w:t>6,4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59063" w14:textId="77777777" w:rsidR="007043C5" w:rsidRPr="00790C97" w:rsidRDefault="007043C5" w:rsidP="00DA2735">
            <w:pPr>
              <w:pStyle w:val="tabteksts"/>
              <w:jc w:val="center"/>
            </w:pPr>
            <w:r w:rsidRPr="00790C97">
              <w:t>6,6</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78F0EC3F" w14:textId="77777777" w:rsidR="007043C5" w:rsidRPr="00790C97" w:rsidRDefault="007043C5" w:rsidP="00DA2735">
            <w:pPr>
              <w:pStyle w:val="tabteksts"/>
              <w:jc w:val="center"/>
            </w:pPr>
            <w:r w:rsidRPr="00790C97">
              <w:t>6,5</w:t>
            </w:r>
          </w:p>
        </w:tc>
      </w:tr>
      <w:tr w:rsidR="007043C5" w:rsidRPr="00790C97" w14:paraId="5A6DEBE6"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2AD0863B" w14:textId="77777777" w:rsidR="007043C5" w:rsidRPr="00790C97" w:rsidRDefault="007043C5" w:rsidP="00DA2735">
            <w:pPr>
              <w:pStyle w:val="tabteksts"/>
            </w:pPr>
            <w:r w:rsidRPr="00790C97">
              <w:t xml:space="preserve">Nodarbinātība, tūkst. cilvēku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1CBA4593" w14:textId="77777777" w:rsidR="007043C5" w:rsidRPr="00790C97" w:rsidRDefault="007043C5" w:rsidP="00DA2735">
            <w:pPr>
              <w:pStyle w:val="tabteksts"/>
              <w:jc w:val="center"/>
            </w:pPr>
            <w:r w:rsidRPr="00790C97">
              <w:t>885,6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BDE76" w14:textId="77777777" w:rsidR="007043C5" w:rsidRPr="00790C97" w:rsidRDefault="007043C5" w:rsidP="00DA2735">
            <w:pPr>
              <w:pStyle w:val="tabteksts"/>
              <w:jc w:val="center"/>
            </w:pPr>
            <w:r w:rsidRPr="00790C97">
              <w:t>906,5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22857" w14:textId="77777777" w:rsidR="007043C5" w:rsidRPr="00790C97" w:rsidRDefault="007043C5" w:rsidP="00DA2735">
            <w:pPr>
              <w:pStyle w:val="tabteksts"/>
              <w:jc w:val="center"/>
            </w:pPr>
            <w:r w:rsidRPr="00790C97">
              <w:t>928,2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2526B" w14:textId="77777777" w:rsidR="007043C5" w:rsidRPr="00790C97" w:rsidRDefault="007043C5" w:rsidP="00DA2735">
            <w:pPr>
              <w:pStyle w:val="tabteksts"/>
              <w:jc w:val="center"/>
            </w:pPr>
            <w:r w:rsidRPr="00790C97">
              <w:t>950,5</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4B10B148" w14:textId="77777777" w:rsidR="007043C5" w:rsidRPr="00790C97" w:rsidRDefault="007043C5" w:rsidP="00DA2735">
            <w:pPr>
              <w:pStyle w:val="tabteksts"/>
              <w:jc w:val="center"/>
            </w:pPr>
            <w:r w:rsidRPr="00790C97">
              <w:t>973,6</w:t>
            </w:r>
          </w:p>
        </w:tc>
      </w:tr>
      <w:tr w:rsidR="007043C5" w:rsidRPr="00790C97" w14:paraId="18AF744C"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45FFC11A" w14:textId="77777777" w:rsidR="007043C5" w:rsidRPr="00790C97" w:rsidRDefault="007043C5" w:rsidP="00DA2735">
            <w:pPr>
              <w:pStyle w:val="tabteksts"/>
              <w:ind w:firstLine="474"/>
            </w:pPr>
            <w:r w:rsidRPr="00790C97">
              <w:t>pieaugums,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7F9FE785" w14:textId="77777777" w:rsidR="007043C5" w:rsidRPr="00790C97" w:rsidRDefault="007043C5" w:rsidP="00DA2735">
            <w:pPr>
              <w:pStyle w:val="tabteksts"/>
              <w:jc w:val="center"/>
            </w:pPr>
            <w:r w:rsidRPr="00790C97">
              <w:t>2,8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DACB" w14:textId="77777777" w:rsidR="007043C5" w:rsidRPr="00790C97" w:rsidRDefault="007043C5" w:rsidP="00DA2735">
            <w:pPr>
              <w:pStyle w:val="tabteksts"/>
              <w:jc w:val="center"/>
            </w:pPr>
            <w:r w:rsidRPr="00790C97">
              <w:t>2,4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372C9" w14:textId="77777777" w:rsidR="007043C5" w:rsidRPr="00790C97" w:rsidRDefault="007043C5" w:rsidP="00DA2735">
            <w:pPr>
              <w:pStyle w:val="tabteksts"/>
              <w:jc w:val="center"/>
            </w:pPr>
            <w:r w:rsidRPr="00790C97">
              <w:t>2,4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78F71" w14:textId="77777777" w:rsidR="007043C5" w:rsidRPr="00790C97" w:rsidRDefault="007043C5" w:rsidP="00DA2735">
            <w:pPr>
              <w:pStyle w:val="tabteksts"/>
              <w:jc w:val="center"/>
            </w:pPr>
            <w:r w:rsidRPr="00790C97">
              <w:t>2,4</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0B56B6CC" w14:textId="77777777" w:rsidR="007043C5" w:rsidRPr="00790C97" w:rsidRDefault="007043C5" w:rsidP="00DA2735">
            <w:pPr>
              <w:pStyle w:val="tabteksts"/>
              <w:jc w:val="center"/>
            </w:pPr>
            <w:r w:rsidRPr="00790C97">
              <w:t>2,4</w:t>
            </w:r>
          </w:p>
        </w:tc>
      </w:tr>
      <w:tr w:rsidR="007043C5" w:rsidRPr="00790C97" w14:paraId="37085482"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1E0D4654" w14:textId="77777777" w:rsidR="007043C5" w:rsidRPr="00790C97" w:rsidRDefault="007043C5" w:rsidP="00DA2735">
            <w:pPr>
              <w:pStyle w:val="tabteksts"/>
            </w:pPr>
            <w:r w:rsidRPr="00790C97">
              <w:t xml:space="preserve">Bezdarba līmenis (gada vidējais), % no ekon. aktīviem </w:t>
            </w:r>
            <w:proofErr w:type="spellStart"/>
            <w:r w:rsidRPr="00790C97">
              <w:t>iedzīv</w:t>
            </w:r>
            <w:proofErr w:type="spellEnd"/>
            <w:r w:rsidRPr="00790C97">
              <w:t>.</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7E4FB943" w14:textId="77777777" w:rsidR="007043C5" w:rsidRPr="00790C97" w:rsidRDefault="007043C5" w:rsidP="00DA2735">
            <w:pPr>
              <w:pStyle w:val="tabteksts"/>
              <w:jc w:val="center"/>
            </w:pPr>
            <w:r w:rsidRPr="00790C97">
              <w:t>14,9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33ABF" w14:textId="77777777" w:rsidR="007043C5" w:rsidRPr="00790C97" w:rsidRDefault="007043C5" w:rsidP="00DA2735">
            <w:pPr>
              <w:pStyle w:val="tabteksts"/>
              <w:jc w:val="center"/>
            </w:pPr>
            <w:r w:rsidRPr="00790C97">
              <w:t>11,8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19184" w14:textId="77777777" w:rsidR="007043C5" w:rsidRPr="00790C97" w:rsidRDefault="007043C5" w:rsidP="00DA2735">
            <w:pPr>
              <w:pStyle w:val="tabteksts"/>
              <w:jc w:val="center"/>
            </w:pPr>
            <w:r w:rsidRPr="00790C97">
              <w:t>9,9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876E1" w14:textId="77777777" w:rsidR="007043C5" w:rsidRPr="00790C97" w:rsidRDefault="007043C5" w:rsidP="00DA2735">
            <w:pPr>
              <w:pStyle w:val="tabteksts"/>
              <w:jc w:val="center"/>
            </w:pPr>
            <w:r w:rsidRPr="00790C97">
              <w:t>7,8</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00256E62" w14:textId="77777777" w:rsidR="007043C5" w:rsidRPr="00790C97" w:rsidRDefault="007043C5" w:rsidP="00DA2735">
            <w:pPr>
              <w:pStyle w:val="tabteksts"/>
              <w:jc w:val="center"/>
            </w:pPr>
            <w:r w:rsidRPr="00790C97">
              <w:t>5,8</w:t>
            </w:r>
          </w:p>
        </w:tc>
      </w:tr>
      <w:tr w:rsidR="007043C5" w:rsidRPr="00790C97" w14:paraId="1912A1C7"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559ECDD4" w14:textId="77777777" w:rsidR="007043C5" w:rsidRPr="00790C97" w:rsidRDefault="007043C5" w:rsidP="00DA2735">
            <w:pPr>
              <w:pStyle w:val="tabteksts"/>
            </w:pPr>
            <w:r w:rsidRPr="00790C97">
              <w:t>Eksporta pieauguma tempi faktiskajās cenās,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484B14A2" w14:textId="77777777" w:rsidR="007043C5" w:rsidRPr="00790C97" w:rsidRDefault="007043C5" w:rsidP="00DA2735">
            <w:pPr>
              <w:pStyle w:val="tabteksts"/>
              <w:jc w:val="center"/>
            </w:pPr>
            <w:r w:rsidRPr="00790C97">
              <w:t>13,1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363CC" w14:textId="77777777" w:rsidR="007043C5" w:rsidRPr="00790C97" w:rsidRDefault="007043C5" w:rsidP="00DA2735">
            <w:pPr>
              <w:pStyle w:val="tabteksts"/>
              <w:jc w:val="center"/>
            </w:pPr>
            <w:r w:rsidRPr="00790C97">
              <w:t>10,1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82D87" w14:textId="77777777" w:rsidR="007043C5" w:rsidRPr="00790C97" w:rsidRDefault="007043C5" w:rsidP="00DA2735">
            <w:pPr>
              <w:pStyle w:val="tabteksts"/>
              <w:jc w:val="center"/>
            </w:pPr>
            <w:r w:rsidRPr="00790C97">
              <w:t>11,2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75229" w14:textId="77777777" w:rsidR="007043C5" w:rsidRPr="00790C97" w:rsidRDefault="007043C5" w:rsidP="00DA2735">
            <w:pPr>
              <w:pStyle w:val="tabteksts"/>
              <w:jc w:val="center"/>
            </w:pPr>
            <w:r w:rsidRPr="00790C97">
              <w:t>10,6</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3017B8A0" w14:textId="77777777" w:rsidR="007043C5" w:rsidRPr="00790C97" w:rsidRDefault="007043C5" w:rsidP="00DA2735">
            <w:pPr>
              <w:pStyle w:val="tabteksts"/>
              <w:jc w:val="center"/>
            </w:pPr>
            <w:r w:rsidRPr="00790C97">
              <w:t>10,7</w:t>
            </w:r>
          </w:p>
        </w:tc>
      </w:tr>
      <w:tr w:rsidR="007043C5" w:rsidRPr="00790C97" w14:paraId="5C567B7E" w14:textId="77777777" w:rsidTr="00045692">
        <w:trPr>
          <w:trHeight w:val="300"/>
        </w:trPr>
        <w:tc>
          <w:tcPr>
            <w:tcW w:w="3969" w:type="dxa"/>
            <w:tcBorders>
              <w:top w:val="single" w:sz="4" w:space="0" w:color="auto"/>
              <w:bottom w:val="double" w:sz="4" w:space="0" w:color="auto"/>
              <w:right w:val="double" w:sz="4" w:space="0" w:color="auto"/>
            </w:tcBorders>
            <w:shd w:val="clear" w:color="auto" w:fill="auto"/>
            <w:noWrap/>
            <w:vAlign w:val="bottom"/>
            <w:hideMark/>
          </w:tcPr>
          <w:p w14:paraId="7AD505FD" w14:textId="77777777" w:rsidR="007043C5" w:rsidRPr="00790C97" w:rsidRDefault="007043C5" w:rsidP="00DA2735">
            <w:pPr>
              <w:pStyle w:val="tabteksts"/>
            </w:pPr>
            <w:r w:rsidRPr="00790C97">
              <w:t>Importa pieauguma tempi faktiskajās cenās, %</w:t>
            </w:r>
          </w:p>
        </w:tc>
        <w:tc>
          <w:tcPr>
            <w:tcW w:w="980"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14:paraId="5953ABAD" w14:textId="77777777" w:rsidR="007043C5" w:rsidRPr="00790C97" w:rsidRDefault="007043C5" w:rsidP="00DA2735">
            <w:pPr>
              <w:pStyle w:val="tabteksts"/>
              <w:jc w:val="center"/>
            </w:pPr>
            <w:r w:rsidRPr="00790C97">
              <w:t>10,1</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9EDF3EB" w14:textId="77777777" w:rsidR="007043C5" w:rsidRPr="00790C97" w:rsidRDefault="007043C5" w:rsidP="00DA2735">
            <w:pPr>
              <w:pStyle w:val="tabteksts"/>
              <w:jc w:val="center"/>
            </w:pPr>
            <w:r w:rsidRPr="00790C97">
              <w:t>10,6</w:t>
            </w:r>
          </w:p>
        </w:tc>
        <w:tc>
          <w:tcPr>
            <w:tcW w:w="98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8B38A0A" w14:textId="77777777" w:rsidR="007043C5" w:rsidRPr="00790C97" w:rsidRDefault="007043C5" w:rsidP="00DA2735">
            <w:pPr>
              <w:pStyle w:val="tabteksts"/>
              <w:jc w:val="center"/>
            </w:pPr>
            <w:r w:rsidRPr="00790C97">
              <w:t>11,7</w:t>
            </w:r>
          </w:p>
        </w:tc>
        <w:tc>
          <w:tcPr>
            <w:tcW w:w="98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AC36B49" w14:textId="77777777" w:rsidR="007043C5" w:rsidRPr="00790C97" w:rsidRDefault="007043C5" w:rsidP="00DA2735">
            <w:pPr>
              <w:pStyle w:val="tabteksts"/>
              <w:jc w:val="center"/>
            </w:pPr>
            <w:r w:rsidRPr="00790C97">
              <w:t>11,5</w:t>
            </w:r>
          </w:p>
        </w:tc>
        <w:tc>
          <w:tcPr>
            <w:tcW w:w="980" w:type="dxa"/>
            <w:tcBorders>
              <w:top w:val="single" w:sz="4" w:space="0" w:color="auto"/>
              <w:left w:val="single" w:sz="4" w:space="0" w:color="auto"/>
              <w:bottom w:val="double" w:sz="4" w:space="0" w:color="auto"/>
            </w:tcBorders>
            <w:shd w:val="clear" w:color="auto" w:fill="auto"/>
            <w:noWrap/>
            <w:vAlign w:val="bottom"/>
            <w:hideMark/>
          </w:tcPr>
          <w:p w14:paraId="15F7BE91" w14:textId="77777777" w:rsidR="007043C5" w:rsidRPr="00790C97" w:rsidRDefault="007043C5" w:rsidP="00DA2735">
            <w:pPr>
              <w:pStyle w:val="tabteksts"/>
              <w:jc w:val="center"/>
            </w:pPr>
            <w:r w:rsidRPr="00790C97">
              <w:t>11,5</w:t>
            </w:r>
          </w:p>
        </w:tc>
      </w:tr>
    </w:tbl>
    <w:p w14:paraId="7CCC812A" w14:textId="4FFE97A9" w:rsidR="007043C5" w:rsidRPr="00790C97" w:rsidRDefault="007043C5" w:rsidP="007C39C3">
      <w:pPr>
        <w:spacing w:before="120"/>
      </w:pPr>
      <w:r w:rsidRPr="00790C97">
        <w:t xml:space="preserve">Optimistiskā scenārija īstenošanās iespējama, ja </w:t>
      </w:r>
      <w:proofErr w:type="spellStart"/>
      <w:r w:rsidRPr="00790C97">
        <w:rPr>
          <w:szCs w:val="24"/>
        </w:rPr>
        <w:t>eirozonas</w:t>
      </w:r>
      <w:proofErr w:type="spellEnd"/>
      <w:r w:rsidRPr="00790C97">
        <w:rPr>
          <w:szCs w:val="24"/>
        </w:rPr>
        <w:t xml:space="preserve"> parādu krīzes risinājumi dos labāku rezultātu kā sagaidāms, kas ļautu ES ekonomikai ātrāk un straujāk kā prognozēts atgriezties pie izaugsmes</w:t>
      </w:r>
      <w:r w:rsidRPr="00790C97">
        <w:t>. Īstenojoties optimistiskajam scenārijam, finansējuma pieejamības pieaugums (t.sk. ES fondu straujāka apgūšana) un pieprasījuma atjaunošanās Latvijas eksporta tirgos veicinātu būtiskāku kā</w:t>
      </w:r>
      <w:r>
        <w:t xml:space="preserve"> centrālajā scenārijā</w:t>
      </w:r>
      <w:r w:rsidRPr="00790C97">
        <w:t xml:space="preserve"> plānots investoru un patērētāju konfidenču pieaugumu. Tas dotu straujāku Latvijas investīciju un eksporta pieauguma tempu, kas vienlaikus ar patēriņu stimulējošiem faktoriem kā </w:t>
      </w:r>
      <w:r w:rsidRPr="00790C97">
        <w:rPr>
          <w:szCs w:val="24"/>
        </w:rPr>
        <w:t xml:space="preserve">darba algu pieaugums, nodokļu sloga samazināšana, zema inflācija un konfidenču kāpums saistībā ar ekonomisko attīstību pēdējo divu gadu laikā un plānoto </w:t>
      </w:r>
      <w:proofErr w:type="spellStart"/>
      <w:r w:rsidR="00C04DE7" w:rsidRPr="00E54AB9">
        <w:rPr>
          <w:i/>
          <w:szCs w:val="24"/>
        </w:rPr>
        <w:t>euro</w:t>
      </w:r>
      <w:proofErr w:type="spellEnd"/>
      <w:r w:rsidRPr="00790C97">
        <w:rPr>
          <w:szCs w:val="24"/>
        </w:rPr>
        <w:t xml:space="preserve"> ieviešanu, var attiecīgi dot augstāku kā </w:t>
      </w:r>
      <w:r w:rsidRPr="00790C97">
        <w:t>centrālajā</w:t>
      </w:r>
      <w:r w:rsidRPr="00790C97">
        <w:rPr>
          <w:szCs w:val="24"/>
        </w:rPr>
        <w:t xml:space="preserve"> scenārijā prognozēts privātā patēriņa izaugsmi</w:t>
      </w:r>
      <w:r w:rsidRPr="00790C97">
        <w:t xml:space="preserve">. Pozitīvāki IKP pieauguma tempi balstītos gan uz produktivitātes pieaugumu, gan uzlabojumiem nodarbinātībā. Šajā scenārijā bezdarbs vidējā termiņā strauji samazinātos, bet valsts atbalsts </w:t>
      </w:r>
      <w:proofErr w:type="spellStart"/>
      <w:r w:rsidRPr="00790C97">
        <w:t>reemigrācijas</w:t>
      </w:r>
      <w:proofErr w:type="spellEnd"/>
      <w:r w:rsidRPr="00790C97">
        <w:t>, mobilitātes, pārkvalifikācijas, izglītības reformu u.c. darba tirgus sabalansēšanas pasākumiem vidējā termiņā nodrošinātu darba algu pieaugumu atbilstoši produktivitātes pieaugumam. Optimistiskais makroekonomiskās attīstības scenārijs paredz iekšzemes kopprodukta salīdzināmajās cenās pieaugumu 2013.gadā un vidējā termiņā ik gadu par 6,0 %.</w:t>
      </w:r>
    </w:p>
    <w:p w14:paraId="4C8413C8" w14:textId="77777777" w:rsidR="007043C5" w:rsidRPr="00790C97" w:rsidRDefault="007043C5" w:rsidP="007C39C3">
      <w:r w:rsidRPr="00790C97">
        <w:lastRenderedPageBreak/>
        <w:t>Optimistiskā makroekonomiskā scenārija gadījumā, kas paredz straujāku IKP izaugsmi, nekā centrālajā scenārijā un nosaka pozitīvākus patēriņa un darba tirgus rādītājus, ievērojami tiktu uzlabota arī budžeta ieņēmumu bāze. Gadījumā, ja ekonomikas attīstība noritēs atbilstoši optimistiskajam scenārijam, budžeta ieņēmumi, salīdzinot ar centrālo scenāriju, 2013. gadā būs par 0,6 % no IKP lielāki, 2014. gadā - par 1,3 %, savukārt 2015. un 2016. gados attiecīgi par 1,8 % un 2,4 %.</w:t>
      </w:r>
    </w:p>
    <w:p w14:paraId="01F7AC50" w14:textId="77777777" w:rsidR="007043C5" w:rsidRDefault="007043C5" w:rsidP="007C39C3">
      <w:r w:rsidRPr="00790C97">
        <w:t>Pesimistiskā makroekonomiskā scenārija pamatā ir negatīvo risku īstenošanās. Lēnāka</w:t>
      </w:r>
      <w:r w:rsidR="00C752F0">
        <w:t>s</w:t>
      </w:r>
      <w:r w:rsidRPr="00790C97">
        <w:t xml:space="preserve"> kā prognozēts ekonomikas izaugsme</w:t>
      </w:r>
      <w:r w:rsidR="00C752F0">
        <w:t>s</w:t>
      </w:r>
      <w:r w:rsidRPr="00790C97">
        <w:t xml:space="preserve"> atjaunošanās </w:t>
      </w:r>
      <w:proofErr w:type="spellStart"/>
      <w:r w:rsidRPr="00790C97">
        <w:t>eirozonā</w:t>
      </w:r>
      <w:proofErr w:type="spellEnd"/>
      <w:r w:rsidRPr="00790C97">
        <w:t xml:space="preserve">, kā rezultātā izaugsme visā reģionā saglabājas vāja, </w:t>
      </w:r>
      <w:r w:rsidRPr="00790C97">
        <w:rPr>
          <w:szCs w:val="24"/>
        </w:rPr>
        <w:t xml:space="preserve">var būtiski samazināt Latvijas IKP izaugsmi. Zemāks kā </w:t>
      </w:r>
      <w:r w:rsidRPr="00790C97">
        <w:t>centrālajā</w:t>
      </w:r>
      <w:r w:rsidRPr="00790C97">
        <w:rPr>
          <w:szCs w:val="24"/>
        </w:rPr>
        <w:t xml:space="preserve"> scenārijā eksporta pieprasījums var būtiski samazināt preču un pakalpojumu eksporta pieaugumu tempu, kā arī negatīvi ietekmēt uzņēmēju, investoru un patērētāju konfidenci. N</w:t>
      </w:r>
      <w:r w:rsidRPr="00790C97">
        <w:t>estabilitāte finanšu tirgos un finansējuma pieejamības problēmas kopā ar investoru konfidenču kritumu var nozīmīgi palēnināt investīciju ieplūdi, tādējādi samazinot izaugsmi ne tikai īsā, bet arī vidējā termiņā.</w:t>
      </w:r>
      <w:r w:rsidRPr="00790C97">
        <w:rPr>
          <w:szCs w:val="24"/>
        </w:rPr>
        <w:t xml:space="preserve"> </w:t>
      </w:r>
      <w:r w:rsidRPr="00790C97">
        <w:t xml:space="preserve">Īstenojoties šādam scenārijam, nodarbinātības un algu pieaugums būtu būtiski zemāks kā centrālajā scenārijā, bet bezdarba līmenis vidējā termiņā saglabātos augsts. </w:t>
      </w:r>
      <w:r w:rsidRPr="00790C97">
        <w:rPr>
          <w:szCs w:val="24"/>
        </w:rPr>
        <w:t xml:space="preserve">Lēnāks kā prognozēts bezdarba līmeņa samazinājums, uzņēmēju piesardzība algu paaugstināšanā un valsts fiskālā disciplīna, kas ierobežo publiskā sektora algu pieaugumu, parādsaistību samazināšana un piesardzība jaunu kredītu ņemšanā, var rezultēties nozīmīgi zemākā kā </w:t>
      </w:r>
      <w:r w:rsidRPr="00790C97">
        <w:t>centrālajā</w:t>
      </w:r>
      <w:r w:rsidRPr="00790C97">
        <w:rPr>
          <w:szCs w:val="24"/>
        </w:rPr>
        <w:t xml:space="preserve"> scenārijā privātā patēriņa pieaugumā. </w:t>
      </w:r>
      <w:r w:rsidRPr="00790C97">
        <w:t>Pesimistiskā makroekonomiskā scenārija attīstība paredz, ka sākot ar 2013. gadu IKP palielinātos tikai par 2,0 % gadā. Līdz ar zemāku izaugsmi mazinātos arī inflācijas spiediens</w:t>
      </w:r>
      <w:r>
        <w:t>,</w:t>
      </w:r>
      <w:r w:rsidRPr="00790C97">
        <w:t xml:space="preserve"> un cenu pieaugums 2013. gadā būtu 0,5% apmērā, bet vidējā termiņā </w:t>
      </w:r>
      <w:r>
        <w:t>-</w:t>
      </w:r>
      <w:r w:rsidRPr="00790C97">
        <w:t xml:space="preserve"> 1,5 % gadā.</w:t>
      </w:r>
    </w:p>
    <w:p w14:paraId="159A2593" w14:textId="77777777" w:rsidR="00C752F0" w:rsidRPr="00790C97" w:rsidRDefault="00C752F0" w:rsidP="00245AD2">
      <w:pPr>
        <w:spacing w:after="0"/>
      </w:pPr>
    </w:p>
    <w:p w14:paraId="55A027D5" w14:textId="77777777" w:rsidR="007043C5" w:rsidRPr="00790C97" w:rsidRDefault="007043C5" w:rsidP="007043C5">
      <w:pPr>
        <w:pStyle w:val="T"/>
        <w:ind w:left="720"/>
        <w:jc w:val="right"/>
        <w:rPr>
          <w:rFonts w:ascii="Times New Roman" w:hAnsi="Times New Roman"/>
          <w:b w:val="0"/>
        </w:rPr>
      </w:pPr>
      <w:r w:rsidRPr="00790C97">
        <w:rPr>
          <w:rFonts w:ascii="Times New Roman" w:hAnsi="Times New Roman"/>
          <w:b w:val="0"/>
        </w:rPr>
        <w:t>5.2. tabula. Pesimistiskais makroekonomiskais scenārijs</w:t>
      </w:r>
    </w:p>
    <w:tbl>
      <w:tblPr>
        <w:tblW w:w="8889" w:type="dxa"/>
        <w:tblInd w:w="2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969"/>
        <w:gridCol w:w="980"/>
        <w:gridCol w:w="1000"/>
        <w:gridCol w:w="980"/>
        <w:gridCol w:w="980"/>
        <w:gridCol w:w="980"/>
      </w:tblGrid>
      <w:tr w:rsidR="007043C5" w:rsidRPr="00790C97" w14:paraId="18F3DA2D" w14:textId="77777777" w:rsidTr="00045692">
        <w:trPr>
          <w:trHeight w:val="300"/>
        </w:trPr>
        <w:tc>
          <w:tcPr>
            <w:tcW w:w="3969" w:type="dxa"/>
            <w:tcBorders>
              <w:top w:val="double" w:sz="4" w:space="0" w:color="auto"/>
              <w:bottom w:val="double" w:sz="4" w:space="0" w:color="auto"/>
              <w:right w:val="double" w:sz="4" w:space="0" w:color="auto"/>
            </w:tcBorders>
            <w:shd w:val="clear" w:color="auto" w:fill="auto"/>
            <w:noWrap/>
            <w:vAlign w:val="bottom"/>
            <w:hideMark/>
          </w:tcPr>
          <w:p w14:paraId="7C250665" w14:textId="77777777" w:rsidR="007043C5" w:rsidRPr="00790C97" w:rsidRDefault="007043C5" w:rsidP="00DA2735">
            <w:pPr>
              <w:pStyle w:val="tabteksts"/>
            </w:pPr>
            <w:r w:rsidRPr="00790C97">
              <w:t xml:space="preserve">                                                  </w:t>
            </w:r>
          </w:p>
        </w:tc>
        <w:tc>
          <w:tcPr>
            <w:tcW w:w="980" w:type="dxa"/>
            <w:tcBorders>
              <w:top w:val="double" w:sz="4" w:space="0" w:color="auto"/>
              <w:left w:val="double" w:sz="4" w:space="0" w:color="auto"/>
              <w:bottom w:val="double" w:sz="4" w:space="0" w:color="auto"/>
              <w:right w:val="single" w:sz="4" w:space="0" w:color="auto"/>
            </w:tcBorders>
            <w:shd w:val="clear" w:color="auto" w:fill="auto"/>
            <w:noWrap/>
            <w:vAlign w:val="bottom"/>
            <w:hideMark/>
          </w:tcPr>
          <w:p w14:paraId="33733FBC" w14:textId="77777777" w:rsidR="007043C5" w:rsidRPr="00790C97" w:rsidRDefault="007043C5" w:rsidP="00DA2735">
            <w:pPr>
              <w:pStyle w:val="tabteksts"/>
              <w:jc w:val="center"/>
              <w:rPr>
                <w:b/>
              </w:rPr>
            </w:pPr>
            <w:r w:rsidRPr="00790C97">
              <w:rPr>
                <w:b/>
              </w:rPr>
              <w:t>2012</w:t>
            </w:r>
          </w:p>
        </w:tc>
        <w:tc>
          <w:tcPr>
            <w:tcW w:w="100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6760F0A0" w14:textId="77777777" w:rsidR="007043C5" w:rsidRPr="00790C97" w:rsidRDefault="007043C5" w:rsidP="00DA2735">
            <w:pPr>
              <w:pStyle w:val="tabteksts"/>
              <w:jc w:val="center"/>
              <w:rPr>
                <w:b/>
              </w:rPr>
            </w:pPr>
            <w:r w:rsidRPr="00790C97">
              <w:rPr>
                <w:b/>
              </w:rPr>
              <w:t>2013</w:t>
            </w:r>
          </w:p>
        </w:tc>
        <w:tc>
          <w:tcPr>
            <w:tcW w:w="98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CFC2875" w14:textId="77777777" w:rsidR="007043C5" w:rsidRPr="00790C97" w:rsidRDefault="007043C5" w:rsidP="00DA2735">
            <w:pPr>
              <w:pStyle w:val="tabteksts"/>
              <w:jc w:val="center"/>
              <w:rPr>
                <w:b/>
              </w:rPr>
            </w:pPr>
            <w:r w:rsidRPr="00790C97">
              <w:rPr>
                <w:b/>
              </w:rPr>
              <w:t>2014</w:t>
            </w:r>
          </w:p>
        </w:tc>
        <w:tc>
          <w:tcPr>
            <w:tcW w:w="98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40A8CD6C" w14:textId="77777777" w:rsidR="007043C5" w:rsidRPr="00790C97" w:rsidRDefault="007043C5" w:rsidP="00DA2735">
            <w:pPr>
              <w:pStyle w:val="tabteksts"/>
              <w:jc w:val="center"/>
              <w:rPr>
                <w:b/>
              </w:rPr>
            </w:pPr>
            <w:r w:rsidRPr="00790C97">
              <w:rPr>
                <w:b/>
              </w:rPr>
              <w:t>2015</w:t>
            </w:r>
          </w:p>
        </w:tc>
        <w:tc>
          <w:tcPr>
            <w:tcW w:w="980" w:type="dxa"/>
            <w:tcBorders>
              <w:top w:val="double" w:sz="4" w:space="0" w:color="auto"/>
              <w:left w:val="single" w:sz="4" w:space="0" w:color="auto"/>
              <w:bottom w:val="double" w:sz="4" w:space="0" w:color="auto"/>
            </w:tcBorders>
            <w:shd w:val="clear" w:color="auto" w:fill="auto"/>
            <w:noWrap/>
            <w:vAlign w:val="bottom"/>
            <w:hideMark/>
          </w:tcPr>
          <w:p w14:paraId="26DD7590" w14:textId="77777777" w:rsidR="007043C5" w:rsidRPr="00790C97" w:rsidRDefault="007043C5" w:rsidP="00DA2735">
            <w:pPr>
              <w:pStyle w:val="tabteksts"/>
              <w:jc w:val="center"/>
              <w:rPr>
                <w:b/>
              </w:rPr>
            </w:pPr>
            <w:r w:rsidRPr="00790C97">
              <w:rPr>
                <w:b/>
              </w:rPr>
              <w:t>2016</w:t>
            </w:r>
          </w:p>
        </w:tc>
      </w:tr>
      <w:tr w:rsidR="007043C5" w:rsidRPr="00790C97" w14:paraId="661AB222" w14:textId="77777777" w:rsidTr="00045692">
        <w:trPr>
          <w:trHeight w:val="300"/>
        </w:trPr>
        <w:tc>
          <w:tcPr>
            <w:tcW w:w="3969" w:type="dxa"/>
            <w:tcBorders>
              <w:top w:val="double" w:sz="4" w:space="0" w:color="auto"/>
              <w:bottom w:val="single" w:sz="4" w:space="0" w:color="auto"/>
              <w:right w:val="double" w:sz="4" w:space="0" w:color="auto"/>
            </w:tcBorders>
            <w:shd w:val="clear" w:color="auto" w:fill="auto"/>
            <w:noWrap/>
            <w:vAlign w:val="bottom"/>
            <w:hideMark/>
          </w:tcPr>
          <w:p w14:paraId="5E05A10D" w14:textId="77777777" w:rsidR="007043C5" w:rsidRPr="00790C97" w:rsidRDefault="007043C5" w:rsidP="00DA2735">
            <w:pPr>
              <w:pStyle w:val="tabteksts"/>
            </w:pPr>
            <w:r w:rsidRPr="00790C97">
              <w:t>Iekšzemes kopprodukts, faktiskajās cenās, milj. Ls</w:t>
            </w:r>
          </w:p>
        </w:tc>
        <w:tc>
          <w:tcPr>
            <w:tcW w:w="980"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19004C1D" w14:textId="77777777" w:rsidR="007043C5" w:rsidRPr="00790C97" w:rsidRDefault="007043C5" w:rsidP="00DA2735">
            <w:pPr>
              <w:pStyle w:val="tabteksts"/>
              <w:jc w:val="center"/>
            </w:pPr>
            <w:r w:rsidRPr="00790C97">
              <w:t>15520</w:t>
            </w:r>
          </w:p>
        </w:tc>
        <w:tc>
          <w:tcPr>
            <w:tcW w:w="100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3B74A696" w14:textId="77777777" w:rsidR="007043C5" w:rsidRPr="00790C97" w:rsidRDefault="007043C5" w:rsidP="00DA2735">
            <w:pPr>
              <w:pStyle w:val="tabteksts"/>
              <w:jc w:val="center"/>
            </w:pPr>
            <w:r w:rsidRPr="00790C97">
              <w:t>15916</w:t>
            </w:r>
          </w:p>
        </w:tc>
        <w:tc>
          <w:tcPr>
            <w:tcW w:w="98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0527AF39" w14:textId="77777777" w:rsidR="007043C5" w:rsidRPr="00790C97" w:rsidRDefault="007043C5" w:rsidP="00DA2735">
            <w:pPr>
              <w:pStyle w:val="tabteksts"/>
              <w:jc w:val="center"/>
            </w:pPr>
            <w:r w:rsidRPr="00790C97">
              <w:t>16471</w:t>
            </w:r>
          </w:p>
        </w:tc>
        <w:tc>
          <w:tcPr>
            <w:tcW w:w="98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5E79D24E" w14:textId="77777777" w:rsidR="007043C5" w:rsidRPr="00790C97" w:rsidRDefault="007043C5" w:rsidP="00DA2735">
            <w:pPr>
              <w:pStyle w:val="tabteksts"/>
              <w:jc w:val="center"/>
            </w:pPr>
            <w:r w:rsidRPr="00790C97">
              <w:t>17057</w:t>
            </w:r>
          </w:p>
        </w:tc>
        <w:tc>
          <w:tcPr>
            <w:tcW w:w="980" w:type="dxa"/>
            <w:tcBorders>
              <w:top w:val="double" w:sz="4" w:space="0" w:color="auto"/>
              <w:left w:val="single" w:sz="4" w:space="0" w:color="auto"/>
              <w:bottom w:val="single" w:sz="4" w:space="0" w:color="auto"/>
            </w:tcBorders>
            <w:shd w:val="clear" w:color="auto" w:fill="auto"/>
            <w:noWrap/>
            <w:vAlign w:val="bottom"/>
            <w:hideMark/>
          </w:tcPr>
          <w:p w14:paraId="0285E7CF" w14:textId="77777777" w:rsidR="007043C5" w:rsidRPr="00790C97" w:rsidRDefault="007043C5" w:rsidP="00DA2735">
            <w:pPr>
              <w:pStyle w:val="tabteksts"/>
              <w:jc w:val="center"/>
            </w:pPr>
            <w:r w:rsidRPr="00790C97">
              <w:t>17657</w:t>
            </w:r>
          </w:p>
        </w:tc>
      </w:tr>
      <w:tr w:rsidR="007043C5" w:rsidRPr="00790C97" w14:paraId="679B57C6"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2930BC90" w14:textId="77777777" w:rsidR="007043C5" w:rsidRPr="00790C97" w:rsidRDefault="007043C5" w:rsidP="00DA2735">
            <w:pPr>
              <w:pStyle w:val="tabteksts"/>
              <w:ind w:firstLine="474"/>
            </w:pPr>
            <w:r w:rsidRPr="00790C97">
              <w:t>pieaugums faktiskajās cenās ,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4DBEB49B" w14:textId="77777777" w:rsidR="007043C5" w:rsidRPr="00790C97" w:rsidRDefault="007043C5" w:rsidP="00DA2735">
            <w:pPr>
              <w:pStyle w:val="tabteksts"/>
              <w:jc w:val="center"/>
            </w:pPr>
            <w:r w:rsidRPr="00790C97">
              <w:t>8,7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8569" w14:textId="77777777" w:rsidR="007043C5" w:rsidRPr="00790C97" w:rsidRDefault="007043C5" w:rsidP="00DA2735">
            <w:pPr>
              <w:pStyle w:val="tabteksts"/>
              <w:jc w:val="center"/>
            </w:pPr>
            <w:r w:rsidRPr="00790C97">
              <w:t>2,5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1E495" w14:textId="77777777" w:rsidR="007043C5" w:rsidRPr="00790C97" w:rsidRDefault="007043C5" w:rsidP="00DA2735">
            <w:pPr>
              <w:pStyle w:val="tabteksts"/>
              <w:jc w:val="center"/>
            </w:pPr>
            <w:r w:rsidRPr="00790C97">
              <w:t>3,5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B275C" w14:textId="77777777" w:rsidR="007043C5" w:rsidRPr="00790C97" w:rsidRDefault="007043C5" w:rsidP="00DA2735">
            <w:pPr>
              <w:pStyle w:val="tabteksts"/>
              <w:jc w:val="center"/>
            </w:pPr>
            <w:r w:rsidRPr="00790C97">
              <w:t>3,6</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6BD1B861" w14:textId="77777777" w:rsidR="007043C5" w:rsidRPr="00790C97" w:rsidRDefault="007043C5" w:rsidP="00DA2735">
            <w:pPr>
              <w:pStyle w:val="tabteksts"/>
              <w:jc w:val="center"/>
            </w:pPr>
            <w:r w:rsidRPr="00790C97">
              <w:t>3,5</w:t>
            </w:r>
          </w:p>
        </w:tc>
      </w:tr>
      <w:tr w:rsidR="007043C5" w:rsidRPr="00790C97" w14:paraId="418467E7"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4D832E8E" w14:textId="77777777" w:rsidR="007043C5" w:rsidRPr="00790C97" w:rsidRDefault="007043C5" w:rsidP="00DA2735">
            <w:pPr>
              <w:pStyle w:val="tabteksts"/>
              <w:ind w:firstLine="474"/>
            </w:pPr>
            <w:r w:rsidRPr="00790C97">
              <w:t>pieaugums salīdzināmās cenās,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3C9DDF71" w14:textId="77777777" w:rsidR="007043C5" w:rsidRPr="00790C97" w:rsidRDefault="007043C5" w:rsidP="00DA2735">
            <w:pPr>
              <w:pStyle w:val="tabteksts"/>
              <w:jc w:val="center"/>
            </w:pPr>
            <w:r w:rsidRPr="00790C97">
              <w:t>5,6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1D46F" w14:textId="77777777" w:rsidR="007043C5" w:rsidRPr="00790C97" w:rsidRDefault="007043C5" w:rsidP="00DA2735">
            <w:pPr>
              <w:pStyle w:val="tabteksts"/>
              <w:jc w:val="center"/>
            </w:pPr>
            <w:r w:rsidRPr="00790C97">
              <w:t>2,0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6CC1" w14:textId="77777777" w:rsidR="007043C5" w:rsidRPr="00790C97" w:rsidRDefault="007043C5" w:rsidP="00DA2735">
            <w:pPr>
              <w:pStyle w:val="tabteksts"/>
              <w:jc w:val="center"/>
            </w:pPr>
            <w:r w:rsidRPr="00790C97">
              <w:t>2,0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1E6C" w14:textId="77777777" w:rsidR="007043C5" w:rsidRPr="00790C97" w:rsidRDefault="007043C5" w:rsidP="00DA2735">
            <w:pPr>
              <w:pStyle w:val="tabteksts"/>
              <w:jc w:val="center"/>
            </w:pPr>
            <w:r w:rsidRPr="00790C97">
              <w:t>2,0</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40380E2B" w14:textId="77777777" w:rsidR="007043C5" w:rsidRPr="00790C97" w:rsidRDefault="007043C5" w:rsidP="00DA2735">
            <w:pPr>
              <w:pStyle w:val="tabteksts"/>
              <w:jc w:val="center"/>
            </w:pPr>
            <w:r w:rsidRPr="00790C97">
              <w:t>2,0</w:t>
            </w:r>
          </w:p>
        </w:tc>
      </w:tr>
      <w:tr w:rsidR="007043C5" w:rsidRPr="00790C97" w14:paraId="6F9625C4"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0F92F26C" w14:textId="77777777" w:rsidR="007043C5" w:rsidRPr="00790C97" w:rsidRDefault="007043C5" w:rsidP="00DA2735">
            <w:pPr>
              <w:pStyle w:val="tabteksts"/>
            </w:pPr>
            <w:r w:rsidRPr="00790C97">
              <w:t>PCI, (gada vidējā),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136AC31F" w14:textId="77777777" w:rsidR="007043C5" w:rsidRPr="00790C97" w:rsidRDefault="007043C5" w:rsidP="00DA2735">
            <w:pPr>
              <w:pStyle w:val="tabteksts"/>
              <w:jc w:val="center"/>
            </w:pPr>
            <w:r w:rsidRPr="00790C97">
              <w:t>2,3</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C4459" w14:textId="77777777" w:rsidR="007043C5" w:rsidRPr="00790C97" w:rsidRDefault="007043C5" w:rsidP="00DA2735">
            <w:pPr>
              <w:pStyle w:val="tabteksts"/>
              <w:jc w:val="center"/>
            </w:pPr>
            <w:r w:rsidRPr="00790C97">
              <w:t>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6B3C5" w14:textId="77777777" w:rsidR="007043C5" w:rsidRPr="00790C97" w:rsidRDefault="007043C5" w:rsidP="00DA2735">
            <w:pPr>
              <w:pStyle w:val="tabteksts"/>
              <w:jc w:val="center"/>
            </w:pPr>
            <w:r w:rsidRPr="00790C97">
              <w:t>1,5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5134" w14:textId="77777777" w:rsidR="007043C5" w:rsidRPr="00790C97" w:rsidRDefault="007043C5" w:rsidP="00DA2735">
            <w:pPr>
              <w:pStyle w:val="tabteksts"/>
              <w:jc w:val="center"/>
            </w:pPr>
            <w:r w:rsidRPr="00790C97">
              <w:t>1,5</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2437110F" w14:textId="77777777" w:rsidR="007043C5" w:rsidRPr="00790C97" w:rsidRDefault="007043C5" w:rsidP="00DA2735">
            <w:pPr>
              <w:pStyle w:val="tabteksts"/>
              <w:jc w:val="center"/>
            </w:pPr>
            <w:r w:rsidRPr="00790C97">
              <w:t>1,5</w:t>
            </w:r>
          </w:p>
        </w:tc>
      </w:tr>
      <w:tr w:rsidR="007043C5" w:rsidRPr="00790C97" w14:paraId="26027638"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6E33CEAE" w14:textId="77777777" w:rsidR="007043C5" w:rsidRPr="00790C97" w:rsidRDefault="007043C5" w:rsidP="00DA2735">
            <w:pPr>
              <w:pStyle w:val="tabteksts"/>
            </w:pPr>
            <w:r w:rsidRPr="00790C97">
              <w:t>Vidējā darba samaksa tautsaimniecība, latos</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548CDA6D" w14:textId="77777777" w:rsidR="007043C5" w:rsidRPr="00790C97" w:rsidRDefault="007043C5" w:rsidP="00DA2735">
            <w:pPr>
              <w:pStyle w:val="tabteksts"/>
              <w:jc w:val="center"/>
            </w:pPr>
            <w:r w:rsidRPr="00790C97">
              <w:t>481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4731F" w14:textId="77777777" w:rsidR="007043C5" w:rsidRPr="00790C97" w:rsidRDefault="007043C5" w:rsidP="00DA2735">
            <w:pPr>
              <w:pStyle w:val="tabteksts"/>
              <w:jc w:val="center"/>
            </w:pPr>
            <w:r w:rsidRPr="00790C97">
              <w:t>492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138D6" w14:textId="77777777" w:rsidR="007043C5" w:rsidRPr="00790C97" w:rsidRDefault="007043C5" w:rsidP="00DA2735">
            <w:pPr>
              <w:pStyle w:val="tabteksts"/>
              <w:jc w:val="center"/>
            </w:pPr>
            <w:r w:rsidRPr="00790C97">
              <w:t>506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5C02" w14:textId="77777777" w:rsidR="007043C5" w:rsidRPr="00790C97" w:rsidRDefault="007043C5" w:rsidP="00DA2735">
            <w:pPr>
              <w:pStyle w:val="tabteksts"/>
              <w:jc w:val="center"/>
            </w:pPr>
            <w:r w:rsidRPr="00790C97">
              <w:t>522</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012C92A5" w14:textId="77777777" w:rsidR="007043C5" w:rsidRPr="00790C97" w:rsidRDefault="007043C5" w:rsidP="00DA2735">
            <w:pPr>
              <w:pStyle w:val="tabteksts"/>
              <w:jc w:val="center"/>
            </w:pPr>
            <w:r w:rsidRPr="00790C97">
              <w:t>538</w:t>
            </w:r>
          </w:p>
        </w:tc>
      </w:tr>
      <w:tr w:rsidR="007043C5" w:rsidRPr="00790C97" w14:paraId="4F24B93C"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477E179D" w14:textId="77777777" w:rsidR="007043C5" w:rsidRPr="00790C97" w:rsidRDefault="007043C5" w:rsidP="00DA2735">
            <w:pPr>
              <w:pStyle w:val="tabteksts"/>
              <w:ind w:firstLine="474"/>
            </w:pPr>
            <w:r w:rsidRPr="00790C97">
              <w:t>pieaugums faktiskajās cenās,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4B5CBC23" w14:textId="77777777" w:rsidR="007043C5" w:rsidRPr="00790C97" w:rsidRDefault="007043C5" w:rsidP="00DA2735">
            <w:pPr>
              <w:pStyle w:val="tabteksts"/>
              <w:jc w:val="center"/>
            </w:pPr>
            <w:r w:rsidRPr="00790C97">
              <w:t>3,7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A61A2" w14:textId="77777777" w:rsidR="007043C5" w:rsidRPr="00790C97" w:rsidRDefault="007043C5" w:rsidP="00DA2735">
            <w:pPr>
              <w:pStyle w:val="tabteksts"/>
              <w:jc w:val="center"/>
            </w:pPr>
            <w:r w:rsidRPr="00790C97">
              <w:t>2,2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524E" w14:textId="77777777" w:rsidR="007043C5" w:rsidRPr="00790C97" w:rsidRDefault="007043C5" w:rsidP="00DA2735">
            <w:pPr>
              <w:pStyle w:val="tabteksts"/>
              <w:jc w:val="center"/>
            </w:pPr>
            <w:r w:rsidRPr="00790C97">
              <w:t>3,0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234A2" w14:textId="77777777" w:rsidR="007043C5" w:rsidRPr="00790C97" w:rsidRDefault="007043C5" w:rsidP="00DA2735">
            <w:pPr>
              <w:pStyle w:val="tabteksts"/>
              <w:jc w:val="center"/>
            </w:pPr>
            <w:r w:rsidRPr="00790C97">
              <w:t>3,1</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3B79EA77" w14:textId="77777777" w:rsidR="007043C5" w:rsidRPr="00790C97" w:rsidRDefault="007043C5" w:rsidP="00DA2735">
            <w:pPr>
              <w:pStyle w:val="tabteksts"/>
              <w:jc w:val="center"/>
            </w:pPr>
            <w:r w:rsidRPr="00790C97">
              <w:t>3,1</w:t>
            </w:r>
          </w:p>
        </w:tc>
      </w:tr>
      <w:tr w:rsidR="007043C5" w:rsidRPr="00790C97" w14:paraId="0E9032B5"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4EE3231D" w14:textId="77777777" w:rsidR="007043C5" w:rsidRPr="00790C97" w:rsidRDefault="007043C5" w:rsidP="00DA2735">
            <w:pPr>
              <w:pStyle w:val="tabteksts"/>
            </w:pPr>
            <w:r w:rsidRPr="00790C97">
              <w:t xml:space="preserve">Nodarbinātība, tūkst. cilvēku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7AC6F416" w14:textId="77777777" w:rsidR="007043C5" w:rsidRPr="00790C97" w:rsidRDefault="007043C5" w:rsidP="00DA2735">
            <w:pPr>
              <w:pStyle w:val="tabteksts"/>
              <w:jc w:val="center"/>
            </w:pPr>
            <w:r w:rsidRPr="00790C97">
              <w:t>885,6</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EE70E" w14:textId="77777777" w:rsidR="007043C5" w:rsidRPr="00790C97" w:rsidRDefault="007043C5" w:rsidP="00DA2735">
            <w:pPr>
              <w:pStyle w:val="tabteksts"/>
              <w:jc w:val="center"/>
            </w:pPr>
            <w:r w:rsidRPr="00790C97">
              <w:t>889,9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2CFB1" w14:textId="77777777" w:rsidR="007043C5" w:rsidRPr="00790C97" w:rsidRDefault="007043C5" w:rsidP="00DA2735">
            <w:pPr>
              <w:pStyle w:val="tabteksts"/>
              <w:jc w:val="center"/>
            </w:pPr>
            <w:r w:rsidRPr="00790C97">
              <w:t>894,0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67757" w14:textId="77777777" w:rsidR="007043C5" w:rsidRPr="00790C97" w:rsidRDefault="007043C5" w:rsidP="00DA2735">
            <w:pPr>
              <w:pStyle w:val="tabteksts"/>
              <w:jc w:val="center"/>
            </w:pPr>
            <w:r w:rsidRPr="00790C97">
              <w:t>898,1</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62BD2DBA" w14:textId="77777777" w:rsidR="007043C5" w:rsidRPr="00790C97" w:rsidRDefault="007043C5" w:rsidP="00DA2735">
            <w:pPr>
              <w:pStyle w:val="tabteksts"/>
              <w:jc w:val="center"/>
            </w:pPr>
            <w:r w:rsidRPr="00790C97">
              <w:t>902,4</w:t>
            </w:r>
          </w:p>
        </w:tc>
      </w:tr>
      <w:tr w:rsidR="007043C5" w:rsidRPr="00790C97" w14:paraId="665718BF"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4CF60014" w14:textId="77777777" w:rsidR="007043C5" w:rsidRPr="00790C97" w:rsidRDefault="007043C5" w:rsidP="00DA2735">
            <w:pPr>
              <w:pStyle w:val="tabteksts"/>
              <w:ind w:firstLine="474"/>
            </w:pPr>
            <w:r w:rsidRPr="00790C97">
              <w:t>pieaugums,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146DCD32" w14:textId="77777777" w:rsidR="007043C5" w:rsidRPr="00790C97" w:rsidRDefault="007043C5" w:rsidP="00DA2735">
            <w:pPr>
              <w:pStyle w:val="tabteksts"/>
              <w:jc w:val="center"/>
            </w:pPr>
            <w:r w:rsidRPr="00790C97">
              <w:t>2,8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5A70B" w14:textId="77777777" w:rsidR="007043C5" w:rsidRPr="00790C97" w:rsidRDefault="007043C5" w:rsidP="00DA2735">
            <w:pPr>
              <w:pStyle w:val="tabteksts"/>
              <w:jc w:val="center"/>
            </w:pPr>
            <w:r w:rsidRPr="00790C97">
              <w:t>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62D74" w14:textId="77777777" w:rsidR="007043C5" w:rsidRPr="00790C97" w:rsidRDefault="007043C5" w:rsidP="00DA2735">
            <w:pPr>
              <w:pStyle w:val="tabteksts"/>
              <w:jc w:val="center"/>
            </w:pPr>
            <w:r w:rsidRPr="00790C97">
              <w:t>0,5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AC0E3" w14:textId="77777777" w:rsidR="007043C5" w:rsidRPr="00790C97" w:rsidRDefault="007043C5" w:rsidP="00DA2735">
            <w:pPr>
              <w:pStyle w:val="tabteksts"/>
              <w:jc w:val="center"/>
            </w:pPr>
            <w:r w:rsidRPr="00790C97">
              <w:t>0,5</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1B56A726" w14:textId="77777777" w:rsidR="007043C5" w:rsidRPr="00790C97" w:rsidRDefault="007043C5" w:rsidP="00DA2735">
            <w:pPr>
              <w:pStyle w:val="tabteksts"/>
              <w:jc w:val="center"/>
            </w:pPr>
            <w:r w:rsidRPr="00790C97">
              <w:t>0,5</w:t>
            </w:r>
          </w:p>
        </w:tc>
      </w:tr>
      <w:tr w:rsidR="007043C5" w:rsidRPr="00790C97" w14:paraId="6B060F9F"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365D3D37" w14:textId="77777777" w:rsidR="007043C5" w:rsidRPr="00790C97" w:rsidRDefault="007043C5" w:rsidP="00DA2735">
            <w:pPr>
              <w:pStyle w:val="tabteksts"/>
            </w:pPr>
            <w:r w:rsidRPr="00790C97">
              <w:t xml:space="preserve">Bezdarba līmenis (gada vidējais), % no ekon. aktīviem </w:t>
            </w:r>
            <w:proofErr w:type="spellStart"/>
            <w:r w:rsidRPr="00790C97">
              <w:t>iedzīv</w:t>
            </w:r>
            <w:proofErr w:type="spellEnd"/>
            <w:r w:rsidRPr="00790C97">
              <w:t>.</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32023B0D" w14:textId="77777777" w:rsidR="007043C5" w:rsidRPr="00790C97" w:rsidRDefault="007043C5" w:rsidP="00DA2735">
            <w:pPr>
              <w:pStyle w:val="tabteksts"/>
              <w:jc w:val="center"/>
            </w:pPr>
            <w:r w:rsidRPr="00790C97">
              <w:t>14,9</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033EC" w14:textId="77777777" w:rsidR="007043C5" w:rsidRPr="00790C97" w:rsidRDefault="007043C5" w:rsidP="00DA2735">
            <w:pPr>
              <w:pStyle w:val="tabteksts"/>
              <w:jc w:val="center"/>
            </w:pPr>
            <w:r w:rsidRPr="00790C97">
              <w:t>13,4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A22E" w14:textId="77777777" w:rsidR="007043C5" w:rsidRPr="00790C97" w:rsidRDefault="007043C5" w:rsidP="00DA2735">
            <w:pPr>
              <w:pStyle w:val="tabteksts"/>
              <w:jc w:val="center"/>
            </w:pPr>
            <w:r w:rsidRPr="00790C97">
              <w:t>12,7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E7016" w14:textId="77777777" w:rsidR="007043C5" w:rsidRPr="00790C97" w:rsidRDefault="007043C5" w:rsidP="00DA2735">
            <w:pPr>
              <w:pStyle w:val="tabteksts"/>
              <w:jc w:val="center"/>
            </w:pPr>
            <w:r w:rsidRPr="00790C97">
              <w:t>12,1</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111EF0BC" w14:textId="77777777" w:rsidR="007043C5" w:rsidRPr="00790C97" w:rsidRDefault="007043C5" w:rsidP="00DA2735">
            <w:pPr>
              <w:pStyle w:val="tabteksts"/>
              <w:jc w:val="center"/>
            </w:pPr>
            <w:r w:rsidRPr="00790C97">
              <w:t>11,7</w:t>
            </w:r>
          </w:p>
        </w:tc>
      </w:tr>
      <w:tr w:rsidR="007043C5" w:rsidRPr="00790C97" w14:paraId="7174A2B1" w14:textId="77777777" w:rsidTr="00045692">
        <w:trPr>
          <w:trHeight w:val="300"/>
        </w:trPr>
        <w:tc>
          <w:tcPr>
            <w:tcW w:w="3969" w:type="dxa"/>
            <w:tcBorders>
              <w:top w:val="single" w:sz="4" w:space="0" w:color="auto"/>
              <w:bottom w:val="single" w:sz="4" w:space="0" w:color="auto"/>
              <w:right w:val="double" w:sz="4" w:space="0" w:color="auto"/>
            </w:tcBorders>
            <w:shd w:val="clear" w:color="auto" w:fill="auto"/>
            <w:noWrap/>
            <w:vAlign w:val="bottom"/>
            <w:hideMark/>
          </w:tcPr>
          <w:p w14:paraId="629230DC" w14:textId="77777777" w:rsidR="007043C5" w:rsidRPr="00790C97" w:rsidRDefault="007043C5" w:rsidP="00DA2735">
            <w:pPr>
              <w:pStyle w:val="tabteksts"/>
            </w:pPr>
            <w:r w:rsidRPr="00790C97">
              <w:t>Eksporta pieauguma tempi faktiskajās cenās, %</w:t>
            </w:r>
          </w:p>
        </w:tc>
        <w:tc>
          <w:tcPr>
            <w:tcW w:w="98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1D69498E" w14:textId="77777777" w:rsidR="007043C5" w:rsidRPr="00790C97" w:rsidRDefault="007043C5" w:rsidP="00DA2735">
            <w:pPr>
              <w:pStyle w:val="tabteksts"/>
              <w:jc w:val="center"/>
            </w:pPr>
            <w:r w:rsidRPr="00790C97">
              <w:t>13,1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79A0F" w14:textId="77777777" w:rsidR="007043C5" w:rsidRPr="00790C97" w:rsidRDefault="007043C5" w:rsidP="00DA2735">
            <w:pPr>
              <w:pStyle w:val="tabteksts"/>
              <w:jc w:val="center"/>
            </w:pPr>
            <w:r w:rsidRPr="00790C97">
              <w:t>4,7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E2A9C" w14:textId="77777777" w:rsidR="007043C5" w:rsidRPr="00790C97" w:rsidRDefault="007043C5" w:rsidP="00DA2735">
            <w:pPr>
              <w:pStyle w:val="tabteksts"/>
              <w:jc w:val="center"/>
            </w:pPr>
            <w:r w:rsidRPr="00790C97">
              <w:t>5,1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57192" w14:textId="77777777" w:rsidR="007043C5" w:rsidRPr="00790C97" w:rsidRDefault="007043C5" w:rsidP="00DA2735">
            <w:pPr>
              <w:pStyle w:val="tabteksts"/>
              <w:jc w:val="center"/>
            </w:pPr>
            <w:r w:rsidRPr="00790C97">
              <w:t>4,3</w:t>
            </w:r>
          </w:p>
        </w:tc>
        <w:tc>
          <w:tcPr>
            <w:tcW w:w="980" w:type="dxa"/>
            <w:tcBorders>
              <w:top w:val="single" w:sz="4" w:space="0" w:color="auto"/>
              <w:left w:val="single" w:sz="4" w:space="0" w:color="auto"/>
              <w:bottom w:val="single" w:sz="4" w:space="0" w:color="auto"/>
            </w:tcBorders>
            <w:shd w:val="clear" w:color="auto" w:fill="auto"/>
            <w:noWrap/>
            <w:vAlign w:val="bottom"/>
            <w:hideMark/>
          </w:tcPr>
          <w:p w14:paraId="0FF2D226" w14:textId="77777777" w:rsidR="007043C5" w:rsidRPr="00790C97" w:rsidRDefault="007043C5" w:rsidP="00DA2735">
            <w:pPr>
              <w:pStyle w:val="tabteksts"/>
              <w:jc w:val="center"/>
            </w:pPr>
            <w:r w:rsidRPr="00790C97">
              <w:t>4,3</w:t>
            </w:r>
          </w:p>
        </w:tc>
      </w:tr>
      <w:tr w:rsidR="007043C5" w:rsidRPr="00790C97" w14:paraId="251CE80A" w14:textId="77777777" w:rsidTr="00045692">
        <w:trPr>
          <w:trHeight w:val="300"/>
        </w:trPr>
        <w:tc>
          <w:tcPr>
            <w:tcW w:w="3969" w:type="dxa"/>
            <w:tcBorders>
              <w:top w:val="single" w:sz="4" w:space="0" w:color="auto"/>
              <w:bottom w:val="double" w:sz="4" w:space="0" w:color="auto"/>
              <w:right w:val="double" w:sz="4" w:space="0" w:color="auto"/>
            </w:tcBorders>
            <w:shd w:val="clear" w:color="auto" w:fill="auto"/>
            <w:noWrap/>
            <w:vAlign w:val="bottom"/>
            <w:hideMark/>
          </w:tcPr>
          <w:p w14:paraId="2292448F" w14:textId="77777777" w:rsidR="007043C5" w:rsidRPr="00790C97" w:rsidRDefault="007043C5" w:rsidP="00DA2735">
            <w:pPr>
              <w:pStyle w:val="tabteksts"/>
            </w:pPr>
            <w:r w:rsidRPr="00790C97">
              <w:t>Importa pieauguma tempi faktiskajās cenās, %</w:t>
            </w:r>
          </w:p>
        </w:tc>
        <w:tc>
          <w:tcPr>
            <w:tcW w:w="980"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14:paraId="605CD6EC" w14:textId="77777777" w:rsidR="007043C5" w:rsidRPr="00790C97" w:rsidRDefault="007043C5" w:rsidP="00DA2735">
            <w:pPr>
              <w:pStyle w:val="tabteksts"/>
              <w:jc w:val="center"/>
            </w:pPr>
            <w:r w:rsidRPr="00790C97">
              <w:t>10,1</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4AE05AE" w14:textId="77777777" w:rsidR="007043C5" w:rsidRPr="00790C97" w:rsidRDefault="007043C5" w:rsidP="00DA2735">
            <w:pPr>
              <w:pStyle w:val="tabteksts"/>
              <w:jc w:val="center"/>
            </w:pPr>
            <w:r w:rsidRPr="00790C97">
              <w:t>4,5</w:t>
            </w:r>
          </w:p>
        </w:tc>
        <w:tc>
          <w:tcPr>
            <w:tcW w:w="98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31CDE46" w14:textId="77777777" w:rsidR="007043C5" w:rsidRPr="00790C97" w:rsidRDefault="007043C5" w:rsidP="00DA2735">
            <w:pPr>
              <w:pStyle w:val="tabteksts"/>
              <w:jc w:val="center"/>
            </w:pPr>
            <w:r w:rsidRPr="00790C97">
              <w:t>5,0</w:t>
            </w:r>
          </w:p>
        </w:tc>
        <w:tc>
          <w:tcPr>
            <w:tcW w:w="98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587D2CA" w14:textId="77777777" w:rsidR="007043C5" w:rsidRPr="00790C97" w:rsidRDefault="007043C5" w:rsidP="00DA2735">
            <w:pPr>
              <w:pStyle w:val="tabteksts"/>
              <w:jc w:val="center"/>
            </w:pPr>
            <w:r w:rsidRPr="00790C97">
              <w:t>3,9</w:t>
            </w:r>
          </w:p>
        </w:tc>
        <w:tc>
          <w:tcPr>
            <w:tcW w:w="980" w:type="dxa"/>
            <w:tcBorders>
              <w:top w:val="single" w:sz="4" w:space="0" w:color="auto"/>
              <w:left w:val="single" w:sz="4" w:space="0" w:color="auto"/>
              <w:bottom w:val="double" w:sz="4" w:space="0" w:color="auto"/>
            </w:tcBorders>
            <w:shd w:val="clear" w:color="auto" w:fill="auto"/>
            <w:noWrap/>
            <w:vAlign w:val="bottom"/>
            <w:hideMark/>
          </w:tcPr>
          <w:p w14:paraId="46AE3B11" w14:textId="77777777" w:rsidR="007043C5" w:rsidRPr="00790C97" w:rsidRDefault="007043C5" w:rsidP="00DA2735">
            <w:pPr>
              <w:pStyle w:val="tabteksts"/>
              <w:jc w:val="center"/>
            </w:pPr>
            <w:r w:rsidRPr="00790C97">
              <w:t>4,0</w:t>
            </w:r>
          </w:p>
        </w:tc>
      </w:tr>
    </w:tbl>
    <w:p w14:paraId="60FE8F43" w14:textId="77777777" w:rsidR="007043C5" w:rsidRPr="00790C97" w:rsidRDefault="007043C5" w:rsidP="007043C5"/>
    <w:p w14:paraId="20CAF00F" w14:textId="77777777" w:rsidR="00EF6BF3" w:rsidRPr="00B64633" w:rsidRDefault="007043C5" w:rsidP="00805E6B">
      <w:r w:rsidRPr="00790C97">
        <w:t xml:space="preserve">Lēnāks IKP pieaugums nekā centrālajā scenārijā, kas balstās uz sliktākiem ārējās vides pieņēmumiem un zemāku privāto patēriņu, kā arī vājākiem darba tirgus rādītājiem, negatīvi ietekmēs arī budžeta ieņēmumus. Situācijā, ja ekonomikas attīstība noritēs atbilstoši pesimistiskajam scenārijam, budžeta ieņēmumi, salīdzinot ar centrālo scenāriju, 2013. gadā samazināsies par 0,8 % no IKP, 2014. gadā par 1,5 % no IKP, savukārt 2015. un 2016. gados attiecīgi par 2,2 % un 2,8 %. </w:t>
      </w:r>
    </w:p>
    <w:p w14:paraId="4A97C9B1" w14:textId="77777777" w:rsidR="00C53CDD" w:rsidRPr="008B4FFF" w:rsidRDefault="00283B8B" w:rsidP="008B4FFF">
      <w:pPr>
        <w:pStyle w:val="PIRMAIS"/>
        <w:ind w:left="0" w:firstLine="0"/>
      </w:pPr>
      <w:bookmarkStart w:id="49" w:name="_Toc284924057"/>
      <w:bookmarkStart w:id="50" w:name="_Toc354671228"/>
      <w:r>
        <w:lastRenderedPageBreak/>
        <w:t>6</w:t>
      </w:r>
      <w:r w:rsidR="00AC1A6A" w:rsidRPr="007E0A0D">
        <w:t xml:space="preserve">. </w:t>
      </w:r>
      <w:r w:rsidR="00C53CDD" w:rsidRPr="007E0A0D">
        <w:t xml:space="preserve">Salīdzinājums ar </w:t>
      </w:r>
      <w:r w:rsidR="0087768C" w:rsidRPr="007E0A0D">
        <w:t xml:space="preserve">Latvijas Konverģences programmu </w:t>
      </w:r>
      <w:r w:rsidR="00DF5F16" w:rsidRPr="007E0A0D">
        <w:t>201</w:t>
      </w:r>
      <w:r w:rsidR="004347CA" w:rsidRPr="007E0A0D">
        <w:t>2</w:t>
      </w:r>
      <w:r w:rsidR="00C53CDD" w:rsidRPr="007E0A0D">
        <w:t>.</w:t>
      </w:r>
      <w:r w:rsidR="0087768C" w:rsidRPr="007E0A0D">
        <w:t xml:space="preserve"> – 201</w:t>
      </w:r>
      <w:r w:rsidR="004347CA" w:rsidRPr="007E0A0D">
        <w:t>5</w:t>
      </w:r>
      <w:r w:rsidR="0087768C" w:rsidRPr="007E0A0D">
        <w:t xml:space="preserve">. </w:t>
      </w:r>
      <w:r w:rsidR="00C53CDD" w:rsidRPr="007E0A0D">
        <w:t>gada</w:t>
      </w:r>
      <w:r w:rsidR="0087768C" w:rsidRPr="007E0A0D">
        <w:t>m</w:t>
      </w:r>
      <w:r w:rsidR="007E0A0D" w:rsidRPr="007E0A0D">
        <w:t xml:space="preserve"> un ES Padomes ieteikumu ieviešana</w:t>
      </w:r>
      <w:bookmarkEnd w:id="49"/>
      <w:bookmarkEnd w:id="50"/>
    </w:p>
    <w:p w14:paraId="3C2162D1" w14:textId="77777777" w:rsidR="0087768C" w:rsidRPr="008B3132" w:rsidRDefault="0087768C" w:rsidP="0087768C">
      <w:pPr>
        <w:pStyle w:val="H2"/>
        <w:tabs>
          <w:tab w:val="clear" w:pos="1134"/>
        </w:tabs>
        <w:ind w:left="567"/>
        <w:rPr>
          <w:rFonts w:ascii="Times New Roman" w:hAnsi="Times New Roman"/>
          <w:szCs w:val="32"/>
        </w:rPr>
      </w:pPr>
      <w:bookmarkStart w:id="51" w:name="_Toc354671229"/>
      <w:r>
        <w:rPr>
          <w:rFonts w:ascii="Times New Roman" w:hAnsi="Times New Roman"/>
          <w:szCs w:val="32"/>
        </w:rPr>
        <w:t>6.1</w:t>
      </w:r>
      <w:r w:rsidRPr="008B3132">
        <w:rPr>
          <w:rFonts w:ascii="Times New Roman" w:hAnsi="Times New Roman"/>
          <w:szCs w:val="32"/>
        </w:rPr>
        <w:t xml:space="preserve">. </w:t>
      </w:r>
      <w:r w:rsidR="00984AE5" w:rsidRPr="00096D57">
        <w:rPr>
          <w:rFonts w:ascii="Times New Roman" w:hAnsi="Times New Roman"/>
          <w:szCs w:val="32"/>
        </w:rPr>
        <w:t>Vispārējās valdības budžeta bilance</w:t>
      </w:r>
      <w:r w:rsidR="00096D57">
        <w:rPr>
          <w:rFonts w:ascii="Times New Roman" w:hAnsi="Times New Roman"/>
          <w:szCs w:val="32"/>
        </w:rPr>
        <w:t>s</w:t>
      </w:r>
      <w:r w:rsidR="00984AE5" w:rsidRPr="00096D57">
        <w:rPr>
          <w:rFonts w:ascii="Times New Roman" w:hAnsi="Times New Roman"/>
          <w:szCs w:val="32"/>
        </w:rPr>
        <w:t xml:space="preserve"> un parād</w:t>
      </w:r>
      <w:r w:rsidR="00096D57">
        <w:rPr>
          <w:rFonts w:ascii="Times New Roman" w:hAnsi="Times New Roman"/>
          <w:szCs w:val="32"/>
        </w:rPr>
        <w:t>a prognožu salīdzinājums</w:t>
      </w:r>
      <w:bookmarkEnd w:id="51"/>
    </w:p>
    <w:p w14:paraId="67D8CBC2" w14:textId="77777777" w:rsidR="008B4FFF" w:rsidRPr="00AA498B" w:rsidRDefault="008B4FFF" w:rsidP="008B4FFF">
      <w:pPr>
        <w:pStyle w:val="teksts"/>
        <w:spacing w:before="120"/>
        <w:ind w:firstLine="720"/>
        <w:rPr>
          <w:rFonts w:ascii="Times New Roman" w:eastAsia="Calibri" w:hAnsi="Times New Roman"/>
          <w:szCs w:val="24"/>
        </w:rPr>
      </w:pPr>
      <w:r w:rsidRPr="00AA498B">
        <w:rPr>
          <w:rFonts w:ascii="Times New Roman" w:eastAsia="Calibri" w:hAnsi="Times New Roman"/>
          <w:szCs w:val="24"/>
        </w:rPr>
        <w:t>IKP pieaugums 2012. gadā ir bijis straujāks, nekā to paredzēja 2012</w:t>
      </w:r>
      <w:r>
        <w:rPr>
          <w:rFonts w:ascii="Times New Roman" w:eastAsia="Calibri" w:hAnsi="Times New Roman"/>
          <w:szCs w:val="24"/>
        </w:rPr>
        <w:t>.</w:t>
      </w:r>
      <w:r w:rsidRPr="00AA498B">
        <w:rPr>
          <w:rFonts w:ascii="Times New Roman" w:eastAsia="Calibri" w:hAnsi="Times New Roman"/>
          <w:szCs w:val="24"/>
        </w:rPr>
        <w:t>gada Konverģences programmas scenārijs. Neskatoties uz situācijas pasliktināšanos ārējos tirgos, rūpniecībā un eksportā saglabājās augsti pieauguma tempi, savukārt iekšzemes pieprasījuma atjaunošanās notika straujāk nekā prognozēts, nodrošinot kopējo IKP pieaugumu 5,6% apmērā pretstatā prognozētajiem 2,0%.</w:t>
      </w:r>
    </w:p>
    <w:p w14:paraId="030DB788" w14:textId="77777777" w:rsidR="004347CA" w:rsidRDefault="008B4FFF" w:rsidP="008B4FFF">
      <w:pPr>
        <w:pStyle w:val="teksts"/>
        <w:spacing w:before="120"/>
        <w:ind w:firstLine="720"/>
        <w:rPr>
          <w:rFonts w:ascii="Times New Roman" w:eastAsia="Calibri" w:hAnsi="Times New Roman"/>
          <w:szCs w:val="24"/>
        </w:rPr>
      </w:pPr>
      <w:r w:rsidRPr="00AA498B">
        <w:rPr>
          <w:rFonts w:ascii="Times New Roman" w:eastAsia="Calibri" w:hAnsi="Times New Roman"/>
          <w:szCs w:val="24"/>
        </w:rPr>
        <w:t>Līdz ar straujāku Latvijas ekonomikas izaugsmi 2012.gadā</w:t>
      </w:r>
      <w:r>
        <w:rPr>
          <w:rFonts w:ascii="Times New Roman" w:eastAsia="Calibri" w:hAnsi="Times New Roman"/>
          <w:szCs w:val="24"/>
        </w:rPr>
        <w:t>,</w:t>
      </w:r>
      <w:r w:rsidRPr="00AA498B">
        <w:rPr>
          <w:rFonts w:ascii="Times New Roman" w:eastAsia="Calibri" w:hAnsi="Times New Roman"/>
          <w:szCs w:val="24"/>
        </w:rPr>
        <w:t> arī 2013.gadā ekonomikas izaugsme tiek prognozēta nedaudz augstāka nekā iepriekšējās Konverģences programmas scenārijā, savukārt nākamajiem gadiem prognozētais iekšzemes kopprodukta pieaugums nav mainījies un tāpat kā iepriekšējās Konverģences programmas scenārijā veido 4%.</w:t>
      </w:r>
    </w:p>
    <w:p w14:paraId="40469F05" w14:textId="77777777" w:rsidR="008B4FFF" w:rsidRPr="008B4FFF" w:rsidRDefault="008B4FFF" w:rsidP="008B4FFF">
      <w:pPr>
        <w:pStyle w:val="teksts"/>
        <w:spacing w:before="120"/>
        <w:ind w:firstLine="720"/>
        <w:rPr>
          <w:rFonts w:ascii="Times New Roman" w:eastAsia="Calibri" w:hAnsi="Times New Roman"/>
          <w:szCs w:val="24"/>
        </w:rPr>
      </w:pPr>
    </w:p>
    <w:p w14:paraId="704F48A6" w14:textId="77777777" w:rsidR="004347CA" w:rsidRDefault="004347CA" w:rsidP="004347CA">
      <w:pPr>
        <w:keepNext/>
        <w:ind w:firstLine="0"/>
        <w:jc w:val="right"/>
        <w:rPr>
          <w:szCs w:val="24"/>
        </w:rPr>
      </w:pPr>
      <w:r>
        <w:rPr>
          <w:szCs w:val="24"/>
        </w:rPr>
        <w:t>6.</w:t>
      </w:r>
      <w:r w:rsidRPr="004347CA">
        <w:rPr>
          <w:szCs w:val="24"/>
        </w:rPr>
        <w:t>1.tabula. Salīdzinājums ar 2012. – 2015.gada Konverģences programmas prognozēm</w:t>
      </w:r>
    </w:p>
    <w:tbl>
      <w:tblPr>
        <w:tblW w:w="88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13"/>
        <w:gridCol w:w="992"/>
        <w:gridCol w:w="709"/>
        <w:gridCol w:w="835"/>
        <w:gridCol w:w="15"/>
        <w:gridCol w:w="851"/>
        <w:gridCol w:w="850"/>
        <w:gridCol w:w="1030"/>
      </w:tblGrid>
      <w:tr w:rsidR="008B4FFF" w:rsidRPr="008B4FFF" w14:paraId="259BFDC4" w14:textId="77777777" w:rsidTr="00045692">
        <w:trPr>
          <w:jc w:val="center"/>
        </w:trPr>
        <w:tc>
          <w:tcPr>
            <w:tcW w:w="3613" w:type="dxa"/>
          </w:tcPr>
          <w:p w14:paraId="2CA3043D" w14:textId="77777777" w:rsidR="008B4FFF" w:rsidRPr="008B4FFF" w:rsidRDefault="008B4FFF" w:rsidP="008B4FFF">
            <w:pPr>
              <w:spacing w:after="0"/>
              <w:ind w:firstLine="0"/>
              <w:jc w:val="left"/>
              <w:rPr>
                <w:sz w:val="20"/>
                <w:highlight w:val="yellow"/>
              </w:rPr>
            </w:pPr>
          </w:p>
        </w:tc>
        <w:tc>
          <w:tcPr>
            <w:tcW w:w="992" w:type="dxa"/>
          </w:tcPr>
          <w:p w14:paraId="04E65C6C" w14:textId="77777777" w:rsidR="008B4FFF" w:rsidRPr="008B4FFF" w:rsidRDefault="008B4FFF" w:rsidP="008B4FFF">
            <w:pPr>
              <w:spacing w:after="0"/>
              <w:ind w:firstLine="0"/>
              <w:jc w:val="left"/>
              <w:rPr>
                <w:sz w:val="20"/>
              </w:rPr>
            </w:pPr>
            <w:r w:rsidRPr="008B4FFF">
              <w:rPr>
                <w:sz w:val="20"/>
              </w:rPr>
              <w:t>EKS kods</w:t>
            </w:r>
          </w:p>
        </w:tc>
        <w:tc>
          <w:tcPr>
            <w:tcW w:w="709" w:type="dxa"/>
          </w:tcPr>
          <w:p w14:paraId="147460EC" w14:textId="77777777" w:rsidR="008B4FFF" w:rsidRPr="008B4FFF" w:rsidRDefault="008B4FFF" w:rsidP="008B4FFF">
            <w:pPr>
              <w:spacing w:after="0"/>
              <w:ind w:firstLine="0"/>
              <w:jc w:val="center"/>
              <w:rPr>
                <w:b/>
                <w:sz w:val="20"/>
              </w:rPr>
            </w:pPr>
            <w:r w:rsidRPr="008B4FFF">
              <w:rPr>
                <w:b/>
                <w:sz w:val="20"/>
              </w:rPr>
              <w:t>2012</w:t>
            </w:r>
          </w:p>
        </w:tc>
        <w:tc>
          <w:tcPr>
            <w:tcW w:w="850" w:type="dxa"/>
            <w:gridSpan w:val="2"/>
          </w:tcPr>
          <w:p w14:paraId="4FB6EE5D" w14:textId="77777777" w:rsidR="008B4FFF" w:rsidRPr="008B4FFF" w:rsidRDefault="008B4FFF" w:rsidP="008B4FFF">
            <w:pPr>
              <w:spacing w:after="0"/>
              <w:ind w:firstLine="0"/>
              <w:jc w:val="center"/>
              <w:rPr>
                <w:b/>
                <w:sz w:val="20"/>
              </w:rPr>
            </w:pPr>
            <w:r w:rsidRPr="008B4FFF">
              <w:rPr>
                <w:b/>
                <w:sz w:val="20"/>
              </w:rPr>
              <w:t>2013</w:t>
            </w:r>
          </w:p>
        </w:tc>
        <w:tc>
          <w:tcPr>
            <w:tcW w:w="851" w:type="dxa"/>
          </w:tcPr>
          <w:p w14:paraId="37E33B34" w14:textId="77777777" w:rsidR="008B4FFF" w:rsidRPr="008B4FFF" w:rsidRDefault="008B4FFF" w:rsidP="008B4FFF">
            <w:pPr>
              <w:spacing w:after="0"/>
              <w:ind w:firstLine="0"/>
              <w:jc w:val="center"/>
              <w:rPr>
                <w:b/>
                <w:sz w:val="20"/>
              </w:rPr>
            </w:pPr>
            <w:r w:rsidRPr="008B4FFF">
              <w:rPr>
                <w:b/>
                <w:sz w:val="20"/>
              </w:rPr>
              <w:t>2014</w:t>
            </w:r>
          </w:p>
        </w:tc>
        <w:tc>
          <w:tcPr>
            <w:tcW w:w="850" w:type="dxa"/>
          </w:tcPr>
          <w:p w14:paraId="2363166E" w14:textId="77777777" w:rsidR="008B4FFF" w:rsidRPr="008B4FFF" w:rsidRDefault="008B4FFF" w:rsidP="008B4FFF">
            <w:pPr>
              <w:spacing w:after="0"/>
              <w:ind w:firstLine="0"/>
              <w:jc w:val="center"/>
              <w:rPr>
                <w:b/>
                <w:sz w:val="20"/>
              </w:rPr>
            </w:pPr>
            <w:r w:rsidRPr="008B4FFF">
              <w:rPr>
                <w:b/>
                <w:sz w:val="20"/>
              </w:rPr>
              <w:t>2015</w:t>
            </w:r>
          </w:p>
        </w:tc>
        <w:tc>
          <w:tcPr>
            <w:tcW w:w="1030" w:type="dxa"/>
          </w:tcPr>
          <w:p w14:paraId="2B6039F4" w14:textId="77777777" w:rsidR="008B4FFF" w:rsidRPr="008B4FFF" w:rsidRDefault="008B4FFF" w:rsidP="008B4FFF">
            <w:pPr>
              <w:spacing w:after="0"/>
              <w:ind w:firstLine="0"/>
              <w:jc w:val="center"/>
              <w:rPr>
                <w:b/>
                <w:sz w:val="20"/>
              </w:rPr>
            </w:pPr>
            <w:r w:rsidRPr="008B4FFF">
              <w:rPr>
                <w:b/>
                <w:sz w:val="20"/>
              </w:rPr>
              <w:t>2016</w:t>
            </w:r>
          </w:p>
        </w:tc>
      </w:tr>
      <w:tr w:rsidR="008B4FFF" w:rsidRPr="008B4FFF" w14:paraId="22404B12" w14:textId="77777777" w:rsidTr="00045692">
        <w:trPr>
          <w:jc w:val="center"/>
        </w:trPr>
        <w:tc>
          <w:tcPr>
            <w:tcW w:w="3613" w:type="dxa"/>
            <w:vAlign w:val="center"/>
          </w:tcPr>
          <w:p w14:paraId="6C62FD8D" w14:textId="77777777" w:rsidR="008B4FFF" w:rsidRPr="008B4FFF" w:rsidRDefault="008B4FFF" w:rsidP="008B4FFF">
            <w:pPr>
              <w:spacing w:after="0"/>
              <w:ind w:firstLine="0"/>
              <w:jc w:val="left"/>
              <w:rPr>
                <w:snapToGrid w:val="0"/>
                <w:sz w:val="20"/>
              </w:rPr>
            </w:pPr>
            <w:r w:rsidRPr="008B4FFF">
              <w:rPr>
                <w:b/>
                <w:sz w:val="20"/>
              </w:rPr>
              <w:t>IKP pieaugums (%)</w:t>
            </w:r>
          </w:p>
        </w:tc>
        <w:tc>
          <w:tcPr>
            <w:tcW w:w="992" w:type="dxa"/>
            <w:vAlign w:val="center"/>
          </w:tcPr>
          <w:p w14:paraId="2CA5F0A7" w14:textId="77777777" w:rsidR="008B4FFF" w:rsidRPr="008B4FFF" w:rsidRDefault="008B4FFF" w:rsidP="008B4FFF">
            <w:pPr>
              <w:spacing w:after="0"/>
              <w:ind w:firstLine="0"/>
              <w:jc w:val="left"/>
              <w:rPr>
                <w:sz w:val="20"/>
                <w:highlight w:val="yellow"/>
              </w:rPr>
            </w:pPr>
            <w:r w:rsidRPr="008B4FFF">
              <w:rPr>
                <w:sz w:val="20"/>
              </w:rPr>
              <w:t>B1g</w:t>
            </w:r>
          </w:p>
        </w:tc>
        <w:tc>
          <w:tcPr>
            <w:tcW w:w="709" w:type="dxa"/>
            <w:vAlign w:val="center"/>
          </w:tcPr>
          <w:p w14:paraId="750DF5D4" w14:textId="77777777" w:rsidR="008B4FFF" w:rsidRPr="008B4FFF" w:rsidRDefault="008B4FFF" w:rsidP="008B4FFF">
            <w:pPr>
              <w:spacing w:after="0"/>
              <w:ind w:firstLine="0"/>
              <w:jc w:val="left"/>
              <w:rPr>
                <w:sz w:val="20"/>
                <w:highlight w:val="yellow"/>
              </w:rPr>
            </w:pPr>
          </w:p>
        </w:tc>
        <w:tc>
          <w:tcPr>
            <w:tcW w:w="850" w:type="dxa"/>
            <w:gridSpan w:val="2"/>
            <w:vAlign w:val="center"/>
          </w:tcPr>
          <w:p w14:paraId="339CCAF1" w14:textId="77777777" w:rsidR="008B4FFF" w:rsidRPr="008B4FFF" w:rsidRDefault="008B4FFF" w:rsidP="008B4FFF">
            <w:pPr>
              <w:spacing w:after="0"/>
              <w:ind w:firstLine="0"/>
              <w:jc w:val="left"/>
              <w:rPr>
                <w:sz w:val="20"/>
                <w:highlight w:val="yellow"/>
              </w:rPr>
            </w:pPr>
          </w:p>
        </w:tc>
        <w:tc>
          <w:tcPr>
            <w:tcW w:w="851" w:type="dxa"/>
            <w:vAlign w:val="center"/>
          </w:tcPr>
          <w:p w14:paraId="21223C05" w14:textId="77777777" w:rsidR="008B4FFF" w:rsidRPr="008B4FFF" w:rsidRDefault="008B4FFF" w:rsidP="008B4FFF">
            <w:pPr>
              <w:spacing w:after="0"/>
              <w:ind w:firstLine="0"/>
              <w:jc w:val="left"/>
              <w:rPr>
                <w:sz w:val="20"/>
                <w:highlight w:val="yellow"/>
              </w:rPr>
            </w:pPr>
          </w:p>
        </w:tc>
        <w:tc>
          <w:tcPr>
            <w:tcW w:w="850" w:type="dxa"/>
            <w:vAlign w:val="center"/>
          </w:tcPr>
          <w:p w14:paraId="396555B2" w14:textId="77777777" w:rsidR="008B4FFF" w:rsidRPr="008B4FFF" w:rsidRDefault="008B4FFF" w:rsidP="008B4FFF">
            <w:pPr>
              <w:spacing w:after="0"/>
              <w:ind w:firstLine="0"/>
              <w:jc w:val="left"/>
              <w:rPr>
                <w:rFonts w:eastAsia="Arial Unicode MS"/>
                <w:sz w:val="20"/>
                <w:highlight w:val="yellow"/>
              </w:rPr>
            </w:pPr>
          </w:p>
        </w:tc>
        <w:tc>
          <w:tcPr>
            <w:tcW w:w="1030" w:type="dxa"/>
            <w:vAlign w:val="center"/>
          </w:tcPr>
          <w:p w14:paraId="7F956B3F" w14:textId="77777777" w:rsidR="008B4FFF" w:rsidRPr="008B4FFF" w:rsidRDefault="008B4FFF" w:rsidP="008B4FFF">
            <w:pPr>
              <w:spacing w:after="0"/>
              <w:ind w:firstLine="0"/>
              <w:jc w:val="left"/>
              <w:rPr>
                <w:sz w:val="20"/>
                <w:highlight w:val="yellow"/>
              </w:rPr>
            </w:pPr>
          </w:p>
        </w:tc>
      </w:tr>
      <w:tr w:rsidR="008B4FFF" w:rsidRPr="008B4FFF" w14:paraId="6B05D079" w14:textId="77777777" w:rsidTr="00045692">
        <w:trPr>
          <w:jc w:val="center"/>
        </w:trPr>
        <w:tc>
          <w:tcPr>
            <w:tcW w:w="3613" w:type="dxa"/>
            <w:vAlign w:val="center"/>
          </w:tcPr>
          <w:p w14:paraId="178CBCB2" w14:textId="77777777" w:rsidR="008B4FFF" w:rsidRPr="008B4FFF" w:rsidRDefault="008B4FFF" w:rsidP="008B4FFF">
            <w:pPr>
              <w:spacing w:after="0"/>
              <w:ind w:firstLine="0"/>
              <w:jc w:val="right"/>
              <w:rPr>
                <w:sz w:val="20"/>
              </w:rPr>
            </w:pPr>
            <w:r w:rsidRPr="008B4FFF">
              <w:rPr>
                <w:sz w:val="20"/>
              </w:rPr>
              <w:t>2012. gads</w:t>
            </w:r>
          </w:p>
        </w:tc>
        <w:tc>
          <w:tcPr>
            <w:tcW w:w="992" w:type="dxa"/>
            <w:vAlign w:val="center"/>
          </w:tcPr>
          <w:p w14:paraId="0D2FB343" w14:textId="77777777" w:rsidR="008B4FFF" w:rsidRPr="008B4FFF" w:rsidRDefault="008B4FFF" w:rsidP="008B4FFF">
            <w:pPr>
              <w:spacing w:after="0"/>
              <w:ind w:firstLine="0"/>
              <w:jc w:val="center"/>
              <w:rPr>
                <w:sz w:val="20"/>
                <w:highlight w:val="yellow"/>
              </w:rPr>
            </w:pPr>
          </w:p>
        </w:tc>
        <w:tc>
          <w:tcPr>
            <w:tcW w:w="709" w:type="dxa"/>
            <w:vAlign w:val="center"/>
          </w:tcPr>
          <w:p w14:paraId="79FCC676" w14:textId="77777777" w:rsidR="008B4FFF" w:rsidRPr="008B4FFF" w:rsidRDefault="008B4FFF" w:rsidP="008B4FFF">
            <w:pPr>
              <w:spacing w:after="0"/>
              <w:ind w:firstLine="0"/>
              <w:jc w:val="center"/>
              <w:rPr>
                <w:color w:val="000000"/>
                <w:sz w:val="20"/>
              </w:rPr>
            </w:pPr>
            <w:r w:rsidRPr="008B4FFF">
              <w:rPr>
                <w:color w:val="000000"/>
                <w:sz w:val="20"/>
              </w:rPr>
              <w:t>2,0</w:t>
            </w:r>
          </w:p>
        </w:tc>
        <w:tc>
          <w:tcPr>
            <w:tcW w:w="850" w:type="dxa"/>
            <w:gridSpan w:val="2"/>
            <w:vAlign w:val="center"/>
          </w:tcPr>
          <w:p w14:paraId="715694C0" w14:textId="77777777" w:rsidR="008B4FFF" w:rsidRPr="008B4FFF" w:rsidRDefault="008B4FFF" w:rsidP="008B4FFF">
            <w:pPr>
              <w:spacing w:after="0"/>
              <w:ind w:firstLine="0"/>
              <w:jc w:val="center"/>
              <w:rPr>
                <w:color w:val="000000"/>
                <w:sz w:val="20"/>
              </w:rPr>
            </w:pPr>
            <w:r w:rsidRPr="008B4FFF">
              <w:rPr>
                <w:color w:val="000000"/>
                <w:sz w:val="20"/>
              </w:rPr>
              <w:t>3,7</w:t>
            </w:r>
          </w:p>
        </w:tc>
        <w:tc>
          <w:tcPr>
            <w:tcW w:w="851" w:type="dxa"/>
            <w:vAlign w:val="center"/>
          </w:tcPr>
          <w:p w14:paraId="21957B91" w14:textId="77777777" w:rsidR="008B4FFF" w:rsidRPr="008B4FFF" w:rsidRDefault="008B4FFF" w:rsidP="008B4FFF">
            <w:pPr>
              <w:spacing w:after="0"/>
              <w:ind w:firstLine="0"/>
              <w:jc w:val="center"/>
              <w:rPr>
                <w:color w:val="000000"/>
                <w:sz w:val="20"/>
              </w:rPr>
            </w:pPr>
            <w:r w:rsidRPr="008B4FFF">
              <w:rPr>
                <w:color w:val="000000"/>
                <w:sz w:val="20"/>
              </w:rPr>
              <w:t>4,0</w:t>
            </w:r>
          </w:p>
        </w:tc>
        <w:tc>
          <w:tcPr>
            <w:tcW w:w="850" w:type="dxa"/>
            <w:vAlign w:val="center"/>
          </w:tcPr>
          <w:p w14:paraId="7EB24037" w14:textId="77777777" w:rsidR="008B4FFF" w:rsidRPr="008B4FFF" w:rsidRDefault="008B4FFF" w:rsidP="008B4FFF">
            <w:pPr>
              <w:spacing w:after="0"/>
              <w:ind w:firstLine="0"/>
              <w:jc w:val="center"/>
              <w:rPr>
                <w:color w:val="000000"/>
                <w:sz w:val="20"/>
              </w:rPr>
            </w:pPr>
            <w:r w:rsidRPr="008B4FFF">
              <w:rPr>
                <w:color w:val="000000"/>
                <w:sz w:val="20"/>
              </w:rPr>
              <w:t>4,0</w:t>
            </w:r>
          </w:p>
        </w:tc>
        <w:tc>
          <w:tcPr>
            <w:tcW w:w="1030" w:type="dxa"/>
            <w:vAlign w:val="center"/>
          </w:tcPr>
          <w:p w14:paraId="17567651" w14:textId="77777777" w:rsidR="008B4FFF" w:rsidRPr="008B4FFF" w:rsidRDefault="008B4FFF" w:rsidP="008B4FFF">
            <w:pPr>
              <w:spacing w:after="0"/>
              <w:ind w:firstLine="0"/>
              <w:jc w:val="center"/>
              <w:rPr>
                <w:rFonts w:eastAsia="Arial Unicode MS"/>
              </w:rPr>
            </w:pPr>
            <w:r w:rsidRPr="008B4FFF">
              <w:rPr>
                <w:color w:val="000000"/>
                <w:sz w:val="20"/>
              </w:rPr>
              <w:t>-</w:t>
            </w:r>
          </w:p>
        </w:tc>
      </w:tr>
      <w:tr w:rsidR="008B4FFF" w:rsidRPr="008B4FFF" w14:paraId="6647479C" w14:textId="77777777" w:rsidTr="00045692">
        <w:trPr>
          <w:jc w:val="center"/>
        </w:trPr>
        <w:tc>
          <w:tcPr>
            <w:tcW w:w="3613" w:type="dxa"/>
            <w:vAlign w:val="center"/>
          </w:tcPr>
          <w:p w14:paraId="591BA3FF" w14:textId="77777777" w:rsidR="008B4FFF" w:rsidRPr="008B4FFF" w:rsidRDefault="008B4FFF" w:rsidP="008B4FFF">
            <w:pPr>
              <w:spacing w:after="0"/>
              <w:ind w:firstLine="0"/>
              <w:jc w:val="right"/>
              <w:rPr>
                <w:sz w:val="20"/>
              </w:rPr>
            </w:pPr>
            <w:r w:rsidRPr="008B4FFF">
              <w:rPr>
                <w:sz w:val="20"/>
              </w:rPr>
              <w:t>2013. gads</w:t>
            </w:r>
          </w:p>
        </w:tc>
        <w:tc>
          <w:tcPr>
            <w:tcW w:w="992" w:type="dxa"/>
            <w:vAlign w:val="center"/>
          </w:tcPr>
          <w:p w14:paraId="146F5929" w14:textId="77777777" w:rsidR="008B4FFF" w:rsidRPr="008B4FFF" w:rsidRDefault="008B4FFF" w:rsidP="008B4FFF">
            <w:pPr>
              <w:spacing w:after="0"/>
              <w:ind w:firstLine="0"/>
              <w:jc w:val="center"/>
              <w:rPr>
                <w:sz w:val="20"/>
                <w:highlight w:val="yellow"/>
              </w:rPr>
            </w:pPr>
          </w:p>
        </w:tc>
        <w:tc>
          <w:tcPr>
            <w:tcW w:w="709" w:type="dxa"/>
            <w:vAlign w:val="center"/>
          </w:tcPr>
          <w:p w14:paraId="0EBC4679" w14:textId="77777777" w:rsidR="008B4FFF" w:rsidRPr="008B4FFF" w:rsidRDefault="008B4FFF" w:rsidP="008B4FFF">
            <w:pPr>
              <w:spacing w:after="0"/>
              <w:ind w:firstLine="0"/>
              <w:jc w:val="center"/>
              <w:rPr>
                <w:color w:val="000000"/>
                <w:sz w:val="20"/>
              </w:rPr>
            </w:pPr>
            <w:r w:rsidRPr="008B4FFF">
              <w:rPr>
                <w:color w:val="000000"/>
                <w:sz w:val="20"/>
              </w:rPr>
              <w:t>5,6</w:t>
            </w:r>
          </w:p>
        </w:tc>
        <w:tc>
          <w:tcPr>
            <w:tcW w:w="850" w:type="dxa"/>
            <w:gridSpan w:val="2"/>
            <w:vAlign w:val="center"/>
          </w:tcPr>
          <w:p w14:paraId="67E85BDB" w14:textId="77777777" w:rsidR="008B4FFF" w:rsidRPr="008B4FFF" w:rsidRDefault="008B4FFF" w:rsidP="008B4FFF">
            <w:pPr>
              <w:spacing w:after="0"/>
              <w:ind w:firstLine="0"/>
              <w:jc w:val="center"/>
              <w:rPr>
                <w:color w:val="000000"/>
                <w:sz w:val="20"/>
              </w:rPr>
            </w:pPr>
            <w:r w:rsidRPr="008B4FFF">
              <w:rPr>
                <w:color w:val="000000"/>
                <w:sz w:val="20"/>
              </w:rPr>
              <w:t>4,0</w:t>
            </w:r>
          </w:p>
        </w:tc>
        <w:tc>
          <w:tcPr>
            <w:tcW w:w="851" w:type="dxa"/>
            <w:vAlign w:val="center"/>
          </w:tcPr>
          <w:p w14:paraId="5818E0D6" w14:textId="77777777" w:rsidR="008B4FFF" w:rsidRPr="008B4FFF" w:rsidRDefault="008B4FFF" w:rsidP="008B4FFF">
            <w:pPr>
              <w:spacing w:after="0"/>
              <w:ind w:firstLine="0"/>
              <w:jc w:val="center"/>
              <w:rPr>
                <w:color w:val="000000"/>
                <w:sz w:val="20"/>
              </w:rPr>
            </w:pPr>
            <w:r w:rsidRPr="008B4FFF">
              <w:rPr>
                <w:color w:val="000000"/>
                <w:sz w:val="20"/>
              </w:rPr>
              <w:t>4,0</w:t>
            </w:r>
          </w:p>
        </w:tc>
        <w:tc>
          <w:tcPr>
            <w:tcW w:w="850" w:type="dxa"/>
            <w:vAlign w:val="center"/>
          </w:tcPr>
          <w:p w14:paraId="4D764A62" w14:textId="77777777" w:rsidR="008B4FFF" w:rsidRPr="008B4FFF" w:rsidRDefault="008B4FFF" w:rsidP="008B4FFF">
            <w:pPr>
              <w:spacing w:after="0"/>
              <w:ind w:firstLine="0"/>
              <w:jc w:val="center"/>
              <w:rPr>
                <w:color w:val="000000"/>
                <w:sz w:val="20"/>
              </w:rPr>
            </w:pPr>
            <w:r w:rsidRPr="008B4FFF">
              <w:rPr>
                <w:color w:val="000000"/>
                <w:sz w:val="20"/>
              </w:rPr>
              <w:t>4,0</w:t>
            </w:r>
          </w:p>
        </w:tc>
        <w:tc>
          <w:tcPr>
            <w:tcW w:w="1030" w:type="dxa"/>
            <w:vAlign w:val="center"/>
          </w:tcPr>
          <w:p w14:paraId="4E1066DF" w14:textId="77777777" w:rsidR="008B4FFF" w:rsidRPr="008B4FFF" w:rsidRDefault="008B4FFF" w:rsidP="008B4FFF">
            <w:pPr>
              <w:spacing w:after="0"/>
              <w:ind w:firstLine="0"/>
              <w:jc w:val="center"/>
              <w:rPr>
                <w:color w:val="000000"/>
                <w:sz w:val="20"/>
              </w:rPr>
            </w:pPr>
            <w:r w:rsidRPr="008B4FFF">
              <w:rPr>
                <w:color w:val="000000"/>
                <w:sz w:val="20"/>
              </w:rPr>
              <w:t>4,0</w:t>
            </w:r>
          </w:p>
        </w:tc>
      </w:tr>
      <w:tr w:rsidR="008B4FFF" w:rsidRPr="008B4FFF" w14:paraId="5C2929DA" w14:textId="77777777" w:rsidTr="00045692">
        <w:trPr>
          <w:jc w:val="center"/>
        </w:trPr>
        <w:tc>
          <w:tcPr>
            <w:tcW w:w="3613" w:type="dxa"/>
            <w:vAlign w:val="center"/>
          </w:tcPr>
          <w:p w14:paraId="57931A44" w14:textId="77777777" w:rsidR="008B4FFF" w:rsidRPr="008B4FFF" w:rsidRDefault="008B4FFF" w:rsidP="008B4FFF">
            <w:pPr>
              <w:spacing w:after="0"/>
              <w:ind w:firstLine="0"/>
              <w:jc w:val="right"/>
              <w:rPr>
                <w:snapToGrid w:val="0"/>
                <w:sz w:val="20"/>
              </w:rPr>
            </w:pPr>
            <w:r w:rsidRPr="008B4FFF">
              <w:rPr>
                <w:snapToGrid w:val="0"/>
                <w:sz w:val="20"/>
              </w:rPr>
              <w:t>Izmaiņas</w:t>
            </w:r>
          </w:p>
        </w:tc>
        <w:tc>
          <w:tcPr>
            <w:tcW w:w="992" w:type="dxa"/>
            <w:vAlign w:val="center"/>
          </w:tcPr>
          <w:p w14:paraId="41638070" w14:textId="77777777" w:rsidR="008B4FFF" w:rsidRPr="008B4FFF" w:rsidRDefault="008B4FFF" w:rsidP="008B4FFF">
            <w:pPr>
              <w:spacing w:after="0"/>
              <w:ind w:firstLine="0"/>
              <w:jc w:val="center"/>
              <w:rPr>
                <w:sz w:val="20"/>
                <w:highlight w:val="yellow"/>
              </w:rPr>
            </w:pPr>
          </w:p>
        </w:tc>
        <w:tc>
          <w:tcPr>
            <w:tcW w:w="709" w:type="dxa"/>
            <w:vAlign w:val="center"/>
          </w:tcPr>
          <w:p w14:paraId="21432B72" w14:textId="77777777" w:rsidR="008B4FFF" w:rsidRPr="008B4FFF" w:rsidRDefault="008B4FFF" w:rsidP="008B4FFF">
            <w:pPr>
              <w:spacing w:after="0"/>
              <w:ind w:firstLine="0"/>
              <w:jc w:val="center"/>
              <w:rPr>
                <w:color w:val="000000"/>
                <w:sz w:val="20"/>
              </w:rPr>
            </w:pPr>
            <w:r w:rsidRPr="008B4FFF">
              <w:rPr>
                <w:color w:val="000000"/>
                <w:sz w:val="20"/>
              </w:rPr>
              <w:t>3,6</w:t>
            </w:r>
          </w:p>
        </w:tc>
        <w:tc>
          <w:tcPr>
            <w:tcW w:w="850" w:type="dxa"/>
            <w:gridSpan w:val="2"/>
            <w:vAlign w:val="center"/>
          </w:tcPr>
          <w:p w14:paraId="28E67754" w14:textId="77777777" w:rsidR="008B4FFF" w:rsidRPr="008B4FFF" w:rsidRDefault="008B4FFF" w:rsidP="008B4FFF">
            <w:pPr>
              <w:spacing w:after="0"/>
              <w:ind w:firstLine="0"/>
              <w:jc w:val="center"/>
              <w:rPr>
                <w:color w:val="000000"/>
                <w:sz w:val="20"/>
              </w:rPr>
            </w:pPr>
            <w:r w:rsidRPr="008B4FFF">
              <w:rPr>
                <w:color w:val="000000"/>
                <w:sz w:val="20"/>
              </w:rPr>
              <w:t>0,3</w:t>
            </w:r>
          </w:p>
        </w:tc>
        <w:tc>
          <w:tcPr>
            <w:tcW w:w="851" w:type="dxa"/>
            <w:vAlign w:val="center"/>
          </w:tcPr>
          <w:p w14:paraId="2C7C8CDC" w14:textId="77777777" w:rsidR="008B4FFF" w:rsidRPr="008B4FFF" w:rsidRDefault="008B4FFF" w:rsidP="008B4FFF">
            <w:pPr>
              <w:spacing w:after="0"/>
              <w:ind w:firstLine="0"/>
              <w:jc w:val="center"/>
              <w:rPr>
                <w:color w:val="000000"/>
                <w:sz w:val="20"/>
              </w:rPr>
            </w:pPr>
            <w:r w:rsidRPr="008B4FFF">
              <w:rPr>
                <w:color w:val="000000"/>
                <w:sz w:val="20"/>
              </w:rPr>
              <w:t>0,0</w:t>
            </w:r>
          </w:p>
        </w:tc>
        <w:tc>
          <w:tcPr>
            <w:tcW w:w="850" w:type="dxa"/>
            <w:vAlign w:val="center"/>
          </w:tcPr>
          <w:p w14:paraId="4134A85E" w14:textId="77777777" w:rsidR="008B4FFF" w:rsidRPr="008B4FFF" w:rsidRDefault="008B4FFF" w:rsidP="008B4FFF">
            <w:pPr>
              <w:spacing w:after="0"/>
              <w:ind w:firstLine="0"/>
              <w:jc w:val="center"/>
              <w:rPr>
                <w:color w:val="000000"/>
                <w:sz w:val="20"/>
              </w:rPr>
            </w:pPr>
            <w:r w:rsidRPr="008B4FFF">
              <w:rPr>
                <w:color w:val="000000"/>
                <w:sz w:val="20"/>
              </w:rPr>
              <w:t>0,0</w:t>
            </w:r>
          </w:p>
        </w:tc>
        <w:tc>
          <w:tcPr>
            <w:tcW w:w="1030" w:type="dxa"/>
            <w:vAlign w:val="center"/>
          </w:tcPr>
          <w:p w14:paraId="1C2BECD3" w14:textId="77777777" w:rsidR="008B4FFF" w:rsidRPr="008B4FFF" w:rsidRDefault="008B4FFF" w:rsidP="008B4FFF">
            <w:pPr>
              <w:spacing w:after="0"/>
              <w:ind w:firstLine="0"/>
              <w:jc w:val="center"/>
              <w:rPr>
                <w:color w:val="000000"/>
                <w:sz w:val="20"/>
              </w:rPr>
            </w:pPr>
            <w:r w:rsidRPr="008B4FFF">
              <w:rPr>
                <w:color w:val="000000"/>
                <w:sz w:val="20"/>
              </w:rPr>
              <w:t>-</w:t>
            </w:r>
          </w:p>
        </w:tc>
      </w:tr>
      <w:tr w:rsidR="008B4FFF" w:rsidRPr="008B4FFF" w14:paraId="5DACC4BB" w14:textId="77777777" w:rsidTr="00836C86">
        <w:trPr>
          <w:jc w:val="center"/>
        </w:trPr>
        <w:tc>
          <w:tcPr>
            <w:tcW w:w="3613" w:type="dxa"/>
            <w:vAlign w:val="center"/>
          </w:tcPr>
          <w:p w14:paraId="323769D0" w14:textId="77777777" w:rsidR="008B4FFF" w:rsidRPr="008B4FFF" w:rsidRDefault="008B4FFF" w:rsidP="008B4FFF">
            <w:pPr>
              <w:spacing w:after="0"/>
              <w:ind w:firstLine="0"/>
              <w:jc w:val="left"/>
              <w:rPr>
                <w:b/>
                <w:sz w:val="20"/>
              </w:rPr>
            </w:pPr>
            <w:r w:rsidRPr="008B4FFF">
              <w:rPr>
                <w:b/>
                <w:sz w:val="20"/>
              </w:rPr>
              <w:t>Faktiskā budžeta bilance</w:t>
            </w:r>
          </w:p>
          <w:p w14:paraId="12E30D55" w14:textId="77777777" w:rsidR="008B4FFF" w:rsidRPr="008B4FFF" w:rsidRDefault="008B4FFF" w:rsidP="008B4FFF">
            <w:pPr>
              <w:spacing w:after="0"/>
              <w:ind w:firstLine="0"/>
              <w:jc w:val="left"/>
              <w:rPr>
                <w:snapToGrid w:val="0"/>
                <w:sz w:val="20"/>
              </w:rPr>
            </w:pPr>
            <w:r w:rsidRPr="008B4FFF">
              <w:rPr>
                <w:b/>
                <w:sz w:val="20"/>
              </w:rPr>
              <w:t>(% no IKP)</w:t>
            </w:r>
          </w:p>
        </w:tc>
        <w:tc>
          <w:tcPr>
            <w:tcW w:w="992" w:type="dxa"/>
            <w:vAlign w:val="center"/>
          </w:tcPr>
          <w:p w14:paraId="2B833545" w14:textId="77777777" w:rsidR="008B4FFF" w:rsidRPr="008B4FFF" w:rsidRDefault="008B4FFF" w:rsidP="008B4FFF">
            <w:pPr>
              <w:spacing w:after="0"/>
              <w:ind w:firstLine="0"/>
              <w:jc w:val="left"/>
              <w:rPr>
                <w:sz w:val="20"/>
              </w:rPr>
            </w:pPr>
            <w:r w:rsidRPr="008B4FFF">
              <w:rPr>
                <w:sz w:val="20"/>
              </w:rPr>
              <w:t>B.9</w:t>
            </w:r>
          </w:p>
        </w:tc>
        <w:tc>
          <w:tcPr>
            <w:tcW w:w="709" w:type="dxa"/>
            <w:vAlign w:val="center"/>
          </w:tcPr>
          <w:p w14:paraId="639F652A" w14:textId="77777777" w:rsidR="008B4FFF" w:rsidRPr="008B4FFF" w:rsidRDefault="008B4FFF" w:rsidP="008B4FFF">
            <w:pPr>
              <w:tabs>
                <w:tab w:val="decimal" w:pos="330"/>
              </w:tabs>
              <w:spacing w:after="0"/>
              <w:ind w:firstLine="0"/>
              <w:jc w:val="center"/>
              <w:rPr>
                <w:sz w:val="20"/>
              </w:rPr>
            </w:pPr>
          </w:p>
        </w:tc>
        <w:tc>
          <w:tcPr>
            <w:tcW w:w="835" w:type="dxa"/>
            <w:vAlign w:val="center"/>
          </w:tcPr>
          <w:p w14:paraId="74F8F8F0" w14:textId="77777777" w:rsidR="008B4FFF" w:rsidRPr="008B4FFF" w:rsidRDefault="008B4FFF" w:rsidP="008B4FFF">
            <w:pPr>
              <w:tabs>
                <w:tab w:val="decimal" w:pos="330"/>
              </w:tabs>
              <w:spacing w:after="0"/>
              <w:ind w:firstLine="0"/>
              <w:jc w:val="center"/>
              <w:rPr>
                <w:sz w:val="20"/>
              </w:rPr>
            </w:pPr>
          </w:p>
        </w:tc>
        <w:tc>
          <w:tcPr>
            <w:tcW w:w="866" w:type="dxa"/>
            <w:gridSpan w:val="2"/>
            <w:vAlign w:val="center"/>
          </w:tcPr>
          <w:p w14:paraId="0E72F29F" w14:textId="77777777" w:rsidR="008B4FFF" w:rsidRPr="008B4FFF" w:rsidRDefault="008B4FFF" w:rsidP="008B4FFF">
            <w:pPr>
              <w:tabs>
                <w:tab w:val="decimal" w:pos="330"/>
              </w:tabs>
              <w:spacing w:after="0"/>
              <w:ind w:firstLine="0"/>
              <w:jc w:val="center"/>
              <w:rPr>
                <w:sz w:val="20"/>
              </w:rPr>
            </w:pPr>
          </w:p>
        </w:tc>
        <w:tc>
          <w:tcPr>
            <w:tcW w:w="850" w:type="dxa"/>
            <w:vAlign w:val="center"/>
          </w:tcPr>
          <w:p w14:paraId="6AD272BC" w14:textId="77777777" w:rsidR="008B4FFF" w:rsidRPr="008B4FFF" w:rsidRDefault="008B4FFF" w:rsidP="008B4FFF">
            <w:pPr>
              <w:tabs>
                <w:tab w:val="decimal" w:pos="330"/>
              </w:tabs>
              <w:spacing w:after="0"/>
              <w:ind w:firstLine="0"/>
              <w:jc w:val="center"/>
              <w:rPr>
                <w:rFonts w:eastAsia="Arial Unicode MS"/>
                <w:sz w:val="20"/>
              </w:rPr>
            </w:pPr>
          </w:p>
        </w:tc>
        <w:tc>
          <w:tcPr>
            <w:tcW w:w="1030" w:type="dxa"/>
            <w:vAlign w:val="center"/>
          </w:tcPr>
          <w:p w14:paraId="2688803F" w14:textId="77777777" w:rsidR="008B4FFF" w:rsidRPr="008B4FFF" w:rsidRDefault="008B4FFF" w:rsidP="008B4FFF">
            <w:pPr>
              <w:tabs>
                <w:tab w:val="decimal" w:pos="330"/>
              </w:tabs>
              <w:spacing w:after="0"/>
              <w:ind w:firstLine="0"/>
              <w:jc w:val="center"/>
              <w:rPr>
                <w:sz w:val="20"/>
              </w:rPr>
            </w:pPr>
          </w:p>
        </w:tc>
      </w:tr>
      <w:tr w:rsidR="008B4FFF" w:rsidRPr="008B4FFF" w14:paraId="09B1B3C8" w14:textId="77777777" w:rsidTr="00836C86">
        <w:trPr>
          <w:jc w:val="center"/>
        </w:trPr>
        <w:tc>
          <w:tcPr>
            <w:tcW w:w="3613" w:type="dxa"/>
            <w:vAlign w:val="center"/>
          </w:tcPr>
          <w:p w14:paraId="48041D97" w14:textId="77777777" w:rsidR="008B4FFF" w:rsidRPr="008B4FFF" w:rsidRDefault="008B4FFF" w:rsidP="008B4FFF">
            <w:pPr>
              <w:spacing w:after="0"/>
              <w:ind w:firstLine="0"/>
              <w:jc w:val="right"/>
              <w:rPr>
                <w:sz w:val="20"/>
              </w:rPr>
            </w:pPr>
            <w:r w:rsidRPr="008B4FFF">
              <w:rPr>
                <w:sz w:val="20"/>
              </w:rPr>
              <w:t>2012. gads</w:t>
            </w:r>
          </w:p>
        </w:tc>
        <w:tc>
          <w:tcPr>
            <w:tcW w:w="992" w:type="dxa"/>
            <w:vAlign w:val="center"/>
          </w:tcPr>
          <w:p w14:paraId="60EFF3A8" w14:textId="77777777" w:rsidR="008B4FFF" w:rsidRPr="008B4FFF" w:rsidRDefault="008B4FFF" w:rsidP="008B4FFF">
            <w:pPr>
              <w:spacing w:after="0"/>
              <w:ind w:firstLine="0"/>
              <w:jc w:val="left"/>
              <w:rPr>
                <w:sz w:val="20"/>
              </w:rPr>
            </w:pPr>
          </w:p>
        </w:tc>
        <w:tc>
          <w:tcPr>
            <w:tcW w:w="709" w:type="dxa"/>
            <w:vAlign w:val="center"/>
          </w:tcPr>
          <w:p w14:paraId="70637102" w14:textId="77777777" w:rsidR="008B4FFF" w:rsidRPr="008B4FFF" w:rsidRDefault="008B4FFF" w:rsidP="008B4FFF">
            <w:pPr>
              <w:spacing w:after="0"/>
              <w:ind w:firstLine="0"/>
              <w:jc w:val="center"/>
              <w:rPr>
                <w:sz w:val="20"/>
              </w:rPr>
            </w:pPr>
            <w:r w:rsidRPr="008B4FFF">
              <w:rPr>
                <w:sz w:val="20"/>
              </w:rPr>
              <w:t>-</w:t>
            </w:r>
            <w:r w:rsidR="00836C86">
              <w:rPr>
                <w:sz w:val="20"/>
              </w:rPr>
              <w:t>2</w:t>
            </w:r>
            <w:r w:rsidRPr="008B4FFF">
              <w:rPr>
                <w:sz w:val="20"/>
              </w:rPr>
              <w:t>,</w:t>
            </w:r>
            <w:r w:rsidR="00836C86">
              <w:rPr>
                <w:sz w:val="20"/>
              </w:rPr>
              <w:t>1</w:t>
            </w:r>
          </w:p>
        </w:tc>
        <w:tc>
          <w:tcPr>
            <w:tcW w:w="835" w:type="dxa"/>
            <w:vAlign w:val="center"/>
          </w:tcPr>
          <w:p w14:paraId="31F35908" w14:textId="77777777" w:rsidR="008B4FFF" w:rsidRPr="008B4FFF" w:rsidRDefault="008B4FFF" w:rsidP="008B4FFF">
            <w:pPr>
              <w:spacing w:after="0"/>
              <w:ind w:firstLine="0"/>
              <w:jc w:val="center"/>
              <w:rPr>
                <w:rFonts w:eastAsia="Arial Unicode MS"/>
                <w:sz w:val="20"/>
              </w:rPr>
            </w:pPr>
            <w:r w:rsidRPr="008B4FFF">
              <w:rPr>
                <w:rFonts w:eastAsia="Arial Unicode MS"/>
                <w:sz w:val="20"/>
              </w:rPr>
              <w:t>-</w:t>
            </w:r>
            <w:r w:rsidR="004B05F4">
              <w:rPr>
                <w:rFonts w:eastAsia="Arial Unicode MS"/>
                <w:sz w:val="20"/>
              </w:rPr>
              <w:t>1,4</w:t>
            </w:r>
          </w:p>
        </w:tc>
        <w:tc>
          <w:tcPr>
            <w:tcW w:w="866" w:type="dxa"/>
            <w:gridSpan w:val="2"/>
            <w:vAlign w:val="center"/>
          </w:tcPr>
          <w:p w14:paraId="5FAB52C2" w14:textId="77777777" w:rsidR="008B4FFF" w:rsidRPr="008B4FFF" w:rsidRDefault="004B05F4" w:rsidP="008B4FFF">
            <w:pPr>
              <w:spacing w:after="0"/>
              <w:ind w:firstLine="0"/>
              <w:jc w:val="center"/>
              <w:rPr>
                <w:rFonts w:eastAsia="Arial Unicode MS"/>
                <w:sz w:val="20"/>
              </w:rPr>
            </w:pPr>
            <w:r>
              <w:rPr>
                <w:rFonts w:eastAsia="Arial Unicode MS"/>
                <w:sz w:val="20"/>
              </w:rPr>
              <w:t>-0,8</w:t>
            </w:r>
          </w:p>
        </w:tc>
        <w:tc>
          <w:tcPr>
            <w:tcW w:w="850" w:type="dxa"/>
            <w:vAlign w:val="center"/>
          </w:tcPr>
          <w:p w14:paraId="4A92C7EC" w14:textId="77777777" w:rsidR="008B4FFF" w:rsidRPr="008B4FFF" w:rsidRDefault="008B4FFF" w:rsidP="008B4FFF">
            <w:pPr>
              <w:spacing w:after="0"/>
              <w:ind w:firstLine="0"/>
              <w:jc w:val="center"/>
              <w:rPr>
                <w:rFonts w:eastAsia="Arial Unicode MS"/>
                <w:sz w:val="20"/>
              </w:rPr>
            </w:pPr>
            <w:r w:rsidRPr="008B4FFF">
              <w:rPr>
                <w:rFonts w:eastAsia="Arial Unicode MS"/>
                <w:sz w:val="20"/>
              </w:rPr>
              <w:t>-0,</w:t>
            </w:r>
            <w:r w:rsidR="004B05F4">
              <w:rPr>
                <w:rFonts w:eastAsia="Arial Unicode MS"/>
                <w:sz w:val="20"/>
              </w:rPr>
              <w:t>3</w:t>
            </w:r>
          </w:p>
        </w:tc>
        <w:tc>
          <w:tcPr>
            <w:tcW w:w="1030" w:type="dxa"/>
            <w:vAlign w:val="center"/>
          </w:tcPr>
          <w:p w14:paraId="7C0C94B4" w14:textId="77777777" w:rsidR="008B4FFF" w:rsidRPr="008B4FFF" w:rsidRDefault="00DA4BDE" w:rsidP="008B4FFF">
            <w:pPr>
              <w:spacing w:after="0"/>
              <w:ind w:firstLine="0"/>
              <w:jc w:val="center"/>
              <w:rPr>
                <w:rFonts w:eastAsia="Arial Unicode MS"/>
                <w:sz w:val="20"/>
              </w:rPr>
            </w:pPr>
            <w:r>
              <w:rPr>
                <w:rFonts w:eastAsia="Arial Unicode MS"/>
                <w:sz w:val="20"/>
              </w:rPr>
              <w:t>-</w:t>
            </w:r>
          </w:p>
        </w:tc>
      </w:tr>
      <w:tr w:rsidR="008B4FFF" w:rsidRPr="008B4FFF" w14:paraId="09AE0198" w14:textId="77777777" w:rsidTr="00836C86">
        <w:trPr>
          <w:jc w:val="center"/>
        </w:trPr>
        <w:tc>
          <w:tcPr>
            <w:tcW w:w="3613" w:type="dxa"/>
            <w:vAlign w:val="center"/>
          </w:tcPr>
          <w:p w14:paraId="014AB2D6" w14:textId="77777777" w:rsidR="008B4FFF" w:rsidRPr="008B4FFF" w:rsidRDefault="008B4FFF" w:rsidP="008B4FFF">
            <w:pPr>
              <w:spacing w:after="0"/>
              <w:ind w:firstLine="0"/>
              <w:jc w:val="right"/>
              <w:rPr>
                <w:sz w:val="20"/>
              </w:rPr>
            </w:pPr>
            <w:r w:rsidRPr="008B4FFF">
              <w:rPr>
                <w:sz w:val="20"/>
              </w:rPr>
              <w:t>2013. gads</w:t>
            </w:r>
          </w:p>
        </w:tc>
        <w:tc>
          <w:tcPr>
            <w:tcW w:w="992" w:type="dxa"/>
            <w:vAlign w:val="center"/>
          </w:tcPr>
          <w:p w14:paraId="29BB718B" w14:textId="77777777" w:rsidR="008B4FFF" w:rsidRPr="008B4FFF" w:rsidRDefault="008B4FFF" w:rsidP="008B4FFF">
            <w:pPr>
              <w:spacing w:after="0"/>
              <w:ind w:firstLine="0"/>
              <w:jc w:val="left"/>
              <w:rPr>
                <w:sz w:val="20"/>
              </w:rPr>
            </w:pPr>
          </w:p>
        </w:tc>
        <w:tc>
          <w:tcPr>
            <w:tcW w:w="709" w:type="dxa"/>
            <w:vAlign w:val="center"/>
          </w:tcPr>
          <w:p w14:paraId="16FFA503" w14:textId="77777777" w:rsidR="008B4FFF" w:rsidRPr="008B4FFF" w:rsidRDefault="008B4FFF" w:rsidP="008B4FFF">
            <w:pPr>
              <w:spacing w:after="0"/>
              <w:ind w:firstLine="0"/>
              <w:jc w:val="center"/>
              <w:rPr>
                <w:rFonts w:eastAsia="Arial Unicode MS"/>
                <w:sz w:val="20"/>
              </w:rPr>
            </w:pPr>
            <w:r w:rsidRPr="008B4FFF">
              <w:rPr>
                <w:rFonts w:eastAsia="Arial Unicode MS"/>
                <w:sz w:val="20"/>
              </w:rPr>
              <w:t>-1,2</w:t>
            </w:r>
          </w:p>
        </w:tc>
        <w:tc>
          <w:tcPr>
            <w:tcW w:w="835" w:type="dxa"/>
            <w:vAlign w:val="center"/>
          </w:tcPr>
          <w:p w14:paraId="686A15F4" w14:textId="77777777" w:rsidR="008B4FFF" w:rsidRPr="008B4FFF" w:rsidRDefault="008B4FFF" w:rsidP="008B4FFF">
            <w:pPr>
              <w:spacing w:after="0"/>
              <w:ind w:firstLine="0"/>
              <w:jc w:val="center"/>
              <w:rPr>
                <w:rFonts w:eastAsia="Arial Unicode MS"/>
                <w:sz w:val="20"/>
              </w:rPr>
            </w:pPr>
            <w:r w:rsidRPr="008B4FFF">
              <w:rPr>
                <w:rFonts w:eastAsia="Arial Unicode MS"/>
                <w:sz w:val="20"/>
              </w:rPr>
              <w:t>-1,1</w:t>
            </w:r>
          </w:p>
        </w:tc>
        <w:tc>
          <w:tcPr>
            <w:tcW w:w="866" w:type="dxa"/>
            <w:gridSpan w:val="2"/>
            <w:vAlign w:val="center"/>
          </w:tcPr>
          <w:p w14:paraId="48D91A21" w14:textId="77777777" w:rsidR="008B4FFF" w:rsidRPr="008B4FFF" w:rsidRDefault="008B4FFF" w:rsidP="008B4FFF">
            <w:pPr>
              <w:spacing w:after="0"/>
              <w:ind w:firstLine="0"/>
              <w:jc w:val="center"/>
              <w:rPr>
                <w:rFonts w:eastAsia="Arial Unicode MS"/>
                <w:sz w:val="20"/>
              </w:rPr>
            </w:pPr>
            <w:r w:rsidRPr="008B4FFF">
              <w:rPr>
                <w:rFonts w:eastAsia="Arial Unicode MS"/>
                <w:sz w:val="20"/>
              </w:rPr>
              <w:t>-0,9</w:t>
            </w:r>
          </w:p>
        </w:tc>
        <w:tc>
          <w:tcPr>
            <w:tcW w:w="850" w:type="dxa"/>
            <w:vAlign w:val="center"/>
          </w:tcPr>
          <w:p w14:paraId="4BCC361C" w14:textId="77777777" w:rsidR="008B4FFF" w:rsidRPr="008B4FFF" w:rsidRDefault="008B4FFF" w:rsidP="008B4FFF">
            <w:pPr>
              <w:spacing w:after="0"/>
              <w:ind w:firstLine="0"/>
              <w:jc w:val="center"/>
              <w:rPr>
                <w:rFonts w:eastAsia="Arial Unicode MS"/>
                <w:sz w:val="20"/>
              </w:rPr>
            </w:pPr>
            <w:r w:rsidRPr="008B4FFF">
              <w:rPr>
                <w:rFonts w:eastAsia="Arial Unicode MS"/>
                <w:sz w:val="20"/>
              </w:rPr>
              <w:t>-0,9</w:t>
            </w:r>
          </w:p>
        </w:tc>
        <w:tc>
          <w:tcPr>
            <w:tcW w:w="1030" w:type="dxa"/>
            <w:vAlign w:val="center"/>
          </w:tcPr>
          <w:p w14:paraId="7444AD01" w14:textId="77777777" w:rsidR="008B4FFF" w:rsidRPr="008B4FFF" w:rsidRDefault="008B4FFF" w:rsidP="008B4FFF">
            <w:pPr>
              <w:spacing w:after="0"/>
              <w:ind w:firstLine="0"/>
              <w:jc w:val="center"/>
              <w:rPr>
                <w:rFonts w:eastAsia="Arial Unicode MS"/>
                <w:sz w:val="20"/>
              </w:rPr>
            </w:pPr>
            <w:r w:rsidRPr="008B4FFF">
              <w:rPr>
                <w:rFonts w:eastAsia="Arial Unicode MS"/>
                <w:sz w:val="20"/>
              </w:rPr>
              <w:t>-0,9</w:t>
            </w:r>
          </w:p>
        </w:tc>
      </w:tr>
      <w:tr w:rsidR="008B4FFF" w:rsidRPr="008B4FFF" w14:paraId="753BF2D0" w14:textId="77777777" w:rsidTr="00836C86">
        <w:trPr>
          <w:jc w:val="center"/>
        </w:trPr>
        <w:tc>
          <w:tcPr>
            <w:tcW w:w="3613" w:type="dxa"/>
          </w:tcPr>
          <w:p w14:paraId="737FCC01" w14:textId="77777777" w:rsidR="008B4FFF" w:rsidRPr="008B4FFF" w:rsidRDefault="008B4FFF" w:rsidP="008B4FFF">
            <w:pPr>
              <w:spacing w:after="0"/>
              <w:ind w:firstLine="0"/>
              <w:jc w:val="right"/>
              <w:rPr>
                <w:snapToGrid w:val="0"/>
                <w:sz w:val="20"/>
              </w:rPr>
            </w:pPr>
            <w:r w:rsidRPr="008B4FFF">
              <w:rPr>
                <w:snapToGrid w:val="0"/>
                <w:sz w:val="20"/>
              </w:rPr>
              <w:t>Izmaiņas</w:t>
            </w:r>
          </w:p>
        </w:tc>
        <w:tc>
          <w:tcPr>
            <w:tcW w:w="992" w:type="dxa"/>
          </w:tcPr>
          <w:p w14:paraId="08C22D84" w14:textId="77777777" w:rsidR="008B4FFF" w:rsidRPr="008B4FFF" w:rsidRDefault="008B4FFF" w:rsidP="008B4FFF">
            <w:pPr>
              <w:spacing w:after="0"/>
              <w:ind w:firstLine="0"/>
              <w:jc w:val="left"/>
              <w:rPr>
                <w:sz w:val="20"/>
                <w:highlight w:val="yellow"/>
              </w:rPr>
            </w:pPr>
          </w:p>
        </w:tc>
        <w:tc>
          <w:tcPr>
            <w:tcW w:w="709" w:type="dxa"/>
          </w:tcPr>
          <w:p w14:paraId="1C58CAD7" w14:textId="77777777" w:rsidR="008B4FFF" w:rsidRPr="008B4FFF" w:rsidRDefault="008B4FFF" w:rsidP="008B4FFF">
            <w:pPr>
              <w:spacing w:after="0"/>
              <w:ind w:firstLine="0"/>
              <w:jc w:val="center"/>
              <w:rPr>
                <w:rFonts w:eastAsia="Arial Unicode MS"/>
                <w:sz w:val="20"/>
              </w:rPr>
            </w:pPr>
            <w:r w:rsidRPr="008B4FFF">
              <w:rPr>
                <w:rFonts w:eastAsia="Arial Unicode MS"/>
                <w:sz w:val="20"/>
              </w:rPr>
              <w:t>2,3</w:t>
            </w:r>
          </w:p>
        </w:tc>
        <w:tc>
          <w:tcPr>
            <w:tcW w:w="835" w:type="dxa"/>
          </w:tcPr>
          <w:p w14:paraId="156A6230" w14:textId="77777777" w:rsidR="008B4FFF" w:rsidRPr="008B4FFF" w:rsidRDefault="004B05F4" w:rsidP="008B4FFF">
            <w:pPr>
              <w:spacing w:after="0"/>
              <w:ind w:firstLine="0"/>
              <w:jc w:val="center"/>
              <w:rPr>
                <w:rFonts w:eastAsia="Arial Unicode MS"/>
                <w:sz w:val="20"/>
              </w:rPr>
            </w:pPr>
            <w:r>
              <w:rPr>
                <w:rFonts w:eastAsia="Arial Unicode MS"/>
                <w:sz w:val="20"/>
              </w:rPr>
              <w:t>0,3</w:t>
            </w:r>
          </w:p>
        </w:tc>
        <w:tc>
          <w:tcPr>
            <w:tcW w:w="866" w:type="dxa"/>
            <w:gridSpan w:val="2"/>
          </w:tcPr>
          <w:p w14:paraId="2D459B3D" w14:textId="77777777" w:rsidR="008B4FFF" w:rsidRPr="008B4FFF" w:rsidRDefault="004B05F4" w:rsidP="008B4FFF">
            <w:pPr>
              <w:spacing w:after="0"/>
              <w:ind w:firstLine="0"/>
              <w:jc w:val="center"/>
              <w:rPr>
                <w:rFonts w:eastAsia="Arial Unicode MS"/>
                <w:sz w:val="20"/>
              </w:rPr>
            </w:pPr>
            <w:r>
              <w:rPr>
                <w:rFonts w:eastAsia="Arial Unicode MS"/>
                <w:sz w:val="20"/>
              </w:rPr>
              <w:t>-</w:t>
            </w:r>
            <w:r w:rsidR="008B4FFF" w:rsidRPr="008B4FFF">
              <w:rPr>
                <w:rFonts w:eastAsia="Arial Unicode MS"/>
                <w:sz w:val="20"/>
              </w:rPr>
              <w:t>0,</w:t>
            </w:r>
            <w:r>
              <w:rPr>
                <w:rFonts w:eastAsia="Arial Unicode MS"/>
                <w:sz w:val="20"/>
              </w:rPr>
              <w:t>1</w:t>
            </w:r>
          </w:p>
        </w:tc>
        <w:tc>
          <w:tcPr>
            <w:tcW w:w="850" w:type="dxa"/>
          </w:tcPr>
          <w:p w14:paraId="626137CB" w14:textId="77777777" w:rsidR="008B4FFF" w:rsidRPr="008B4FFF" w:rsidRDefault="008B4FFF" w:rsidP="008B4FFF">
            <w:pPr>
              <w:spacing w:after="0"/>
              <w:ind w:firstLine="0"/>
              <w:jc w:val="center"/>
              <w:rPr>
                <w:rFonts w:eastAsia="Arial Unicode MS"/>
                <w:sz w:val="20"/>
              </w:rPr>
            </w:pPr>
            <w:r w:rsidRPr="008B4FFF">
              <w:rPr>
                <w:rFonts w:eastAsia="Arial Unicode MS"/>
                <w:sz w:val="20"/>
              </w:rPr>
              <w:t>-0,</w:t>
            </w:r>
            <w:r w:rsidR="004B05F4">
              <w:rPr>
                <w:rFonts w:eastAsia="Arial Unicode MS"/>
                <w:sz w:val="20"/>
              </w:rPr>
              <w:t>6</w:t>
            </w:r>
          </w:p>
        </w:tc>
        <w:tc>
          <w:tcPr>
            <w:tcW w:w="1030" w:type="dxa"/>
          </w:tcPr>
          <w:p w14:paraId="46A64F45" w14:textId="77777777" w:rsidR="008B4FFF" w:rsidRPr="008B4FFF" w:rsidRDefault="00DA4BDE" w:rsidP="008B4FFF">
            <w:pPr>
              <w:spacing w:after="0"/>
              <w:ind w:firstLine="0"/>
              <w:jc w:val="center"/>
              <w:rPr>
                <w:rFonts w:eastAsia="Arial Unicode MS"/>
                <w:sz w:val="20"/>
              </w:rPr>
            </w:pPr>
            <w:r>
              <w:rPr>
                <w:rFonts w:eastAsia="Arial Unicode MS"/>
                <w:sz w:val="20"/>
              </w:rPr>
              <w:t>-</w:t>
            </w:r>
          </w:p>
        </w:tc>
      </w:tr>
      <w:tr w:rsidR="008B4FFF" w:rsidRPr="008B4FFF" w14:paraId="6FF71B1F" w14:textId="77777777" w:rsidTr="00836C86">
        <w:trPr>
          <w:jc w:val="center"/>
        </w:trPr>
        <w:tc>
          <w:tcPr>
            <w:tcW w:w="3613" w:type="dxa"/>
          </w:tcPr>
          <w:p w14:paraId="17DF1338" w14:textId="77777777" w:rsidR="008B4FFF" w:rsidRPr="008B4FFF" w:rsidRDefault="008B4FFF" w:rsidP="008B4FFF">
            <w:pPr>
              <w:spacing w:after="0"/>
              <w:ind w:firstLine="0"/>
              <w:jc w:val="left"/>
              <w:rPr>
                <w:snapToGrid w:val="0"/>
                <w:sz w:val="20"/>
              </w:rPr>
            </w:pPr>
            <w:r w:rsidRPr="008B4FFF">
              <w:rPr>
                <w:b/>
                <w:sz w:val="20"/>
              </w:rPr>
              <w:t>Vispārējās valdības kopējais parāds (% no IKP)</w:t>
            </w:r>
          </w:p>
        </w:tc>
        <w:tc>
          <w:tcPr>
            <w:tcW w:w="992" w:type="dxa"/>
          </w:tcPr>
          <w:p w14:paraId="63F11658" w14:textId="77777777" w:rsidR="008B4FFF" w:rsidRPr="008B4FFF" w:rsidRDefault="008B4FFF" w:rsidP="008B4FFF">
            <w:pPr>
              <w:spacing w:after="0"/>
              <w:ind w:firstLine="0"/>
              <w:jc w:val="left"/>
              <w:rPr>
                <w:sz w:val="20"/>
                <w:highlight w:val="yellow"/>
              </w:rPr>
            </w:pPr>
          </w:p>
        </w:tc>
        <w:tc>
          <w:tcPr>
            <w:tcW w:w="709" w:type="dxa"/>
          </w:tcPr>
          <w:p w14:paraId="32F3275B" w14:textId="77777777" w:rsidR="008B4FFF" w:rsidRPr="008B4FFF" w:rsidRDefault="008B4FFF" w:rsidP="008B4FFF">
            <w:pPr>
              <w:tabs>
                <w:tab w:val="decimal" w:pos="330"/>
              </w:tabs>
              <w:spacing w:after="0"/>
              <w:ind w:firstLine="0"/>
              <w:jc w:val="center"/>
              <w:rPr>
                <w:sz w:val="20"/>
                <w:highlight w:val="yellow"/>
              </w:rPr>
            </w:pPr>
          </w:p>
        </w:tc>
        <w:tc>
          <w:tcPr>
            <w:tcW w:w="835" w:type="dxa"/>
          </w:tcPr>
          <w:p w14:paraId="35398B6D" w14:textId="77777777" w:rsidR="008B4FFF" w:rsidRPr="008B4FFF" w:rsidRDefault="008B4FFF" w:rsidP="008B4FFF">
            <w:pPr>
              <w:tabs>
                <w:tab w:val="decimal" w:pos="330"/>
              </w:tabs>
              <w:spacing w:after="0"/>
              <w:ind w:firstLine="0"/>
              <w:jc w:val="center"/>
              <w:rPr>
                <w:sz w:val="20"/>
                <w:highlight w:val="yellow"/>
              </w:rPr>
            </w:pPr>
          </w:p>
        </w:tc>
        <w:tc>
          <w:tcPr>
            <w:tcW w:w="866" w:type="dxa"/>
            <w:gridSpan w:val="2"/>
          </w:tcPr>
          <w:p w14:paraId="7BA6A55E" w14:textId="77777777" w:rsidR="008B4FFF" w:rsidRPr="008B4FFF" w:rsidRDefault="008B4FFF" w:rsidP="008B4FFF">
            <w:pPr>
              <w:tabs>
                <w:tab w:val="decimal" w:pos="330"/>
              </w:tabs>
              <w:spacing w:after="0"/>
              <w:ind w:firstLine="0"/>
              <w:jc w:val="center"/>
              <w:rPr>
                <w:sz w:val="20"/>
                <w:highlight w:val="yellow"/>
              </w:rPr>
            </w:pPr>
          </w:p>
        </w:tc>
        <w:tc>
          <w:tcPr>
            <w:tcW w:w="850" w:type="dxa"/>
          </w:tcPr>
          <w:p w14:paraId="43230002" w14:textId="77777777" w:rsidR="008B4FFF" w:rsidRPr="008B4FFF" w:rsidRDefault="008B4FFF" w:rsidP="008B4FFF">
            <w:pPr>
              <w:tabs>
                <w:tab w:val="decimal" w:pos="330"/>
              </w:tabs>
              <w:spacing w:after="0"/>
              <w:ind w:firstLine="0"/>
              <w:jc w:val="center"/>
              <w:rPr>
                <w:rFonts w:eastAsia="Arial Unicode MS"/>
                <w:sz w:val="20"/>
                <w:highlight w:val="yellow"/>
              </w:rPr>
            </w:pPr>
          </w:p>
        </w:tc>
        <w:tc>
          <w:tcPr>
            <w:tcW w:w="1030" w:type="dxa"/>
          </w:tcPr>
          <w:p w14:paraId="30C4261E" w14:textId="77777777" w:rsidR="008B4FFF" w:rsidRPr="008B4FFF" w:rsidRDefault="008B4FFF" w:rsidP="008B4FFF">
            <w:pPr>
              <w:spacing w:after="0"/>
              <w:ind w:firstLine="0"/>
              <w:jc w:val="center"/>
              <w:rPr>
                <w:sz w:val="20"/>
                <w:highlight w:val="yellow"/>
              </w:rPr>
            </w:pPr>
          </w:p>
        </w:tc>
      </w:tr>
      <w:tr w:rsidR="008B4FFF" w:rsidRPr="008B4FFF" w14:paraId="3F1A79AF" w14:textId="77777777" w:rsidTr="00045692">
        <w:trPr>
          <w:jc w:val="center"/>
        </w:trPr>
        <w:tc>
          <w:tcPr>
            <w:tcW w:w="3613" w:type="dxa"/>
          </w:tcPr>
          <w:p w14:paraId="75D86660" w14:textId="77777777" w:rsidR="008B4FFF" w:rsidRPr="008B4FFF" w:rsidRDefault="008B4FFF" w:rsidP="008B4FFF">
            <w:pPr>
              <w:spacing w:after="0"/>
              <w:ind w:firstLine="0"/>
              <w:jc w:val="right"/>
              <w:rPr>
                <w:sz w:val="20"/>
              </w:rPr>
            </w:pPr>
            <w:r w:rsidRPr="008B4FFF">
              <w:rPr>
                <w:sz w:val="20"/>
              </w:rPr>
              <w:t>2012. gads</w:t>
            </w:r>
          </w:p>
        </w:tc>
        <w:tc>
          <w:tcPr>
            <w:tcW w:w="992" w:type="dxa"/>
          </w:tcPr>
          <w:p w14:paraId="09DC634B" w14:textId="77777777" w:rsidR="008B4FFF" w:rsidRPr="008B4FFF" w:rsidRDefault="008B4FFF" w:rsidP="008B4FFF">
            <w:pPr>
              <w:spacing w:after="0"/>
              <w:ind w:firstLine="0"/>
              <w:jc w:val="left"/>
              <w:rPr>
                <w:sz w:val="20"/>
                <w:highlight w:val="yellow"/>
              </w:rPr>
            </w:pPr>
          </w:p>
        </w:tc>
        <w:tc>
          <w:tcPr>
            <w:tcW w:w="709" w:type="dxa"/>
          </w:tcPr>
          <w:p w14:paraId="66D9F5CE" w14:textId="77777777" w:rsidR="008B4FFF" w:rsidRDefault="008B4FFF" w:rsidP="00F46473">
            <w:pPr>
              <w:tabs>
                <w:tab w:val="decimal" w:pos="330"/>
              </w:tabs>
              <w:spacing w:after="0"/>
              <w:ind w:firstLine="0"/>
              <w:rPr>
                <w:sz w:val="20"/>
              </w:rPr>
            </w:pPr>
            <w:r>
              <w:rPr>
                <w:sz w:val="20"/>
              </w:rPr>
              <w:t>44,5</w:t>
            </w:r>
          </w:p>
        </w:tc>
        <w:tc>
          <w:tcPr>
            <w:tcW w:w="850" w:type="dxa"/>
            <w:gridSpan w:val="2"/>
          </w:tcPr>
          <w:p w14:paraId="52B7DD91" w14:textId="77777777" w:rsidR="008B4FFF" w:rsidRDefault="008B4FFF" w:rsidP="00F46473">
            <w:pPr>
              <w:tabs>
                <w:tab w:val="decimal" w:pos="330"/>
              </w:tabs>
              <w:spacing w:after="0"/>
              <w:ind w:firstLine="0"/>
              <w:jc w:val="center"/>
              <w:rPr>
                <w:sz w:val="20"/>
              </w:rPr>
            </w:pPr>
            <w:r>
              <w:rPr>
                <w:sz w:val="20"/>
              </w:rPr>
              <w:t>45,8</w:t>
            </w:r>
          </w:p>
        </w:tc>
        <w:tc>
          <w:tcPr>
            <w:tcW w:w="851" w:type="dxa"/>
          </w:tcPr>
          <w:p w14:paraId="72BBD592" w14:textId="77777777" w:rsidR="008B4FFF" w:rsidRDefault="008B4FFF" w:rsidP="00F46473">
            <w:pPr>
              <w:tabs>
                <w:tab w:val="decimal" w:pos="330"/>
              </w:tabs>
              <w:spacing w:after="0"/>
              <w:ind w:firstLine="0"/>
              <w:jc w:val="center"/>
              <w:rPr>
                <w:sz w:val="20"/>
              </w:rPr>
            </w:pPr>
            <w:r>
              <w:rPr>
                <w:sz w:val="20"/>
              </w:rPr>
              <w:t>46,7</w:t>
            </w:r>
          </w:p>
        </w:tc>
        <w:tc>
          <w:tcPr>
            <w:tcW w:w="850" w:type="dxa"/>
          </w:tcPr>
          <w:p w14:paraId="2AFD3056" w14:textId="77777777" w:rsidR="008B4FFF" w:rsidRDefault="008B4FFF" w:rsidP="00F46473">
            <w:pPr>
              <w:tabs>
                <w:tab w:val="decimal" w:pos="330"/>
              </w:tabs>
              <w:spacing w:after="0"/>
              <w:ind w:firstLine="0"/>
              <w:jc w:val="center"/>
              <w:rPr>
                <w:sz w:val="20"/>
              </w:rPr>
            </w:pPr>
            <w:r>
              <w:rPr>
                <w:sz w:val="20"/>
              </w:rPr>
              <w:t>38,9</w:t>
            </w:r>
          </w:p>
        </w:tc>
        <w:tc>
          <w:tcPr>
            <w:tcW w:w="1030" w:type="dxa"/>
          </w:tcPr>
          <w:p w14:paraId="4E34151B" w14:textId="77777777" w:rsidR="008B4FFF" w:rsidRDefault="008B4FFF" w:rsidP="00F46473">
            <w:pPr>
              <w:tabs>
                <w:tab w:val="decimal" w:pos="330"/>
              </w:tabs>
              <w:spacing w:after="0"/>
              <w:ind w:firstLine="0"/>
              <w:rPr>
                <w:sz w:val="20"/>
              </w:rPr>
            </w:pPr>
            <w:r>
              <w:rPr>
                <w:sz w:val="20"/>
              </w:rPr>
              <w:t>-</w:t>
            </w:r>
          </w:p>
        </w:tc>
      </w:tr>
      <w:tr w:rsidR="008B4FFF" w:rsidRPr="008B4FFF" w14:paraId="72444369" w14:textId="77777777" w:rsidTr="00045692">
        <w:trPr>
          <w:trHeight w:val="70"/>
          <w:jc w:val="center"/>
        </w:trPr>
        <w:tc>
          <w:tcPr>
            <w:tcW w:w="3613" w:type="dxa"/>
          </w:tcPr>
          <w:p w14:paraId="75BB1659" w14:textId="77777777" w:rsidR="008B4FFF" w:rsidRPr="008B4FFF" w:rsidRDefault="008B4FFF" w:rsidP="008B4FFF">
            <w:pPr>
              <w:spacing w:after="0"/>
              <w:ind w:firstLine="0"/>
              <w:jc w:val="right"/>
              <w:rPr>
                <w:sz w:val="20"/>
              </w:rPr>
            </w:pPr>
            <w:r w:rsidRPr="008B4FFF">
              <w:rPr>
                <w:sz w:val="20"/>
              </w:rPr>
              <w:t>2013. gads</w:t>
            </w:r>
          </w:p>
        </w:tc>
        <w:tc>
          <w:tcPr>
            <w:tcW w:w="992" w:type="dxa"/>
          </w:tcPr>
          <w:p w14:paraId="25554421" w14:textId="77777777" w:rsidR="008B4FFF" w:rsidRPr="008B4FFF" w:rsidRDefault="008B4FFF" w:rsidP="008B4FFF">
            <w:pPr>
              <w:spacing w:after="0"/>
              <w:ind w:firstLine="0"/>
              <w:jc w:val="left"/>
              <w:rPr>
                <w:sz w:val="20"/>
                <w:highlight w:val="yellow"/>
              </w:rPr>
            </w:pPr>
          </w:p>
        </w:tc>
        <w:tc>
          <w:tcPr>
            <w:tcW w:w="709" w:type="dxa"/>
          </w:tcPr>
          <w:p w14:paraId="532359C3" w14:textId="77777777" w:rsidR="008B4FFF" w:rsidRDefault="008B4FFF" w:rsidP="00F46473">
            <w:pPr>
              <w:spacing w:after="0"/>
              <w:ind w:firstLine="0"/>
              <w:jc w:val="center"/>
              <w:rPr>
                <w:sz w:val="20"/>
              </w:rPr>
            </w:pPr>
            <w:r>
              <w:rPr>
                <w:sz w:val="20"/>
              </w:rPr>
              <w:t xml:space="preserve"> 40,7</w:t>
            </w:r>
          </w:p>
        </w:tc>
        <w:tc>
          <w:tcPr>
            <w:tcW w:w="850" w:type="dxa"/>
            <w:gridSpan w:val="2"/>
          </w:tcPr>
          <w:p w14:paraId="0E377B63" w14:textId="77777777" w:rsidR="008B4FFF" w:rsidRDefault="008B4FFF" w:rsidP="00F46473">
            <w:pPr>
              <w:spacing w:after="0"/>
              <w:ind w:firstLine="0"/>
              <w:jc w:val="center"/>
              <w:rPr>
                <w:sz w:val="20"/>
              </w:rPr>
            </w:pPr>
            <w:r>
              <w:rPr>
                <w:sz w:val="20"/>
              </w:rPr>
              <w:t xml:space="preserve">  44,5</w:t>
            </w:r>
          </w:p>
        </w:tc>
        <w:tc>
          <w:tcPr>
            <w:tcW w:w="851" w:type="dxa"/>
          </w:tcPr>
          <w:p w14:paraId="01854DE0" w14:textId="77777777" w:rsidR="008B4FFF" w:rsidRDefault="008B4FFF" w:rsidP="00F46473">
            <w:pPr>
              <w:spacing w:after="0"/>
              <w:ind w:firstLine="0"/>
              <w:jc w:val="center"/>
              <w:rPr>
                <w:sz w:val="20"/>
              </w:rPr>
            </w:pPr>
            <w:r>
              <w:rPr>
                <w:sz w:val="20"/>
              </w:rPr>
              <w:t xml:space="preserve">  41,0</w:t>
            </w:r>
          </w:p>
        </w:tc>
        <w:tc>
          <w:tcPr>
            <w:tcW w:w="850" w:type="dxa"/>
          </w:tcPr>
          <w:p w14:paraId="720933BC" w14:textId="77777777" w:rsidR="008B4FFF" w:rsidRDefault="008B4FFF" w:rsidP="00F46473">
            <w:pPr>
              <w:spacing w:after="0"/>
              <w:ind w:firstLine="0"/>
              <w:jc w:val="center"/>
              <w:rPr>
                <w:sz w:val="20"/>
              </w:rPr>
            </w:pPr>
            <w:r>
              <w:rPr>
                <w:sz w:val="20"/>
              </w:rPr>
              <w:t xml:space="preserve">  36,4</w:t>
            </w:r>
          </w:p>
        </w:tc>
        <w:tc>
          <w:tcPr>
            <w:tcW w:w="1030" w:type="dxa"/>
          </w:tcPr>
          <w:p w14:paraId="66129753" w14:textId="77777777" w:rsidR="008B4FFF" w:rsidRDefault="008B4FFF" w:rsidP="00F46473">
            <w:pPr>
              <w:spacing w:after="0"/>
              <w:ind w:firstLine="0"/>
              <w:jc w:val="center"/>
              <w:rPr>
                <w:sz w:val="20"/>
              </w:rPr>
            </w:pPr>
            <w:r>
              <w:rPr>
                <w:sz w:val="20"/>
              </w:rPr>
              <w:t>34,6</w:t>
            </w:r>
          </w:p>
        </w:tc>
      </w:tr>
      <w:tr w:rsidR="008B4FFF" w:rsidRPr="008B4FFF" w14:paraId="0F0B1A4A" w14:textId="77777777" w:rsidTr="00045692">
        <w:trPr>
          <w:jc w:val="center"/>
        </w:trPr>
        <w:tc>
          <w:tcPr>
            <w:tcW w:w="3613" w:type="dxa"/>
          </w:tcPr>
          <w:p w14:paraId="3FDB0170" w14:textId="77777777" w:rsidR="008B4FFF" w:rsidRPr="008B4FFF" w:rsidRDefault="008B4FFF" w:rsidP="008B4FFF">
            <w:pPr>
              <w:spacing w:after="0"/>
              <w:ind w:firstLine="0"/>
              <w:jc w:val="right"/>
              <w:rPr>
                <w:snapToGrid w:val="0"/>
                <w:sz w:val="20"/>
              </w:rPr>
            </w:pPr>
            <w:r w:rsidRPr="008B4FFF">
              <w:rPr>
                <w:snapToGrid w:val="0"/>
                <w:sz w:val="20"/>
              </w:rPr>
              <w:t>Izmaiņas</w:t>
            </w:r>
          </w:p>
        </w:tc>
        <w:tc>
          <w:tcPr>
            <w:tcW w:w="992" w:type="dxa"/>
          </w:tcPr>
          <w:p w14:paraId="4FD30DEA" w14:textId="77777777" w:rsidR="008B4FFF" w:rsidRPr="008B4FFF" w:rsidRDefault="008B4FFF" w:rsidP="008B4FFF">
            <w:pPr>
              <w:spacing w:after="0"/>
              <w:ind w:firstLine="0"/>
              <w:jc w:val="left"/>
              <w:rPr>
                <w:sz w:val="20"/>
                <w:highlight w:val="yellow"/>
              </w:rPr>
            </w:pPr>
          </w:p>
        </w:tc>
        <w:tc>
          <w:tcPr>
            <w:tcW w:w="709" w:type="dxa"/>
          </w:tcPr>
          <w:p w14:paraId="6EC996E2" w14:textId="77777777" w:rsidR="008B4FFF" w:rsidRDefault="008B4FFF" w:rsidP="00F46473">
            <w:pPr>
              <w:tabs>
                <w:tab w:val="decimal" w:pos="330"/>
              </w:tabs>
              <w:spacing w:after="0"/>
              <w:ind w:firstLine="0"/>
              <w:jc w:val="center"/>
              <w:rPr>
                <w:sz w:val="20"/>
              </w:rPr>
            </w:pPr>
            <w:r>
              <w:rPr>
                <w:sz w:val="20"/>
              </w:rPr>
              <w:t>-3,8</w:t>
            </w:r>
          </w:p>
        </w:tc>
        <w:tc>
          <w:tcPr>
            <w:tcW w:w="850" w:type="dxa"/>
            <w:gridSpan w:val="2"/>
          </w:tcPr>
          <w:p w14:paraId="46AE43E1" w14:textId="77777777" w:rsidR="008B4FFF" w:rsidRDefault="008B4FFF" w:rsidP="00F46473">
            <w:pPr>
              <w:tabs>
                <w:tab w:val="decimal" w:pos="330"/>
              </w:tabs>
              <w:spacing w:after="0"/>
              <w:ind w:firstLine="0"/>
              <w:jc w:val="center"/>
              <w:rPr>
                <w:sz w:val="20"/>
              </w:rPr>
            </w:pPr>
            <w:r>
              <w:rPr>
                <w:sz w:val="20"/>
              </w:rPr>
              <w:t>-1,3</w:t>
            </w:r>
          </w:p>
        </w:tc>
        <w:tc>
          <w:tcPr>
            <w:tcW w:w="851" w:type="dxa"/>
          </w:tcPr>
          <w:p w14:paraId="266ED83F" w14:textId="77777777" w:rsidR="008B4FFF" w:rsidRDefault="008B4FFF" w:rsidP="00F46473">
            <w:pPr>
              <w:tabs>
                <w:tab w:val="decimal" w:pos="330"/>
              </w:tabs>
              <w:spacing w:after="0"/>
              <w:ind w:firstLine="0"/>
              <w:jc w:val="center"/>
              <w:rPr>
                <w:sz w:val="20"/>
              </w:rPr>
            </w:pPr>
            <w:r>
              <w:rPr>
                <w:sz w:val="20"/>
              </w:rPr>
              <w:t>-5,7</w:t>
            </w:r>
          </w:p>
        </w:tc>
        <w:tc>
          <w:tcPr>
            <w:tcW w:w="850" w:type="dxa"/>
          </w:tcPr>
          <w:p w14:paraId="056AA3A2" w14:textId="77777777" w:rsidR="008B4FFF" w:rsidRDefault="008B4FFF" w:rsidP="00F46473">
            <w:pPr>
              <w:tabs>
                <w:tab w:val="decimal" w:pos="330"/>
              </w:tabs>
              <w:spacing w:after="0"/>
              <w:ind w:firstLine="0"/>
              <w:jc w:val="center"/>
              <w:rPr>
                <w:sz w:val="20"/>
              </w:rPr>
            </w:pPr>
            <w:r>
              <w:rPr>
                <w:sz w:val="20"/>
              </w:rPr>
              <w:t>-2,5</w:t>
            </w:r>
          </w:p>
        </w:tc>
        <w:tc>
          <w:tcPr>
            <w:tcW w:w="1030" w:type="dxa"/>
          </w:tcPr>
          <w:p w14:paraId="671440E9" w14:textId="77777777" w:rsidR="008B4FFF" w:rsidRDefault="008B4FFF" w:rsidP="00F46473">
            <w:pPr>
              <w:tabs>
                <w:tab w:val="decimal" w:pos="330"/>
              </w:tabs>
              <w:spacing w:after="0"/>
              <w:ind w:firstLine="0"/>
              <w:rPr>
                <w:sz w:val="20"/>
              </w:rPr>
            </w:pPr>
            <w:r>
              <w:rPr>
                <w:sz w:val="20"/>
              </w:rPr>
              <w:t>-</w:t>
            </w:r>
          </w:p>
        </w:tc>
      </w:tr>
    </w:tbl>
    <w:p w14:paraId="37FC5516" w14:textId="77777777" w:rsidR="008B4FFF" w:rsidRDefault="008B4FFF" w:rsidP="004347CA">
      <w:pPr>
        <w:keepNext/>
        <w:ind w:firstLine="0"/>
        <w:jc w:val="right"/>
        <w:rPr>
          <w:szCs w:val="24"/>
        </w:rPr>
      </w:pPr>
    </w:p>
    <w:p w14:paraId="6658FC6A" w14:textId="012CD889" w:rsidR="008B4FFF" w:rsidRPr="008B4FFF" w:rsidRDefault="008B4FFF" w:rsidP="008B4FFF">
      <w:pPr>
        <w:pStyle w:val="teksts"/>
        <w:spacing w:before="240"/>
        <w:ind w:firstLine="720"/>
        <w:rPr>
          <w:rFonts w:ascii="Times New Roman" w:eastAsia="Calibri" w:hAnsi="Times New Roman"/>
          <w:szCs w:val="24"/>
        </w:rPr>
      </w:pPr>
      <w:r>
        <w:rPr>
          <w:rFonts w:ascii="Times New Roman" w:eastAsia="Calibri" w:hAnsi="Times New Roman"/>
          <w:szCs w:val="24"/>
        </w:rPr>
        <w:t>2012. gadā turpinoties straujai ekonomikas izaugsmei, situācija vispārējās valdības budžetā ievērojami uzlabojās un rezultātā deficīts -1,2% no IKP, bija ievērojami zemāks salīdzinājumā ar iepriekšējā Konverģences programm</w:t>
      </w:r>
      <w:r w:rsidR="00805E6B">
        <w:rPr>
          <w:rFonts w:ascii="Times New Roman" w:eastAsia="Calibri" w:hAnsi="Times New Roman"/>
          <w:szCs w:val="24"/>
        </w:rPr>
        <w:t>ā prognozēto deficīta līmeni – 2,1</w:t>
      </w:r>
      <w:r>
        <w:rPr>
          <w:rFonts w:ascii="Times New Roman" w:eastAsia="Calibri" w:hAnsi="Times New Roman"/>
          <w:szCs w:val="24"/>
        </w:rPr>
        <w:t>% no IKP. Labāku fiskālo situāciju noteica straujāks ieņēmumu pieaugums nekā palielinājās izdevumi, kas pamatā skaidrojams ar labu nodokļu ieņēmumu izpildi. Atbilstoši jaunākajām prognozēm, 2013. gadā vispārējās valdības budžeta deficīts tiek prognozēts 1,1% no IKP, kas arī ir zemāks par iepriekš prognozēto. Ņemot vērā to, ka pērn strukturālā budžeta bilance bija atbilstoša iepriekš noteiktajam vidēja termiņa mērķim, turpmākajos gados strukturālā budžeta bilance tiks saglabāta iepriekšējā gada līmenī</w:t>
      </w:r>
      <w:r w:rsidR="00CF47BB">
        <w:rPr>
          <w:rFonts w:ascii="Times New Roman" w:eastAsia="Calibri" w:hAnsi="Times New Roman"/>
          <w:szCs w:val="24"/>
        </w:rPr>
        <w:t>, ievērojot pieļaujamo atkāpi sakarā ar iemaksu palielināšanu pensiju 2.līmenī</w:t>
      </w:r>
      <w:r>
        <w:rPr>
          <w:rFonts w:ascii="Times New Roman" w:eastAsia="Calibri" w:hAnsi="Times New Roman"/>
          <w:szCs w:val="24"/>
        </w:rPr>
        <w:t xml:space="preserve"> un vispārējās valdības budžeta deficīts tiek plānots 0,9% no IKP. </w:t>
      </w:r>
    </w:p>
    <w:p w14:paraId="7ED85D06" w14:textId="77777777" w:rsidR="008B4FFF" w:rsidRPr="004347CA" w:rsidRDefault="008B4FFF" w:rsidP="008B4FFF">
      <w:pPr>
        <w:spacing w:after="0"/>
        <w:ind w:firstLine="851"/>
        <w:rPr>
          <w:rFonts w:eastAsia="Calibri"/>
          <w:szCs w:val="24"/>
        </w:rPr>
      </w:pPr>
      <w:r w:rsidRPr="004347CA">
        <w:rPr>
          <w:rFonts w:eastAsia="Calibri"/>
          <w:szCs w:val="24"/>
        </w:rPr>
        <w:t>Aktualizētā vispārējās valdības parāda prognoze ir pozitīvāka, salīdzinot ar 2012. </w:t>
      </w:r>
      <w:r>
        <w:rPr>
          <w:rFonts w:eastAsia="Calibri"/>
          <w:szCs w:val="24"/>
        </w:rPr>
        <w:t xml:space="preserve">-2015. </w:t>
      </w:r>
      <w:r w:rsidRPr="004347CA">
        <w:rPr>
          <w:rFonts w:eastAsia="Calibri"/>
          <w:szCs w:val="24"/>
        </w:rPr>
        <w:t>gada Konverģences programmas prognozēm (sk.</w:t>
      </w:r>
      <w:r>
        <w:rPr>
          <w:rFonts w:eastAsia="Calibri"/>
          <w:szCs w:val="24"/>
        </w:rPr>
        <w:t>6.</w:t>
      </w:r>
      <w:r w:rsidRPr="004347CA">
        <w:rPr>
          <w:rFonts w:eastAsia="Calibri"/>
          <w:szCs w:val="24"/>
        </w:rPr>
        <w:t>1.tabulu), ko noteica galvenokārt:</w:t>
      </w:r>
    </w:p>
    <w:p w14:paraId="4D75AC4F" w14:textId="59749550" w:rsidR="008B4FFF" w:rsidRPr="004347CA" w:rsidRDefault="008B4FFF" w:rsidP="008B4FFF">
      <w:pPr>
        <w:spacing w:after="0"/>
        <w:ind w:firstLine="851"/>
        <w:rPr>
          <w:rFonts w:eastAsia="Calibri"/>
          <w:szCs w:val="24"/>
        </w:rPr>
      </w:pPr>
      <w:r w:rsidRPr="004347CA">
        <w:rPr>
          <w:rFonts w:eastAsia="Calibri"/>
          <w:szCs w:val="24"/>
        </w:rPr>
        <w:lastRenderedPageBreak/>
        <w:t xml:space="preserve">- 2012.gadā </w:t>
      </w:r>
      <w:r>
        <w:rPr>
          <w:rFonts w:eastAsia="Calibri"/>
          <w:szCs w:val="24"/>
        </w:rPr>
        <w:t>SVF</w:t>
      </w:r>
      <w:r w:rsidRPr="004347CA">
        <w:rPr>
          <w:rFonts w:eastAsia="Calibri"/>
          <w:szCs w:val="24"/>
        </w:rPr>
        <w:t xml:space="preserve"> aizdevuma pirmstermiņa atmaksa pilnā apjomā, izmantojot 2012.gada beigās emitēto eiroobligāciju emisijas rezultātā iegūtos resursus,</w:t>
      </w:r>
    </w:p>
    <w:p w14:paraId="366039BA" w14:textId="77777777" w:rsidR="008B4FFF" w:rsidRPr="004347CA" w:rsidRDefault="008B4FFF" w:rsidP="008B4FFF">
      <w:pPr>
        <w:spacing w:after="0"/>
        <w:ind w:firstLine="851"/>
        <w:rPr>
          <w:rFonts w:eastAsia="Calibri"/>
          <w:szCs w:val="24"/>
        </w:rPr>
      </w:pPr>
      <w:r w:rsidRPr="004347CA">
        <w:rPr>
          <w:rFonts w:eastAsia="Calibri"/>
          <w:szCs w:val="24"/>
        </w:rPr>
        <w:t xml:space="preserve">- pateicoties labākiem nekā plānots valsts budžeta izpildes rezultātiem 2012.gadā, 2013.gada sākumā aktualizēta aizņemšanās stratēģija vidējam termiņam, samazinot kopējos aizņemšanās apjomus 2013.-2016.gadā, </w:t>
      </w:r>
    </w:p>
    <w:p w14:paraId="2493650C" w14:textId="77777777" w:rsidR="0087768C" w:rsidRDefault="008B4FFF" w:rsidP="008B4FFF">
      <w:pPr>
        <w:spacing w:after="0"/>
        <w:ind w:firstLine="851"/>
        <w:rPr>
          <w:rFonts w:eastAsia="Calibri"/>
          <w:szCs w:val="24"/>
        </w:rPr>
      </w:pPr>
      <w:r w:rsidRPr="004347CA">
        <w:rPr>
          <w:rFonts w:eastAsia="Calibri"/>
          <w:szCs w:val="24"/>
        </w:rPr>
        <w:t>- straujāka IKP izaugsme faktiskajā un prognozētajā periodā.</w:t>
      </w:r>
    </w:p>
    <w:p w14:paraId="459833FB" w14:textId="77777777" w:rsidR="008B4FFF" w:rsidRPr="008B4FFF" w:rsidRDefault="008B4FFF" w:rsidP="008B4FFF">
      <w:pPr>
        <w:spacing w:after="0"/>
        <w:ind w:firstLine="851"/>
        <w:rPr>
          <w:rFonts w:eastAsia="Calibri"/>
          <w:szCs w:val="24"/>
        </w:rPr>
      </w:pPr>
    </w:p>
    <w:p w14:paraId="7B0F0DFB" w14:textId="77777777" w:rsidR="00F37E17" w:rsidRPr="0067268A" w:rsidRDefault="008B3132" w:rsidP="0067268A">
      <w:pPr>
        <w:pStyle w:val="otrais"/>
      </w:pPr>
      <w:bookmarkStart w:id="52" w:name="_Toc354671230"/>
      <w:r w:rsidRPr="0067268A">
        <w:t>6.</w:t>
      </w:r>
      <w:r w:rsidR="00984AE5" w:rsidRPr="0067268A">
        <w:t>2</w:t>
      </w:r>
      <w:r w:rsidRPr="0067268A">
        <w:t xml:space="preserve">. </w:t>
      </w:r>
      <w:r w:rsidR="00443A2C" w:rsidRPr="0067268A">
        <w:t>Latvijas rīcība attiecībā uz ES Padomes ieteikumu ieviešanu</w:t>
      </w:r>
      <w:bookmarkEnd w:id="52"/>
    </w:p>
    <w:p w14:paraId="0B98424F" w14:textId="77777777" w:rsidR="003B0CEE" w:rsidRDefault="00F37E17" w:rsidP="002D62B9">
      <w:pPr>
        <w:rPr>
          <w:szCs w:val="24"/>
        </w:rPr>
      </w:pPr>
      <w:bookmarkStart w:id="53" w:name="_Toc290024506"/>
      <w:r>
        <w:rPr>
          <w:szCs w:val="24"/>
        </w:rPr>
        <w:t>Par Latvijas sagatavoto Konve</w:t>
      </w:r>
      <w:r w:rsidR="00877BCB">
        <w:rPr>
          <w:szCs w:val="24"/>
        </w:rPr>
        <w:t>rģences programmu 2012</w:t>
      </w:r>
      <w:r w:rsidR="006546CA">
        <w:rPr>
          <w:szCs w:val="24"/>
        </w:rPr>
        <w:t xml:space="preserve">. </w:t>
      </w:r>
      <w:r w:rsidR="0035776A">
        <w:rPr>
          <w:szCs w:val="24"/>
        </w:rPr>
        <w:t>–</w:t>
      </w:r>
      <w:r w:rsidR="00877BCB">
        <w:rPr>
          <w:szCs w:val="24"/>
        </w:rPr>
        <w:t xml:space="preserve"> 2015</w:t>
      </w:r>
      <w:r w:rsidR="006546CA">
        <w:rPr>
          <w:szCs w:val="24"/>
        </w:rPr>
        <w:t>. </w:t>
      </w:r>
      <w:r w:rsidR="00877BCB">
        <w:rPr>
          <w:szCs w:val="24"/>
        </w:rPr>
        <w:t>gadam, 2012</w:t>
      </w:r>
      <w:r>
        <w:rPr>
          <w:szCs w:val="24"/>
        </w:rPr>
        <w:t>.</w:t>
      </w:r>
      <w:r w:rsidR="006546CA">
        <w:rPr>
          <w:szCs w:val="24"/>
        </w:rPr>
        <w:t> </w:t>
      </w:r>
      <w:r>
        <w:rPr>
          <w:szCs w:val="24"/>
        </w:rPr>
        <w:t xml:space="preserve">gada </w:t>
      </w:r>
      <w:r w:rsidR="00ED1255">
        <w:rPr>
          <w:szCs w:val="24"/>
        </w:rPr>
        <w:t>9</w:t>
      </w:r>
      <w:r w:rsidRPr="00A85582">
        <w:rPr>
          <w:szCs w:val="24"/>
        </w:rPr>
        <w:t>.</w:t>
      </w:r>
      <w:r w:rsidR="006546CA" w:rsidRPr="00A85582">
        <w:rPr>
          <w:szCs w:val="24"/>
        </w:rPr>
        <w:t> </w:t>
      </w:r>
      <w:r w:rsidRPr="00A85582">
        <w:rPr>
          <w:szCs w:val="24"/>
        </w:rPr>
        <w:t>jūlijā Eiropas</w:t>
      </w:r>
      <w:r w:rsidR="003B0CEE" w:rsidRPr="00A85582">
        <w:rPr>
          <w:szCs w:val="24"/>
        </w:rPr>
        <w:t xml:space="preserve"> Savienības</w:t>
      </w:r>
      <w:r w:rsidRPr="00A85582">
        <w:rPr>
          <w:szCs w:val="24"/>
        </w:rPr>
        <w:t xml:space="preserve"> padome izteica Latvijai </w:t>
      </w:r>
      <w:r w:rsidR="00791342" w:rsidRPr="00A85582">
        <w:rPr>
          <w:szCs w:val="24"/>
        </w:rPr>
        <w:t xml:space="preserve">vairākas </w:t>
      </w:r>
      <w:r w:rsidRPr="00A85582">
        <w:rPr>
          <w:szCs w:val="24"/>
        </w:rPr>
        <w:t>rekomendācij</w:t>
      </w:r>
      <w:r w:rsidR="003B0CEE" w:rsidRPr="00A85582">
        <w:rPr>
          <w:szCs w:val="24"/>
        </w:rPr>
        <w:t>as</w:t>
      </w:r>
      <w:r w:rsidR="00791342" w:rsidRPr="00A85582">
        <w:rPr>
          <w:szCs w:val="24"/>
        </w:rPr>
        <w:t xml:space="preserve">, kuru </w:t>
      </w:r>
      <w:r w:rsidR="00791342">
        <w:rPr>
          <w:szCs w:val="24"/>
        </w:rPr>
        <w:t>izpild</w:t>
      </w:r>
      <w:r w:rsidR="00A85582">
        <w:rPr>
          <w:szCs w:val="24"/>
        </w:rPr>
        <w:t>ei 2012.gadā</w:t>
      </w:r>
      <w:r w:rsidR="00791342">
        <w:rPr>
          <w:szCs w:val="24"/>
        </w:rPr>
        <w:t xml:space="preserve"> Latvija </w:t>
      </w:r>
      <w:r w:rsidR="004D5F5B">
        <w:rPr>
          <w:szCs w:val="24"/>
        </w:rPr>
        <w:t xml:space="preserve">ir </w:t>
      </w:r>
      <w:r w:rsidR="00A85582">
        <w:rPr>
          <w:szCs w:val="24"/>
        </w:rPr>
        <w:t>veikusi virkni pasākumu.</w:t>
      </w:r>
    </w:p>
    <w:p w14:paraId="6B34885E" w14:textId="307BB5B8" w:rsidR="00F37E17" w:rsidRDefault="00F37E17" w:rsidP="002D62B9">
      <w:pPr>
        <w:rPr>
          <w:szCs w:val="24"/>
        </w:rPr>
      </w:pPr>
      <w:r>
        <w:rPr>
          <w:szCs w:val="24"/>
        </w:rPr>
        <w:t xml:space="preserve">Vienlaicīgi Latvija, īstenojot </w:t>
      </w:r>
      <w:r w:rsidR="00791342">
        <w:rPr>
          <w:szCs w:val="24"/>
        </w:rPr>
        <w:t xml:space="preserve">šos </w:t>
      </w:r>
      <w:r>
        <w:rPr>
          <w:szCs w:val="24"/>
        </w:rPr>
        <w:t xml:space="preserve">pasākumus, ievēro Ikgadējā izaugsmes ziņojumā un makroekonomiskajās un fiskālajās vadlīnijās noteikto, kā arī Eiro Plus pakta </w:t>
      </w:r>
      <w:r w:rsidR="00805E6B">
        <w:rPr>
          <w:szCs w:val="24"/>
        </w:rPr>
        <w:t xml:space="preserve">noteiktās </w:t>
      </w:r>
      <w:r>
        <w:rPr>
          <w:szCs w:val="24"/>
        </w:rPr>
        <w:t>apņemšanās.</w:t>
      </w:r>
    </w:p>
    <w:p w14:paraId="59607CC7" w14:textId="77777777" w:rsidR="004D5F5B" w:rsidRDefault="0080554D" w:rsidP="001367D7">
      <w:r w:rsidRPr="005F1F38">
        <w:t>Šajā sadaļā sniedzam aprakstu par veiktajiem pasākumiem 1.un 2.rekomendācijas ieviešanai, savukārt par pārējām Latvijai izteiktajām rekomendācijām informāciju lūdzam skatīt NRP 2.sada</w:t>
      </w:r>
      <w:r w:rsidR="005B0FA5" w:rsidRPr="005F1F38">
        <w:t>ļā</w:t>
      </w:r>
      <w:r w:rsidRPr="005F1F38">
        <w:t>.</w:t>
      </w:r>
    </w:p>
    <w:p w14:paraId="659FB73B" w14:textId="04A936BD" w:rsidR="004D5F5B" w:rsidRPr="004D5F5B" w:rsidRDefault="00F90EBD" w:rsidP="004D5F5B">
      <w:pPr>
        <w:ind w:firstLine="0"/>
        <w:jc w:val="left"/>
        <w:rPr>
          <w:b/>
          <w:u w:val="single"/>
        </w:rPr>
      </w:pPr>
      <w:r>
        <w:rPr>
          <w:b/>
          <w:u w:val="single"/>
        </w:rPr>
        <w:t>1.rekomendācija</w:t>
      </w:r>
    </w:p>
    <w:p w14:paraId="3B454393" w14:textId="77777777" w:rsidR="004D5F5B" w:rsidRDefault="004D5F5B" w:rsidP="004D5F5B">
      <w:pPr>
        <w:autoSpaceDE w:val="0"/>
        <w:autoSpaceDN w:val="0"/>
        <w:adjustRightInd w:val="0"/>
        <w:spacing w:after="0"/>
        <w:rPr>
          <w:rFonts w:ascii="TimesNewRoman" w:eastAsia="Calibri" w:hAnsi="TimesNewRoman" w:cs="TimesNewRoman"/>
          <w:szCs w:val="24"/>
          <w:u w:val="single"/>
          <w:lang w:eastAsia="lv-LV"/>
        </w:rPr>
      </w:pPr>
      <w:r w:rsidRPr="004D5F5B">
        <w:rPr>
          <w:rFonts w:ascii="TimesNewRoman" w:eastAsia="Calibri" w:hAnsi="TimesNewRoman" w:cs="TimesNewRoman"/>
          <w:szCs w:val="24"/>
          <w:u w:val="single"/>
          <w:lang w:eastAsia="lv-LV"/>
        </w:rPr>
        <w:t>Nodrošināt plānoto virzību, lai paredzētajā laikā novērstu pārmērīgu budžeta deficītu. Lai to panāktu, izpildīt 2012. gada budžetu, kā plānots, un nodrošināt fiskālo pasākumu ietekmi, kas norādīta Padomes ieteikumā saskaņā ar pārmērīga budžeta deficīta novēršanas procedūru. Pēc tam 2013. gadā un turpmāk īstenot budžeta stratēģiju, kuras pamatā ir pietiekami konkrēti strukturālie pasākumi, panākt pietiekamu virzību uz budžeta vidēja termiņa mērķa sasniegšanu un ievērot izdevumu kritēriju. Cikliskos ieņēmumus, kas lielāki par plānotajiem, izmantot valsts parāda samazināšanai.</w:t>
      </w:r>
    </w:p>
    <w:p w14:paraId="6B3E42E1" w14:textId="77777777" w:rsidR="004D5F5B" w:rsidRPr="004D5F5B" w:rsidRDefault="004D5F5B" w:rsidP="004D5F5B">
      <w:pPr>
        <w:autoSpaceDE w:val="0"/>
        <w:autoSpaceDN w:val="0"/>
        <w:adjustRightInd w:val="0"/>
        <w:spacing w:after="0"/>
        <w:ind w:firstLine="0"/>
        <w:rPr>
          <w:rFonts w:ascii="TimesNewRoman" w:eastAsia="Calibri" w:hAnsi="TimesNewRoman" w:cs="TimesNewRoman"/>
          <w:szCs w:val="24"/>
          <w:u w:val="single"/>
          <w:lang w:eastAsia="lv-LV"/>
        </w:rPr>
      </w:pPr>
    </w:p>
    <w:p w14:paraId="4E98A1D5" w14:textId="77777777" w:rsidR="001367D7" w:rsidRDefault="00335AF5" w:rsidP="001367D7">
      <w:r w:rsidRPr="002F77FD">
        <w:rPr>
          <w:b/>
        </w:rPr>
        <w:t xml:space="preserve">Latvija ir </w:t>
      </w:r>
      <w:r w:rsidR="00E84A4F" w:rsidRPr="002F77FD">
        <w:rPr>
          <w:b/>
        </w:rPr>
        <w:t>veikusi pietiekamus pasākumus, lai novērstu pārmērīgu budžeta deficītu</w:t>
      </w:r>
      <w:r w:rsidR="00E84A4F">
        <w:t xml:space="preserve"> </w:t>
      </w:r>
      <w:r w:rsidR="00E84A4F" w:rsidRPr="007B65DE">
        <w:rPr>
          <w:b/>
        </w:rPr>
        <w:t xml:space="preserve">- </w:t>
      </w:r>
      <w:r>
        <w:t xml:space="preserve"> </w:t>
      </w:r>
      <w:r w:rsidR="001329C2">
        <w:t>s</w:t>
      </w:r>
      <w:r w:rsidR="001367D7">
        <w:t xml:space="preserve">askaņā ar novērtējumu vispārējās valdības budžeta deficīts 2012.gadā Latvijā bija </w:t>
      </w:r>
      <w:r w:rsidR="00A817C0" w:rsidRPr="00A817C0">
        <w:t>1,2</w:t>
      </w:r>
      <w:r w:rsidR="001367D7" w:rsidRPr="00A817C0">
        <w:t>%</w:t>
      </w:r>
      <w:r w:rsidR="001367D7">
        <w:t xml:space="preserve"> apmērā </w:t>
      </w:r>
      <w:r w:rsidR="001367D7">
        <w:rPr>
          <w:iCs/>
        </w:rPr>
        <w:t xml:space="preserve">no IKP atbilstoši </w:t>
      </w:r>
      <w:r w:rsidR="00CC363A">
        <w:rPr>
          <w:iCs/>
        </w:rPr>
        <w:t>EKS</w:t>
      </w:r>
      <w:r w:rsidR="001367D7">
        <w:rPr>
          <w:iCs/>
        </w:rPr>
        <w:t xml:space="preserve">’95 metodoloģijai. Tas ir būtiski zem Māstrihtas budžeta deficīta kritērija, tādējādi Latvija izpilda </w:t>
      </w:r>
      <w:r w:rsidR="001367D7" w:rsidRPr="00453F11">
        <w:t>Stabilitātes un izaugsmes pakta</w:t>
      </w:r>
      <w:r w:rsidR="001367D7">
        <w:rPr>
          <w:iCs/>
        </w:rPr>
        <w:t xml:space="preserve"> un ES padomes 2009.gada 7.jūlija lēmuma nosacījumus </w:t>
      </w:r>
      <w:r w:rsidR="001367D7">
        <w:rPr>
          <w:color w:val="000000"/>
        </w:rPr>
        <w:t xml:space="preserve">pārmērīgas budžeta deficīta </w:t>
      </w:r>
      <w:r w:rsidR="001367D7">
        <w:rPr>
          <w:iCs/>
        </w:rPr>
        <w:t>novēršanas</w:t>
      </w:r>
      <w:r w:rsidR="001367D7">
        <w:rPr>
          <w:color w:val="000000"/>
        </w:rPr>
        <w:t xml:space="preserve"> procedūras izbeigšanai.</w:t>
      </w:r>
    </w:p>
    <w:p w14:paraId="50853807" w14:textId="14F7254C" w:rsidR="00B97CD4" w:rsidRDefault="00867CF6" w:rsidP="00B97CD4">
      <w:r>
        <w:rPr>
          <w:b/>
        </w:rPr>
        <w:t>2012.gadā Latvija sasniedza no</w:t>
      </w:r>
      <w:r w:rsidR="00805E6B">
        <w:rPr>
          <w:b/>
        </w:rPr>
        <w:t>teikto</w:t>
      </w:r>
      <w:r>
        <w:rPr>
          <w:b/>
        </w:rPr>
        <w:t xml:space="preserve"> vidēja termiņa budžeta mērķi </w:t>
      </w:r>
      <w:r w:rsidR="002C5A20">
        <w:rPr>
          <w:b/>
        </w:rPr>
        <w:t>–</w:t>
      </w:r>
      <w:r>
        <w:rPr>
          <w:b/>
        </w:rPr>
        <w:t xml:space="preserve"> </w:t>
      </w:r>
      <w:r w:rsidR="002C5A20">
        <w:rPr>
          <w:b/>
        </w:rPr>
        <w:t>0,</w:t>
      </w:r>
      <w:r>
        <w:rPr>
          <w:b/>
        </w:rPr>
        <w:t xml:space="preserve">5% no IKP. </w:t>
      </w:r>
      <w:r w:rsidRPr="00867CF6">
        <w:t>Turpmākos</w:t>
      </w:r>
      <w:r>
        <w:rPr>
          <w:b/>
        </w:rPr>
        <w:t xml:space="preserve"> </w:t>
      </w:r>
      <w:r>
        <w:t xml:space="preserve">gados </w:t>
      </w:r>
      <w:r w:rsidR="00004A73">
        <w:t>p</w:t>
      </w:r>
      <w:r w:rsidR="00B97CD4">
        <w:t>aredzama</w:t>
      </w:r>
      <w:r w:rsidR="00004A73">
        <w:t xml:space="preserve"> īstermiņa </w:t>
      </w:r>
      <w:r w:rsidR="00B97CD4">
        <w:t>nobīde</w:t>
      </w:r>
      <w:r w:rsidR="00004A73">
        <w:t xml:space="preserve"> no vidēja termiņa budžeta mērķa,</w:t>
      </w:r>
      <w:r w:rsidR="00B97CD4">
        <w:t xml:space="preserve"> </w:t>
      </w:r>
      <w:r w:rsidR="00480875">
        <w:t xml:space="preserve">ko, </w:t>
      </w:r>
      <w:r w:rsidR="00B97CD4">
        <w:t xml:space="preserve">galvenokārt, </w:t>
      </w:r>
      <w:r w:rsidR="00480875">
        <w:t>ietekmēs</w:t>
      </w:r>
      <w:r w:rsidR="00B97CD4">
        <w:t xml:space="preserve"> pakāpenisk</w:t>
      </w:r>
      <w:r w:rsidR="00480875">
        <w:t>ās</w:t>
      </w:r>
      <w:r w:rsidR="00B97CD4">
        <w:t xml:space="preserve"> obligāto iemaksu likmes palielināšan</w:t>
      </w:r>
      <w:r w:rsidR="00480875">
        <w:t>a</w:t>
      </w:r>
      <w:r w:rsidR="00B97CD4">
        <w:t xml:space="preserve"> valsts fondēto pensiju shēmā līdz 6</w:t>
      </w:r>
      <w:r w:rsidR="00B97CD4" w:rsidRPr="005723C3">
        <w:t xml:space="preserve">%, </w:t>
      </w:r>
      <w:r w:rsidR="003F7493" w:rsidRPr="005723C3">
        <w:t>kopumā</w:t>
      </w:r>
      <w:r w:rsidR="00E948E8" w:rsidRPr="005723C3">
        <w:t xml:space="preserve"> nodrošinot atgriešanos p</w:t>
      </w:r>
      <w:r w:rsidR="00B97CD4" w:rsidRPr="005723C3">
        <w:t xml:space="preserve">ie vidēja termiņa budžeta mērķa </w:t>
      </w:r>
      <w:r w:rsidR="001329C2" w:rsidRPr="005723C3">
        <w:t xml:space="preserve">saskaņā ar </w:t>
      </w:r>
      <w:r w:rsidR="001329C2" w:rsidRPr="00453F11">
        <w:t>Stabilitātes un izaugsmes pakta</w:t>
      </w:r>
      <w:r w:rsidR="001329C2" w:rsidRPr="00505F15">
        <w:t xml:space="preserve"> nosacījumiem</w:t>
      </w:r>
      <w:r w:rsidR="00B97CD4" w:rsidRPr="005723C3">
        <w:t>.</w:t>
      </w:r>
      <w:r w:rsidR="001329C2">
        <w:t xml:space="preserve"> </w:t>
      </w:r>
    </w:p>
    <w:p w14:paraId="21C3419B" w14:textId="4A44B5AB" w:rsidR="001367D7" w:rsidRPr="007772AE" w:rsidRDefault="00707106" w:rsidP="007772AE">
      <w:pPr>
        <w:rPr>
          <w:color w:val="000000"/>
        </w:rPr>
      </w:pPr>
      <w:r>
        <w:t>F</w:t>
      </w:r>
      <w:r w:rsidR="005F0CAC">
        <w:t>iskālās politikas princip</w:t>
      </w:r>
      <w:r>
        <w:t>i</w:t>
      </w:r>
      <w:r w:rsidR="005F0CAC">
        <w:t xml:space="preserve"> un nosacījum</w:t>
      </w:r>
      <w:r>
        <w:t>i</w:t>
      </w:r>
      <w:r w:rsidR="005F0CAC">
        <w:t>, kas</w:t>
      </w:r>
      <w:r w:rsidR="005F0CAC">
        <w:rPr>
          <w:color w:val="000000"/>
        </w:rPr>
        <w:t xml:space="preserve"> </w:t>
      </w:r>
      <w:r w:rsidR="003F7493">
        <w:rPr>
          <w:color w:val="000000"/>
        </w:rPr>
        <w:t>nodrošin</w:t>
      </w:r>
      <w:r w:rsidR="005F0CAC">
        <w:rPr>
          <w:color w:val="000000"/>
        </w:rPr>
        <w:t>a</w:t>
      </w:r>
      <w:r w:rsidR="003F7493">
        <w:rPr>
          <w:color w:val="000000"/>
        </w:rPr>
        <w:t xml:space="preserve"> </w:t>
      </w:r>
      <w:r w:rsidR="001367D7">
        <w:rPr>
          <w:color w:val="000000"/>
        </w:rPr>
        <w:t>ekonomiskā ciklā sabalansētu budžetu (vispārējās valdības budžeta bilance nedrīks</w:t>
      </w:r>
      <w:r>
        <w:rPr>
          <w:color w:val="000000"/>
        </w:rPr>
        <w:t xml:space="preserve">t būt mazāka par -0.5% no IKP) ir noteikti </w:t>
      </w:r>
      <w:r w:rsidR="00EB7761">
        <w:rPr>
          <w:color w:val="000000"/>
        </w:rPr>
        <w:t>FDL</w:t>
      </w:r>
      <w:r w:rsidRPr="00EB7761">
        <w:rPr>
          <w:color w:val="000000"/>
        </w:rPr>
        <w:t>.</w:t>
      </w:r>
      <w:r>
        <w:rPr>
          <w:i/>
          <w:color w:val="000000"/>
        </w:rPr>
        <w:t xml:space="preserve"> </w:t>
      </w:r>
      <w:r w:rsidR="005F0CAC" w:rsidRPr="00505F15">
        <w:rPr>
          <w:szCs w:val="24"/>
        </w:rPr>
        <w:t xml:space="preserve">Šajā likumā ir </w:t>
      </w:r>
      <w:r w:rsidR="005F0CAC" w:rsidRPr="00505F15">
        <w:rPr>
          <w:szCs w:val="24"/>
          <w:lang w:eastAsia="lv-LV"/>
        </w:rPr>
        <w:t xml:space="preserve">iestrādāti arī jaunie ES fiskālās disciplīnas nosacījumi, kas ir ietverti </w:t>
      </w:r>
      <w:r w:rsidR="00453F11">
        <w:t>Fiskālajā līgumā</w:t>
      </w:r>
      <w:r w:rsidR="001C47DC" w:rsidRPr="00505F15">
        <w:rPr>
          <w:szCs w:val="24"/>
        </w:rPr>
        <w:t xml:space="preserve">, </w:t>
      </w:r>
      <w:r w:rsidR="006D000E" w:rsidRPr="00505F15">
        <w:rPr>
          <w:szCs w:val="24"/>
        </w:rPr>
        <w:t>kā arī</w:t>
      </w:r>
      <w:r w:rsidR="006D000E">
        <w:rPr>
          <w:szCs w:val="24"/>
        </w:rPr>
        <w:t xml:space="preserve"> tas atbilst Stabilitātes un izaugsmes pakta nosacījumiem</w:t>
      </w:r>
      <w:r w:rsidR="007772AE">
        <w:rPr>
          <w:szCs w:val="24"/>
        </w:rPr>
        <w:t xml:space="preserve"> (bilances nosacījuma, izdevumu pieauguma nosacījuma, parāda nosacījuma ievērošana u.c.</w:t>
      </w:r>
      <w:r w:rsidR="003F1283">
        <w:rPr>
          <w:szCs w:val="24"/>
        </w:rPr>
        <w:t xml:space="preserve"> prasības</w:t>
      </w:r>
      <w:r w:rsidR="007772AE">
        <w:rPr>
          <w:szCs w:val="24"/>
        </w:rPr>
        <w:t>)</w:t>
      </w:r>
      <w:r w:rsidR="006D000E">
        <w:rPr>
          <w:szCs w:val="24"/>
        </w:rPr>
        <w:t>.</w:t>
      </w:r>
    </w:p>
    <w:p w14:paraId="5AB8A1B6" w14:textId="77777777" w:rsidR="0012103D" w:rsidRDefault="0012103D" w:rsidP="0012103D">
      <w:pPr>
        <w:spacing w:before="120"/>
      </w:pPr>
      <w:r w:rsidRPr="0094753B">
        <w:rPr>
          <w:b/>
        </w:rPr>
        <w:t xml:space="preserve">Latvijas fiskālā politika balstās uzskatā, ka ilgtspējīgas ekonomiskās izaugsmes nosacījums ir </w:t>
      </w:r>
      <w:proofErr w:type="spellStart"/>
      <w:r w:rsidRPr="0094753B">
        <w:rPr>
          <w:b/>
        </w:rPr>
        <w:t>pretcikliskas</w:t>
      </w:r>
      <w:proofErr w:type="spellEnd"/>
      <w:r w:rsidRPr="0094753B">
        <w:rPr>
          <w:b/>
        </w:rPr>
        <w:t xml:space="preserve"> fiskālās politikas īstenošana</w:t>
      </w:r>
      <w:r>
        <w:t xml:space="preserve"> – periodā, kad IKP pārsniedz </w:t>
      </w:r>
      <w:r>
        <w:lastRenderedPageBreak/>
        <w:t>potenciālo līmeni, ir jāveic ierobežojoša fiskālā politika, bet periodā, kad valsts IKP ir zemāks par potenciālo līmeni – ir jāveic stimulējoša ekonomiskā politika.</w:t>
      </w:r>
    </w:p>
    <w:p w14:paraId="7820AB1D" w14:textId="77777777" w:rsidR="0012103D" w:rsidRPr="00DF7F7F" w:rsidRDefault="0012103D" w:rsidP="0012103D">
      <w:r>
        <w:t>Saskaņā ar 2012.gada vasaras makroekonomiskajām prognozēm Latvijas IKP 2012.gadā atradās zem sava potenciālā līmeņa</w:t>
      </w:r>
      <w:r w:rsidRPr="00DF7F7F">
        <w:t>. Jaunāk</w:t>
      </w:r>
      <w:r>
        <w:t>ās 2013.</w:t>
      </w:r>
      <w:r w:rsidRPr="00DF7F7F">
        <w:t>gada februāra prognozes liecina, ka līdz šim negatīvā i</w:t>
      </w:r>
      <w:r>
        <w:t>zlaižu starpība noslēdzas 2013.</w:t>
      </w:r>
      <w:r w:rsidRPr="00DF7F7F">
        <w:t>gadā un turpmākajos gados izlaižu starpība ir gaidāma neitrāla t.i. faktiski rodas ne</w:t>
      </w:r>
      <w:r>
        <w:t>liela pozitīva izlaižu starpība. T</w:t>
      </w:r>
      <w:r w:rsidRPr="00DF7F7F">
        <w:t xml:space="preserve">omēr, ņemot vērā vēsturisko indikatora svārstību, nobīde no nulles vērtības nav statistiski nozīmīga. Svarīgi ir atzīmēt, ka, lai gan izlaižu starpība ir noslēgusies, turpmāko gadu fiskālā politika </w:t>
      </w:r>
      <w:r w:rsidRPr="00453F11">
        <w:t>būs ar stimulējošu ievirzi</w:t>
      </w:r>
      <w:r w:rsidRPr="00DF7F7F">
        <w:t xml:space="preserve"> </w:t>
      </w:r>
      <w:r>
        <w:t>–</w:t>
      </w:r>
      <w:r w:rsidRPr="00DF7F7F">
        <w:t xml:space="preserve"> specifiski mērķēta uz ekonomikas potenciālās izaugsmes ilgtermiņā nodrošināšanu. </w:t>
      </w:r>
      <w:r>
        <w:t>A</w:t>
      </w:r>
      <w:r w:rsidRPr="00DF7F7F">
        <w:t xml:space="preserve">prēķini par potenciālo IKP jau vidējā termiņā norāda uz nepieciešamību pievērst pastiprinātu uzmanību situācijai darba tirgū, ieviešot pasākumus, kas veicinās efektīvāku iekļaušanu darba tirgū, ceļot darbaspējas vecuma iedzīvotāju aktivitāti un sabalansējot darba tirgus pieprasījumu ar piedāvājumu. </w:t>
      </w:r>
    </w:p>
    <w:p w14:paraId="18517C3C" w14:textId="77777777" w:rsidR="0012103D" w:rsidRDefault="0012103D" w:rsidP="0012103D">
      <w:r w:rsidRPr="00DF7F7F">
        <w:t xml:space="preserve">Tāpat būtisks pamatojums stimulējošas fiskālās politikas pielietošanai ir valsts atrašanās </w:t>
      </w:r>
      <w:proofErr w:type="spellStart"/>
      <w:r w:rsidRPr="00DF7F7F">
        <w:t>pēckrīzes</w:t>
      </w:r>
      <w:proofErr w:type="spellEnd"/>
      <w:r w:rsidRPr="00DF7F7F">
        <w:t xml:space="preserve"> periodā, kas </w:t>
      </w:r>
      <w:r>
        <w:t>noteica nepieciešamību gan 2012.gadā, gan tuvākajos gados fiskālajā politikā ietvert kompensējošus pasākumus, kas mazinātu krīzes laika negatīvo ietekmi, dodot iespēju pašlaik finansēt visvairāk nepieciešamos pasākumus, kuru atlikšana nav iespējama, vai arī ilgtermiņā izmaksās dārgāk. Tādēļ tika nolemts 2012.gadā veikt budžeta grozījumus, nedaudz palielinot finansējumu jomās, kurās tas bija visnepieciešamākais. Tomēr, vienlaikus, tika saglabāta fiskālā disciplīna un 2012.gada vispārējās valdības budžeta deficīta mērķis, ieskaitot 2012.gada budžeta grozījumus, tika noteikts 1,9% apmērā no IKP (zemāk nekā sākotnējais 2012.gada vispārējās valdības budžeta deficīta mērķis – 2,1% no IKP).</w:t>
      </w:r>
      <w:r w:rsidR="00CF47BB">
        <w:t xml:space="preserve"> Faktiskais</w:t>
      </w:r>
      <w:r w:rsidR="00CF47BB" w:rsidRPr="00941C3D">
        <w:t xml:space="preserve"> </w:t>
      </w:r>
      <w:r w:rsidR="00CF47BB">
        <w:t xml:space="preserve">vispārējās valdības budžeta deficīts 2012.gadā ir 1,2% no IKP. </w:t>
      </w:r>
      <w:r>
        <w:t>Tas nozīmē, ka tikai daļa no fiskālās telpas tika izmantota izdevumu palielināšanai, savukārt pārējie līdzekļi tika novirzīti budžeta deficīta un valsts parāda samazināšanai.</w:t>
      </w:r>
    </w:p>
    <w:p w14:paraId="0917D7A7" w14:textId="77777777" w:rsidR="001367D7" w:rsidRPr="009B7B0D" w:rsidRDefault="001367D7" w:rsidP="001367D7">
      <w:r>
        <w:rPr>
          <w:color w:val="000000" w:themeColor="text1"/>
        </w:rPr>
        <w:t>2012.</w:t>
      </w:r>
      <w:r>
        <w:rPr>
          <w:color w:val="000000" w:themeColor="text1"/>
          <w:szCs w:val="18"/>
          <w:lang w:eastAsia="lv-LV"/>
        </w:rPr>
        <w:t xml:space="preserve">gadā, nodrošinot vispārējās valdības budžeta deficītu zem </w:t>
      </w:r>
      <w:r>
        <w:rPr>
          <w:iCs/>
        </w:rPr>
        <w:t xml:space="preserve">Māstrihtas budžeta deficīta kritērija, kā arī turpmākos gados </w:t>
      </w:r>
      <w:r w:rsidR="00CF47BB">
        <w:rPr>
          <w:iCs/>
        </w:rPr>
        <w:t>nodrošinot fiskālās attīstības scenārijā noteiktos strukturālā deficīta mērķus</w:t>
      </w:r>
      <w:r>
        <w:rPr>
          <w:color w:val="000000" w:themeColor="text1"/>
          <w:szCs w:val="18"/>
          <w:lang w:eastAsia="lv-LV"/>
        </w:rPr>
        <w:t xml:space="preserve">, tiek pildītas arī </w:t>
      </w:r>
      <w:r w:rsidRPr="00453F11">
        <w:rPr>
          <w:color w:val="000000" w:themeColor="text1"/>
        </w:rPr>
        <w:t>Eiro Plus paktā</w:t>
      </w:r>
      <w:r>
        <w:rPr>
          <w:color w:val="000000" w:themeColor="text1"/>
          <w:szCs w:val="18"/>
          <w:lang w:eastAsia="lv-LV"/>
        </w:rPr>
        <w:t xml:space="preserve"> esošās saistības valsts finanšu ilgtspējas nodrošināšanai (Latvijas </w:t>
      </w:r>
      <w:r w:rsidRPr="00453F11">
        <w:rPr>
          <w:color w:val="000000" w:themeColor="text1"/>
        </w:rPr>
        <w:t>Eiro Plus pakta</w:t>
      </w:r>
      <w:r>
        <w:rPr>
          <w:color w:val="000000" w:themeColor="text1"/>
          <w:szCs w:val="18"/>
          <w:lang w:eastAsia="lv-LV"/>
        </w:rPr>
        <w:t xml:space="preserve"> 3.1. pasākums).</w:t>
      </w:r>
    </w:p>
    <w:p w14:paraId="72B8CA93" w14:textId="77777777" w:rsidR="00F37E17" w:rsidRDefault="00F37E17" w:rsidP="002D62B9">
      <w:pPr>
        <w:rPr>
          <w:b/>
          <w:szCs w:val="24"/>
        </w:rPr>
      </w:pPr>
    </w:p>
    <w:p w14:paraId="36407059" w14:textId="6D325FEE" w:rsidR="007F0410" w:rsidRPr="00775DB3" w:rsidRDefault="00F90EBD" w:rsidP="00775DB3">
      <w:pPr>
        <w:ind w:firstLine="0"/>
        <w:rPr>
          <w:b/>
          <w:szCs w:val="24"/>
          <w:u w:val="single"/>
        </w:rPr>
      </w:pPr>
      <w:r>
        <w:rPr>
          <w:b/>
          <w:szCs w:val="24"/>
          <w:u w:val="single"/>
        </w:rPr>
        <w:t>2.rekomendācija</w:t>
      </w:r>
    </w:p>
    <w:p w14:paraId="6122E56A" w14:textId="77777777" w:rsidR="00775DB3" w:rsidRPr="00775DB3" w:rsidRDefault="00775DB3" w:rsidP="00775DB3">
      <w:pPr>
        <w:autoSpaceDE w:val="0"/>
        <w:autoSpaceDN w:val="0"/>
        <w:adjustRightInd w:val="0"/>
        <w:spacing w:after="0"/>
        <w:rPr>
          <w:rFonts w:ascii="TimesNewRoman" w:eastAsia="Calibri" w:hAnsi="TimesNewRoman" w:cs="TimesNewRoman"/>
          <w:szCs w:val="24"/>
          <w:u w:val="single"/>
          <w:lang w:eastAsia="lv-LV"/>
        </w:rPr>
      </w:pPr>
      <w:r w:rsidRPr="00775DB3">
        <w:rPr>
          <w:rFonts w:ascii="TimesNewRoman" w:eastAsia="Calibri" w:hAnsi="TimesNewRoman" w:cs="TimesNewRoman"/>
          <w:szCs w:val="24"/>
          <w:u w:val="single"/>
          <w:lang w:eastAsia="lv-LV"/>
        </w:rPr>
        <w:t xml:space="preserve">Īstenot pasākumus nodokļu sloga novirzīšanai no darbaspēka uz patēriņu, īpašumiem un dabas un citu resursu izmantojumu, līdztekus uzlabojot strukturālo bilanci. Nodrošināt Fiskālās disciplīnas likuma pieņemšanu un izstrādāt vidēja termiņa budžeta satvara likumu, kas sekmētu valsts finanšu </w:t>
      </w:r>
      <w:proofErr w:type="spellStart"/>
      <w:r w:rsidRPr="00775DB3">
        <w:rPr>
          <w:rFonts w:ascii="TimesNewRoman" w:eastAsia="Calibri" w:hAnsi="TimesNewRoman" w:cs="TimesNewRoman"/>
          <w:szCs w:val="24"/>
          <w:u w:val="single"/>
          <w:lang w:eastAsia="lv-LV"/>
        </w:rPr>
        <w:t>ilgstpēju</w:t>
      </w:r>
      <w:proofErr w:type="spellEnd"/>
      <w:r w:rsidRPr="00775DB3">
        <w:rPr>
          <w:rFonts w:ascii="TimesNewRoman" w:eastAsia="Calibri" w:hAnsi="TimesNewRoman" w:cs="TimesNewRoman"/>
          <w:szCs w:val="24"/>
          <w:u w:val="single"/>
          <w:lang w:eastAsia="lv-LV"/>
        </w:rPr>
        <w:t xml:space="preserve"> ilgtermiņā. Privāto obligāto fondēto pensiju shēmā no 2013. gada atgriezties pie iemaksām 6 % apmērā no bruto algas.</w:t>
      </w:r>
    </w:p>
    <w:p w14:paraId="12C8009B" w14:textId="77777777" w:rsidR="00775DB3" w:rsidRDefault="00775DB3" w:rsidP="002D62B9">
      <w:pPr>
        <w:rPr>
          <w:i/>
          <w:szCs w:val="24"/>
        </w:rPr>
      </w:pPr>
    </w:p>
    <w:p w14:paraId="1DCBFFC5" w14:textId="77777777" w:rsidR="00045692" w:rsidRDefault="00045692" w:rsidP="00045692">
      <w:pPr>
        <w:rPr>
          <w:iCs/>
        </w:rPr>
      </w:pPr>
      <w:r w:rsidRPr="002F77FD">
        <w:rPr>
          <w:b/>
          <w:iCs/>
        </w:rPr>
        <w:t>Nodokļu slogs tiek pārnests no darbaspēka uz patēriņu</w:t>
      </w:r>
      <w:r>
        <w:rPr>
          <w:iCs/>
        </w:rPr>
        <w:t xml:space="preserve"> – </w:t>
      </w:r>
      <w:r w:rsidRPr="001F61D8">
        <w:t>darba nodokļu īpatsvara kopējos nodokļu ieņēmumos</w:t>
      </w:r>
      <w:r>
        <w:t xml:space="preserve"> samazinājās </w:t>
      </w:r>
      <w:r w:rsidRPr="001F61D8">
        <w:t>no 52,</w:t>
      </w:r>
      <w:r>
        <w:t>5</w:t>
      </w:r>
      <w:r w:rsidRPr="001F61D8">
        <w:t> % 20</w:t>
      </w:r>
      <w:r>
        <w:t>10</w:t>
      </w:r>
      <w:r w:rsidRPr="001F61D8">
        <w:t xml:space="preserve">. gadā līdz </w:t>
      </w:r>
      <w:r>
        <w:t>49,9</w:t>
      </w:r>
      <w:r w:rsidRPr="001F61D8">
        <w:t> % 201</w:t>
      </w:r>
      <w:r>
        <w:t>2</w:t>
      </w:r>
      <w:r w:rsidRPr="001F61D8">
        <w:t>. gadā</w:t>
      </w:r>
      <w:r>
        <w:t>, līdz ar to</w:t>
      </w:r>
      <w:r w:rsidRPr="001F61D8">
        <w:t xml:space="preserve"> patēriņa</w:t>
      </w:r>
      <w:r>
        <w:t>, kapitāla</w:t>
      </w:r>
      <w:r w:rsidRPr="001F61D8">
        <w:t xml:space="preserve"> nodokļu ieņēmumu īpatsvar</w:t>
      </w:r>
      <w:r>
        <w:t>s</w:t>
      </w:r>
      <w:r w:rsidRPr="002E01AF">
        <w:t xml:space="preserve"> </w:t>
      </w:r>
      <w:r w:rsidRPr="001F61D8">
        <w:t xml:space="preserve">kopējos nodokļu ieņēmumos </w:t>
      </w:r>
      <w:r>
        <w:t xml:space="preserve">pakāpeniski </w:t>
      </w:r>
      <w:r w:rsidRPr="001F61D8">
        <w:t>palielinā</w:t>
      </w:r>
      <w:r>
        <w:t>jās</w:t>
      </w:r>
      <w:r w:rsidRPr="001F61D8">
        <w:t xml:space="preserve"> no </w:t>
      </w:r>
      <w:r>
        <w:t>47</w:t>
      </w:r>
      <w:r w:rsidRPr="001F61D8">
        <w:t>,</w:t>
      </w:r>
      <w:r>
        <w:t>5</w:t>
      </w:r>
      <w:r w:rsidRPr="001F61D8">
        <w:t> % 20</w:t>
      </w:r>
      <w:r>
        <w:t>10</w:t>
      </w:r>
      <w:r w:rsidRPr="001F61D8">
        <w:t xml:space="preserve">. gadā līdz </w:t>
      </w:r>
      <w:r>
        <w:t>50,1</w:t>
      </w:r>
      <w:r w:rsidRPr="001F61D8">
        <w:t> % 201</w:t>
      </w:r>
      <w:r>
        <w:t>2</w:t>
      </w:r>
      <w:r w:rsidRPr="001F61D8">
        <w:t>. gadā.</w:t>
      </w:r>
    </w:p>
    <w:p w14:paraId="361FEAA7" w14:textId="77777777" w:rsidR="00AE5D86" w:rsidRDefault="00AE5D86" w:rsidP="006F6F42">
      <w:pPr>
        <w:rPr>
          <w:lang w:eastAsia="lv-LV"/>
        </w:rPr>
      </w:pPr>
      <w:r>
        <w:rPr>
          <w:lang w:eastAsia="lv-LV"/>
        </w:rPr>
        <w:t xml:space="preserve">Saeima 2012. gada 24.maijā pieņēma grozījumus likumā </w:t>
      </w:r>
      <w:r>
        <w:rPr>
          <w:i/>
          <w:lang w:eastAsia="lv-LV"/>
        </w:rPr>
        <w:t>„</w:t>
      </w:r>
      <w:r w:rsidRPr="00453F11">
        <w:t>Par iedzīvotāju ienākuma nodokli”</w:t>
      </w:r>
      <w:r>
        <w:rPr>
          <w:lang w:eastAsia="lv-LV"/>
        </w:rPr>
        <w:t xml:space="preserve">, kas paredz, ka trīs gadu laikā iedzīvotāju ienākumu nodokļa likme tiks samazināta par 5 procentpunktiem – no pašreizējiem 25% līdz 20%. Paredzēts, ka no 1.janvāra 2013. gadā iedzīvotāju ienākumu nodokļa likme ir 24%, 2014. gadā – 22%, bet 2015. gadā – 20%. 2012. gada </w:t>
      </w:r>
      <w:r>
        <w:t xml:space="preserve">6.novembrī MK ir pieņēmis </w:t>
      </w:r>
      <w:r w:rsidRPr="00453F11">
        <w:t>„Noteikumus par mēneša neapliekamā minimuma un nodokļa atvieglojuma apmēru iedzīvotāju ienākuma nodokļa aprēķināšanai”</w:t>
      </w:r>
      <w:r w:rsidRPr="00EB7761">
        <w:t>,</w:t>
      </w:r>
      <w:r>
        <w:t xml:space="preserve"> </w:t>
      </w:r>
      <w:r>
        <w:lastRenderedPageBreak/>
        <w:t xml:space="preserve">kuros paredzēts, ka ar 2013.gada 1.jūliju </w:t>
      </w:r>
      <w:r>
        <w:rPr>
          <w:lang w:eastAsia="lv-LV"/>
        </w:rPr>
        <w:t>iedzīvotāju ienākuma nodokļa atvieglojuma par apgādībā esošu personu apmērs ir 80 lati mēnesī.</w:t>
      </w:r>
    </w:p>
    <w:p w14:paraId="0179EA74" w14:textId="77777777" w:rsidR="00B3280C" w:rsidRPr="00B3280C" w:rsidRDefault="00B3280C" w:rsidP="00B3280C">
      <w:pPr>
        <w:rPr>
          <w:rFonts w:eastAsia="+mn-ea"/>
        </w:rPr>
      </w:pPr>
      <w:r>
        <w:rPr>
          <w:color w:val="000000"/>
        </w:rPr>
        <w:t xml:space="preserve">Izstrādājot 2014.gada </w:t>
      </w:r>
      <w:r>
        <w:t>budžeta projektu un ņemot vērā valsts budžeta fiskālās iespējas, ir paredzamas diskusijas par minimālās algas, strādājošo neapliekamā minimuma un atvieglojuma par apgādībā esošām personām paaugstināšanu.</w:t>
      </w:r>
    </w:p>
    <w:p w14:paraId="3D241931" w14:textId="4516259F" w:rsidR="000D6DBE" w:rsidRDefault="00A11559" w:rsidP="005F6867">
      <w:pPr>
        <w:spacing w:before="120"/>
      </w:pPr>
      <w:r>
        <w:rPr>
          <w:b/>
          <w:color w:val="000000"/>
        </w:rPr>
        <w:t>FDL</w:t>
      </w:r>
      <w:r w:rsidR="000D6DBE" w:rsidRPr="002F77FD">
        <w:rPr>
          <w:b/>
          <w:color w:val="000000"/>
        </w:rPr>
        <w:t xml:space="preserve"> </w:t>
      </w:r>
      <w:r w:rsidR="000D6DBE" w:rsidRPr="002F77FD">
        <w:rPr>
          <w:b/>
          <w:iCs/>
        </w:rPr>
        <w:t xml:space="preserve">ir </w:t>
      </w:r>
      <w:r w:rsidR="006F6F42" w:rsidRPr="002F77FD">
        <w:rPr>
          <w:b/>
          <w:iCs/>
        </w:rPr>
        <w:t>pieņemts un vidēja termiņa budžeta plānošana ir ieviesta</w:t>
      </w:r>
      <w:r w:rsidR="006F6F42">
        <w:rPr>
          <w:iCs/>
        </w:rPr>
        <w:t xml:space="preserve"> – FDL stājās spēkā</w:t>
      </w:r>
      <w:r w:rsidR="000D6DBE">
        <w:rPr>
          <w:iCs/>
        </w:rPr>
        <w:t xml:space="preserve"> 2013.gada 6.martā</w:t>
      </w:r>
      <w:r w:rsidR="006F6F42">
        <w:rPr>
          <w:iCs/>
        </w:rPr>
        <w:t>, tā</w:t>
      </w:r>
      <w:r w:rsidR="000D6DBE">
        <w:rPr>
          <w:iCs/>
          <w:color w:val="000000" w:themeColor="text1"/>
          <w:szCs w:val="18"/>
          <w:lang w:eastAsia="lv-LV"/>
        </w:rPr>
        <w:t xml:space="preserve"> pamatideja ir nodrošināt ekonomiskā ciklā sabalansētu budžetu, tādā izpratnē, kā to nosaka ratificētais </w:t>
      </w:r>
      <w:r w:rsidR="00453F11">
        <w:rPr>
          <w:color w:val="000000" w:themeColor="text1"/>
        </w:rPr>
        <w:t>Fiskālais līgums</w:t>
      </w:r>
      <w:r w:rsidR="000D6DBE" w:rsidRPr="00453F11">
        <w:rPr>
          <w:color w:val="000000" w:themeColor="text1"/>
        </w:rPr>
        <w:t>.</w:t>
      </w:r>
      <w:r w:rsidR="000D6DBE">
        <w:rPr>
          <w:i/>
          <w:iCs/>
          <w:color w:val="000000" w:themeColor="text1"/>
          <w:szCs w:val="18"/>
          <w:lang w:eastAsia="lv-LV"/>
        </w:rPr>
        <w:t xml:space="preserve"> </w:t>
      </w:r>
      <w:r w:rsidR="000D6DBE">
        <w:rPr>
          <w:iCs/>
          <w:color w:val="000000" w:themeColor="text1"/>
          <w:szCs w:val="18"/>
          <w:lang w:eastAsia="lv-LV"/>
        </w:rPr>
        <w:t>Tas nozīmē – strukturālais deficīts nedrīkst būt lielāks par 0,5% no IKP un izdevumi nedrīkst augt ātrāk nekā desmit gadu vidējais potenciālā IKP pieaugums.</w:t>
      </w:r>
      <w:r w:rsidR="000D6DBE">
        <w:rPr>
          <w:color w:val="000000" w:themeColor="text1"/>
          <w:szCs w:val="18"/>
          <w:lang w:eastAsia="lv-LV"/>
        </w:rPr>
        <w:t xml:space="preserve"> Kā galvenais instruments fiskālās disciplīnas ievērošanā ir paredzēts </w:t>
      </w:r>
      <w:r w:rsidR="00EB7761">
        <w:rPr>
          <w:color w:val="000000" w:themeColor="text1"/>
          <w:szCs w:val="18"/>
          <w:lang w:eastAsia="lv-LV"/>
        </w:rPr>
        <w:t>Ietvara likums</w:t>
      </w:r>
      <w:r w:rsidR="000D6DBE" w:rsidRPr="00EB7761">
        <w:rPr>
          <w:color w:val="000000" w:themeColor="text1"/>
          <w:szCs w:val="18"/>
          <w:lang w:eastAsia="lv-LV"/>
        </w:rPr>
        <w:t xml:space="preserve">, </w:t>
      </w:r>
      <w:r w:rsidR="000D6DBE">
        <w:rPr>
          <w:color w:val="000000" w:themeColor="text1"/>
          <w:szCs w:val="18"/>
          <w:lang w:eastAsia="lv-LV"/>
        </w:rPr>
        <w:t>ko ikgadēji sagatavo turpmāko trīs gadu periodam.</w:t>
      </w:r>
    </w:p>
    <w:p w14:paraId="2CE7375B" w14:textId="77777777" w:rsidR="000D6DBE" w:rsidRPr="005F6867" w:rsidRDefault="000D6DBE" w:rsidP="005F6867">
      <w:pPr>
        <w:pStyle w:val="ListParagraph"/>
        <w:spacing w:after="120" w:line="240" w:lineRule="auto"/>
        <w:ind w:left="0" w:firstLine="567"/>
        <w:jc w:val="both"/>
        <w:rPr>
          <w:rFonts w:ascii="Times New Roman" w:hAnsi="Times New Roman"/>
          <w:color w:val="000000" w:themeColor="text1"/>
          <w:sz w:val="24"/>
          <w:szCs w:val="24"/>
          <w:lang w:eastAsia="lv-LV"/>
        </w:rPr>
      </w:pPr>
      <w:r w:rsidRPr="005F6867">
        <w:rPr>
          <w:rFonts w:ascii="Times New Roman" w:hAnsi="Times New Roman"/>
          <w:sz w:val="24"/>
          <w:szCs w:val="24"/>
        </w:rPr>
        <w:t xml:space="preserve">2012.gadā pirmo reizi tika izstrādāts likums </w:t>
      </w:r>
      <w:r w:rsidRPr="00453F11">
        <w:rPr>
          <w:rFonts w:ascii="Times New Roman" w:hAnsi="Times New Roman"/>
          <w:sz w:val="24"/>
        </w:rPr>
        <w:t>„Par vidēja termiņa budžeta ietvaru 2013., 2014. un 2015.gadam”</w:t>
      </w:r>
      <w:r w:rsidRPr="00EB7761">
        <w:rPr>
          <w:rFonts w:ascii="Times New Roman" w:hAnsi="Times New Roman"/>
          <w:sz w:val="24"/>
          <w:szCs w:val="24"/>
        </w:rPr>
        <w:t xml:space="preserve">, </w:t>
      </w:r>
      <w:r w:rsidRPr="005F6867">
        <w:rPr>
          <w:rFonts w:ascii="Times New Roman" w:hAnsi="Times New Roman"/>
          <w:sz w:val="24"/>
          <w:szCs w:val="24"/>
        </w:rPr>
        <w:t xml:space="preserve">kurš tika apstiprināts Saeimā 2012.gada 15.novembrī. </w:t>
      </w:r>
      <w:r w:rsidRPr="00453F11">
        <w:rPr>
          <w:rFonts w:ascii="Times New Roman" w:hAnsi="Times New Roman"/>
          <w:color w:val="000000"/>
          <w:sz w:val="24"/>
        </w:rPr>
        <w:t>Vidēja termiņa budžeta ietvara likums 2014.-2016.gadam</w:t>
      </w:r>
      <w:r w:rsidRPr="00EB7761">
        <w:rPr>
          <w:rFonts w:ascii="Times New Roman" w:hAnsi="Times New Roman"/>
          <w:color w:val="000000"/>
          <w:sz w:val="24"/>
          <w:szCs w:val="24"/>
        </w:rPr>
        <w:t xml:space="preserve"> tiks izstrādāts 2013.gada rudenī, vienlaikus ar likumprojekta </w:t>
      </w:r>
      <w:r w:rsidRPr="00453F11">
        <w:rPr>
          <w:rFonts w:ascii="Times New Roman" w:hAnsi="Times New Roman"/>
          <w:color w:val="000000"/>
          <w:sz w:val="24"/>
        </w:rPr>
        <w:t>„</w:t>
      </w:r>
      <w:r w:rsidRPr="00453F11">
        <w:rPr>
          <w:rFonts w:ascii="Times New Roman" w:hAnsi="Times New Roman"/>
          <w:sz w:val="24"/>
        </w:rPr>
        <w:t>Par valsts budžetu 2014.gadam”</w:t>
      </w:r>
      <w:r w:rsidRPr="00EB7761">
        <w:rPr>
          <w:rFonts w:ascii="Times New Roman" w:hAnsi="Times New Roman"/>
          <w:color w:val="000000"/>
          <w:sz w:val="24"/>
          <w:szCs w:val="24"/>
        </w:rPr>
        <w:t xml:space="preserve"> izstrādi</w:t>
      </w:r>
      <w:r w:rsidRPr="005F6867">
        <w:rPr>
          <w:rFonts w:ascii="Times New Roman" w:hAnsi="Times New Roman"/>
          <w:color w:val="000000"/>
          <w:sz w:val="24"/>
          <w:szCs w:val="24"/>
        </w:rPr>
        <w:t xml:space="preserve">. </w:t>
      </w:r>
    </w:p>
    <w:p w14:paraId="3D437919" w14:textId="77777777" w:rsidR="000D6DBE" w:rsidRDefault="000D6DBE" w:rsidP="000D6DBE">
      <w:pPr>
        <w:rPr>
          <w:rFonts w:eastAsia="Calibri"/>
          <w:szCs w:val="24"/>
        </w:rPr>
      </w:pPr>
      <w:r>
        <w:rPr>
          <w:color w:val="000000" w:themeColor="text1"/>
          <w:szCs w:val="18"/>
          <w:lang w:eastAsia="lv-LV"/>
        </w:rPr>
        <w:t xml:space="preserve">Līdz ar FDL apstiprināšanu, ir nostiprināti tādi fiskālās politikas principi kā taupības princips, uzkrājuma princips, </w:t>
      </w:r>
      <w:proofErr w:type="spellStart"/>
      <w:r>
        <w:rPr>
          <w:color w:val="000000" w:themeColor="text1"/>
          <w:szCs w:val="18"/>
          <w:lang w:eastAsia="lv-LV"/>
        </w:rPr>
        <w:t>pretcikliskas</w:t>
      </w:r>
      <w:proofErr w:type="spellEnd"/>
      <w:r>
        <w:rPr>
          <w:color w:val="000000" w:themeColor="text1"/>
          <w:szCs w:val="18"/>
          <w:lang w:eastAsia="lv-LV"/>
        </w:rPr>
        <w:t xml:space="preserve"> fiskālās politikas princips u.c. FDL ir iestrādāti arī jaunie ES fiskālās disciplīnas nosacījumi, kas ir ietverti </w:t>
      </w:r>
      <w:r w:rsidRPr="00453F11">
        <w:rPr>
          <w:color w:val="000000" w:themeColor="text1"/>
        </w:rPr>
        <w:t>Fiskālā līgumā</w:t>
      </w:r>
      <w:r w:rsidRPr="005309B3">
        <w:rPr>
          <w:color w:val="000000" w:themeColor="text1"/>
          <w:szCs w:val="18"/>
          <w:lang w:eastAsia="lv-LV"/>
        </w:rPr>
        <w:t>,</w:t>
      </w:r>
      <w:r>
        <w:rPr>
          <w:color w:val="000000" w:themeColor="text1"/>
          <w:szCs w:val="18"/>
          <w:lang w:eastAsia="lv-LV"/>
        </w:rPr>
        <w:t xml:space="preserve"> tādējādi </w:t>
      </w:r>
      <w:r>
        <w:t>Latvija ir viena no pirmajām ES dalībvalstīm, kas nodrošinās nacionālās likumdošanas atbilstību ES līmeņa fiskālās disciplīnas principiem.</w:t>
      </w:r>
    </w:p>
    <w:p w14:paraId="60898228" w14:textId="77777777" w:rsidR="000D6DBE" w:rsidRDefault="000D6DBE" w:rsidP="000D6DBE">
      <w:pPr>
        <w:rPr>
          <w:color w:val="000000" w:themeColor="text1"/>
          <w:szCs w:val="18"/>
          <w:lang w:eastAsia="lv-LV"/>
        </w:rPr>
      </w:pPr>
      <w:r>
        <w:rPr>
          <w:color w:val="000000" w:themeColor="text1"/>
          <w:szCs w:val="18"/>
          <w:lang w:eastAsia="lv-LV"/>
        </w:rPr>
        <w:t xml:space="preserve">Apstiprinot FDL un izstrādājot vidēja termiņu budžeta ietvara likumu, tiek pildītas arī </w:t>
      </w:r>
      <w:r w:rsidRPr="00453F11">
        <w:rPr>
          <w:color w:val="000000" w:themeColor="text1"/>
        </w:rPr>
        <w:t>Eiro Plus paktā</w:t>
      </w:r>
      <w:r>
        <w:rPr>
          <w:color w:val="000000" w:themeColor="text1"/>
          <w:szCs w:val="18"/>
          <w:lang w:eastAsia="lv-LV"/>
        </w:rPr>
        <w:t xml:space="preserve"> esošās saistības valsts finanšu ilgtspējas nodrošināšanai (Latvijas </w:t>
      </w:r>
      <w:r w:rsidRPr="00453F11">
        <w:rPr>
          <w:color w:val="000000" w:themeColor="text1"/>
        </w:rPr>
        <w:t>Eiro Plus pakta</w:t>
      </w:r>
      <w:r w:rsidR="00A746E9">
        <w:rPr>
          <w:color w:val="000000" w:themeColor="text1"/>
          <w:szCs w:val="18"/>
          <w:lang w:eastAsia="lv-LV"/>
        </w:rPr>
        <w:t xml:space="preserve"> 3.1. un 3.2.pasākums).</w:t>
      </w:r>
    </w:p>
    <w:p w14:paraId="16531CB7" w14:textId="77777777" w:rsidR="00562B24" w:rsidRDefault="00E40563" w:rsidP="00562B24">
      <w:r w:rsidRPr="00E67FD8">
        <w:rPr>
          <w:b/>
        </w:rPr>
        <w:t>R</w:t>
      </w:r>
      <w:r w:rsidR="00562B24" w:rsidRPr="00E67FD8">
        <w:rPr>
          <w:b/>
        </w:rPr>
        <w:t>ekomendācija „Obligāto maksājumu privātajā pensiju shēmā no 2013.gada atgriezties pie iemaksām 6% apmērā no bruto algas” ir izpildīta daļēji</w:t>
      </w:r>
      <w:r w:rsidR="00562B24">
        <w:t xml:space="preserve">. Atbilstoši 2012.gada 15.novembrī pieņemtajam likumam </w:t>
      </w:r>
      <w:r w:rsidR="00562B24" w:rsidRPr="00453F11">
        <w:t>„Grozījumi Valsts fondēto pensiju likumā”</w:t>
      </w:r>
      <w:r w:rsidR="00562B24" w:rsidRPr="005309B3">
        <w:t xml:space="preserve"> no</w:t>
      </w:r>
      <w:r w:rsidR="00562B24">
        <w:t xml:space="preserve"> 2013.gada ir paredzēta pakāpeniska obligāto iemaksu likmes palielināšana valsts fondēto pensiju shēmā </w:t>
      </w:r>
      <w:r w:rsidR="00562B24">
        <w:rPr>
          <w:lang w:eastAsia="lv-LV"/>
        </w:rPr>
        <w:t>–</w:t>
      </w:r>
      <w:r w:rsidR="00562B24">
        <w:t xml:space="preserve"> no 2% 2012.gadā līdz 4%</w:t>
      </w:r>
      <w:r w:rsidR="00562B24">
        <w:rPr>
          <w:lang w:eastAsia="lv-LV"/>
        </w:rPr>
        <w:t xml:space="preserve"> </w:t>
      </w:r>
      <w:r w:rsidR="00562B24">
        <w:t>2013. un 2014.gadā, 5% – 2015.gadā un 6% – 2016.gadā un turpmāk</w:t>
      </w:r>
      <w:r w:rsidR="00976BDC">
        <w:t xml:space="preserve">. Šāds lēmums tika pieņemts, </w:t>
      </w:r>
      <w:r w:rsidR="00976BDC">
        <w:rPr>
          <w:lang w:eastAsia="lv-LV"/>
        </w:rPr>
        <w:t xml:space="preserve">lai veicinātu speciālā budžeta ātrāku stabilizēšanos -  likmes 2.pensiju līmenī (2%) pakāpeniskāka paaugstināšana dod iespēju līdzekļiem speciālajā budžetā ieplūst straujāk nekā, ja likme tiktu paaugstināta uzreiz par 4 procentpunktiem. </w:t>
      </w:r>
      <w:r w:rsidR="006E543B">
        <w:rPr>
          <w:lang w:eastAsia="lv-LV"/>
        </w:rPr>
        <w:t>Pensiju apdrošināšanas iemaksu likmes daļa, kas netiek novirzīta 2.pensiju līmenim, nepazūd, bet tiek attiecīgi novirzīta 1.līmenim, tādējādi palielinot 1.līmeņa kapitālu un līdz ar to arī nākotnes vecuma pensijas apmēru. Līdz ar to</w:t>
      </w:r>
      <w:r w:rsidR="00976BDC">
        <w:rPr>
          <w:lang w:eastAsia="lv-LV"/>
        </w:rPr>
        <w:t xml:space="preserve"> nav pamata uzskatīt, ka iemaksu likmes pakāpeniskāka pārdale negatīvi ietekmētu nākotnes pensiju adekvātumu</w:t>
      </w:r>
      <w:r w:rsidR="006E543B">
        <w:rPr>
          <w:lang w:eastAsia="lv-LV"/>
        </w:rPr>
        <w:t>.</w:t>
      </w:r>
      <w:r w:rsidR="00976BDC">
        <w:rPr>
          <w:lang w:eastAsia="lv-LV"/>
        </w:rPr>
        <w:t xml:space="preserve"> </w:t>
      </w:r>
      <w:r w:rsidR="00562B24">
        <w:t xml:space="preserve"> (</w:t>
      </w:r>
      <w:r w:rsidR="00562B24" w:rsidRPr="00B85602">
        <w:t>detalizētāku skaidrojumu lūdzu skatīt NRP 2.2.sadaļā).</w:t>
      </w:r>
    </w:p>
    <w:p w14:paraId="0D814657" w14:textId="77777777" w:rsidR="000D6DBE" w:rsidRDefault="000D6DBE" w:rsidP="000D6DBE">
      <w:pPr>
        <w:rPr>
          <w:rFonts w:eastAsia="Calibri"/>
          <w:szCs w:val="24"/>
          <w:lang w:eastAsia="lv-LV"/>
        </w:rPr>
      </w:pPr>
    </w:p>
    <w:p w14:paraId="33743160" w14:textId="77777777" w:rsidR="00775DB3" w:rsidRPr="000D6DBE" w:rsidRDefault="00775DB3" w:rsidP="002D62B9">
      <w:pPr>
        <w:rPr>
          <w:szCs w:val="24"/>
        </w:rPr>
      </w:pPr>
    </w:p>
    <w:p w14:paraId="0B970B71" w14:textId="77777777" w:rsidR="00CE3BA2" w:rsidRPr="00CE3BA2" w:rsidRDefault="00CE3BA2" w:rsidP="00CE3BA2">
      <w:pPr>
        <w:ind w:right="76"/>
        <w:rPr>
          <w:i/>
          <w:szCs w:val="24"/>
        </w:rPr>
      </w:pPr>
    </w:p>
    <w:p w14:paraId="3C9EA02E" w14:textId="77777777" w:rsidR="000F6956" w:rsidRPr="009C61B1" w:rsidRDefault="00283B8B" w:rsidP="002D62B9">
      <w:pPr>
        <w:pStyle w:val="PIRMAIS"/>
      </w:pPr>
      <w:bookmarkStart w:id="54" w:name="_Toc284924058"/>
      <w:bookmarkStart w:id="55" w:name="_Toc354671231"/>
      <w:bookmarkEnd w:id="53"/>
      <w:r>
        <w:lastRenderedPageBreak/>
        <w:t>7</w:t>
      </w:r>
      <w:r w:rsidR="000F6956" w:rsidRPr="009C61B1">
        <w:t>.</w:t>
      </w:r>
      <w:r w:rsidR="000F6956" w:rsidRPr="009C61B1">
        <w:tab/>
        <w:t>Valsts finanšu kvalitāte</w:t>
      </w:r>
      <w:bookmarkEnd w:id="45"/>
      <w:bookmarkEnd w:id="54"/>
      <w:bookmarkEnd w:id="55"/>
    </w:p>
    <w:p w14:paraId="2C73CC0B" w14:textId="77777777" w:rsidR="000F6956" w:rsidRDefault="00283B8B" w:rsidP="002D62B9">
      <w:pPr>
        <w:pStyle w:val="otrais"/>
      </w:pPr>
      <w:bookmarkStart w:id="56" w:name="_Toc284924060"/>
      <w:bookmarkStart w:id="57" w:name="_Toc354671232"/>
      <w:bookmarkStart w:id="58" w:name="_Toc155751088"/>
      <w:r>
        <w:t>7</w:t>
      </w:r>
      <w:r w:rsidR="00B64633" w:rsidRPr="00B64633">
        <w:t>.1.</w:t>
      </w:r>
      <w:r w:rsidR="00D056AD">
        <w:t> </w:t>
      </w:r>
      <w:r w:rsidR="000F6956" w:rsidRPr="00B64633">
        <w:t xml:space="preserve">Valsts </w:t>
      </w:r>
      <w:bookmarkEnd w:id="56"/>
      <w:r w:rsidR="00A466D6" w:rsidRPr="00B64633">
        <w:t>budžeta līdzekļu efektivitāte un izlietojuma kontrole</w:t>
      </w:r>
      <w:bookmarkEnd w:id="57"/>
    </w:p>
    <w:p w14:paraId="716798D6" w14:textId="4845C427" w:rsidR="00A6537C" w:rsidRDefault="00A6537C" w:rsidP="00A6537C">
      <w:pPr>
        <w:ind w:firstLine="720"/>
        <w:rPr>
          <w:szCs w:val="24"/>
        </w:rPr>
      </w:pPr>
      <w:bookmarkStart w:id="59" w:name="_Toc284924061"/>
      <w:r w:rsidRPr="001818CB">
        <w:rPr>
          <w:szCs w:val="24"/>
        </w:rPr>
        <w:t>Valsts budžet</w:t>
      </w:r>
      <w:r>
        <w:rPr>
          <w:szCs w:val="24"/>
        </w:rPr>
        <w:t>a</w:t>
      </w:r>
      <w:r w:rsidRPr="001818CB">
        <w:rPr>
          <w:szCs w:val="24"/>
        </w:rPr>
        <w:t xml:space="preserve"> izstrādāšanas, apstiprināšanas un izpildes kārtību un atbildību budžeta procesā nosaka </w:t>
      </w:r>
      <w:r w:rsidR="0023518A">
        <w:rPr>
          <w:szCs w:val="24"/>
        </w:rPr>
        <w:t>LBFV</w:t>
      </w:r>
      <w:r>
        <w:rPr>
          <w:szCs w:val="24"/>
        </w:rPr>
        <w:t>. P</w:t>
      </w:r>
      <w:r w:rsidRPr="001818CB">
        <w:rPr>
          <w:szCs w:val="24"/>
        </w:rPr>
        <w:t>ar valsts budžeta izpildes procesa organizāciju un vadību</w:t>
      </w:r>
      <w:r>
        <w:rPr>
          <w:szCs w:val="24"/>
        </w:rPr>
        <w:t xml:space="preserve"> atbildīgs ir finanšu ministrs.</w:t>
      </w:r>
    </w:p>
    <w:p w14:paraId="2E5F3797" w14:textId="77777777" w:rsidR="00A6537C" w:rsidRDefault="00A6537C" w:rsidP="00A6537C">
      <w:pPr>
        <w:ind w:firstLine="720"/>
        <w:rPr>
          <w:szCs w:val="24"/>
        </w:rPr>
      </w:pPr>
      <w:r w:rsidRPr="001818CB">
        <w:rPr>
          <w:szCs w:val="24"/>
        </w:rPr>
        <w:t xml:space="preserve">Saskaņā ar </w:t>
      </w:r>
      <w:r>
        <w:rPr>
          <w:szCs w:val="24"/>
        </w:rPr>
        <w:t>LBFV</w:t>
      </w:r>
      <w:r w:rsidRPr="001818CB">
        <w:rPr>
          <w:szCs w:val="24"/>
        </w:rPr>
        <w:t xml:space="preserve"> budžeta finansētu institūciju, budžeta nefinansētu iestāžu un pašvaldību, kā arī kapitālsabiedrību, kurās ieguldīta valsts vai pašvaldību kapitāla daļa, vadītāji ir atbildīgi par minētajā likumā noteiktās kārtības un prasību ievērošanu, izpildi un kontroli, kā arī par budžeta līdzekļu efektīvu un ekonomisku izlietošanu atbilstoši paredzētajiem mērķiem.</w:t>
      </w:r>
    </w:p>
    <w:p w14:paraId="15E45A6C" w14:textId="77777777" w:rsidR="00A6537C" w:rsidRDefault="00A6537C" w:rsidP="00A6537C">
      <w:pPr>
        <w:ind w:firstLine="720"/>
        <w:rPr>
          <w:szCs w:val="24"/>
        </w:rPr>
      </w:pPr>
      <w:r w:rsidRPr="001818CB">
        <w:rPr>
          <w:szCs w:val="24"/>
        </w:rPr>
        <w:t xml:space="preserve">Saskaņā ar </w:t>
      </w:r>
      <w:r>
        <w:rPr>
          <w:szCs w:val="24"/>
        </w:rPr>
        <w:t>LBFV</w:t>
      </w:r>
      <w:r w:rsidRPr="001818CB">
        <w:rPr>
          <w:szCs w:val="24"/>
        </w:rPr>
        <w:t xml:space="preserve"> finanšu ministrs izstrādā gadskārtējo valsts budžeta likuma projektu. Izstrādājot gadskārtējo valsts budžeta likuma projektu, finanšu ministrs izvērtē budžeta pieprasījumus pēc to atbilstības paredzētajiem mērķiem, sasniedzamajiem rezultātiem, ekonomiskuma un efektivitātes un, ja nepieciešams, pieprasa attiecīgajai izvērtēšanai nepieciešamo papildu informāciju. Pamatojoties uz izvērtējum</w:t>
      </w:r>
      <w:r>
        <w:rPr>
          <w:szCs w:val="24"/>
        </w:rPr>
        <w:t>u</w:t>
      </w:r>
      <w:r w:rsidRPr="001818CB">
        <w:rPr>
          <w:szCs w:val="24"/>
        </w:rPr>
        <w:t xml:space="preserve"> un sniegto informāciju, finanšu ministrs</w:t>
      </w:r>
      <w:r>
        <w:rPr>
          <w:szCs w:val="24"/>
        </w:rPr>
        <w:t xml:space="preserve"> (līdz </w:t>
      </w:r>
      <w:r w:rsidRPr="00381180">
        <w:rPr>
          <w:szCs w:val="24"/>
        </w:rPr>
        <w:t>gadskārtēj</w:t>
      </w:r>
      <w:r>
        <w:rPr>
          <w:szCs w:val="24"/>
        </w:rPr>
        <w:t xml:space="preserve">ā valsts budžeta likuma projekta iesniegšanai </w:t>
      </w:r>
      <w:r w:rsidR="005342B6">
        <w:rPr>
          <w:szCs w:val="24"/>
        </w:rPr>
        <w:t>MK</w:t>
      </w:r>
      <w:r>
        <w:rPr>
          <w:szCs w:val="24"/>
        </w:rPr>
        <w:t xml:space="preserve">) </w:t>
      </w:r>
      <w:r w:rsidRPr="001818CB">
        <w:rPr>
          <w:szCs w:val="24"/>
        </w:rPr>
        <w:t xml:space="preserve">pieņem lēmumu par budžeta pieprasījumu iekļaušanu </w:t>
      </w:r>
      <w:r>
        <w:rPr>
          <w:szCs w:val="24"/>
        </w:rPr>
        <w:t xml:space="preserve">gadskārtējā </w:t>
      </w:r>
      <w:r w:rsidRPr="001818CB">
        <w:rPr>
          <w:szCs w:val="24"/>
        </w:rPr>
        <w:t>valsts budžeta likuma projektā. Finanšu ministrs jebkurā valsts budžeta likuma projekta izskatīšanas stadijā var izteikt savu viedokli, pievienot nepieciešamos atzinumus, kā arī atsevišķu revīziju rezultātus.</w:t>
      </w:r>
    </w:p>
    <w:p w14:paraId="746DAE68" w14:textId="1D14FD65" w:rsidR="00A6537C" w:rsidRPr="00B929B0" w:rsidRDefault="00A6537C" w:rsidP="00A6537C">
      <w:pPr>
        <w:ind w:firstLine="720"/>
        <w:rPr>
          <w:color w:val="000000" w:themeColor="text1"/>
          <w:szCs w:val="24"/>
        </w:rPr>
      </w:pPr>
      <w:r w:rsidRPr="00B929B0">
        <w:rPr>
          <w:color w:val="000000" w:themeColor="text1"/>
          <w:szCs w:val="24"/>
        </w:rPr>
        <w:t xml:space="preserve">Saskaņā ar </w:t>
      </w:r>
      <w:r>
        <w:rPr>
          <w:color w:val="000000" w:themeColor="text1"/>
          <w:szCs w:val="24"/>
        </w:rPr>
        <w:t>LBFV</w:t>
      </w:r>
      <w:r w:rsidRPr="00B929B0">
        <w:rPr>
          <w:color w:val="000000" w:themeColor="text1"/>
          <w:szCs w:val="24"/>
        </w:rPr>
        <w:t xml:space="preserve"> valsts budžeta izpildītāji var veikt valsts budžeta izdevumus vai uzņemties īstermiņa saistības tikai to finansēšanas plānos noteikto asignējumu ietvaros, kurus izsniedz </w:t>
      </w:r>
      <w:r w:rsidR="00CE67E9">
        <w:rPr>
          <w:color w:val="000000" w:themeColor="text1"/>
          <w:szCs w:val="24"/>
        </w:rPr>
        <w:t>VK</w:t>
      </w:r>
      <w:r w:rsidRPr="00B929B0">
        <w:rPr>
          <w:color w:val="000000" w:themeColor="text1"/>
          <w:szCs w:val="24"/>
        </w:rPr>
        <w:t xml:space="preserve">. Savukārt </w:t>
      </w:r>
      <w:r w:rsidR="00CE67E9">
        <w:rPr>
          <w:color w:val="000000" w:themeColor="text1"/>
          <w:szCs w:val="24"/>
        </w:rPr>
        <w:t>VK</w:t>
      </w:r>
      <w:r w:rsidRPr="00B929B0">
        <w:rPr>
          <w:color w:val="000000" w:themeColor="text1"/>
          <w:szCs w:val="24"/>
        </w:rPr>
        <w:t xml:space="preserve"> piešķir asignējumus izdevumiem</w:t>
      </w:r>
      <w:r>
        <w:rPr>
          <w:color w:val="000000" w:themeColor="text1"/>
          <w:szCs w:val="24"/>
        </w:rPr>
        <w:t xml:space="preserve">, pamatojoties uz </w:t>
      </w:r>
      <w:r w:rsidRPr="00B929B0">
        <w:rPr>
          <w:color w:val="000000" w:themeColor="text1"/>
          <w:szCs w:val="24"/>
        </w:rPr>
        <w:t xml:space="preserve">gadskārtējā valsts budžeta likumā noteikto apropriāciju un nodrošina to izpildi </w:t>
      </w:r>
      <w:r>
        <w:rPr>
          <w:color w:val="000000" w:themeColor="text1"/>
          <w:szCs w:val="24"/>
        </w:rPr>
        <w:t>MK</w:t>
      </w:r>
      <w:r w:rsidRPr="00B929B0">
        <w:rPr>
          <w:color w:val="000000" w:themeColor="text1"/>
          <w:szCs w:val="24"/>
        </w:rPr>
        <w:t xml:space="preserve"> noteiktajā kārtībā. Budžeta iestādes var uzņemties valsts budžeta ilgtermiņa saistības, nepārsniedzot saimnieciskā gada valsts budžeta likumā noteiktos valsts budžeta ilgtermiņa saistību maksimāli pieļaujamos apjomus.</w:t>
      </w:r>
    </w:p>
    <w:p w14:paraId="2EC8CF6E" w14:textId="4949C5C3" w:rsidR="00A6537C" w:rsidRDefault="00A6537C" w:rsidP="00A6537C">
      <w:pPr>
        <w:rPr>
          <w:szCs w:val="24"/>
        </w:rPr>
      </w:pPr>
      <w:r>
        <w:rPr>
          <w:szCs w:val="24"/>
        </w:rPr>
        <w:t xml:space="preserve">Lai nodrošinātu valsts budžeta izpildes uzraudzību, kā arī veicinātu budžeta izlietojuma kontroli, </w:t>
      </w:r>
      <w:r w:rsidR="00CE67E9">
        <w:rPr>
          <w:szCs w:val="24"/>
        </w:rPr>
        <w:t>VK</w:t>
      </w:r>
      <w:r>
        <w:rPr>
          <w:szCs w:val="24"/>
        </w:rPr>
        <w:t xml:space="preserve"> gatavo pārskatus par valsts un pašvaldību budžetu izpildi, nodrošinot ministriju, citu centrālo valsts iestāžu, FM ekspertu, kā arī sabiedrības informēšanu par budžeta izpildes gaitu. </w:t>
      </w:r>
    </w:p>
    <w:p w14:paraId="68CA8E58" w14:textId="2E349AEA" w:rsidR="00A6537C" w:rsidRPr="00B929B0" w:rsidRDefault="00A6537C" w:rsidP="00A6537C">
      <w:pPr>
        <w:rPr>
          <w:szCs w:val="24"/>
        </w:rPr>
      </w:pPr>
      <w:r w:rsidRPr="00B929B0">
        <w:rPr>
          <w:szCs w:val="24"/>
        </w:rPr>
        <w:t>Vienlaikus minēto mērķu sasniegšanai nozaru ministrijas un citas centrālās valsts iestādes reizi ceturksnī sagatavo pārskatus pa</w:t>
      </w:r>
      <w:r w:rsidR="00CE67E9">
        <w:rPr>
          <w:szCs w:val="24"/>
        </w:rPr>
        <w:t>r valsts budžeta izpildes gaitu</w:t>
      </w:r>
      <w:r w:rsidRPr="00B929B0">
        <w:rPr>
          <w:szCs w:val="24"/>
        </w:rPr>
        <w:t xml:space="preserve"> un iesniedz to FM. Pārskatā tiek sniegta informācija par valsts budžeta izpildi attiecīgajā pārskata periodā – veikto izdevumu salīdzinājums ar iepriekšējā gada pārskata periodu, salīdzinājums ar pārskata perioda plānu, pārskats par veiktajām un neveiktajām aktivitātēm, informācija par finanšu vadības uzlabošanas pasākumiem u.c.</w:t>
      </w:r>
    </w:p>
    <w:p w14:paraId="3DC3A893" w14:textId="77777777" w:rsidR="00A6537C" w:rsidRPr="007706D2" w:rsidRDefault="00A6537C" w:rsidP="00A6537C">
      <w:pPr>
        <w:rPr>
          <w:color w:val="000000" w:themeColor="text1"/>
          <w:szCs w:val="24"/>
        </w:rPr>
      </w:pPr>
      <w:r w:rsidRPr="007706D2">
        <w:rPr>
          <w:color w:val="000000" w:themeColor="text1"/>
          <w:szCs w:val="24"/>
        </w:rPr>
        <w:t>Finanšu ministrs informē Saeimas Budžeta un finanšu (nodokļu) komisiju gadskārtējā valsts budžeta likumprojekta vai tā grozījumu izstrādes procesa laikā par valsts budžeta plānošanas gaitu, kā arī ne retāk kā reizi ceturksnī — par valsts budžeta izpildes gaitu.</w:t>
      </w:r>
    </w:p>
    <w:p w14:paraId="1626EABE" w14:textId="77777777" w:rsidR="00A6537C" w:rsidRDefault="00A6537C" w:rsidP="00A6537C">
      <w:pPr>
        <w:rPr>
          <w:szCs w:val="24"/>
        </w:rPr>
      </w:pPr>
      <w:r>
        <w:rPr>
          <w:szCs w:val="24"/>
        </w:rPr>
        <w:t>S</w:t>
      </w:r>
      <w:r w:rsidRPr="002147B9">
        <w:rPr>
          <w:szCs w:val="24"/>
        </w:rPr>
        <w:t xml:space="preserve">ākot ar 2012.gada </w:t>
      </w:r>
      <w:r>
        <w:rPr>
          <w:szCs w:val="24"/>
        </w:rPr>
        <w:t xml:space="preserve">valsts </w:t>
      </w:r>
      <w:r w:rsidRPr="002147B9">
        <w:rPr>
          <w:szCs w:val="24"/>
        </w:rPr>
        <w:t>budžet</w:t>
      </w:r>
      <w:r>
        <w:rPr>
          <w:szCs w:val="24"/>
        </w:rPr>
        <w:t xml:space="preserve">a izstrādi </w:t>
      </w:r>
      <w:r w:rsidRPr="002147B9">
        <w:rPr>
          <w:szCs w:val="24"/>
        </w:rPr>
        <w:t xml:space="preserve"> ir uzlabota </w:t>
      </w:r>
      <w:r>
        <w:rPr>
          <w:szCs w:val="24"/>
        </w:rPr>
        <w:t>darbības līmeņa rezultātu un to rezultatīvo rādītāju</w:t>
      </w:r>
      <w:r w:rsidRPr="002147B9">
        <w:rPr>
          <w:szCs w:val="24"/>
        </w:rPr>
        <w:t xml:space="preserve"> plānošanas un atspoguļošanas kārtība ministriju un citu centrālo valsts iestāžu budžetu pieprasījumos. </w:t>
      </w:r>
      <w:r>
        <w:rPr>
          <w:szCs w:val="24"/>
        </w:rPr>
        <w:t>Minētā</w:t>
      </w:r>
      <w:r w:rsidRPr="002147B9">
        <w:rPr>
          <w:szCs w:val="24"/>
        </w:rPr>
        <w:t xml:space="preserve"> informācija </w:t>
      </w:r>
      <w:r>
        <w:rPr>
          <w:szCs w:val="24"/>
        </w:rPr>
        <w:t>ir</w:t>
      </w:r>
      <w:r w:rsidRPr="002147B9">
        <w:rPr>
          <w:szCs w:val="24"/>
        </w:rPr>
        <w:t xml:space="preserve"> ie</w:t>
      </w:r>
      <w:r>
        <w:rPr>
          <w:szCs w:val="24"/>
        </w:rPr>
        <w:t>tverta</w:t>
      </w:r>
      <w:r w:rsidRPr="002147B9">
        <w:rPr>
          <w:szCs w:val="24"/>
        </w:rPr>
        <w:t xml:space="preserve"> gadskārtēj</w:t>
      </w:r>
      <w:r>
        <w:rPr>
          <w:szCs w:val="24"/>
        </w:rPr>
        <w:t>am valsts budžeta likumam pievienotajos paskaidrojumo</w:t>
      </w:r>
      <w:r w:rsidRPr="002147B9">
        <w:rPr>
          <w:szCs w:val="24"/>
        </w:rPr>
        <w:t xml:space="preserve">s, </w:t>
      </w:r>
      <w:r>
        <w:rPr>
          <w:szCs w:val="24"/>
        </w:rPr>
        <w:t>tādā veidā nodrošinot parlamenta un sabiedrības informēšanu</w:t>
      </w:r>
      <w:r w:rsidRPr="002147B9">
        <w:rPr>
          <w:szCs w:val="24"/>
        </w:rPr>
        <w:t>.</w:t>
      </w:r>
    </w:p>
    <w:p w14:paraId="6E083E9B" w14:textId="77777777" w:rsidR="00A6537C" w:rsidRPr="002147B9" w:rsidRDefault="00A6537C" w:rsidP="00A6537C">
      <w:pPr>
        <w:rPr>
          <w:szCs w:val="24"/>
        </w:rPr>
      </w:pPr>
      <w:r w:rsidRPr="007D4341">
        <w:rPr>
          <w:szCs w:val="24"/>
        </w:rPr>
        <w:lastRenderedPageBreak/>
        <w:t>Ministrijas un citas centrālās</w:t>
      </w:r>
      <w:r w:rsidRPr="002147B9">
        <w:rPr>
          <w:szCs w:val="24"/>
        </w:rPr>
        <w:t xml:space="preserve"> valsts iestādes to izpildē esošajām budžeta programmām un apakšprogrammām izvirza noteiktu mērķi ar tā sasniegšanas pakāpi raksturojošiem darbības rezultātiem un to rezultatīvajiem rādītājiem, kuriem tiek plānotas tendences arī vidējā termiņā un vienlaikus atspoguļota vēsturiskā informācija trīs gadu </w:t>
      </w:r>
      <w:r w:rsidRPr="00F1296A">
        <w:rPr>
          <w:szCs w:val="24"/>
        </w:rPr>
        <w:t>periodam. Politikas rezultātus primāri plāno attīstības plānošanas dokumentos. Par politikas plānošanas dokumentiem tiek sagatavoti pārskata dokumenti informatīvo ziņojumu veidā gan politikas plānošanas dokumenta ieviešanas vidus posmā, gan arī pēc tā darbības termiņa beigām.</w:t>
      </w:r>
    </w:p>
    <w:p w14:paraId="4D56BA5E" w14:textId="6B9DB646" w:rsidR="00A6537C" w:rsidRPr="00EB1763" w:rsidRDefault="00A6537C" w:rsidP="00A6537C">
      <w:pPr>
        <w:spacing w:before="120"/>
        <w:ind w:firstLine="720"/>
        <w:rPr>
          <w:szCs w:val="28"/>
        </w:rPr>
      </w:pPr>
      <w:r w:rsidRPr="000D453B">
        <w:rPr>
          <w:szCs w:val="24"/>
        </w:rPr>
        <w:t xml:space="preserve">2012.gadā </w:t>
      </w:r>
      <w:r w:rsidR="00CE67E9">
        <w:rPr>
          <w:szCs w:val="24"/>
        </w:rPr>
        <w:t>FM</w:t>
      </w:r>
      <w:r w:rsidRPr="000D453B">
        <w:rPr>
          <w:szCs w:val="24"/>
        </w:rPr>
        <w:t xml:space="preserve"> turpināja valsts budžeta vadības sistēmas pilnveidošanu un </w:t>
      </w:r>
      <w:r w:rsidRPr="000D453B">
        <w:rPr>
          <w:bCs/>
          <w:szCs w:val="24"/>
        </w:rPr>
        <w:t>valsts budžeta vadības un rezultatīvo rādītāju sistēmas savstarpējo integrēšanu</w:t>
      </w:r>
      <w:r w:rsidRPr="000D453B">
        <w:rPr>
          <w:szCs w:val="24"/>
        </w:rPr>
        <w:t xml:space="preserve">. 2012.gada </w:t>
      </w:r>
      <w:r>
        <w:rPr>
          <w:szCs w:val="24"/>
        </w:rPr>
        <w:t xml:space="preserve">31.jūlijā </w:t>
      </w:r>
      <w:r w:rsidRPr="000D453B">
        <w:rPr>
          <w:szCs w:val="24"/>
        </w:rPr>
        <w:t xml:space="preserve">MK </w:t>
      </w:r>
      <w:r>
        <w:rPr>
          <w:szCs w:val="24"/>
        </w:rPr>
        <w:t>pieņēma</w:t>
      </w:r>
      <w:r w:rsidRPr="000D453B">
        <w:rPr>
          <w:szCs w:val="24"/>
        </w:rPr>
        <w:t xml:space="preserve"> jaunus MK noteikumus </w:t>
      </w:r>
      <w:r>
        <w:rPr>
          <w:szCs w:val="24"/>
        </w:rPr>
        <w:t xml:space="preserve">Nr.523 </w:t>
      </w:r>
      <w:r w:rsidRPr="000D453B">
        <w:rPr>
          <w:szCs w:val="24"/>
        </w:rPr>
        <w:t>„Noteikumi par budžetu pieprasījumu izstrādāšanas un iesniegšanas pamatprincipiem”</w:t>
      </w:r>
      <w:r>
        <w:rPr>
          <w:szCs w:val="24"/>
        </w:rPr>
        <w:t xml:space="preserve">. Atbilstoši šiem noteikumiem ir </w:t>
      </w:r>
      <w:r>
        <w:t>ieviesti vienoti</w:t>
      </w:r>
      <w:r w:rsidRPr="002F3784">
        <w:t xml:space="preserve"> valsts budžeta programmu</w:t>
      </w:r>
      <w:r>
        <w:t xml:space="preserve"> struktūras veidošanas principi</w:t>
      </w:r>
      <w:r w:rsidRPr="002F3784">
        <w:t>, tādējādi nodrošinot valsts budžeta programmu struktūras ciešāku sasaisti ar politikas plānošanas un rezultatīvo rādītāju sistēmu</w:t>
      </w:r>
      <w:r>
        <w:t xml:space="preserve">. Budžeta programmām ir jānodrošina attīstības plānošanas dokumentos izvirzīto mērķu un plānoto rezultātu un to rezultatīvo rādītāju sasniegšanu. Budžeta programmu struktūru nosaka institūcijas darbības stratēģijā definētie darbības (rīcības) virzieni vai ministrijas un citas centrālās valsts iestādes funkcijas atbilstoši tās nolikumam, ja nav apstiprināta institūcijas darbības stratēģija. Tāpat šie noteikumi paredz budžeta programmu pārskatīšanas iespējas un nosaka vienotus budžeta programmu numerāciju un nosaukumu piemērošanas principus, tajā skaitā valsts budžeta </w:t>
      </w:r>
      <w:r w:rsidR="00CE67E9">
        <w:t>ES</w:t>
      </w:r>
      <w:r>
        <w:t xml:space="preserve"> politiku instrumentu un pārējās ārvalstu finanšu palīdzības līdzfinansēto un finansēto projektu un pasākumu piemērošanai finansējuma plānošanai nākamajā </w:t>
      </w:r>
      <w:r w:rsidR="00CE67E9">
        <w:t>ES</w:t>
      </w:r>
      <w:r>
        <w:t xml:space="preserve"> budžeta plānošanas periodā 2014. – 2020.gadā. Vienlaikus </w:t>
      </w:r>
      <w:r>
        <w:rPr>
          <w:rFonts w:eastAsia="Calibri"/>
          <w:szCs w:val="24"/>
        </w:rPr>
        <w:t xml:space="preserve">ir noteikti gadījumi, kādos ministrija nesniedz informāciju par </w:t>
      </w:r>
      <w:r w:rsidRPr="00EA5E16">
        <w:rPr>
          <w:szCs w:val="24"/>
          <w:lang w:eastAsia="lv-LV"/>
        </w:rPr>
        <w:t>darbības rezultāt</w:t>
      </w:r>
      <w:r>
        <w:rPr>
          <w:szCs w:val="24"/>
          <w:lang w:eastAsia="lv-LV"/>
        </w:rPr>
        <w:t>iem</w:t>
      </w:r>
      <w:r w:rsidRPr="00EA5E16">
        <w:rPr>
          <w:szCs w:val="24"/>
          <w:lang w:eastAsia="lv-LV"/>
        </w:rPr>
        <w:t xml:space="preserve"> un </w:t>
      </w:r>
      <w:r>
        <w:rPr>
          <w:szCs w:val="24"/>
          <w:lang w:eastAsia="lv-LV"/>
        </w:rPr>
        <w:t xml:space="preserve">to rezultatīvajiem rādītājiem, kā arī nosacījumi </w:t>
      </w:r>
      <w:r w:rsidRPr="00F515A0">
        <w:rPr>
          <w:rFonts w:eastAsia="Calibri"/>
          <w:szCs w:val="24"/>
        </w:rPr>
        <w:t>darbības rezultātu un to rezultatīvo rādītāju</w:t>
      </w:r>
      <w:r>
        <w:rPr>
          <w:rFonts w:eastAsia="Calibri"/>
          <w:szCs w:val="24"/>
        </w:rPr>
        <w:t xml:space="preserve"> pārskatīšanai gadskārtējā valsts budžeta izpildes laikā</w:t>
      </w:r>
      <w:r>
        <w:rPr>
          <w:szCs w:val="24"/>
          <w:lang w:eastAsia="lv-LV"/>
        </w:rPr>
        <w:t>.</w:t>
      </w:r>
    </w:p>
    <w:p w14:paraId="13387DF2" w14:textId="77777777" w:rsidR="00A6537C" w:rsidRDefault="00A6537C" w:rsidP="00A6537C">
      <w:pPr>
        <w:rPr>
          <w:szCs w:val="24"/>
        </w:rPr>
      </w:pPr>
      <w:r w:rsidRPr="002147B9">
        <w:rPr>
          <w:szCs w:val="24"/>
        </w:rPr>
        <w:t>Lai attīstītu rezultatīvo rādītāju sistēmu</w:t>
      </w:r>
      <w:r>
        <w:rPr>
          <w:szCs w:val="24"/>
        </w:rPr>
        <w:t xml:space="preserve"> un to integrētu valsts budžeta vadības procesā</w:t>
      </w:r>
      <w:r w:rsidRPr="002147B9">
        <w:rPr>
          <w:szCs w:val="24"/>
        </w:rPr>
        <w:t>, sākot ar 201</w:t>
      </w:r>
      <w:r>
        <w:rPr>
          <w:szCs w:val="24"/>
        </w:rPr>
        <w:t>2</w:t>
      </w:r>
      <w:r w:rsidRPr="002147B9">
        <w:rPr>
          <w:szCs w:val="24"/>
        </w:rPr>
        <w:t>.</w:t>
      </w:r>
      <w:r>
        <w:rPr>
          <w:szCs w:val="24"/>
        </w:rPr>
        <w:t xml:space="preserve"> </w:t>
      </w:r>
      <w:r w:rsidRPr="002147B9">
        <w:rPr>
          <w:szCs w:val="24"/>
        </w:rPr>
        <w:t>gad</w:t>
      </w:r>
      <w:r>
        <w:rPr>
          <w:szCs w:val="24"/>
        </w:rPr>
        <w:t xml:space="preserve">u </w:t>
      </w:r>
      <w:r w:rsidRPr="002147B9">
        <w:rPr>
          <w:szCs w:val="24"/>
        </w:rPr>
        <w:t>valsts budžeta izdevumu izpildes analīz</w:t>
      </w:r>
      <w:r>
        <w:rPr>
          <w:szCs w:val="24"/>
        </w:rPr>
        <w:t xml:space="preserve">e </w:t>
      </w:r>
      <w:r w:rsidRPr="007706D2">
        <w:rPr>
          <w:color w:val="002060"/>
          <w:szCs w:val="24"/>
        </w:rPr>
        <w:t>ir</w:t>
      </w:r>
      <w:r>
        <w:rPr>
          <w:szCs w:val="24"/>
        </w:rPr>
        <w:t xml:space="preserve"> papildināta ar informāciju par </w:t>
      </w:r>
      <w:r w:rsidRPr="002147B9">
        <w:rPr>
          <w:szCs w:val="24"/>
        </w:rPr>
        <w:t>sasniegtajiem darbības rezultātiem un to rezultatīvajiem rādītājiem budžeta programmām un apakšprogrammām izvirzīto mērķu ietv</w:t>
      </w:r>
      <w:r>
        <w:rPr>
          <w:szCs w:val="24"/>
        </w:rPr>
        <w:t>aros, t.i., ministrijas un citas centrālās valsts iestādes pārskatā</w:t>
      </w:r>
      <w:r w:rsidRPr="002147B9">
        <w:rPr>
          <w:szCs w:val="24"/>
        </w:rPr>
        <w:t xml:space="preserve"> par kārtējā </w:t>
      </w:r>
      <w:r>
        <w:rPr>
          <w:szCs w:val="24"/>
        </w:rPr>
        <w:t>2012.</w:t>
      </w:r>
      <w:r w:rsidRPr="002147B9">
        <w:rPr>
          <w:szCs w:val="24"/>
        </w:rPr>
        <w:t xml:space="preserve">gada valsts budžeta izpildes analīzi </w:t>
      </w:r>
      <w:r>
        <w:rPr>
          <w:szCs w:val="24"/>
        </w:rPr>
        <w:t xml:space="preserve">ir </w:t>
      </w:r>
      <w:r w:rsidRPr="002147B9">
        <w:rPr>
          <w:szCs w:val="24"/>
        </w:rPr>
        <w:t>snie</w:t>
      </w:r>
      <w:r>
        <w:rPr>
          <w:szCs w:val="24"/>
        </w:rPr>
        <w:t>gušas</w:t>
      </w:r>
      <w:r w:rsidRPr="003F6339">
        <w:rPr>
          <w:color w:val="002060"/>
          <w:szCs w:val="24"/>
        </w:rPr>
        <w:t xml:space="preserve"> </w:t>
      </w:r>
      <w:r w:rsidRPr="002147B9">
        <w:rPr>
          <w:szCs w:val="24"/>
        </w:rPr>
        <w:t xml:space="preserve">nepieciešamos skaidrojumus par </w:t>
      </w:r>
      <w:r>
        <w:rPr>
          <w:szCs w:val="24"/>
        </w:rPr>
        <w:t xml:space="preserve">iepriekš </w:t>
      </w:r>
      <w:r w:rsidRPr="002147B9">
        <w:rPr>
          <w:szCs w:val="24"/>
        </w:rPr>
        <w:t>plānotajiem rezultātiem un rezultatīvajiem rādītājiem, to izpildi gada laikā, kā arī par rezultatīvo rādītāju vērtību izpildes novirzēm no plānotajām rezultatīvo rādītāju vērtībām</w:t>
      </w:r>
      <w:r w:rsidRPr="00F1296A">
        <w:rPr>
          <w:szCs w:val="24"/>
        </w:rPr>
        <w:t>, kas pārsniedz 15 procentus (gan pozitīvā, gan negatīvā izteiksmē).</w:t>
      </w:r>
      <w:r w:rsidRPr="002147B9">
        <w:rPr>
          <w:szCs w:val="24"/>
        </w:rPr>
        <w:t xml:space="preserve"> </w:t>
      </w:r>
      <w:r>
        <w:rPr>
          <w:szCs w:val="24"/>
        </w:rPr>
        <w:t xml:space="preserve">Budžeta programmu un apakšprogrammu darbības rezultātu un to rezultatīvo rādītāju ikgadējs izvērtējums nodrošinās iespēju izvērtēt </w:t>
      </w:r>
      <w:r w:rsidRPr="00EF4236">
        <w:rPr>
          <w:szCs w:val="24"/>
        </w:rPr>
        <w:t>budžeta izdevumu atbilstību valdības definētajām prioritātēm</w:t>
      </w:r>
      <w:r>
        <w:rPr>
          <w:szCs w:val="24"/>
        </w:rPr>
        <w:t xml:space="preserve">. </w:t>
      </w:r>
    </w:p>
    <w:p w14:paraId="79445F90" w14:textId="23D2B10A" w:rsidR="00A6537C" w:rsidRPr="001818CB" w:rsidRDefault="00CE67E9" w:rsidP="00A6537C">
      <w:pPr>
        <w:ind w:firstLine="720"/>
        <w:rPr>
          <w:szCs w:val="24"/>
        </w:rPr>
      </w:pPr>
      <w:r>
        <w:rPr>
          <w:szCs w:val="24"/>
        </w:rPr>
        <w:t>VK</w:t>
      </w:r>
      <w:r w:rsidR="00A6537C" w:rsidRPr="001818CB">
        <w:rPr>
          <w:szCs w:val="24"/>
        </w:rPr>
        <w:t xml:space="preserve"> piešķir asignējumus izdevumiem saskaņā ar gadskārtējā valsts budžeta likumā noteikto apropriāciju un nodrošina to izpildi </w:t>
      </w:r>
      <w:r w:rsidR="00A6537C">
        <w:rPr>
          <w:szCs w:val="24"/>
        </w:rPr>
        <w:t>MK</w:t>
      </w:r>
      <w:r w:rsidR="00A6537C" w:rsidRPr="001818CB">
        <w:rPr>
          <w:szCs w:val="24"/>
        </w:rPr>
        <w:t xml:space="preserve"> noteiktajā kārtībā, savukārt ministrijas un citas centrālās valsts iestādes ir atbildīgas par gadskārtējā valsts budžeta likumā noteiktās apropriācijas izpildes kontroles sistēmas izveidi un par </w:t>
      </w:r>
      <w:r>
        <w:rPr>
          <w:szCs w:val="24"/>
        </w:rPr>
        <w:t>VK</w:t>
      </w:r>
      <w:r w:rsidR="00A6537C" w:rsidRPr="001818CB">
        <w:rPr>
          <w:szCs w:val="24"/>
        </w:rPr>
        <w:t xml:space="preserve"> norēķinu kontos ieskaitīto valsts budžeta līdzekļu izlietojuma kontroli atbilstoši paredzētajiem mērķiem.</w:t>
      </w:r>
    </w:p>
    <w:p w14:paraId="4F130F6C" w14:textId="24871D04" w:rsidR="00A6537C" w:rsidRDefault="00A6537C" w:rsidP="00A6537C">
      <w:pPr>
        <w:ind w:firstLine="720"/>
        <w:rPr>
          <w:szCs w:val="24"/>
        </w:rPr>
      </w:pPr>
      <w:r w:rsidRPr="001818CB">
        <w:rPr>
          <w:szCs w:val="24"/>
        </w:rPr>
        <w:t xml:space="preserve">Bez tam </w:t>
      </w:r>
      <w:r>
        <w:rPr>
          <w:szCs w:val="24"/>
        </w:rPr>
        <w:t>LBFV</w:t>
      </w:r>
      <w:r w:rsidRPr="001818CB" w:rsidDel="0081295E">
        <w:rPr>
          <w:szCs w:val="24"/>
        </w:rPr>
        <w:t xml:space="preserve"> </w:t>
      </w:r>
      <w:r w:rsidRPr="001818CB">
        <w:rPr>
          <w:szCs w:val="24"/>
        </w:rPr>
        <w:t xml:space="preserve">ir noteikts, ka valsts budžeta iestādes asignējumu saņemšanai un izdevumu veikšanai no valsts budžeta līdzekļiem atver valsts pamatbudžeta un valsts speciālā budžeta kontus tikai </w:t>
      </w:r>
      <w:r w:rsidR="00CE67E9">
        <w:rPr>
          <w:szCs w:val="24"/>
        </w:rPr>
        <w:t>VK</w:t>
      </w:r>
      <w:r w:rsidRPr="001818CB">
        <w:rPr>
          <w:szCs w:val="24"/>
        </w:rPr>
        <w:t xml:space="preserve">. Budžeta nefinansētas iestādes atver norēķinu kontus tikai </w:t>
      </w:r>
      <w:r w:rsidR="00A84DBE">
        <w:rPr>
          <w:szCs w:val="24"/>
        </w:rPr>
        <w:t xml:space="preserve">VK. </w:t>
      </w:r>
      <w:r w:rsidRPr="001818CB">
        <w:rPr>
          <w:szCs w:val="24"/>
        </w:rPr>
        <w:t xml:space="preserve">Valsts budžeta līdzekļu saņemšanai un no tiem finansēto izdevumu izdarīšanai budžeta finansētas institūcijas (izņemot valsts budžeta iestādes) atver norēķinu kontus tikai </w:t>
      </w:r>
      <w:r w:rsidR="007F1AA1">
        <w:rPr>
          <w:szCs w:val="24"/>
        </w:rPr>
        <w:t>VK</w:t>
      </w:r>
      <w:r w:rsidRPr="001818CB">
        <w:rPr>
          <w:szCs w:val="24"/>
        </w:rPr>
        <w:t xml:space="preserve">, ja citos normatīvajos aktos nav noteikts citādi. Pašvaldības un no valsts budžeta daļēji finansētas atvasinātas publiskas personas, kā arī kapitālsabiedrības, kurās ieguldīta valsts vai pašvaldību kapitāla daļa, var atvērt norēķinu kontus </w:t>
      </w:r>
      <w:r w:rsidR="00CE67E9">
        <w:rPr>
          <w:szCs w:val="24"/>
        </w:rPr>
        <w:t>VK</w:t>
      </w:r>
      <w:r w:rsidRPr="001818CB">
        <w:rPr>
          <w:szCs w:val="24"/>
        </w:rPr>
        <w:t>.</w:t>
      </w:r>
    </w:p>
    <w:p w14:paraId="294382AB" w14:textId="6E70E97C" w:rsidR="00A6537C" w:rsidRDefault="00A6537C" w:rsidP="00EF38FE">
      <w:pPr>
        <w:spacing w:after="0"/>
        <w:ind w:firstLine="720"/>
        <w:rPr>
          <w:color w:val="000000" w:themeColor="text1"/>
          <w:szCs w:val="24"/>
        </w:rPr>
      </w:pPr>
      <w:r w:rsidRPr="0038610D">
        <w:rPr>
          <w:color w:val="000000" w:themeColor="text1"/>
          <w:szCs w:val="24"/>
        </w:rPr>
        <w:lastRenderedPageBreak/>
        <w:t xml:space="preserve">Lai stiprinātu līdzekļu izlietojuma kontroles iespējas, </w:t>
      </w:r>
      <w:r>
        <w:rPr>
          <w:color w:val="000000" w:themeColor="text1"/>
          <w:szCs w:val="24"/>
        </w:rPr>
        <w:t>LBFV</w:t>
      </w:r>
      <w:r w:rsidRPr="0038610D">
        <w:rPr>
          <w:color w:val="000000" w:themeColor="text1"/>
          <w:szCs w:val="24"/>
        </w:rPr>
        <w:t xml:space="preserve"> </w:t>
      </w:r>
      <w:r w:rsidRPr="00E07FE2">
        <w:rPr>
          <w:color w:val="000000" w:themeColor="text1"/>
          <w:szCs w:val="24"/>
        </w:rPr>
        <w:t xml:space="preserve">ir </w:t>
      </w:r>
      <w:r w:rsidRPr="00572DFC">
        <w:rPr>
          <w:color w:val="000000" w:themeColor="text1"/>
          <w:szCs w:val="24"/>
        </w:rPr>
        <w:t xml:space="preserve">ietverta norma, kas nosaka, ka </w:t>
      </w:r>
      <w:r w:rsidRPr="00E07FE2">
        <w:rPr>
          <w:color w:val="000000" w:themeColor="text1"/>
          <w:szCs w:val="24"/>
        </w:rPr>
        <w:t>finanšu</w:t>
      </w:r>
      <w:r w:rsidRPr="0038610D">
        <w:rPr>
          <w:color w:val="000000" w:themeColor="text1"/>
          <w:szCs w:val="24"/>
        </w:rPr>
        <w:t xml:space="preserve"> ministrs var aizkavēt vai samazināt asignējumu uz laiku līdz trim mēnešiem, dodot rīkojumu par to </w:t>
      </w:r>
      <w:r w:rsidR="00A84DBE">
        <w:rPr>
          <w:color w:val="000000" w:themeColor="text1"/>
          <w:szCs w:val="24"/>
        </w:rPr>
        <w:t>VK</w:t>
      </w:r>
      <w:r w:rsidRPr="0038610D">
        <w:rPr>
          <w:color w:val="000000" w:themeColor="text1"/>
          <w:szCs w:val="24"/>
        </w:rPr>
        <w:t>, ja pastāv vismaz viens no šādiem nosacījumiem:</w:t>
      </w:r>
    </w:p>
    <w:p w14:paraId="1DF8AB32" w14:textId="77777777" w:rsidR="00A6537C" w:rsidRPr="00A80030" w:rsidRDefault="00A6537C" w:rsidP="00EF38FE">
      <w:pPr>
        <w:pStyle w:val="ListParagraph"/>
        <w:numPr>
          <w:ilvl w:val="0"/>
          <w:numId w:val="6"/>
        </w:numPr>
        <w:spacing w:after="0" w:line="240" w:lineRule="auto"/>
        <w:jc w:val="both"/>
        <w:rPr>
          <w:rFonts w:ascii="Times New Roman" w:hAnsi="Times New Roman"/>
          <w:sz w:val="24"/>
          <w:szCs w:val="24"/>
        </w:rPr>
      </w:pPr>
      <w:r w:rsidRPr="00A80030">
        <w:rPr>
          <w:rFonts w:ascii="Times New Roman" w:hAnsi="Times New Roman"/>
          <w:sz w:val="24"/>
          <w:szCs w:val="24"/>
        </w:rPr>
        <w:t>triju mēnešu periodā valsts budžeta nodokļu un nenodokļu faktiskie ieņēmumi attiecībā pret attiecīgajā periodā paredzētajiem ieņēmumiem samazinās vairāk nekā par 0,5 procentiem no gadskārtējā valsts budžeta likumā noteiktās IKP prognozes;</w:t>
      </w:r>
    </w:p>
    <w:p w14:paraId="67CC652B" w14:textId="77777777" w:rsidR="00A6537C" w:rsidRPr="00E3774F" w:rsidRDefault="00A6537C" w:rsidP="00EF38FE">
      <w:pPr>
        <w:pStyle w:val="ListParagraph"/>
        <w:numPr>
          <w:ilvl w:val="0"/>
          <w:numId w:val="6"/>
        </w:numPr>
        <w:spacing w:after="0" w:line="240" w:lineRule="auto"/>
        <w:jc w:val="both"/>
        <w:rPr>
          <w:rFonts w:ascii="Times New Roman" w:hAnsi="Times New Roman"/>
          <w:sz w:val="24"/>
          <w:szCs w:val="24"/>
        </w:rPr>
      </w:pPr>
      <w:r w:rsidRPr="00E3774F">
        <w:rPr>
          <w:rFonts w:ascii="Times New Roman" w:hAnsi="Times New Roman"/>
          <w:sz w:val="24"/>
          <w:szCs w:val="24"/>
        </w:rPr>
        <w:t>faktiskais uzkrātais valsts budžeta finansiālais deficīts triju mēnešu periodā pārsniedz attiecīgajam periodam paredzēto valsts budžeta finansiālo deficītu vairāk nekā par 0,5 procentiem no gadskārtējā valsts budžeta likumā noteiktās IKP prognozes;</w:t>
      </w:r>
    </w:p>
    <w:p w14:paraId="275211D1" w14:textId="7CBA1B60" w:rsidR="00A6537C" w:rsidRPr="005074DA" w:rsidRDefault="00A6537C" w:rsidP="00EF38FE">
      <w:pPr>
        <w:pStyle w:val="ListParagraph"/>
        <w:numPr>
          <w:ilvl w:val="0"/>
          <w:numId w:val="6"/>
        </w:numPr>
        <w:spacing w:after="0" w:line="240" w:lineRule="auto"/>
        <w:jc w:val="both"/>
        <w:rPr>
          <w:rFonts w:ascii="Times New Roman" w:hAnsi="Times New Roman"/>
          <w:sz w:val="24"/>
          <w:szCs w:val="24"/>
        </w:rPr>
      </w:pPr>
      <w:r w:rsidRPr="005074DA">
        <w:rPr>
          <w:rFonts w:ascii="Times New Roman" w:hAnsi="Times New Roman"/>
          <w:sz w:val="24"/>
          <w:szCs w:val="24"/>
        </w:rPr>
        <w:t xml:space="preserve">ja </w:t>
      </w:r>
      <w:r w:rsidR="00A84DBE">
        <w:rPr>
          <w:rFonts w:ascii="Times New Roman" w:hAnsi="Times New Roman"/>
          <w:sz w:val="24"/>
          <w:szCs w:val="24"/>
          <w:lang w:val="lv-LV"/>
        </w:rPr>
        <w:t>VK</w:t>
      </w:r>
      <w:r w:rsidRPr="005074DA">
        <w:rPr>
          <w:rFonts w:ascii="Times New Roman" w:hAnsi="Times New Roman"/>
          <w:sz w:val="24"/>
          <w:szCs w:val="24"/>
        </w:rPr>
        <w:t xml:space="preserve"> budžeta kontos nav pietiekama līdzekļu apjoma, lai segtu nākamajam mēnesim plānotās maksājumu saistības.</w:t>
      </w:r>
    </w:p>
    <w:p w14:paraId="128247AF" w14:textId="77777777" w:rsidR="00A6537C" w:rsidRPr="001818CB" w:rsidRDefault="00A6537C" w:rsidP="00EF38FE">
      <w:pPr>
        <w:spacing w:after="0"/>
        <w:ind w:firstLine="720"/>
        <w:rPr>
          <w:szCs w:val="24"/>
        </w:rPr>
      </w:pPr>
      <w:r w:rsidRPr="001818CB">
        <w:rPr>
          <w:szCs w:val="24"/>
        </w:rPr>
        <w:t xml:space="preserve">Galvenās </w:t>
      </w:r>
      <w:r>
        <w:rPr>
          <w:szCs w:val="24"/>
        </w:rPr>
        <w:t>LBFV</w:t>
      </w:r>
      <w:r w:rsidRPr="001818CB">
        <w:rPr>
          <w:szCs w:val="24"/>
        </w:rPr>
        <w:t xml:space="preserve"> noteiktās sankcijas par neatbilstošu rīcību ar budžeta līdzekļiem:</w:t>
      </w:r>
    </w:p>
    <w:p w14:paraId="2B04C65D" w14:textId="7D7DFE1D" w:rsidR="00A6537C" w:rsidRPr="001818CB" w:rsidRDefault="00A6537C" w:rsidP="00EF38FE">
      <w:pPr>
        <w:pStyle w:val="ListParagraph"/>
        <w:numPr>
          <w:ilvl w:val="0"/>
          <w:numId w:val="1"/>
        </w:numPr>
        <w:spacing w:after="0" w:line="240" w:lineRule="auto"/>
        <w:jc w:val="both"/>
        <w:rPr>
          <w:rFonts w:ascii="Times New Roman" w:hAnsi="Times New Roman"/>
          <w:sz w:val="24"/>
          <w:szCs w:val="24"/>
        </w:rPr>
      </w:pPr>
      <w:r w:rsidRPr="001818CB">
        <w:rPr>
          <w:rFonts w:ascii="Times New Roman" w:hAnsi="Times New Roman"/>
          <w:sz w:val="24"/>
          <w:szCs w:val="24"/>
        </w:rPr>
        <w:t xml:space="preserve">par valsts budžetam pienākošos summu nesavlaicīgu vai nepilnīgu iemaksu </w:t>
      </w:r>
      <w:r w:rsidR="00A84DBE">
        <w:rPr>
          <w:rFonts w:ascii="Times New Roman" w:hAnsi="Times New Roman"/>
          <w:sz w:val="24"/>
          <w:szCs w:val="24"/>
          <w:lang w:val="lv-LV"/>
        </w:rPr>
        <w:t>VK</w:t>
      </w:r>
      <w:r w:rsidRPr="001818CB">
        <w:rPr>
          <w:rFonts w:ascii="Times New Roman" w:hAnsi="Times New Roman"/>
          <w:sz w:val="24"/>
          <w:szCs w:val="24"/>
        </w:rPr>
        <w:t xml:space="preserve"> budžeta kontos – </w:t>
      </w:r>
      <w:r w:rsidR="00A84DBE">
        <w:rPr>
          <w:rFonts w:ascii="Times New Roman" w:hAnsi="Times New Roman"/>
          <w:sz w:val="24"/>
          <w:szCs w:val="24"/>
          <w:lang w:val="lv-LV"/>
        </w:rPr>
        <w:t>VK</w:t>
      </w:r>
      <w:r w:rsidRPr="001818CB">
        <w:rPr>
          <w:rFonts w:ascii="Times New Roman" w:hAnsi="Times New Roman"/>
          <w:sz w:val="24"/>
          <w:szCs w:val="24"/>
        </w:rPr>
        <w:t xml:space="preserve"> (ja tas nav paredzēts citas valsts institūcijas kompetencē) piedzen iemaksāšanai pamatbudžeta ieņēmumos neiemaksāto summu un var piedzīt nokavējuma naudu 0,1</w:t>
      </w:r>
      <w:r w:rsidRPr="00DA405B">
        <w:rPr>
          <w:rFonts w:ascii="Times New Roman" w:hAnsi="Times New Roman"/>
          <w:sz w:val="24"/>
          <w:lang w:val="lv-LV"/>
        </w:rPr>
        <w:t xml:space="preserve"> </w:t>
      </w:r>
      <w:r w:rsidRPr="001818CB">
        <w:rPr>
          <w:rFonts w:ascii="Times New Roman" w:hAnsi="Times New Roman"/>
          <w:sz w:val="24"/>
          <w:szCs w:val="24"/>
        </w:rPr>
        <w:t>% apmērā no laikā nenomaksātās summas par katru nokavēto maksājuma dienu, ja normatīvajos aktos nav noteikta cita kārtība;</w:t>
      </w:r>
    </w:p>
    <w:p w14:paraId="713AA3B1" w14:textId="1085BB05" w:rsidR="00A6537C" w:rsidRPr="001818CB" w:rsidRDefault="00A6537C" w:rsidP="00EF38FE">
      <w:pPr>
        <w:pStyle w:val="ListParagraph"/>
        <w:numPr>
          <w:ilvl w:val="0"/>
          <w:numId w:val="1"/>
        </w:numPr>
        <w:spacing w:after="120" w:line="240" w:lineRule="auto"/>
        <w:jc w:val="both"/>
        <w:rPr>
          <w:rFonts w:ascii="Times New Roman" w:hAnsi="Times New Roman"/>
          <w:sz w:val="24"/>
          <w:szCs w:val="24"/>
        </w:rPr>
      </w:pPr>
      <w:r w:rsidRPr="001818CB">
        <w:rPr>
          <w:rFonts w:ascii="Times New Roman" w:hAnsi="Times New Roman"/>
          <w:sz w:val="24"/>
          <w:szCs w:val="24"/>
        </w:rPr>
        <w:t xml:space="preserve">ja jāsedz budžetam radušies zaudējumi – </w:t>
      </w:r>
      <w:r w:rsidR="00A84DBE">
        <w:rPr>
          <w:rFonts w:ascii="Times New Roman" w:hAnsi="Times New Roman"/>
          <w:sz w:val="24"/>
          <w:szCs w:val="24"/>
          <w:lang w:val="lv-LV"/>
        </w:rPr>
        <w:t>VK</w:t>
      </w:r>
      <w:r w:rsidRPr="001818CB">
        <w:rPr>
          <w:rFonts w:ascii="Times New Roman" w:hAnsi="Times New Roman"/>
          <w:sz w:val="24"/>
          <w:szCs w:val="24"/>
        </w:rPr>
        <w:t xml:space="preserve"> var ieskaitīt summas pamatbudžeta ieņēmumos, atsaukt vai apturēt asignējumus, ja nav laikā iesniegti vai ir nepilnīgi ziņojumi par budžetu un finanšu vadību, ja likumā noteiktajā kārtībā nav reģistrēti budžeta līdzekļi un darījumi ar šiem līdzekļiem, kā arī nav ziņots par tiem, ja uzskaite neatbilst noteiktajai kārtībai un tādējādi tiek slēpti budžetam pienākošies līdzekļi, kā arī, ja budžeta finansētas institūcijas vadītājs ir uzņēmies saistības, pārsniedzot </w:t>
      </w:r>
      <w:r w:rsidR="00A84DBE">
        <w:rPr>
          <w:rFonts w:ascii="Times New Roman" w:hAnsi="Times New Roman"/>
          <w:sz w:val="24"/>
          <w:szCs w:val="24"/>
          <w:lang w:val="lv-LV"/>
        </w:rPr>
        <w:t>VK</w:t>
      </w:r>
      <w:r w:rsidRPr="001818CB">
        <w:rPr>
          <w:rFonts w:ascii="Times New Roman" w:hAnsi="Times New Roman"/>
          <w:sz w:val="24"/>
          <w:szCs w:val="24"/>
        </w:rPr>
        <w:t xml:space="preserve"> sniegto asignējumu;</w:t>
      </w:r>
    </w:p>
    <w:p w14:paraId="71A6A932" w14:textId="75645C5F" w:rsidR="00A6537C" w:rsidRPr="001818CB" w:rsidRDefault="00A6537C" w:rsidP="00A6537C">
      <w:pPr>
        <w:pStyle w:val="ListParagraph"/>
        <w:numPr>
          <w:ilvl w:val="0"/>
          <w:numId w:val="1"/>
        </w:numPr>
        <w:spacing w:after="120" w:line="240" w:lineRule="auto"/>
        <w:jc w:val="both"/>
        <w:rPr>
          <w:rFonts w:ascii="Times New Roman" w:hAnsi="Times New Roman"/>
          <w:sz w:val="24"/>
          <w:szCs w:val="24"/>
        </w:rPr>
      </w:pPr>
      <w:r w:rsidRPr="001818CB">
        <w:rPr>
          <w:rFonts w:ascii="Times New Roman" w:hAnsi="Times New Roman"/>
          <w:sz w:val="24"/>
          <w:szCs w:val="24"/>
        </w:rPr>
        <w:t xml:space="preserve">ja budžeta finansētas institūcijas, budžeta nefinansētas iestādes un pašvaldības, kā arī kapitālsabiedrības, kurās ir ieguldīta valsts vai pašvaldību kapitāla daļa, ir pārkāpušas </w:t>
      </w:r>
      <w:r w:rsidRPr="00DA405B">
        <w:rPr>
          <w:rFonts w:ascii="Times New Roman" w:hAnsi="Times New Roman"/>
          <w:sz w:val="24"/>
          <w:lang w:val="lv-LV"/>
        </w:rPr>
        <w:t>LBFV</w:t>
      </w:r>
      <w:r w:rsidRPr="001818CB">
        <w:rPr>
          <w:rFonts w:ascii="Times New Roman" w:hAnsi="Times New Roman"/>
          <w:sz w:val="24"/>
          <w:szCs w:val="24"/>
        </w:rPr>
        <w:t xml:space="preserve"> paredzētos finanšu vadības noteikumus, finanšu ministrs, </w:t>
      </w:r>
      <w:r w:rsidR="00A84DBE">
        <w:rPr>
          <w:rFonts w:ascii="Times New Roman" w:hAnsi="Times New Roman"/>
          <w:sz w:val="24"/>
          <w:szCs w:val="24"/>
          <w:lang w:val="lv-LV"/>
        </w:rPr>
        <w:t>VK</w:t>
      </w:r>
      <w:r w:rsidRPr="001818CB">
        <w:rPr>
          <w:rFonts w:ascii="Times New Roman" w:hAnsi="Times New Roman"/>
          <w:sz w:val="24"/>
          <w:szCs w:val="24"/>
        </w:rPr>
        <w:t xml:space="preserve"> pārvaldnieks, ministriju un citu centrālo valsts iestāžu vadītāji (atbilstoši savai kompetencei) var uz laiku atņemt pilnvarojumu asignēt vai rīkot budžeta ieņēmumus vai izdevumus, noteikt kontu lietošanas ierobežojumus, atsaukt vai apturēt asignējumus, lai tiktu atlīdzināti nelikumīgi izlietotie līdzekļi, vai arī pieprasīt nelikumīgi izlietoto līdzekļu atmaksāšanu, iesniegt tiesā civilprasību vai nodot materiālus kompetentajām amatpersonām jautājuma par kriminālprocesa uzsākšanu izlemšanai, kā arī atsaukt vai apturēt maksājumus;</w:t>
      </w:r>
    </w:p>
    <w:p w14:paraId="21B5D296" w14:textId="26389323" w:rsidR="00A6537C" w:rsidRDefault="00A84DBE" w:rsidP="00A6537C">
      <w:pPr>
        <w:pStyle w:val="ListParagraph"/>
        <w:numPr>
          <w:ilvl w:val="0"/>
          <w:numId w:val="5"/>
        </w:numPr>
        <w:spacing w:after="120" w:line="240" w:lineRule="auto"/>
        <w:ind w:left="709" w:hanging="425"/>
        <w:jc w:val="both"/>
        <w:rPr>
          <w:rFonts w:ascii="Times New Roman" w:hAnsi="Times New Roman"/>
          <w:sz w:val="24"/>
          <w:szCs w:val="24"/>
        </w:rPr>
      </w:pPr>
      <w:r>
        <w:rPr>
          <w:rFonts w:ascii="Times New Roman" w:hAnsi="Times New Roman"/>
          <w:sz w:val="24"/>
          <w:szCs w:val="24"/>
          <w:lang w:val="lv-LV"/>
        </w:rPr>
        <w:t>VK</w:t>
      </w:r>
      <w:r w:rsidR="00A6537C">
        <w:rPr>
          <w:rFonts w:ascii="Times New Roman" w:hAnsi="Times New Roman"/>
          <w:sz w:val="24"/>
          <w:szCs w:val="24"/>
        </w:rPr>
        <w:t>,</w:t>
      </w:r>
      <w:r w:rsidR="00A6537C" w:rsidRPr="001818CB">
        <w:rPr>
          <w:rFonts w:ascii="Times New Roman" w:hAnsi="Times New Roman"/>
          <w:sz w:val="24"/>
          <w:szCs w:val="24"/>
        </w:rPr>
        <w:t xml:space="preserve"> atbilstoši </w:t>
      </w:r>
      <w:r w:rsidR="00A6537C">
        <w:rPr>
          <w:rFonts w:ascii="Times New Roman" w:hAnsi="Times New Roman"/>
          <w:sz w:val="24"/>
          <w:szCs w:val="24"/>
        </w:rPr>
        <w:t>l</w:t>
      </w:r>
      <w:r w:rsidR="00A6537C" w:rsidRPr="001818CB">
        <w:rPr>
          <w:rFonts w:ascii="Times New Roman" w:hAnsi="Times New Roman"/>
          <w:sz w:val="24"/>
          <w:szCs w:val="24"/>
        </w:rPr>
        <w:t xml:space="preserve">ikumam </w:t>
      </w:r>
      <w:r w:rsidR="00A6537C">
        <w:rPr>
          <w:rFonts w:ascii="Times New Roman" w:hAnsi="Times New Roman"/>
          <w:sz w:val="24"/>
          <w:szCs w:val="24"/>
        </w:rPr>
        <w:t>„P</w:t>
      </w:r>
      <w:r w:rsidR="00A6537C" w:rsidRPr="001818CB">
        <w:rPr>
          <w:rFonts w:ascii="Times New Roman" w:hAnsi="Times New Roman"/>
          <w:sz w:val="24"/>
          <w:szCs w:val="24"/>
        </w:rPr>
        <w:t>ar pašvaldību finanšu izlīdzināšanu</w:t>
      </w:r>
      <w:r w:rsidR="00A6537C">
        <w:rPr>
          <w:rFonts w:ascii="Times New Roman" w:hAnsi="Times New Roman"/>
          <w:sz w:val="24"/>
          <w:szCs w:val="24"/>
        </w:rPr>
        <w:t>”</w:t>
      </w:r>
      <w:r w:rsidR="00A6537C" w:rsidRPr="001818CB">
        <w:rPr>
          <w:rFonts w:ascii="Times New Roman" w:hAnsi="Times New Roman"/>
          <w:sz w:val="24"/>
          <w:szCs w:val="24"/>
        </w:rPr>
        <w:t xml:space="preserve"> ir tiesības bezstrīdus kārtībā piedzīt no pašvaldības budžeta līdzekļiem naudas summas, ko attiecīgā pašvaldība nav savlaicīgi vai pilnā apmērā ieskaitījusi pašvaldību finanšu izlīdzināšanas fondā, norakstot šīs summas no attiecīgās pašvaldības budžeta.</w:t>
      </w:r>
    </w:p>
    <w:p w14:paraId="575C7BDD" w14:textId="77777777" w:rsidR="00A6537C" w:rsidRPr="00DA405B" w:rsidRDefault="00A6537C" w:rsidP="00A6537C">
      <w:pPr>
        <w:pStyle w:val="ListParagraph"/>
        <w:spacing w:after="120" w:line="240" w:lineRule="auto"/>
        <w:ind w:left="0"/>
        <w:jc w:val="both"/>
        <w:rPr>
          <w:rFonts w:ascii="Times New Roman" w:hAnsi="Times New Roman"/>
          <w:sz w:val="24"/>
          <w:lang w:val="lv-LV"/>
        </w:rPr>
      </w:pPr>
    </w:p>
    <w:p w14:paraId="1208B00B" w14:textId="63716B79" w:rsidR="00A6537C" w:rsidRPr="00DA405B" w:rsidRDefault="00A6537C" w:rsidP="00A6537C">
      <w:pPr>
        <w:pStyle w:val="ListParagraph"/>
        <w:spacing w:after="120" w:line="240" w:lineRule="auto"/>
        <w:ind w:left="0"/>
        <w:jc w:val="both"/>
        <w:rPr>
          <w:rFonts w:ascii="Times New Roman" w:hAnsi="Times New Roman"/>
          <w:sz w:val="24"/>
          <w:lang w:val="lv-LV"/>
        </w:rPr>
      </w:pPr>
      <w:r w:rsidRPr="00DA405B">
        <w:rPr>
          <w:rFonts w:ascii="Times New Roman" w:hAnsi="Times New Roman"/>
          <w:sz w:val="24"/>
          <w:lang w:val="lv-LV"/>
        </w:rPr>
        <w:tab/>
        <w:t xml:space="preserve">Lai saglabātu vispārējo ekonomisko līdzsvaru un nodrošinātu vienotu valsts finansiālo politiku, gadskārtējā valsts budžeta likumā atsevišķi tiek noteikti pašvaldību aizņēmumu un galvojumu kopējā palielinājuma apjomi. No summas, kas pašvaldībai pienākas no iedzīvotāju ienākuma nodokļa, vai no pašvaldību finanšu izlīdzināšanas fonda dotācijas </w:t>
      </w:r>
      <w:r w:rsidR="00A84DBE">
        <w:rPr>
          <w:rFonts w:ascii="Times New Roman" w:hAnsi="Times New Roman"/>
          <w:sz w:val="24"/>
          <w:lang w:val="lv-LV"/>
        </w:rPr>
        <w:t>VK</w:t>
      </w:r>
      <w:r w:rsidRPr="00DA405B">
        <w:rPr>
          <w:rFonts w:ascii="Times New Roman" w:hAnsi="Times New Roman"/>
          <w:sz w:val="24"/>
          <w:lang w:val="lv-LV"/>
        </w:rPr>
        <w:t xml:space="preserve"> ir tiesības ieturēt summas šādos gadījumos un šādā apmērā:</w:t>
      </w:r>
    </w:p>
    <w:p w14:paraId="725658E8" w14:textId="77777777" w:rsidR="00A6537C" w:rsidRPr="00DA405B" w:rsidRDefault="00A6537C" w:rsidP="00A6537C">
      <w:pPr>
        <w:pStyle w:val="ListParagraph"/>
        <w:spacing w:after="120" w:line="240" w:lineRule="auto"/>
        <w:ind w:left="0"/>
        <w:jc w:val="both"/>
        <w:rPr>
          <w:rFonts w:ascii="Times New Roman" w:hAnsi="Times New Roman"/>
          <w:sz w:val="24"/>
          <w:lang w:val="lv-LV"/>
        </w:rPr>
      </w:pPr>
    </w:p>
    <w:p w14:paraId="759D9DFC" w14:textId="77777777" w:rsidR="00A6537C" w:rsidRPr="00DA405B" w:rsidRDefault="00A6537C" w:rsidP="00A6537C">
      <w:pPr>
        <w:pStyle w:val="ListParagraph"/>
        <w:numPr>
          <w:ilvl w:val="0"/>
          <w:numId w:val="4"/>
        </w:numPr>
        <w:spacing w:after="120" w:line="240" w:lineRule="auto"/>
        <w:jc w:val="both"/>
        <w:rPr>
          <w:rFonts w:ascii="Times New Roman" w:hAnsi="Times New Roman"/>
          <w:sz w:val="24"/>
          <w:lang w:val="lv-LV"/>
        </w:rPr>
      </w:pPr>
      <w:r w:rsidRPr="00DA405B">
        <w:rPr>
          <w:rFonts w:ascii="Times New Roman" w:hAnsi="Times New Roman"/>
          <w:sz w:val="24"/>
          <w:lang w:val="lv-LV"/>
        </w:rPr>
        <w:t>ja pašvaldība nenodrošina valsts aizdevumu līgumos noteikto saistību savlaicīgu izpildi – savlaicīgi nesamaksātās summas apmērā;</w:t>
      </w:r>
    </w:p>
    <w:p w14:paraId="3AC2C75B" w14:textId="77777777" w:rsidR="00A6537C" w:rsidRPr="00DA405B" w:rsidRDefault="00A6537C" w:rsidP="00A6537C">
      <w:pPr>
        <w:pStyle w:val="ListParagraph"/>
        <w:numPr>
          <w:ilvl w:val="0"/>
          <w:numId w:val="4"/>
        </w:numPr>
        <w:spacing w:after="120" w:line="240" w:lineRule="auto"/>
        <w:jc w:val="both"/>
        <w:rPr>
          <w:rFonts w:ascii="Times New Roman" w:hAnsi="Times New Roman"/>
          <w:sz w:val="24"/>
          <w:lang w:val="lv-LV"/>
        </w:rPr>
      </w:pPr>
      <w:r w:rsidRPr="00DA405B">
        <w:rPr>
          <w:rFonts w:ascii="Times New Roman" w:hAnsi="Times New Roman"/>
          <w:sz w:val="24"/>
          <w:lang w:val="lv-LV"/>
        </w:rPr>
        <w:t>ja pašvaldība nenodrošina valsts aizdevuma izmantošanu atbilstoši aizdevumu līgumā noteiktajam mērķim – pēc finanšu ministra rīkojuma neatbilstoši līgumā noteiktajam mērķim izmantotās aizdevuma summas apmērā.</w:t>
      </w:r>
    </w:p>
    <w:p w14:paraId="5D66BCCF" w14:textId="77777777" w:rsidR="00A6537C" w:rsidRPr="00DA405B" w:rsidRDefault="00A6537C" w:rsidP="00A6537C">
      <w:pPr>
        <w:pStyle w:val="ListParagraph"/>
        <w:spacing w:after="120" w:line="240" w:lineRule="auto"/>
        <w:ind w:left="0" w:firstLine="567"/>
        <w:jc w:val="both"/>
        <w:rPr>
          <w:rFonts w:ascii="Times New Roman" w:hAnsi="Times New Roman"/>
          <w:color w:val="000000" w:themeColor="text1"/>
          <w:sz w:val="24"/>
          <w:lang w:val="lv-LV"/>
        </w:rPr>
      </w:pPr>
    </w:p>
    <w:p w14:paraId="4966275E" w14:textId="1134DEEC" w:rsidR="00A6537C" w:rsidRPr="00DA405B" w:rsidRDefault="00A6537C" w:rsidP="00A6537C">
      <w:pPr>
        <w:pStyle w:val="ListParagraph"/>
        <w:spacing w:after="120" w:line="240" w:lineRule="auto"/>
        <w:ind w:left="0" w:firstLine="567"/>
        <w:jc w:val="both"/>
        <w:rPr>
          <w:rFonts w:ascii="Times New Roman" w:hAnsi="Times New Roman"/>
          <w:color w:val="000000" w:themeColor="text1"/>
          <w:sz w:val="24"/>
          <w:lang w:val="lv-LV"/>
        </w:rPr>
      </w:pPr>
      <w:r w:rsidRPr="00DA405B">
        <w:rPr>
          <w:rFonts w:ascii="Times New Roman" w:hAnsi="Times New Roman"/>
          <w:color w:val="000000" w:themeColor="text1"/>
          <w:sz w:val="24"/>
          <w:lang w:val="lv-LV"/>
        </w:rPr>
        <w:t xml:space="preserve">Jaunie grozījumi LBFV paredz, ka MK reglamentē kārtību, kādā valsts budžeta iestādes piešķir valsts budžeta finansējumu privātpersonām, tai skaitā, nevalstiskajām organizācijām valsts pārvaldes uzdevumu veikšanai un uzrauga piešķirtā finansējuma izlietojumu. Tādējādi tiks ieviesti vienoti principi valsts pārvaldes deleģēto uzdevumu finansēšanai, izlietotā finansējuma kontrolei, atskaitīšanās par izlietoto valsts budžeta finansējumu kārtībai, kā arī minētā procesa publicitātes nodrošināšanai. </w:t>
      </w:r>
    </w:p>
    <w:p w14:paraId="6F0116A4" w14:textId="77777777" w:rsidR="00E939C4" w:rsidRPr="00DA405B" w:rsidRDefault="00E939C4" w:rsidP="00CC74C7">
      <w:pPr>
        <w:pStyle w:val="ListParagraph"/>
        <w:spacing w:after="120" w:line="240" w:lineRule="auto"/>
        <w:ind w:left="0"/>
        <w:jc w:val="both"/>
        <w:rPr>
          <w:lang w:val="lv-LV"/>
        </w:rPr>
      </w:pPr>
    </w:p>
    <w:p w14:paraId="17CE7516" w14:textId="77777777" w:rsidR="00D61CDB" w:rsidRPr="00016A8F" w:rsidRDefault="00D61CDB" w:rsidP="00BB0C27">
      <w:pPr>
        <w:pStyle w:val="otrais"/>
        <w:rPr>
          <w:szCs w:val="32"/>
        </w:rPr>
      </w:pPr>
      <w:bookmarkStart w:id="60" w:name="_Toc323120297"/>
      <w:bookmarkStart w:id="61" w:name="_Toc354671233"/>
      <w:bookmarkStart w:id="62" w:name="_Toc156371599"/>
      <w:bookmarkStart w:id="63" w:name="_Toc284924062"/>
      <w:bookmarkEnd w:id="58"/>
      <w:bookmarkEnd w:id="59"/>
      <w:r w:rsidRPr="00016A8F">
        <w:rPr>
          <w:szCs w:val="32"/>
        </w:rPr>
        <w:t>7.2. Ieņēmumu struktūras un sistēmas efektivitāte</w:t>
      </w:r>
      <w:bookmarkEnd w:id="60"/>
      <w:bookmarkEnd w:id="61"/>
    </w:p>
    <w:p w14:paraId="666E88DC" w14:textId="77777777" w:rsidR="00D61CDB" w:rsidRPr="00016A8F" w:rsidRDefault="00D61CDB" w:rsidP="00D61CDB">
      <w:r w:rsidRPr="00016A8F">
        <w:t>Viens no būtiskiem valsts finanšu kvalitātes aspektiem ir stabilu un prognozējamu nodokļu ieņēmumu nodrošināšana budžetā valdības prioritāro sociālo un ekonomisko pasākumu finansēšanai.</w:t>
      </w:r>
    </w:p>
    <w:p w14:paraId="39853EC8" w14:textId="77777777" w:rsidR="00D61CDB" w:rsidRPr="008E2C7A" w:rsidRDefault="00D61CDB" w:rsidP="00D61CDB">
      <w:pPr>
        <w:pStyle w:val="T"/>
        <w:jc w:val="right"/>
        <w:rPr>
          <w:rFonts w:ascii="Times New Roman" w:hAnsi="Times New Roman"/>
          <w:b w:val="0"/>
        </w:rPr>
      </w:pPr>
      <w:r w:rsidRPr="008E2C7A">
        <w:rPr>
          <w:rFonts w:ascii="Times New Roman" w:hAnsi="Times New Roman"/>
          <w:b w:val="0"/>
        </w:rPr>
        <w:t>7.1. tabula. Nodokļu ieņēmumi vispārējās valdības budžetā (S.13), milj. latu</w:t>
      </w:r>
    </w:p>
    <w:tbl>
      <w:tblPr>
        <w:tblW w:w="9435"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3600"/>
        <w:gridCol w:w="992"/>
        <w:gridCol w:w="968"/>
        <w:gridCol w:w="969"/>
        <w:gridCol w:w="968"/>
        <w:gridCol w:w="969"/>
        <w:gridCol w:w="969"/>
      </w:tblGrid>
      <w:tr w:rsidR="00D61CDB" w:rsidRPr="00016A8F" w14:paraId="15ABC485" w14:textId="77777777" w:rsidTr="001329C2">
        <w:trPr>
          <w:jc w:val="center"/>
        </w:trPr>
        <w:tc>
          <w:tcPr>
            <w:tcW w:w="3600" w:type="dxa"/>
            <w:tcBorders>
              <w:top w:val="double" w:sz="6" w:space="0" w:color="auto"/>
            </w:tcBorders>
          </w:tcPr>
          <w:p w14:paraId="47C656D9" w14:textId="77777777" w:rsidR="00D61CDB" w:rsidRPr="00696DE0" w:rsidRDefault="00D61CDB" w:rsidP="001329C2">
            <w:pPr>
              <w:pStyle w:val="tabteksts"/>
            </w:pPr>
          </w:p>
        </w:tc>
        <w:tc>
          <w:tcPr>
            <w:tcW w:w="992" w:type="dxa"/>
            <w:tcBorders>
              <w:top w:val="double" w:sz="6" w:space="0" w:color="auto"/>
            </w:tcBorders>
          </w:tcPr>
          <w:p w14:paraId="1EFE94A8" w14:textId="77777777" w:rsidR="00D61CDB" w:rsidRPr="00696DE0" w:rsidRDefault="00D61CDB" w:rsidP="001329C2">
            <w:pPr>
              <w:pStyle w:val="tabteksts"/>
            </w:pPr>
            <w:r w:rsidRPr="00696DE0">
              <w:t>Kods (EKS)</w:t>
            </w:r>
          </w:p>
        </w:tc>
        <w:tc>
          <w:tcPr>
            <w:tcW w:w="968" w:type="dxa"/>
            <w:tcBorders>
              <w:top w:val="double" w:sz="6" w:space="0" w:color="auto"/>
            </w:tcBorders>
            <w:vAlign w:val="center"/>
          </w:tcPr>
          <w:p w14:paraId="2799B1FF" w14:textId="77777777" w:rsidR="00D61CDB" w:rsidRPr="00696DE0" w:rsidRDefault="00D61CDB" w:rsidP="001329C2">
            <w:pPr>
              <w:pStyle w:val="tabteksts"/>
              <w:jc w:val="center"/>
              <w:rPr>
                <w:b/>
              </w:rPr>
            </w:pPr>
            <w:r w:rsidRPr="00696DE0">
              <w:rPr>
                <w:b/>
              </w:rPr>
              <w:t>2012</w:t>
            </w:r>
          </w:p>
        </w:tc>
        <w:tc>
          <w:tcPr>
            <w:tcW w:w="969" w:type="dxa"/>
            <w:tcBorders>
              <w:top w:val="double" w:sz="6" w:space="0" w:color="auto"/>
            </w:tcBorders>
            <w:vAlign w:val="center"/>
          </w:tcPr>
          <w:p w14:paraId="4E4E499F" w14:textId="77777777" w:rsidR="00D61CDB" w:rsidRPr="00696DE0" w:rsidRDefault="00D61CDB" w:rsidP="001329C2">
            <w:pPr>
              <w:pStyle w:val="tabteksts"/>
              <w:jc w:val="center"/>
              <w:rPr>
                <w:b/>
              </w:rPr>
            </w:pPr>
            <w:r w:rsidRPr="00696DE0">
              <w:rPr>
                <w:b/>
              </w:rPr>
              <w:t>2013</w:t>
            </w:r>
          </w:p>
        </w:tc>
        <w:tc>
          <w:tcPr>
            <w:tcW w:w="968" w:type="dxa"/>
            <w:tcBorders>
              <w:top w:val="double" w:sz="6" w:space="0" w:color="auto"/>
            </w:tcBorders>
            <w:vAlign w:val="center"/>
          </w:tcPr>
          <w:p w14:paraId="2C6B2544" w14:textId="77777777" w:rsidR="00D61CDB" w:rsidRPr="00696DE0" w:rsidRDefault="00D61CDB" w:rsidP="001329C2">
            <w:pPr>
              <w:pStyle w:val="tabteksts"/>
              <w:jc w:val="center"/>
              <w:rPr>
                <w:b/>
              </w:rPr>
            </w:pPr>
            <w:r w:rsidRPr="00696DE0">
              <w:rPr>
                <w:b/>
              </w:rPr>
              <w:t>2014</w:t>
            </w:r>
          </w:p>
        </w:tc>
        <w:tc>
          <w:tcPr>
            <w:tcW w:w="969" w:type="dxa"/>
            <w:tcBorders>
              <w:top w:val="double" w:sz="6" w:space="0" w:color="auto"/>
            </w:tcBorders>
            <w:vAlign w:val="center"/>
          </w:tcPr>
          <w:p w14:paraId="258166A4" w14:textId="77777777" w:rsidR="00D61CDB" w:rsidRPr="00696DE0" w:rsidRDefault="00D61CDB" w:rsidP="001329C2">
            <w:pPr>
              <w:pStyle w:val="tabteksts"/>
              <w:jc w:val="center"/>
              <w:rPr>
                <w:b/>
              </w:rPr>
            </w:pPr>
            <w:r w:rsidRPr="00696DE0">
              <w:rPr>
                <w:b/>
              </w:rPr>
              <w:t>2015</w:t>
            </w:r>
          </w:p>
        </w:tc>
        <w:tc>
          <w:tcPr>
            <w:tcW w:w="969" w:type="dxa"/>
            <w:tcBorders>
              <w:top w:val="double" w:sz="6" w:space="0" w:color="auto"/>
            </w:tcBorders>
            <w:vAlign w:val="center"/>
          </w:tcPr>
          <w:p w14:paraId="704B593F" w14:textId="77777777" w:rsidR="00D61CDB" w:rsidRPr="00696DE0" w:rsidRDefault="00D61CDB" w:rsidP="001329C2">
            <w:pPr>
              <w:pStyle w:val="tabteksts"/>
              <w:jc w:val="center"/>
              <w:rPr>
                <w:b/>
              </w:rPr>
            </w:pPr>
            <w:r w:rsidRPr="00696DE0">
              <w:rPr>
                <w:b/>
              </w:rPr>
              <w:t>2016</w:t>
            </w:r>
          </w:p>
        </w:tc>
      </w:tr>
      <w:tr w:rsidR="00D61CDB" w:rsidRPr="00016A8F" w14:paraId="4C81C6CB" w14:textId="77777777" w:rsidTr="001329C2">
        <w:trPr>
          <w:jc w:val="center"/>
        </w:trPr>
        <w:tc>
          <w:tcPr>
            <w:tcW w:w="3600" w:type="dxa"/>
          </w:tcPr>
          <w:p w14:paraId="799ED4E4" w14:textId="77777777" w:rsidR="00D61CDB" w:rsidRPr="00696DE0" w:rsidRDefault="00D61CDB" w:rsidP="001329C2">
            <w:pPr>
              <w:pStyle w:val="tabteksts"/>
              <w:rPr>
                <w:b/>
              </w:rPr>
            </w:pPr>
            <w:r w:rsidRPr="00696DE0">
              <w:rPr>
                <w:b/>
              </w:rPr>
              <w:t>Nodokļu ieņēmumi</w:t>
            </w:r>
          </w:p>
        </w:tc>
        <w:tc>
          <w:tcPr>
            <w:tcW w:w="992" w:type="dxa"/>
          </w:tcPr>
          <w:p w14:paraId="5D5A1FF8" w14:textId="77777777" w:rsidR="00D61CDB" w:rsidRPr="00696DE0" w:rsidRDefault="00D61CDB" w:rsidP="001329C2">
            <w:pPr>
              <w:pStyle w:val="tabteksts"/>
              <w:rPr>
                <w:b/>
              </w:rPr>
            </w:pPr>
          </w:p>
        </w:tc>
        <w:tc>
          <w:tcPr>
            <w:tcW w:w="968" w:type="dxa"/>
          </w:tcPr>
          <w:p w14:paraId="658951B8" w14:textId="77777777" w:rsidR="00D61CDB" w:rsidRPr="00696DE0" w:rsidRDefault="00D61CDB" w:rsidP="001329C2">
            <w:pPr>
              <w:pStyle w:val="tabteksts"/>
              <w:tabs>
                <w:tab w:val="decimal" w:pos="483"/>
              </w:tabs>
              <w:rPr>
                <w:b/>
              </w:rPr>
            </w:pPr>
          </w:p>
        </w:tc>
        <w:tc>
          <w:tcPr>
            <w:tcW w:w="969" w:type="dxa"/>
          </w:tcPr>
          <w:p w14:paraId="6010FDDF" w14:textId="77777777" w:rsidR="00D61CDB" w:rsidRPr="00696DE0" w:rsidRDefault="00D61CDB" w:rsidP="001329C2">
            <w:pPr>
              <w:pStyle w:val="tabteksts"/>
              <w:tabs>
                <w:tab w:val="decimal" w:pos="483"/>
              </w:tabs>
              <w:rPr>
                <w:b/>
              </w:rPr>
            </w:pPr>
          </w:p>
        </w:tc>
        <w:tc>
          <w:tcPr>
            <w:tcW w:w="968" w:type="dxa"/>
          </w:tcPr>
          <w:p w14:paraId="06E841C9" w14:textId="77777777" w:rsidR="00D61CDB" w:rsidRPr="00696DE0" w:rsidRDefault="00D61CDB" w:rsidP="001329C2">
            <w:pPr>
              <w:pStyle w:val="tabteksts"/>
              <w:tabs>
                <w:tab w:val="decimal" w:pos="483"/>
              </w:tabs>
              <w:rPr>
                <w:b/>
              </w:rPr>
            </w:pPr>
          </w:p>
        </w:tc>
        <w:tc>
          <w:tcPr>
            <w:tcW w:w="969" w:type="dxa"/>
          </w:tcPr>
          <w:p w14:paraId="17307378" w14:textId="77777777" w:rsidR="00D61CDB" w:rsidRPr="00696DE0" w:rsidRDefault="00D61CDB" w:rsidP="001329C2">
            <w:pPr>
              <w:pStyle w:val="tabteksts"/>
              <w:tabs>
                <w:tab w:val="decimal" w:pos="483"/>
              </w:tabs>
              <w:rPr>
                <w:b/>
              </w:rPr>
            </w:pPr>
          </w:p>
        </w:tc>
        <w:tc>
          <w:tcPr>
            <w:tcW w:w="969" w:type="dxa"/>
          </w:tcPr>
          <w:p w14:paraId="38CA85F4" w14:textId="77777777" w:rsidR="00D61CDB" w:rsidRPr="00696DE0" w:rsidRDefault="00D61CDB" w:rsidP="001329C2">
            <w:pPr>
              <w:pStyle w:val="tabteksts"/>
              <w:tabs>
                <w:tab w:val="decimal" w:pos="483"/>
              </w:tabs>
              <w:rPr>
                <w:b/>
              </w:rPr>
            </w:pPr>
          </w:p>
        </w:tc>
      </w:tr>
      <w:tr w:rsidR="00D61CDB" w:rsidRPr="00016A8F" w14:paraId="6B307EB4" w14:textId="77777777" w:rsidTr="001329C2">
        <w:trPr>
          <w:jc w:val="center"/>
        </w:trPr>
        <w:tc>
          <w:tcPr>
            <w:tcW w:w="3600" w:type="dxa"/>
          </w:tcPr>
          <w:p w14:paraId="29B43BD4" w14:textId="77777777" w:rsidR="00D61CDB" w:rsidRPr="00696DE0" w:rsidRDefault="00D61CDB" w:rsidP="001329C2">
            <w:pPr>
              <w:pStyle w:val="tabteksts"/>
            </w:pPr>
            <w:r w:rsidRPr="00696DE0">
              <w:t>1. Ražošanas un importa nodokļi</w:t>
            </w:r>
          </w:p>
        </w:tc>
        <w:tc>
          <w:tcPr>
            <w:tcW w:w="992" w:type="dxa"/>
          </w:tcPr>
          <w:p w14:paraId="026804F1" w14:textId="77777777" w:rsidR="00D61CDB" w:rsidRPr="00696DE0" w:rsidRDefault="00D61CDB" w:rsidP="001329C2">
            <w:pPr>
              <w:pStyle w:val="tabteksts"/>
            </w:pPr>
            <w:r w:rsidRPr="00696DE0">
              <w:t>D.2</w:t>
            </w:r>
          </w:p>
        </w:tc>
        <w:tc>
          <w:tcPr>
            <w:tcW w:w="968" w:type="dxa"/>
            <w:vAlign w:val="bottom"/>
          </w:tcPr>
          <w:p w14:paraId="6B924B9E" w14:textId="77777777" w:rsidR="00D61CDB" w:rsidRPr="00DC4BBE" w:rsidRDefault="00224E7E" w:rsidP="001329C2">
            <w:pPr>
              <w:pStyle w:val="tabteksts"/>
              <w:tabs>
                <w:tab w:val="decimal" w:pos="456"/>
              </w:tabs>
            </w:pPr>
            <w:r w:rsidRPr="00DC4BBE">
              <w:t>1</w:t>
            </w:r>
            <w:r>
              <w:t xml:space="preserve"> </w:t>
            </w:r>
            <w:r w:rsidRPr="00DC4BBE">
              <w:t>79</w:t>
            </w:r>
            <w:r>
              <w:t>2</w:t>
            </w:r>
            <w:r w:rsidRPr="00DC4BBE">
              <w:t>,</w:t>
            </w:r>
            <w:r>
              <w:t>7</w:t>
            </w:r>
          </w:p>
        </w:tc>
        <w:tc>
          <w:tcPr>
            <w:tcW w:w="969" w:type="dxa"/>
            <w:vAlign w:val="bottom"/>
          </w:tcPr>
          <w:p w14:paraId="666BE3D6" w14:textId="77777777" w:rsidR="00D61CDB" w:rsidRPr="00DC4BBE" w:rsidRDefault="00D61CDB" w:rsidP="001329C2">
            <w:pPr>
              <w:pStyle w:val="tabteksts"/>
              <w:tabs>
                <w:tab w:val="decimal" w:pos="456"/>
              </w:tabs>
            </w:pPr>
            <w:r w:rsidRPr="00DC4BBE">
              <w:t>1</w:t>
            </w:r>
            <w:r w:rsidR="00E069FA" w:rsidRPr="000141D4">
              <w:t> </w:t>
            </w:r>
            <w:r w:rsidRPr="00DC4BBE">
              <w:t>86</w:t>
            </w:r>
            <w:r w:rsidR="00E069FA" w:rsidRPr="000141D4">
              <w:t>1</w:t>
            </w:r>
            <w:r w:rsidRPr="00DC4BBE">
              <w:t>,7</w:t>
            </w:r>
          </w:p>
        </w:tc>
        <w:tc>
          <w:tcPr>
            <w:tcW w:w="968" w:type="dxa"/>
            <w:vAlign w:val="bottom"/>
          </w:tcPr>
          <w:p w14:paraId="541067D3" w14:textId="77777777" w:rsidR="00D61CDB" w:rsidRPr="00DC4BBE" w:rsidRDefault="00D61CDB" w:rsidP="001329C2">
            <w:pPr>
              <w:pStyle w:val="tabteksts"/>
              <w:tabs>
                <w:tab w:val="decimal" w:pos="456"/>
              </w:tabs>
            </w:pPr>
            <w:r w:rsidRPr="00DC4BBE">
              <w:t>1</w:t>
            </w:r>
            <w:r w:rsidR="00E069FA" w:rsidRPr="000141D4">
              <w:t> 951,5</w:t>
            </w:r>
          </w:p>
        </w:tc>
        <w:tc>
          <w:tcPr>
            <w:tcW w:w="969" w:type="dxa"/>
            <w:vAlign w:val="bottom"/>
          </w:tcPr>
          <w:p w14:paraId="146BF6C0" w14:textId="77777777" w:rsidR="00D61CDB" w:rsidRPr="00DC4BBE" w:rsidRDefault="00D61CDB" w:rsidP="001329C2">
            <w:pPr>
              <w:pStyle w:val="tabteksts"/>
              <w:tabs>
                <w:tab w:val="decimal" w:pos="456"/>
              </w:tabs>
            </w:pPr>
            <w:r w:rsidRPr="00DC4BBE">
              <w:t>2</w:t>
            </w:r>
            <w:r>
              <w:t xml:space="preserve"> </w:t>
            </w:r>
            <w:r w:rsidR="00E069FA" w:rsidRPr="000141D4">
              <w:t>037,8</w:t>
            </w:r>
          </w:p>
        </w:tc>
        <w:tc>
          <w:tcPr>
            <w:tcW w:w="969" w:type="dxa"/>
            <w:vAlign w:val="bottom"/>
          </w:tcPr>
          <w:p w14:paraId="0CE5E936" w14:textId="77777777" w:rsidR="00D61CDB" w:rsidRPr="00DC4BBE" w:rsidRDefault="00D61CDB" w:rsidP="001329C2">
            <w:pPr>
              <w:pStyle w:val="tabteksts"/>
              <w:tabs>
                <w:tab w:val="decimal" w:pos="456"/>
              </w:tabs>
            </w:pPr>
            <w:r w:rsidRPr="00DC4BBE">
              <w:t>2</w:t>
            </w:r>
            <w:r w:rsidR="00E069FA" w:rsidRPr="000141D4">
              <w:t> 119</w:t>
            </w:r>
            <w:r w:rsidRPr="00DC4BBE">
              <w:t>,5</w:t>
            </w:r>
          </w:p>
        </w:tc>
      </w:tr>
      <w:tr w:rsidR="00D61CDB" w:rsidRPr="00016A8F" w14:paraId="20454E40" w14:textId="77777777" w:rsidTr="001329C2">
        <w:trPr>
          <w:jc w:val="center"/>
        </w:trPr>
        <w:tc>
          <w:tcPr>
            <w:tcW w:w="3600" w:type="dxa"/>
          </w:tcPr>
          <w:p w14:paraId="3E79A12C" w14:textId="77777777" w:rsidR="00D61CDB" w:rsidRPr="00696DE0" w:rsidRDefault="00D61CDB" w:rsidP="001329C2">
            <w:pPr>
              <w:pStyle w:val="tabteksts"/>
            </w:pPr>
            <w:r w:rsidRPr="00696DE0">
              <w:t xml:space="preserve">2. </w:t>
            </w:r>
            <w:r w:rsidRPr="00696DE0">
              <w:rPr>
                <w:snapToGrid w:val="0"/>
              </w:rPr>
              <w:t>Ienākuma un mantas kārtējie nodokļi</w:t>
            </w:r>
          </w:p>
        </w:tc>
        <w:tc>
          <w:tcPr>
            <w:tcW w:w="992" w:type="dxa"/>
          </w:tcPr>
          <w:p w14:paraId="5B28F078" w14:textId="77777777" w:rsidR="00D61CDB" w:rsidRPr="00696DE0" w:rsidRDefault="00D61CDB" w:rsidP="001329C2">
            <w:pPr>
              <w:pStyle w:val="tabteksts"/>
            </w:pPr>
            <w:r w:rsidRPr="00696DE0">
              <w:t>D.5</w:t>
            </w:r>
          </w:p>
        </w:tc>
        <w:tc>
          <w:tcPr>
            <w:tcW w:w="968" w:type="dxa"/>
            <w:vAlign w:val="bottom"/>
          </w:tcPr>
          <w:p w14:paraId="4C9E237B" w14:textId="77777777" w:rsidR="00D61CDB" w:rsidRPr="00DC4BBE" w:rsidRDefault="00D61CDB" w:rsidP="001329C2">
            <w:pPr>
              <w:pStyle w:val="tabteksts"/>
              <w:tabs>
                <w:tab w:val="decimal" w:pos="456"/>
              </w:tabs>
            </w:pPr>
            <w:r w:rsidRPr="00DC4BBE">
              <w:t>1 192,9</w:t>
            </w:r>
          </w:p>
        </w:tc>
        <w:tc>
          <w:tcPr>
            <w:tcW w:w="969" w:type="dxa"/>
            <w:vAlign w:val="bottom"/>
          </w:tcPr>
          <w:p w14:paraId="69C3F122" w14:textId="77777777" w:rsidR="00D61CDB" w:rsidRPr="00DC4BBE" w:rsidRDefault="00D61CDB" w:rsidP="001329C2">
            <w:pPr>
              <w:pStyle w:val="tabteksts"/>
              <w:tabs>
                <w:tab w:val="decimal" w:pos="456"/>
              </w:tabs>
            </w:pPr>
            <w:r w:rsidRPr="00DC4BBE">
              <w:t>1</w:t>
            </w:r>
            <w:r w:rsidR="00E069FA" w:rsidRPr="000141D4">
              <w:t> 237,6</w:t>
            </w:r>
          </w:p>
        </w:tc>
        <w:tc>
          <w:tcPr>
            <w:tcW w:w="968" w:type="dxa"/>
            <w:vAlign w:val="bottom"/>
          </w:tcPr>
          <w:p w14:paraId="1D06A22F" w14:textId="77777777" w:rsidR="00D61CDB" w:rsidRPr="00DC4BBE" w:rsidRDefault="00D61CDB" w:rsidP="001329C2">
            <w:pPr>
              <w:pStyle w:val="tabteksts"/>
              <w:tabs>
                <w:tab w:val="decimal" w:pos="456"/>
              </w:tabs>
            </w:pPr>
            <w:r w:rsidRPr="00DC4BBE">
              <w:t xml:space="preserve">1 </w:t>
            </w:r>
            <w:r w:rsidR="00E069FA" w:rsidRPr="000141D4">
              <w:t>239,1</w:t>
            </w:r>
          </w:p>
        </w:tc>
        <w:tc>
          <w:tcPr>
            <w:tcW w:w="969" w:type="dxa"/>
            <w:vAlign w:val="bottom"/>
          </w:tcPr>
          <w:p w14:paraId="2288B014" w14:textId="77777777" w:rsidR="00D61CDB" w:rsidRPr="00DC4BBE" w:rsidRDefault="00D61CDB" w:rsidP="001329C2">
            <w:pPr>
              <w:pStyle w:val="tabteksts"/>
              <w:tabs>
                <w:tab w:val="decimal" w:pos="456"/>
              </w:tabs>
            </w:pPr>
            <w:r w:rsidRPr="00DC4BBE">
              <w:t xml:space="preserve">1 </w:t>
            </w:r>
            <w:r w:rsidR="00E069FA" w:rsidRPr="000141D4">
              <w:t>241,1</w:t>
            </w:r>
          </w:p>
        </w:tc>
        <w:tc>
          <w:tcPr>
            <w:tcW w:w="969" w:type="dxa"/>
            <w:vAlign w:val="bottom"/>
          </w:tcPr>
          <w:p w14:paraId="70D7C249" w14:textId="77777777" w:rsidR="00D61CDB" w:rsidRPr="00DC4BBE" w:rsidRDefault="00D61CDB" w:rsidP="001329C2">
            <w:pPr>
              <w:pStyle w:val="tabteksts"/>
              <w:tabs>
                <w:tab w:val="decimal" w:pos="456"/>
              </w:tabs>
            </w:pPr>
            <w:r w:rsidRPr="00DC4BBE">
              <w:t xml:space="preserve">1 </w:t>
            </w:r>
            <w:r w:rsidR="00E069FA" w:rsidRPr="000141D4">
              <w:t>291,6</w:t>
            </w:r>
          </w:p>
        </w:tc>
      </w:tr>
      <w:tr w:rsidR="00D61CDB" w:rsidRPr="00016A8F" w14:paraId="74DB63E3" w14:textId="77777777" w:rsidTr="001329C2">
        <w:trPr>
          <w:jc w:val="center"/>
        </w:trPr>
        <w:tc>
          <w:tcPr>
            <w:tcW w:w="3600" w:type="dxa"/>
          </w:tcPr>
          <w:p w14:paraId="1DD7BE1A" w14:textId="77777777" w:rsidR="00D61CDB" w:rsidRPr="00696DE0" w:rsidRDefault="00D61CDB" w:rsidP="001329C2">
            <w:pPr>
              <w:pStyle w:val="tabteksts"/>
            </w:pPr>
            <w:r w:rsidRPr="00696DE0">
              <w:t>3. Kapitāla nodokļi</w:t>
            </w:r>
          </w:p>
        </w:tc>
        <w:tc>
          <w:tcPr>
            <w:tcW w:w="992" w:type="dxa"/>
          </w:tcPr>
          <w:p w14:paraId="78A49E8B" w14:textId="77777777" w:rsidR="00D61CDB" w:rsidRPr="00696DE0" w:rsidRDefault="00D61CDB" w:rsidP="001329C2">
            <w:pPr>
              <w:pStyle w:val="tabteksts"/>
            </w:pPr>
            <w:r w:rsidRPr="00696DE0">
              <w:t>D.91</w:t>
            </w:r>
          </w:p>
        </w:tc>
        <w:tc>
          <w:tcPr>
            <w:tcW w:w="968" w:type="dxa"/>
            <w:vAlign w:val="bottom"/>
          </w:tcPr>
          <w:p w14:paraId="5E63360D" w14:textId="77777777" w:rsidR="00D61CDB" w:rsidRPr="00DC4BBE" w:rsidRDefault="00D61CDB" w:rsidP="001329C2">
            <w:pPr>
              <w:pStyle w:val="tabteksts"/>
              <w:tabs>
                <w:tab w:val="decimal" w:pos="456"/>
              </w:tabs>
            </w:pPr>
            <w:r w:rsidRPr="00DC4BBE">
              <w:t>1,5</w:t>
            </w:r>
          </w:p>
        </w:tc>
        <w:tc>
          <w:tcPr>
            <w:tcW w:w="969" w:type="dxa"/>
            <w:vAlign w:val="bottom"/>
          </w:tcPr>
          <w:p w14:paraId="1F1D7ECB" w14:textId="77777777" w:rsidR="00D61CDB" w:rsidRPr="00DC4BBE" w:rsidRDefault="00E069FA" w:rsidP="001329C2">
            <w:pPr>
              <w:pStyle w:val="tabteksts"/>
              <w:tabs>
                <w:tab w:val="decimal" w:pos="456"/>
              </w:tabs>
            </w:pPr>
            <w:r w:rsidRPr="000141D4">
              <w:t>2,</w:t>
            </w:r>
            <w:r w:rsidR="00D61CDB" w:rsidRPr="00DC4BBE">
              <w:t>1</w:t>
            </w:r>
          </w:p>
        </w:tc>
        <w:tc>
          <w:tcPr>
            <w:tcW w:w="968" w:type="dxa"/>
            <w:vAlign w:val="bottom"/>
          </w:tcPr>
          <w:p w14:paraId="49960511" w14:textId="77777777" w:rsidR="00D61CDB" w:rsidRPr="00DC4BBE" w:rsidRDefault="00D61CDB" w:rsidP="001329C2">
            <w:pPr>
              <w:pStyle w:val="tabteksts"/>
              <w:tabs>
                <w:tab w:val="decimal" w:pos="456"/>
              </w:tabs>
            </w:pPr>
            <w:r w:rsidRPr="00DC4BBE">
              <w:t>2,</w:t>
            </w:r>
            <w:r w:rsidR="00E069FA" w:rsidRPr="000141D4">
              <w:t>4</w:t>
            </w:r>
          </w:p>
        </w:tc>
        <w:tc>
          <w:tcPr>
            <w:tcW w:w="969" w:type="dxa"/>
            <w:vAlign w:val="bottom"/>
          </w:tcPr>
          <w:p w14:paraId="1B4D366B" w14:textId="77777777" w:rsidR="00D61CDB" w:rsidRPr="00DC4BBE" w:rsidRDefault="00D61CDB" w:rsidP="001329C2">
            <w:pPr>
              <w:pStyle w:val="tabteksts"/>
              <w:tabs>
                <w:tab w:val="decimal" w:pos="456"/>
              </w:tabs>
            </w:pPr>
            <w:r w:rsidRPr="00DC4BBE">
              <w:t>2,</w:t>
            </w:r>
            <w:r w:rsidR="00E069FA" w:rsidRPr="000141D4">
              <w:t>7</w:t>
            </w:r>
          </w:p>
        </w:tc>
        <w:tc>
          <w:tcPr>
            <w:tcW w:w="969" w:type="dxa"/>
            <w:vAlign w:val="bottom"/>
          </w:tcPr>
          <w:p w14:paraId="7C2D6728" w14:textId="77777777" w:rsidR="00D61CDB" w:rsidRPr="00DC4BBE" w:rsidRDefault="00D61CDB" w:rsidP="001329C2">
            <w:pPr>
              <w:pStyle w:val="tabteksts"/>
              <w:tabs>
                <w:tab w:val="decimal" w:pos="456"/>
              </w:tabs>
            </w:pPr>
            <w:r w:rsidRPr="00DC4BBE">
              <w:t>2,</w:t>
            </w:r>
            <w:r w:rsidR="00E069FA" w:rsidRPr="000141D4">
              <w:t>7</w:t>
            </w:r>
          </w:p>
        </w:tc>
      </w:tr>
      <w:tr w:rsidR="00D61CDB" w:rsidRPr="00016A8F" w14:paraId="5F040699" w14:textId="77777777" w:rsidTr="001329C2">
        <w:trPr>
          <w:jc w:val="center"/>
        </w:trPr>
        <w:tc>
          <w:tcPr>
            <w:tcW w:w="3600" w:type="dxa"/>
          </w:tcPr>
          <w:p w14:paraId="1F93ED22" w14:textId="77777777" w:rsidR="00D61CDB" w:rsidRPr="00696DE0" w:rsidRDefault="00D61CDB" w:rsidP="001329C2">
            <w:pPr>
              <w:pStyle w:val="tabteksts"/>
            </w:pPr>
            <w:r w:rsidRPr="00696DE0">
              <w:t>4. Sociālās iemaksas</w:t>
            </w:r>
          </w:p>
        </w:tc>
        <w:tc>
          <w:tcPr>
            <w:tcW w:w="992" w:type="dxa"/>
          </w:tcPr>
          <w:p w14:paraId="08FCF9F6" w14:textId="77777777" w:rsidR="00D61CDB" w:rsidRPr="00696DE0" w:rsidRDefault="00D61CDB" w:rsidP="001329C2">
            <w:pPr>
              <w:pStyle w:val="tabteksts"/>
            </w:pPr>
            <w:r w:rsidRPr="00696DE0">
              <w:t>D.61</w:t>
            </w:r>
          </w:p>
        </w:tc>
        <w:tc>
          <w:tcPr>
            <w:tcW w:w="968" w:type="dxa"/>
            <w:vAlign w:val="bottom"/>
          </w:tcPr>
          <w:p w14:paraId="6C0E0637" w14:textId="77777777" w:rsidR="00D61CDB" w:rsidRPr="00DC4BBE" w:rsidRDefault="00224E7E" w:rsidP="001329C2">
            <w:pPr>
              <w:pStyle w:val="tabteksts"/>
              <w:tabs>
                <w:tab w:val="decimal" w:pos="456"/>
              </w:tabs>
            </w:pPr>
            <w:r w:rsidRPr="00DC4BBE">
              <w:t>1 3</w:t>
            </w:r>
            <w:r>
              <w:t>41</w:t>
            </w:r>
            <w:r w:rsidRPr="00DC4BBE">
              <w:t>,</w:t>
            </w:r>
            <w:r>
              <w:t>3</w:t>
            </w:r>
          </w:p>
        </w:tc>
        <w:tc>
          <w:tcPr>
            <w:tcW w:w="969" w:type="dxa"/>
            <w:vAlign w:val="bottom"/>
          </w:tcPr>
          <w:p w14:paraId="7111607E" w14:textId="77777777" w:rsidR="00D61CDB" w:rsidRPr="00DC4BBE" w:rsidRDefault="00D61CDB" w:rsidP="001329C2">
            <w:pPr>
              <w:pStyle w:val="tabteksts"/>
              <w:tabs>
                <w:tab w:val="decimal" w:pos="456"/>
              </w:tabs>
            </w:pPr>
            <w:r w:rsidRPr="00DC4BBE">
              <w:t>1</w:t>
            </w:r>
            <w:r w:rsidR="00E069FA" w:rsidRPr="000141D4">
              <w:t> 343</w:t>
            </w:r>
            <w:r w:rsidRPr="00DC4BBE">
              <w:t>,1</w:t>
            </w:r>
          </w:p>
        </w:tc>
        <w:tc>
          <w:tcPr>
            <w:tcW w:w="968" w:type="dxa"/>
            <w:vAlign w:val="bottom"/>
          </w:tcPr>
          <w:p w14:paraId="42AFACFF" w14:textId="77777777" w:rsidR="00D61CDB" w:rsidRPr="00DC4BBE" w:rsidRDefault="00D61CDB" w:rsidP="001329C2">
            <w:pPr>
              <w:pStyle w:val="tabteksts"/>
              <w:tabs>
                <w:tab w:val="decimal" w:pos="456"/>
              </w:tabs>
            </w:pPr>
            <w:r w:rsidRPr="00DC4BBE">
              <w:t>1</w:t>
            </w:r>
            <w:r w:rsidR="00E069FA" w:rsidRPr="000141D4">
              <w:t> 409,2</w:t>
            </w:r>
          </w:p>
        </w:tc>
        <w:tc>
          <w:tcPr>
            <w:tcW w:w="969" w:type="dxa"/>
            <w:vAlign w:val="bottom"/>
          </w:tcPr>
          <w:p w14:paraId="688C89C7" w14:textId="77777777" w:rsidR="00D61CDB" w:rsidRPr="00DC4BBE" w:rsidRDefault="00D61CDB" w:rsidP="001329C2">
            <w:pPr>
              <w:pStyle w:val="tabteksts"/>
              <w:tabs>
                <w:tab w:val="decimal" w:pos="456"/>
              </w:tabs>
            </w:pPr>
            <w:r w:rsidRPr="00DC4BBE">
              <w:t>1</w:t>
            </w:r>
            <w:r w:rsidR="00E069FA" w:rsidRPr="000141D4">
              <w:t> 430,3</w:t>
            </w:r>
          </w:p>
        </w:tc>
        <w:tc>
          <w:tcPr>
            <w:tcW w:w="969" w:type="dxa"/>
            <w:vAlign w:val="bottom"/>
          </w:tcPr>
          <w:p w14:paraId="728E7AA5" w14:textId="77777777" w:rsidR="00D61CDB" w:rsidRPr="00DC4BBE" w:rsidRDefault="00D61CDB" w:rsidP="001329C2">
            <w:pPr>
              <w:pStyle w:val="tabteksts"/>
              <w:tabs>
                <w:tab w:val="decimal" w:pos="456"/>
              </w:tabs>
            </w:pPr>
            <w:r w:rsidRPr="00DC4BBE">
              <w:t>1</w:t>
            </w:r>
            <w:r w:rsidR="00E069FA" w:rsidRPr="000141D4">
              <w:t> 477,2</w:t>
            </w:r>
          </w:p>
        </w:tc>
      </w:tr>
      <w:tr w:rsidR="00D61CDB" w:rsidRPr="00016A8F" w14:paraId="7C2E4977" w14:textId="77777777" w:rsidTr="001329C2">
        <w:trPr>
          <w:jc w:val="center"/>
        </w:trPr>
        <w:tc>
          <w:tcPr>
            <w:tcW w:w="3600" w:type="dxa"/>
            <w:tcBorders>
              <w:bottom w:val="double" w:sz="6" w:space="0" w:color="auto"/>
            </w:tcBorders>
          </w:tcPr>
          <w:p w14:paraId="387E02C2" w14:textId="77777777" w:rsidR="00D61CDB" w:rsidRPr="00696DE0" w:rsidRDefault="00D61CDB" w:rsidP="001329C2">
            <w:pPr>
              <w:pStyle w:val="tabteksts"/>
              <w:rPr>
                <w:i/>
              </w:rPr>
            </w:pPr>
            <w:r w:rsidRPr="00696DE0">
              <w:rPr>
                <w:i/>
              </w:rPr>
              <w:t xml:space="preserve">   No tā faktiskās sociālās iemaksas</w:t>
            </w:r>
          </w:p>
        </w:tc>
        <w:tc>
          <w:tcPr>
            <w:tcW w:w="992" w:type="dxa"/>
            <w:tcBorders>
              <w:bottom w:val="double" w:sz="6" w:space="0" w:color="auto"/>
            </w:tcBorders>
          </w:tcPr>
          <w:p w14:paraId="553CAAE3" w14:textId="77777777" w:rsidR="00D61CDB" w:rsidRPr="00696DE0" w:rsidRDefault="00D61CDB" w:rsidP="001329C2">
            <w:pPr>
              <w:pStyle w:val="tabteksts"/>
              <w:rPr>
                <w:i/>
              </w:rPr>
            </w:pPr>
            <w:r w:rsidRPr="00696DE0">
              <w:rPr>
                <w:i/>
              </w:rPr>
              <w:t>D.611</w:t>
            </w:r>
          </w:p>
        </w:tc>
        <w:tc>
          <w:tcPr>
            <w:tcW w:w="968" w:type="dxa"/>
            <w:tcBorders>
              <w:bottom w:val="double" w:sz="6" w:space="0" w:color="auto"/>
            </w:tcBorders>
            <w:vAlign w:val="bottom"/>
          </w:tcPr>
          <w:p w14:paraId="13749B36" w14:textId="77777777" w:rsidR="00D61CDB" w:rsidRPr="00DC4BBE" w:rsidRDefault="00E069FA" w:rsidP="001329C2">
            <w:pPr>
              <w:pStyle w:val="tabteksts"/>
              <w:tabs>
                <w:tab w:val="decimal" w:pos="456"/>
              </w:tabs>
            </w:pPr>
            <w:r w:rsidRPr="000141D4">
              <w:t>1 318</w:t>
            </w:r>
            <w:r w:rsidR="00D61CDB" w:rsidRPr="00DC4BBE">
              <w:t>,9</w:t>
            </w:r>
          </w:p>
        </w:tc>
        <w:tc>
          <w:tcPr>
            <w:tcW w:w="969" w:type="dxa"/>
            <w:tcBorders>
              <w:bottom w:val="double" w:sz="6" w:space="0" w:color="auto"/>
            </w:tcBorders>
            <w:vAlign w:val="bottom"/>
          </w:tcPr>
          <w:p w14:paraId="7B732ACC" w14:textId="77777777" w:rsidR="00D61CDB" w:rsidRPr="00DC4BBE" w:rsidRDefault="00E069FA" w:rsidP="001329C2">
            <w:pPr>
              <w:pStyle w:val="tabteksts"/>
              <w:tabs>
                <w:tab w:val="decimal" w:pos="456"/>
              </w:tabs>
            </w:pPr>
            <w:r w:rsidRPr="000141D4">
              <w:t>1 323</w:t>
            </w:r>
            <w:r w:rsidR="00D61CDB" w:rsidRPr="00DC4BBE">
              <w:t>,1</w:t>
            </w:r>
          </w:p>
        </w:tc>
        <w:tc>
          <w:tcPr>
            <w:tcW w:w="968" w:type="dxa"/>
            <w:tcBorders>
              <w:bottom w:val="double" w:sz="6" w:space="0" w:color="auto"/>
            </w:tcBorders>
            <w:vAlign w:val="bottom"/>
          </w:tcPr>
          <w:p w14:paraId="0C3DDF8E" w14:textId="77777777" w:rsidR="00D61CDB" w:rsidRPr="00DC4BBE" w:rsidRDefault="00E069FA" w:rsidP="001329C2">
            <w:pPr>
              <w:pStyle w:val="tabteksts"/>
              <w:tabs>
                <w:tab w:val="decimal" w:pos="456"/>
              </w:tabs>
            </w:pPr>
            <w:r w:rsidRPr="000141D4">
              <w:t>1 389,2</w:t>
            </w:r>
          </w:p>
        </w:tc>
        <w:tc>
          <w:tcPr>
            <w:tcW w:w="969" w:type="dxa"/>
            <w:tcBorders>
              <w:bottom w:val="double" w:sz="6" w:space="0" w:color="auto"/>
            </w:tcBorders>
            <w:vAlign w:val="bottom"/>
          </w:tcPr>
          <w:p w14:paraId="3CB5FF69" w14:textId="77777777" w:rsidR="00D61CDB" w:rsidRPr="00DC4BBE" w:rsidRDefault="00E069FA" w:rsidP="001329C2">
            <w:pPr>
              <w:pStyle w:val="tabteksts"/>
              <w:tabs>
                <w:tab w:val="decimal" w:pos="456"/>
              </w:tabs>
            </w:pPr>
            <w:r w:rsidRPr="000141D4">
              <w:t>1 410,3</w:t>
            </w:r>
          </w:p>
        </w:tc>
        <w:tc>
          <w:tcPr>
            <w:tcW w:w="969" w:type="dxa"/>
            <w:tcBorders>
              <w:bottom w:val="double" w:sz="6" w:space="0" w:color="auto"/>
            </w:tcBorders>
            <w:vAlign w:val="bottom"/>
          </w:tcPr>
          <w:p w14:paraId="2D143B28" w14:textId="77777777" w:rsidR="00D61CDB" w:rsidRPr="00DC4BBE" w:rsidRDefault="00E069FA" w:rsidP="001329C2">
            <w:pPr>
              <w:pStyle w:val="tabteksts"/>
              <w:tabs>
                <w:tab w:val="decimal" w:pos="456"/>
              </w:tabs>
            </w:pPr>
            <w:r w:rsidRPr="000141D4">
              <w:t>1 457,2</w:t>
            </w:r>
          </w:p>
        </w:tc>
      </w:tr>
    </w:tbl>
    <w:p w14:paraId="16C55591" w14:textId="77777777" w:rsidR="00D61CDB" w:rsidRPr="00BB0C27" w:rsidRDefault="00D61CDB" w:rsidP="00D61CDB">
      <w:pPr>
        <w:rPr>
          <w:highlight w:val="yellow"/>
        </w:rPr>
      </w:pPr>
    </w:p>
    <w:p w14:paraId="2B704E8E" w14:textId="77777777" w:rsidR="00D61CDB" w:rsidRPr="008E2C7A" w:rsidRDefault="00D61CDB" w:rsidP="00D61CDB">
      <w:r w:rsidRPr="008E2C7A">
        <w:t>Jāmin, ka kopējais nodokļu slogs Latvijā vairākus gadus saglabājas kā viens no zemākajiem ES. 2011. gadā tas veidoja 27,6 % no IKP, kas ir zemāks nekā ES vidējais rādītājs 40,0 % no IKP.</w:t>
      </w:r>
    </w:p>
    <w:p w14:paraId="0E825DE1" w14:textId="77777777" w:rsidR="00D61CDB" w:rsidRPr="00BB0C27" w:rsidRDefault="00D61CDB" w:rsidP="00D61CDB">
      <w:pPr>
        <w:ind w:firstLine="0"/>
        <w:rPr>
          <w:highlight w:val="yellow"/>
        </w:rPr>
      </w:pPr>
      <w:r w:rsidRPr="008E2C7A">
        <w:rPr>
          <w:noProof/>
          <w:lang w:eastAsia="lv-LV"/>
        </w:rPr>
        <w:drawing>
          <wp:inline distT="0" distB="0" distL="0" distR="0" wp14:anchorId="43B83445" wp14:editId="0CBA240B">
            <wp:extent cx="5760085" cy="234022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2340221"/>
                    </a:xfrm>
                    <a:prstGeom prst="rect">
                      <a:avLst/>
                    </a:prstGeom>
                    <a:noFill/>
                    <a:ln>
                      <a:noFill/>
                    </a:ln>
                  </pic:spPr>
                </pic:pic>
              </a:graphicData>
            </a:graphic>
          </wp:inline>
        </w:drawing>
      </w:r>
    </w:p>
    <w:p w14:paraId="3A582E5F" w14:textId="77777777" w:rsidR="00D61CDB" w:rsidRPr="00A017E2" w:rsidRDefault="00D61CDB" w:rsidP="00D61CDB">
      <w:pPr>
        <w:pStyle w:val="Zpar"/>
        <w:spacing w:after="240"/>
        <w:ind w:left="0" w:right="-1" w:firstLine="0"/>
        <w:jc w:val="center"/>
        <w:rPr>
          <w:rFonts w:ascii="Times New Roman" w:hAnsi="Times New Roman"/>
          <w:i w:val="0"/>
          <w:sz w:val="24"/>
          <w:szCs w:val="24"/>
        </w:rPr>
      </w:pPr>
      <w:r w:rsidRPr="00A017E2">
        <w:rPr>
          <w:rFonts w:ascii="Times New Roman" w:hAnsi="Times New Roman"/>
          <w:i w:val="0"/>
          <w:sz w:val="24"/>
          <w:szCs w:val="24"/>
        </w:rPr>
        <w:lastRenderedPageBreak/>
        <w:t>7.1. att. Nodokļu ieņēmumi Latvijā</w:t>
      </w:r>
      <w:r w:rsidRPr="00A017E2">
        <w:rPr>
          <w:rStyle w:val="FootnoteReference"/>
          <w:rFonts w:ascii="Times New Roman" w:hAnsi="Times New Roman"/>
          <w:i w:val="0"/>
          <w:sz w:val="24"/>
          <w:szCs w:val="24"/>
        </w:rPr>
        <w:footnoteReference w:id="13"/>
      </w:r>
      <w:r w:rsidRPr="00A017E2">
        <w:rPr>
          <w:rFonts w:ascii="Times New Roman" w:hAnsi="Times New Roman"/>
          <w:i w:val="0"/>
          <w:sz w:val="24"/>
          <w:szCs w:val="24"/>
        </w:rPr>
        <w:t xml:space="preserve"> un Eiropas Savienībā 2011. gadā, % no IKP.</w:t>
      </w:r>
    </w:p>
    <w:p w14:paraId="63F7BDBD" w14:textId="77777777" w:rsidR="00D61CDB" w:rsidRPr="001F61D8" w:rsidRDefault="00D61CDB" w:rsidP="00D61CDB">
      <w:r w:rsidRPr="001F61D8">
        <w:t>Latvijā lielāko daļu no visiem nodokļu ieņēmumiem veido darba nodokļi. Pēdējos gados nodokļu politika ir vērsta uz darba nodokļu īpatsvara samazināšanu kopējos nodokļu ieņēmumos</w:t>
      </w:r>
      <w:r>
        <w:t xml:space="preserve">, kas samazinājās </w:t>
      </w:r>
      <w:r w:rsidRPr="001F61D8">
        <w:t>no 52,</w:t>
      </w:r>
      <w:r>
        <w:t>5</w:t>
      </w:r>
      <w:r w:rsidRPr="001F61D8">
        <w:t> % 20</w:t>
      </w:r>
      <w:r>
        <w:t>10</w:t>
      </w:r>
      <w:r w:rsidRPr="001F61D8">
        <w:t>. </w:t>
      </w:r>
      <w:r w:rsidR="00E069FA" w:rsidRPr="000141D4">
        <w:t>gadā līdz 49,9 % 2012.</w:t>
      </w:r>
      <w:r w:rsidR="00AE5D86" w:rsidRPr="001F61D8">
        <w:t> gadā</w:t>
      </w:r>
      <w:r w:rsidR="00AE5D86">
        <w:t>, līdz ar to</w:t>
      </w:r>
      <w:r w:rsidR="00AE5D86" w:rsidRPr="001F61D8">
        <w:t xml:space="preserve"> patēriņa</w:t>
      </w:r>
      <w:r w:rsidR="00AE5D86">
        <w:t>, kapitāla</w:t>
      </w:r>
      <w:r w:rsidR="00AE5D86" w:rsidRPr="001F61D8">
        <w:t xml:space="preserve"> nodokļu ieņēmumu īpatsvar</w:t>
      </w:r>
      <w:r w:rsidR="00AE5D86">
        <w:t>s</w:t>
      </w:r>
      <w:r w:rsidR="00AE5D86" w:rsidRPr="002E01AF">
        <w:t xml:space="preserve"> </w:t>
      </w:r>
      <w:r w:rsidR="00AE5D86" w:rsidRPr="001F61D8">
        <w:t xml:space="preserve">kopējos nodokļu ieņēmumos </w:t>
      </w:r>
      <w:r w:rsidR="00AE5D86">
        <w:t xml:space="preserve">pakāpeniski </w:t>
      </w:r>
      <w:r w:rsidR="00AE5D86" w:rsidRPr="001F61D8">
        <w:t>palielinā</w:t>
      </w:r>
      <w:r w:rsidR="00AE5D86">
        <w:t>jās</w:t>
      </w:r>
      <w:r w:rsidR="00AE5D86" w:rsidRPr="001F61D8">
        <w:t xml:space="preserve"> no </w:t>
      </w:r>
      <w:r w:rsidR="00AE5D86">
        <w:t>47</w:t>
      </w:r>
      <w:r w:rsidR="00AE5D86" w:rsidRPr="001F61D8">
        <w:t>,</w:t>
      </w:r>
      <w:r w:rsidR="00AE5D86">
        <w:t>5</w:t>
      </w:r>
      <w:r w:rsidR="00AE5D86" w:rsidRPr="001F61D8">
        <w:t> % 20</w:t>
      </w:r>
      <w:r w:rsidR="00AE5D86">
        <w:t>10</w:t>
      </w:r>
      <w:r w:rsidR="00AE5D86" w:rsidRPr="001F61D8">
        <w:t>. </w:t>
      </w:r>
      <w:r w:rsidRPr="001F61D8">
        <w:t>gadā līdz 50, gadā</w:t>
      </w:r>
      <w:r>
        <w:t>, līdz ar to</w:t>
      </w:r>
      <w:r w:rsidRPr="001F61D8">
        <w:t xml:space="preserve"> patēriņa</w:t>
      </w:r>
      <w:r>
        <w:t>, kapitāla</w:t>
      </w:r>
      <w:r w:rsidRPr="001F61D8">
        <w:t xml:space="preserve"> nodokļu ieņēmumu īpatsvar</w:t>
      </w:r>
      <w:r>
        <w:t>s</w:t>
      </w:r>
      <w:r w:rsidRPr="002E01AF">
        <w:t xml:space="preserve"> </w:t>
      </w:r>
      <w:r w:rsidRPr="001F61D8">
        <w:t xml:space="preserve">kopējos nodokļu ieņēmumos </w:t>
      </w:r>
      <w:r>
        <w:t xml:space="preserve">pakāpeniski </w:t>
      </w:r>
      <w:r w:rsidRPr="001F61D8">
        <w:t>palielinā</w:t>
      </w:r>
      <w:r>
        <w:t>jās</w:t>
      </w:r>
      <w:r w:rsidRPr="001F61D8">
        <w:t xml:space="preserve"> no </w:t>
      </w:r>
      <w:r>
        <w:t>47</w:t>
      </w:r>
      <w:r w:rsidRPr="001F61D8">
        <w:t>,</w:t>
      </w:r>
      <w:r>
        <w:t>5</w:t>
      </w:r>
      <w:r w:rsidRPr="001F61D8">
        <w:t> % 20</w:t>
      </w:r>
      <w:r>
        <w:t>10</w:t>
      </w:r>
      <w:r w:rsidRPr="001F61D8">
        <w:t xml:space="preserve">. gadā līdz </w:t>
      </w:r>
      <w:r w:rsidR="00E069FA" w:rsidRPr="000141D4">
        <w:t>1</w:t>
      </w:r>
      <w:r w:rsidRPr="001F61D8">
        <w:t> % 201</w:t>
      </w:r>
      <w:r>
        <w:t>2</w:t>
      </w:r>
      <w:r w:rsidRPr="001F61D8">
        <w:t>. gadā.</w:t>
      </w:r>
    </w:p>
    <w:p w14:paraId="3236E396" w14:textId="77777777" w:rsidR="00E069FA" w:rsidRPr="000141D4" w:rsidRDefault="00E069FA" w:rsidP="00E069FA">
      <w:pPr>
        <w:spacing w:before="240"/>
        <w:ind w:firstLine="0"/>
        <w:jc w:val="center"/>
      </w:pPr>
      <w:r w:rsidRPr="000141D4">
        <w:rPr>
          <w:noProof/>
          <w:lang w:eastAsia="lv-LV"/>
        </w:rPr>
        <w:drawing>
          <wp:inline distT="0" distB="0" distL="0" distR="0" wp14:anchorId="5C057FD4" wp14:editId="5A05CCF1">
            <wp:extent cx="5311472" cy="2789312"/>
            <wp:effectExtent l="19050" t="19050" r="2286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t="25804" r="7735"/>
                    <a:stretch/>
                  </pic:blipFill>
                  <pic:spPr bwMode="auto">
                    <a:xfrm>
                      <a:off x="0" y="0"/>
                      <a:ext cx="5314554" cy="27909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C5C8DB" w14:textId="77777777" w:rsidR="00D61CDB" w:rsidRPr="0046377F" w:rsidRDefault="00D61CDB" w:rsidP="00D61CDB">
      <w:pPr>
        <w:pStyle w:val="Zpar"/>
        <w:spacing w:after="240"/>
        <w:ind w:left="0" w:right="-1" w:firstLine="0"/>
        <w:jc w:val="center"/>
        <w:rPr>
          <w:rFonts w:ascii="Times New Roman" w:hAnsi="Times New Roman"/>
          <w:i w:val="0"/>
          <w:sz w:val="24"/>
          <w:szCs w:val="24"/>
        </w:rPr>
      </w:pPr>
      <w:r w:rsidRPr="0046377F">
        <w:rPr>
          <w:rFonts w:ascii="Times New Roman" w:hAnsi="Times New Roman"/>
          <w:i w:val="0"/>
          <w:sz w:val="24"/>
          <w:szCs w:val="24"/>
        </w:rPr>
        <w:t>7.2. att.</w:t>
      </w:r>
      <w:r w:rsidRPr="0046377F">
        <w:rPr>
          <w:rFonts w:ascii="Times New Roman" w:hAnsi="Times New Roman"/>
          <w:i w:val="0"/>
          <w:sz w:val="24"/>
          <w:szCs w:val="24"/>
        </w:rPr>
        <w:tab/>
        <w:t xml:space="preserve"> Nodokļu ieņēmumi atbilstoši ekonomiskajām funkcijām, % no IKP.</w:t>
      </w:r>
    </w:p>
    <w:p w14:paraId="04B771D3" w14:textId="77777777" w:rsidR="00D61CDB" w:rsidRPr="001E2493" w:rsidRDefault="00D61CDB" w:rsidP="00D61CDB">
      <w:r w:rsidRPr="001E2493">
        <w:t xml:space="preserve">Pēc pievienošanās ES nodokļu ieņēmumu pieaugumu galvenokārt sekmēja strauja ekonomiskā izaugsme, taču 2009. gadā ekonomikas krīzes rezultātā nodokļu ieņēmumi samazinājās. Lai nodrošinātu fiskālo konsolidāciju un panāktu budžeta deficīta samazināšanos, 2008. gadā tika uzsākta budžeta fiskālā konsolidācija, kas turpinājās līdz 2012. gadam. </w:t>
      </w:r>
      <w:r>
        <w:t xml:space="preserve">Savukārt </w:t>
      </w:r>
      <w:r w:rsidRPr="001E2493">
        <w:t>2013. gadā veiktās nodokļu politikas izmaiņas galvenokārt ir vērstas uz darbaspēka nodokļu sloga samazināšanu.</w:t>
      </w:r>
    </w:p>
    <w:p w14:paraId="0C964D4C" w14:textId="77777777" w:rsidR="00D61CDB" w:rsidRDefault="00D61CDB" w:rsidP="00D61CDB">
      <w:r w:rsidRPr="00DA0F99">
        <w:t xml:space="preserve">Lai veicinātu ekonomisko aktivitāti, investīcijas un nodarbinātību, un ierobežotu ēnu ekonomiku, 2012.gadā tika uzsākta darbaspēka nodokļu reforma. Tās ietvaros ar 2013.gada 1.janvāri </w:t>
      </w:r>
      <w:r w:rsidRPr="00DA0F99">
        <w:rPr>
          <w:iCs/>
        </w:rPr>
        <w:t xml:space="preserve">tika samazināta </w:t>
      </w:r>
      <w:r w:rsidRPr="00DA0F99">
        <w:t>iedzīvotāju ienākuma nodokļa likme</w:t>
      </w:r>
      <w:r w:rsidRPr="00DA0F99">
        <w:rPr>
          <w:iCs/>
        </w:rPr>
        <w:t xml:space="preserve"> no 25% uz 24% un arī turpmākajos gados tā tiks samazināta – ar 2014.gada 1.janvāri uz 22% un ar 2015.gada 1.janvāri uz 20 procentiem. Tāpat </w:t>
      </w:r>
      <w:r w:rsidRPr="00DA0F99">
        <w:t>no 2013. gada 1. jūlija tiks paaugstināts atvieglojuma apmērs par apgādībā esošu personu no Ls 70 uz Ls 80.</w:t>
      </w:r>
    </w:p>
    <w:p w14:paraId="7D202570" w14:textId="77777777" w:rsidR="00D61CDB" w:rsidRPr="00A64A29" w:rsidRDefault="00D61CDB" w:rsidP="00D61CDB">
      <w:pPr>
        <w:pStyle w:val="T"/>
        <w:spacing w:before="120"/>
        <w:jc w:val="right"/>
        <w:rPr>
          <w:rFonts w:ascii="Times New Roman" w:hAnsi="Times New Roman"/>
          <w:b w:val="0"/>
        </w:rPr>
      </w:pPr>
      <w:r w:rsidRPr="00A64A29">
        <w:rPr>
          <w:rFonts w:ascii="Times New Roman" w:hAnsi="Times New Roman"/>
          <w:b w:val="0"/>
        </w:rPr>
        <w:t>7.2. tabula. Nodokļu politikas izmaiņu ietekme uz galvenajiem nodokļu ieņēmumiem, % no IKP</w:t>
      </w:r>
    </w:p>
    <w:tbl>
      <w:tblPr>
        <w:tblW w:w="858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4691"/>
        <w:gridCol w:w="974"/>
        <w:gridCol w:w="974"/>
        <w:gridCol w:w="974"/>
        <w:gridCol w:w="974"/>
      </w:tblGrid>
      <w:tr w:rsidR="00D61CDB" w:rsidRPr="00016A8F" w14:paraId="3DBC1191" w14:textId="77777777" w:rsidTr="001329C2">
        <w:trPr>
          <w:tblHeader/>
          <w:jc w:val="center"/>
        </w:trPr>
        <w:tc>
          <w:tcPr>
            <w:tcW w:w="4691" w:type="dxa"/>
            <w:tcBorders>
              <w:top w:val="double" w:sz="6" w:space="0" w:color="auto"/>
            </w:tcBorders>
          </w:tcPr>
          <w:p w14:paraId="554928CE" w14:textId="77777777" w:rsidR="00D61CDB" w:rsidRPr="00BB0C27" w:rsidRDefault="00D61CDB" w:rsidP="001329C2">
            <w:pPr>
              <w:pStyle w:val="tabteksts"/>
              <w:rPr>
                <w:highlight w:val="yellow"/>
              </w:rPr>
            </w:pPr>
          </w:p>
        </w:tc>
        <w:tc>
          <w:tcPr>
            <w:tcW w:w="974" w:type="dxa"/>
            <w:tcBorders>
              <w:top w:val="double" w:sz="6" w:space="0" w:color="auto"/>
            </w:tcBorders>
          </w:tcPr>
          <w:p w14:paraId="72AF4F0F" w14:textId="77777777" w:rsidR="00D61CDB" w:rsidRPr="00E01249" w:rsidRDefault="00D61CDB" w:rsidP="001329C2">
            <w:pPr>
              <w:pStyle w:val="tabteksts"/>
              <w:jc w:val="center"/>
              <w:rPr>
                <w:b/>
              </w:rPr>
            </w:pPr>
            <w:r w:rsidRPr="00E01249">
              <w:rPr>
                <w:b/>
              </w:rPr>
              <w:t>2013</w:t>
            </w:r>
          </w:p>
        </w:tc>
        <w:tc>
          <w:tcPr>
            <w:tcW w:w="974" w:type="dxa"/>
            <w:tcBorders>
              <w:top w:val="double" w:sz="6" w:space="0" w:color="auto"/>
            </w:tcBorders>
          </w:tcPr>
          <w:p w14:paraId="4A78E5B0" w14:textId="77777777" w:rsidR="00D61CDB" w:rsidRPr="00E01249" w:rsidRDefault="00D61CDB" w:rsidP="001329C2">
            <w:pPr>
              <w:pStyle w:val="tabteksts"/>
              <w:jc w:val="center"/>
              <w:rPr>
                <w:b/>
              </w:rPr>
            </w:pPr>
            <w:r w:rsidRPr="00E01249">
              <w:rPr>
                <w:b/>
              </w:rPr>
              <w:t>2014</w:t>
            </w:r>
          </w:p>
        </w:tc>
        <w:tc>
          <w:tcPr>
            <w:tcW w:w="974" w:type="dxa"/>
            <w:tcBorders>
              <w:top w:val="double" w:sz="6" w:space="0" w:color="auto"/>
            </w:tcBorders>
          </w:tcPr>
          <w:p w14:paraId="1B1078DE" w14:textId="77777777" w:rsidR="00D61CDB" w:rsidRPr="00E01249" w:rsidRDefault="00D61CDB" w:rsidP="001329C2">
            <w:pPr>
              <w:pStyle w:val="tabteksts"/>
              <w:jc w:val="center"/>
              <w:rPr>
                <w:b/>
              </w:rPr>
            </w:pPr>
            <w:r w:rsidRPr="00E01249">
              <w:rPr>
                <w:b/>
              </w:rPr>
              <w:t>2015</w:t>
            </w:r>
          </w:p>
        </w:tc>
        <w:tc>
          <w:tcPr>
            <w:tcW w:w="974" w:type="dxa"/>
            <w:tcBorders>
              <w:top w:val="double" w:sz="6" w:space="0" w:color="auto"/>
            </w:tcBorders>
          </w:tcPr>
          <w:p w14:paraId="61F98DA6" w14:textId="77777777" w:rsidR="00D61CDB" w:rsidRPr="00E01249" w:rsidRDefault="00D61CDB" w:rsidP="001329C2">
            <w:pPr>
              <w:pStyle w:val="tabteksts"/>
              <w:jc w:val="center"/>
              <w:rPr>
                <w:b/>
              </w:rPr>
            </w:pPr>
            <w:r w:rsidRPr="00E01249">
              <w:rPr>
                <w:b/>
              </w:rPr>
              <w:t>2016</w:t>
            </w:r>
          </w:p>
        </w:tc>
      </w:tr>
      <w:tr w:rsidR="00D61CDB" w:rsidRPr="00016A8F" w14:paraId="6D29E5C5" w14:textId="77777777" w:rsidTr="001329C2">
        <w:trPr>
          <w:jc w:val="center"/>
        </w:trPr>
        <w:tc>
          <w:tcPr>
            <w:tcW w:w="4691" w:type="dxa"/>
          </w:tcPr>
          <w:p w14:paraId="72FAAF9B" w14:textId="77777777" w:rsidR="00D61CDB" w:rsidRPr="009814A9" w:rsidRDefault="00D61CDB" w:rsidP="001329C2">
            <w:pPr>
              <w:pStyle w:val="tabteksts"/>
            </w:pPr>
            <w:r w:rsidRPr="009814A9">
              <w:t>Pievienotās vērtības nodokļa ieņēmumi</w:t>
            </w:r>
          </w:p>
        </w:tc>
        <w:tc>
          <w:tcPr>
            <w:tcW w:w="974" w:type="dxa"/>
          </w:tcPr>
          <w:p w14:paraId="162FB589" w14:textId="77777777" w:rsidR="00D61CDB" w:rsidRPr="009814A9" w:rsidRDefault="00D61CDB" w:rsidP="001329C2">
            <w:pPr>
              <w:pStyle w:val="tabteksts"/>
              <w:jc w:val="center"/>
            </w:pPr>
            <w:r w:rsidRPr="009814A9">
              <w:t>-0,25</w:t>
            </w:r>
          </w:p>
        </w:tc>
        <w:tc>
          <w:tcPr>
            <w:tcW w:w="974" w:type="dxa"/>
          </w:tcPr>
          <w:p w14:paraId="3F5415B9" w14:textId="77777777" w:rsidR="00D61CDB" w:rsidRPr="009814A9" w:rsidRDefault="00E069FA" w:rsidP="001329C2">
            <w:pPr>
              <w:pStyle w:val="tabteksts"/>
              <w:jc w:val="center"/>
            </w:pPr>
            <w:r w:rsidRPr="000141D4">
              <w:t>+0,05</w:t>
            </w:r>
          </w:p>
        </w:tc>
        <w:tc>
          <w:tcPr>
            <w:tcW w:w="974" w:type="dxa"/>
          </w:tcPr>
          <w:p w14:paraId="17D22297" w14:textId="77777777" w:rsidR="00D61CDB" w:rsidRPr="009814A9" w:rsidRDefault="00E069FA" w:rsidP="001329C2">
            <w:pPr>
              <w:pStyle w:val="tabteksts"/>
              <w:jc w:val="center"/>
            </w:pPr>
            <w:r w:rsidRPr="000141D4">
              <w:t>+0,06</w:t>
            </w:r>
          </w:p>
        </w:tc>
        <w:tc>
          <w:tcPr>
            <w:tcW w:w="974" w:type="dxa"/>
          </w:tcPr>
          <w:p w14:paraId="7385C029" w14:textId="77777777" w:rsidR="00D61CDB" w:rsidRPr="009814A9" w:rsidRDefault="00E069FA" w:rsidP="001329C2">
            <w:pPr>
              <w:pStyle w:val="tabteksts"/>
              <w:jc w:val="center"/>
            </w:pPr>
            <w:r w:rsidRPr="000141D4">
              <w:t>+0,06</w:t>
            </w:r>
          </w:p>
        </w:tc>
      </w:tr>
      <w:tr w:rsidR="00D61CDB" w:rsidRPr="00016A8F" w14:paraId="2EB3A0A6" w14:textId="77777777" w:rsidTr="001329C2">
        <w:trPr>
          <w:jc w:val="center"/>
        </w:trPr>
        <w:tc>
          <w:tcPr>
            <w:tcW w:w="4691" w:type="dxa"/>
          </w:tcPr>
          <w:p w14:paraId="7B60A096" w14:textId="77777777" w:rsidR="00D61CDB" w:rsidRPr="00E01249" w:rsidRDefault="00D61CDB" w:rsidP="001329C2">
            <w:pPr>
              <w:pStyle w:val="tabteksts"/>
            </w:pPr>
            <w:r w:rsidRPr="00E01249">
              <w:lastRenderedPageBreak/>
              <w:t>Akcīzes nodoklis</w:t>
            </w:r>
          </w:p>
        </w:tc>
        <w:tc>
          <w:tcPr>
            <w:tcW w:w="974" w:type="dxa"/>
          </w:tcPr>
          <w:p w14:paraId="44FD9B98" w14:textId="77777777" w:rsidR="00D61CDB" w:rsidRPr="00E01249" w:rsidRDefault="00D61CDB" w:rsidP="001329C2">
            <w:pPr>
              <w:pStyle w:val="tabteksts"/>
              <w:jc w:val="center"/>
            </w:pPr>
            <w:r w:rsidRPr="00E01249">
              <w:t>-</w:t>
            </w:r>
            <w:r w:rsidR="00E069FA" w:rsidRPr="000141D4">
              <w:t>0,02</w:t>
            </w:r>
          </w:p>
        </w:tc>
        <w:tc>
          <w:tcPr>
            <w:tcW w:w="974" w:type="dxa"/>
          </w:tcPr>
          <w:p w14:paraId="5046EEDC" w14:textId="77777777" w:rsidR="00D61CDB" w:rsidRPr="00E01249" w:rsidRDefault="00D61CDB" w:rsidP="001329C2">
            <w:pPr>
              <w:pStyle w:val="tabteksts"/>
              <w:jc w:val="center"/>
            </w:pPr>
            <w:r w:rsidRPr="00E01249">
              <w:t>+0,</w:t>
            </w:r>
            <w:r w:rsidR="00E069FA" w:rsidRPr="000141D4">
              <w:t>01</w:t>
            </w:r>
          </w:p>
        </w:tc>
        <w:tc>
          <w:tcPr>
            <w:tcW w:w="974" w:type="dxa"/>
          </w:tcPr>
          <w:p w14:paraId="4C464331" w14:textId="77777777" w:rsidR="00D61CDB" w:rsidRPr="00E01249" w:rsidRDefault="00D61CDB" w:rsidP="001329C2">
            <w:pPr>
              <w:pStyle w:val="tabteksts"/>
              <w:jc w:val="center"/>
            </w:pPr>
            <w:r w:rsidRPr="00E01249">
              <w:t>-</w:t>
            </w:r>
          </w:p>
        </w:tc>
        <w:tc>
          <w:tcPr>
            <w:tcW w:w="974" w:type="dxa"/>
          </w:tcPr>
          <w:p w14:paraId="3E8C7D67" w14:textId="77777777" w:rsidR="00D61CDB" w:rsidRPr="00E01249" w:rsidRDefault="00D61CDB" w:rsidP="001329C2">
            <w:pPr>
              <w:pStyle w:val="tabteksts"/>
              <w:jc w:val="center"/>
            </w:pPr>
            <w:r w:rsidRPr="00E01249">
              <w:t>+0,</w:t>
            </w:r>
            <w:r w:rsidR="00E069FA" w:rsidRPr="000141D4">
              <w:t>01</w:t>
            </w:r>
          </w:p>
        </w:tc>
      </w:tr>
      <w:tr w:rsidR="00D61CDB" w:rsidRPr="00016A8F" w14:paraId="7472AC64" w14:textId="77777777" w:rsidTr="001329C2">
        <w:trPr>
          <w:jc w:val="center"/>
        </w:trPr>
        <w:tc>
          <w:tcPr>
            <w:tcW w:w="4691" w:type="dxa"/>
          </w:tcPr>
          <w:p w14:paraId="3C26DE0A" w14:textId="77777777" w:rsidR="00D61CDB" w:rsidRPr="00E01249" w:rsidRDefault="00D61CDB" w:rsidP="001329C2">
            <w:pPr>
              <w:pStyle w:val="tabteksts"/>
            </w:pPr>
            <w:r w:rsidRPr="00E01249">
              <w:t>Nekustamā īpašuma nodoklis</w:t>
            </w:r>
          </w:p>
        </w:tc>
        <w:tc>
          <w:tcPr>
            <w:tcW w:w="974" w:type="dxa"/>
          </w:tcPr>
          <w:p w14:paraId="3A210864" w14:textId="77777777" w:rsidR="00D61CDB" w:rsidRPr="00B31273" w:rsidRDefault="00D61CDB" w:rsidP="001329C2">
            <w:pPr>
              <w:pStyle w:val="tabteksts"/>
              <w:jc w:val="center"/>
            </w:pPr>
            <w:r w:rsidRPr="00B31273">
              <w:t>-0,001</w:t>
            </w:r>
          </w:p>
        </w:tc>
        <w:tc>
          <w:tcPr>
            <w:tcW w:w="974" w:type="dxa"/>
          </w:tcPr>
          <w:p w14:paraId="204BA73E" w14:textId="77777777" w:rsidR="00D61CDB" w:rsidRPr="00B31273" w:rsidRDefault="00D61CDB" w:rsidP="001329C2">
            <w:pPr>
              <w:pStyle w:val="tabteksts"/>
              <w:jc w:val="center"/>
            </w:pPr>
            <w:r w:rsidRPr="00B31273">
              <w:t>-</w:t>
            </w:r>
          </w:p>
        </w:tc>
        <w:tc>
          <w:tcPr>
            <w:tcW w:w="974" w:type="dxa"/>
          </w:tcPr>
          <w:p w14:paraId="115BB0DF" w14:textId="77777777" w:rsidR="00D61CDB" w:rsidRPr="00B31273" w:rsidRDefault="00D61CDB" w:rsidP="001329C2">
            <w:pPr>
              <w:pStyle w:val="tabteksts"/>
              <w:jc w:val="center"/>
            </w:pPr>
            <w:r w:rsidRPr="00B31273">
              <w:t>-</w:t>
            </w:r>
          </w:p>
        </w:tc>
        <w:tc>
          <w:tcPr>
            <w:tcW w:w="974" w:type="dxa"/>
          </w:tcPr>
          <w:p w14:paraId="059D0919" w14:textId="77777777" w:rsidR="00D61CDB" w:rsidRPr="00B31273" w:rsidRDefault="00D61CDB" w:rsidP="001329C2">
            <w:pPr>
              <w:pStyle w:val="tabteksts"/>
              <w:jc w:val="center"/>
            </w:pPr>
            <w:r w:rsidRPr="00B31273">
              <w:t>-</w:t>
            </w:r>
          </w:p>
        </w:tc>
      </w:tr>
      <w:tr w:rsidR="00D61CDB" w:rsidRPr="00016A8F" w14:paraId="784F75C4" w14:textId="77777777" w:rsidTr="001329C2">
        <w:trPr>
          <w:jc w:val="center"/>
        </w:trPr>
        <w:tc>
          <w:tcPr>
            <w:tcW w:w="4691" w:type="dxa"/>
          </w:tcPr>
          <w:p w14:paraId="6E4C6DE3" w14:textId="77777777" w:rsidR="00D61CDB" w:rsidRPr="00E01249" w:rsidRDefault="00D61CDB" w:rsidP="001329C2">
            <w:pPr>
              <w:pStyle w:val="tabteksts"/>
            </w:pPr>
            <w:r w:rsidRPr="00E01249">
              <w:t>Iedzīvotāju ienākuma nodoklis</w:t>
            </w:r>
          </w:p>
        </w:tc>
        <w:tc>
          <w:tcPr>
            <w:tcW w:w="974" w:type="dxa"/>
          </w:tcPr>
          <w:p w14:paraId="05209D85" w14:textId="77777777" w:rsidR="00D61CDB" w:rsidRPr="00E01249" w:rsidRDefault="00D61CDB" w:rsidP="001329C2">
            <w:pPr>
              <w:pStyle w:val="tabteksts"/>
              <w:jc w:val="center"/>
            </w:pPr>
            <w:r>
              <w:t>-0,18</w:t>
            </w:r>
          </w:p>
        </w:tc>
        <w:tc>
          <w:tcPr>
            <w:tcW w:w="974" w:type="dxa"/>
          </w:tcPr>
          <w:p w14:paraId="4F47BB20" w14:textId="77777777" w:rsidR="00D61CDB" w:rsidRPr="00E01249" w:rsidRDefault="00D61CDB" w:rsidP="001329C2">
            <w:pPr>
              <w:pStyle w:val="tabteksts"/>
              <w:jc w:val="center"/>
            </w:pPr>
            <w:r w:rsidRPr="00E01249">
              <w:t>-0,</w:t>
            </w:r>
            <w:r w:rsidR="00E069FA" w:rsidRPr="000141D4">
              <w:t>39</w:t>
            </w:r>
          </w:p>
        </w:tc>
        <w:tc>
          <w:tcPr>
            <w:tcW w:w="974" w:type="dxa"/>
          </w:tcPr>
          <w:p w14:paraId="0DE2A33A" w14:textId="77777777" w:rsidR="00D61CDB" w:rsidRPr="00E01249" w:rsidRDefault="00D61CDB" w:rsidP="001329C2">
            <w:pPr>
              <w:pStyle w:val="tabteksts"/>
              <w:jc w:val="center"/>
            </w:pPr>
            <w:r>
              <w:t>-0,</w:t>
            </w:r>
            <w:r w:rsidR="00E069FA" w:rsidRPr="000141D4">
              <w:t>39</w:t>
            </w:r>
          </w:p>
        </w:tc>
        <w:tc>
          <w:tcPr>
            <w:tcW w:w="974" w:type="dxa"/>
          </w:tcPr>
          <w:p w14:paraId="4A9CB16D" w14:textId="77777777" w:rsidR="00D61CDB" w:rsidRPr="00E01249" w:rsidRDefault="00E069FA" w:rsidP="001329C2">
            <w:pPr>
              <w:pStyle w:val="tabteksts"/>
              <w:jc w:val="center"/>
            </w:pPr>
            <w:r w:rsidRPr="000141D4">
              <w:t>+0,02</w:t>
            </w:r>
          </w:p>
        </w:tc>
      </w:tr>
      <w:tr w:rsidR="00D61CDB" w:rsidRPr="00016A8F" w14:paraId="234E18AE" w14:textId="77777777" w:rsidTr="001329C2">
        <w:trPr>
          <w:jc w:val="center"/>
        </w:trPr>
        <w:tc>
          <w:tcPr>
            <w:tcW w:w="4691" w:type="dxa"/>
          </w:tcPr>
          <w:p w14:paraId="1B65D1DF" w14:textId="77777777" w:rsidR="00D61CDB" w:rsidRPr="00E01249" w:rsidRDefault="00D61CDB" w:rsidP="001329C2">
            <w:pPr>
              <w:pStyle w:val="tabteksts"/>
            </w:pPr>
            <w:r w:rsidRPr="00E01249">
              <w:t>Sociālās apdrošināšanas iemaksas</w:t>
            </w:r>
          </w:p>
        </w:tc>
        <w:tc>
          <w:tcPr>
            <w:tcW w:w="974" w:type="dxa"/>
          </w:tcPr>
          <w:p w14:paraId="2C31209E" w14:textId="77777777" w:rsidR="00D61CDB" w:rsidRPr="00E01249" w:rsidRDefault="00D61CDB" w:rsidP="001329C2">
            <w:pPr>
              <w:pStyle w:val="tabteksts"/>
              <w:jc w:val="center"/>
            </w:pPr>
            <w:r>
              <w:t>-0,32</w:t>
            </w:r>
          </w:p>
        </w:tc>
        <w:tc>
          <w:tcPr>
            <w:tcW w:w="974" w:type="dxa"/>
          </w:tcPr>
          <w:p w14:paraId="73BD279C" w14:textId="77777777" w:rsidR="00D61CDB" w:rsidRPr="00B2163F" w:rsidRDefault="00D61CDB" w:rsidP="001329C2">
            <w:pPr>
              <w:pStyle w:val="tabteksts"/>
              <w:jc w:val="center"/>
            </w:pPr>
            <w:r w:rsidRPr="00B2163F">
              <w:t>-0,</w:t>
            </w:r>
            <w:r w:rsidR="00E069FA" w:rsidRPr="000141D4">
              <w:t>50</w:t>
            </w:r>
          </w:p>
        </w:tc>
        <w:tc>
          <w:tcPr>
            <w:tcW w:w="974" w:type="dxa"/>
          </w:tcPr>
          <w:p w14:paraId="3AA58030" w14:textId="77777777" w:rsidR="00D61CDB" w:rsidRPr="00B2163F" w:rsidRDefault="00D61CDB" w:rsidP="001329C2">
            <w:pPr>
              <w:pStyle w:val="tabteksts"/>
              <w:jc w:val="center"/>
            </w:pPr>
            <w:r>
              <w:t>-0,</w:t>
            </w:r>
            <w:r w:rsidR="00E069FA" w:rsidRPr="000141D4">
              <w:t>66</w:t>
            </w:r>
          </w:p>
        </w:tc>
        <w:tc>
          <w:tcPr>
            <w:tcW w:w="974" w:type="dxa"/>
          </w:tcPr>
          <w:p w14:paraId="7A33764B" w14:textId="77777777" w:rsidR="00D61CDB" w:rsidRPr="00B2163F" w:rsidRDefault="00E069FA" w:rsidP="001329C2">
            <w:pPr>
              <w:pStyle w:val="tabteksts"/>
              <w:jc w:val="center"/>
            </w:pPr>
            <w:r w:rsidRPr="000141D4">
              <w:t>+0,04</w:t>
            </w:r>
          </w:p>
        </w:tc>
      </w:tr>
      <w:tr w:rsidR="00D61CDB" w:rsidRPr="00016A8F" w14:paraId="45C23EBE" w14:textId="77777777" w:rsidTr="001329C2">
        <w:trPr>
          <w:jc w:val="center"/>
        </w:trPr>
        <w:tc>
          <w:tcPr>
            <w:tcW w:w="4691" w:type="dxa"/>
          </w:tcPr>
          <w:p w14:paraId="06158163" w14:textId="77777777" w:rsidR="00D61CDB" w:rsidRPr="00E01249" w:rsidRDefault="00D61CDB" w:rsidP="001329C2">
            <w:pPr>
              <w:pStyle w:val="tabteksts"/>
            </w:pPr>
            <w:r w:rsidRPr="00E01249">
              <w:t>Uzņēmumu ienākuma nodoklis</w:t>
            </w:r>
          </w:p>
        </w:tc>
        <w:tc>
          <w:tcPr>
            <w:tcW w:w="974" w:type="dxa"/>
          </w:tcPr>
          <w:p w14:paraId="021172F5" w14:textId="77777777" w:rsidR="00D61CDB" w:rsidRPr="00E01249" w:rsidRDefault="00D61CDB" w:rsidP="001329C2">
            <w:pPr>
              <w:pStyle w:val="tabteksts"/>
              <w:jc w:val="center"/>
            </w:pPr>
            <w:r>
              <w:t>-</w:t>
            </w:r>
            <w:r w:rsidRPr="00E01249">
              <w:t>0,02</w:t>
            </w:r>
          </w:p>
        </w:tc>
        <w:tc>
          <w:tcPr>
            <w:tcW w:w="974" w:type="dxa"/>
          </w:tcPr>
          <w:p w14:paraId="7273D91F" w14:textId="77777777" w:rsidR="00D61CDB" w:rsidRPr="00E01249" w:rsidRDefault="00D61CDB" w:rsidP="001329C2">
            <w:pPr>
              <w:pStyle w:val="tabteksts"/>
              <w:jc w:val="center"/>
            </w:pPr>
            <w:r>
              <w:t>-0,</w:t>
            </w:r>
            <w:r w:rsidR="00E069FA" w:rsidRPr="000141D4">
              <w:t>03</w:t>
            </w:r>
          </w:p>
        </w:tc>
        <w:tc>
          <w:tcPr>
            <w:tcW w:w="974" w:type="dxa"/>
          </w:tcPr>
          <w:p w14:paraId="615D7C56" w14:textId="77777777" w:rsidR="00D61CDB" w:rsidRPr="00E01249" w:rsidRDefault="00E069FA" w:rsidP="001329C2">
            <w:pPr>
              <w:pStyle w:val="tabteksts"/>
              <w:jc w:val="center"/>
            </w:pPr>
            <w:r w:rsidRPr="000141D4">
              <w:t>+0,03</w:t>
            </w:r>
          </w:p>
        </w:tc>
        <w:tc>
          <w:tcPr>
            <w:tcW w:w="974" w:type="dxa"/>
          </w:tcPr>
          <w:p w14:paraId="5A77ECBF" w14:textId="77777777" w:rsidR="00D61CDB" w:rsidRPr="00E01249" w:rsidRDefault="00E069FA" w:rsidP="001329C2">
            <w:pPr>
              <w:pStyle w:val="tabteksts"/>
              <w:jc w:val="center"/>
            </w:pPr>
            <w:r w:rsidRPr="000141D4">
              <w:t>+0,03</w:t>
            </w:r>
          </w:p>
        </w:tc>
      </w:tr>
      <w:tr w:rsidR="00D61CDB" w:rsidRPr="00016A8F" w14:paraId="3576AE87" w14:textId="77777777" w:rsidTr="001329C2">
        <w:trPr>
          <w:jc w:val="center"/>
        </w:trPr>
        <w:tc>
          <w:tcPr>
            <w:tcW w:w="4691" w:type="dxa"/>
            <w:tcBorders>
              <w:bottom w:val="double" w:sz="6" w:space="0" w:color="auto"/>
            </w:tcBorders>
          </w:tcPr>
          <w:p w14:paraId="47EDD351" w14:textId="77777777" w:rsidR="00D61CDB" w:rsidRPr="00FE47DA" w:rsidRDefault="00D61CDB" w:rsidP="001329C2">
            <w:pPr>
              <w:pStyle w:val="tabteksts"/>
            </w:pPr>
            <w:r w:rsidRPr="00FE47DA">
              <w:t>Transportlīdzekļu ekspluatācijas nodoklis</w:t>
            </w:r>
          </w:p>
        </w:tc>
        <w:tc>
          <w:tcPr>
            <w:tcW w:w="974" w:type="dxa"/>
            <w:tcBorders>
              <w:bottom w:val="double" w:sz="6" w:space="0" w:color="auto"/>
            </w:tcBorders>
          </w:tcPr>
          <w:p w14:paraId="09D0B188" w14:textId="77777777" w:rsidR="00D61CDB" w:rsidRPr="00A2609A" w:rsidRDefault="00D61CDB" w:rsidP="001329C2">
            <w:pPr>
              <w:pStyle w:val="tabteksts"/>
              <w:jc w:val="center"/>
              <w:rPr>
                <w:b/>
              </w:rPr>
            </w:pPr>
            <w:r>
              <w:rPr>
                <w:b/>
              </w:rPr>
              <w:t>-</w:t>
            </w:r>
          </w:p>
        </w:tc>
        <w:tc>
          <w:tcPr>
            <w:tcW w:w="974" w:type="dxa"/>
            <w:tcBorders>
              <w:bottom w:val="double" w:sz="6" w:space="0" w:color="auto"/>
            </w:tcBorders>
          </w:tcPr>
          <w:p w14:paraId="26375F7C" w14:textId="77777777" w:rsidR="00D61CDB" w:rsidRPr="00FE47DA" w:rsidRDefault="00D61CDB" w:rsidP="001329C2">
            <w:pPr>
              <w:pStyle w:val="tabteksts"/>
              <w:jc w:val="center"/>
            </w:pPr>
            <w:r>
              <w:t>-0,004</w:t>
            </w:r>
          </w:p>
        </w:tc>
        <w:tc>
          <w:tcPr>
            <w:tcW w:w="974" w:type="dxa"/>
            <w:tcBorders>
              <w:bottom w:val="double" w:sz="6" w:space="0" w:color="auto"/>
            </w:tcBorders>
          </w:tcPr>
          <w:p w14:paraId="3556F0EA" w14:textId="77777777" w:rsidR="00D61CDB" w:rsidRPr="00A2609A" w:rsidRDefault="00D61CDB" w:rsidP="001329C2">
            <w:pPr>
              <w:pStyle w:val="tabteksts"/>
              <w:jc w:val="center"/>
              <w:rPr>
                <w:b/>
              </w:rPr>
            </w:pPr>
            <w:r>
              <w:rPr>
                <w:b/>
              </w:rPr>
              <w:t>-</w:t>
            </w:r>
          </w:p>
        </w:tc>
        <w:tc>
          <w:tcPr>
            <w:tcW w:w="974" w:type="dxa"/>
            <w:tcBorders>
              <w:bottom w:val="double" w:sz="6" w:space="0" w:color="auto"/>
            </w:tcBorders>
          </w:tcPr>
          <w:p w14:paraId="636504D1" w14:textId="77777777" w:rsidR="00D61CDB" w:rsidRPr="00FE47DA" w:rsidRDefault="00D61CDB" w:rsidP="001329C2">
            <w:pPr>
              <w:pStyle w:val="tabteksts"/>
              <w:jc w:val="center"/>
            </w:pPr>
            <w:r w:rsidRPr="00FE47DA">
              <w:t>-</w:t>
            </w:r>
            <w:r>
              <w:t>0,11</w:t>
            </w:r>
          </w:p>
        </w:tc>
      </w:tr>
      <w:tr w:rsidR="00D61CDB" w:rsidRPr="00016A8F" w14:paraId="2E03C0D1" w14:textId="77777777" w:rsidTr="001329C2">
        <w:trPr>
          <w:jc w:val="center"/>
        </w:trPr>
        <w:tc>
          <w:tcPr>
            <w:tcW w:w="4691" w:type="dxa"/>
            <w:tcBorders>
              <w:bottom w:val="double" w:sz="6" w:space="0" w:color="auto"/>
            </w:tcBorders>
          </w:tcPr>
          <w:p w14:paraId="25123A66" w14:textId="77777777" w:rsidR="00D61CDB" w:rsidRPr="00A2609A" w:rsidRDefault="00D61CDB" w:rsidP="001329C2">
            <w:pPr>
              <w:pStyle w:val="tabteksts"/>
              <w:rPr>
                <w:b/>
              </w:rPr>
            </w:pPr>
            <w:r w:rsidRPr="00A2609A">
              <w:rPr>
                <w:b/>
              </w:rPr>
              <w:t>Izmaiņu ietekme kopā:</w:t>
            </w:r>
          </w:p>
        </w:tc>
        <w:tc>
          <w:tcPr>
            <w:tcW w:w="974" w:type="dxa"/>
            <w:tcBorders>
              <w:bottom w:val="double" w:sz="6" w:space="0" w:color="auto"/>
            </w:tcBorders>
          </w:tcPr>
          <w:p w14:paraId="47572E3A" w14:textId="77777777" w:rsidR="00D61CDB" w:rsidRPr="00A2609A" w:rsidRDefault="00D61CDB" w:rsidP="001329C2">
            <w:pPr>
              <w:pStyle w:val="tabteksts"/>
              <w:jc w:val="center"/>
              <w:rPr>
                <w:b/>
              </w:rPr>
            </w:pPr>
            <w:r w:rsidRPr="00A2609A">
              <w:rPr>
                <w:b/>
              </w:rPr>
              <w:t>-0,</w:t>
            </w:r>
            <w:r w:rsidR="00E069FA" w:rsidRPr="000141D4">
              <w:rPr>
                <w:b/>
              </w:rPr>
              <w:t>78</w:t>
            </w:r>
          </w:p>
        </w:tc>
        <w:tc>
          <w:tcPr>
            <w:tcW w:w="974" w:type="dxa"/>
            <w:tcBorders>
              <w:bottom w:val="double" w:sz="6" w:space="0" w:color="auto"/>
            </w:tcBorders>
          </w:tcPr>
          <w:p w14:paraId="7695325F" w14:textId="77777777" w:rsidR="00D61CDB" w:rsidRPr="00A2609A" w:rsidRDefault="00D61CDB" w:rsidP="001329C2">
            <w:pPr>
              <w:pStyle w:val="tabteksts"/>
              <w:jc w:val="center"/>
              <w:rPr>
                <w:b/>
              </w:rPr>
            </w:pPr>
            <w:r w:rsidRPr="00A2609A">
              <w:rPr>
                <w:b/>
              </w:rPr>
              <w:t>-0,</w:t>
            </w:r>
            <w:r w:rsidR="00E069FA" w:rsidRPr="000141D4">
              <w:rPr>
                <w:b/>
              </w:rPr>
              <w:t>85</w:t>
            </w:r>
          </w:p>
        </w:tc>
        <w:tc>
          <w:tcPr>
            <w:tcW w:w="974" w:type="dxa"/>
            <w:tcBorders>
              <w:bottom w:val="double" w:sz="6" w:space="0" w:color="auto"/>
            </w:tcBorders>
          </w:tcPr>
          <w:p w14:paraId="54BA5568" w14:textId="77777777" w:rsidR="00D61CDB" w:rsidRPr="00A2609A" w:rsidRDefault="00D61CDB" w:rsidP="001329C2">
            <w:pPr>
              <w:pStyle w:val="tabteksts"/>
              <w:jc w:val="center"/>
              <w:rPr>
                <w:b/>
              </w:rPr>
            </w:pPr>
            <w:r w:rsidRPr="00A2609A">
              <w:rPr>
                <w:b/>
              </w:rPr>
              <w:t>-</w:t>
            </w:r>
            <w:r w:rsidR="00E069FA" w:rsidRPr="000141D4">
              <w:rPr>
                <w:b/>
              </w:rPr>
              <w:t>0,96</w:t>
            </w:r>
          </w:p>
        </w:tc>
        <w:tc>
          <w:tcPr>
            <w:tcW w:w="974" w:type="dxa"/>
            <w:tcBorders>
              <w:bottom w:val="double" w:sz="6" w:space="0" w:color="auto"/>
            </w:tcBorders>
          </w:tcPr>
          <w:p w14:paraId="0B6B4A08" w14:textId="77777777" w:rsidR="00D61CDB" w:rsidRPr="00A2609A" w:rsidRDefault="00D61CDB" w:rsidP="001329C2">
            <w:pPr>
              <w:pStyle w:val="tabteksts"/>
              <w:jc w:val="center"/>
              <w:rPr>
                <w:b/>
              </w:rPr>
            </w:pPr>
            <w:r>
              <w:rPr>
                <w:b/>
              </w:rPr>
              <w:t>0,</w:t>
            </w:r>
            <w:r w:rsidR="00E069FA" w:rsidRPr="000141D4">
              <w:rPr>
                <w:b/>
              </w:rPr>
              <w:t>05</w:t>
            </w:r>
          </w:p>
        </w:tc>
      </w:tr>
    </w:tbl>
    <w:p w14:paraId="6108D655" w14:textId="77777777" w:rsidR="00D61CDB" w:rsidRPr="00BB0C27" w:rsidRDefault="00D61CDB" w:rsidP="00D61CDB"/>
    <w:p w14:paraId="2B1374DD" w14:textId="77777777" w:rsidR="00D61CDB" w:rsidRDefault="00D61CDB" w:rsidP="00D61CDB">
      <w:pPr>
        <w:rPr>
          <w:iCs/>
        </w:rPr>
      </w:pPr>
      <w:r>
        <w:rPr>
          <w:iCs/>
        </w:rPr>
        <w:t>Lai samazinātu nodokļu slogu zemo algu saņēmējiem un veicinātu nodarbinātības pievilcību salīdzinājumā ar sociālo transfertu saņemšanu, 2014. gada budžeta procesa ietvaros ir paredzama diskusija par šādu priekšlikumu paketi:</w:t>
      </w:r>
    </w:p>
    <w:p w14:paraId="24771109" w14:textId="77777777" w:rsidR="00D61CDB" w:rsidRDefault="00D61CDB" w:rsidP="00D61CDB">
      <w:pPr>
        <w:numPr>
          <w:ilvl w:val="0"/>
          <w:numId w:val="13"/>
        </w:numPr>
        <w:spacing w:after="0"/>
        <w:rPr>
          <w:iCs/>
        </w:rPr>
      </w:pPr>
      <w:r>
        <w:rPr>
          <w:iCs/>
        </w:rPr>
        <w:t>Minimālās algas palielināšana;</w:t>
      </w:r>
    </w:p>
    <w:p w14:paraId="06D55C71" w14:textId="77777777" w:rsidR="00D61CDB" w:rsidRDefault="00D61CDB" w:rsidP="00D61CDB">
      <w:pPr>
        <w:numPr>
          <w:ilvl w:val="0"/>
          <w:numId w:val="13"/>
        </w:numPr>
        <w:spacing w:after="0"/>
        <w:rPr>
          <w:iCs/>
        </w:rPr>
      </w:pPr>
      <w:r>
        <w:rPr>
          <w:iCs/>
        </w:rPr>
        <w:t>Atvieglojuma par apgādībā esošu personu palielināšana;</w:t>
      </w:r>
    </w:p>
    <w:p w14:paraId="42480A2E" w14:textId="4931B308" w:rsidR="00D61CDB" w:rsidRPr="00753A83" w:rsidRDefault="00D61CDB" w:rsidP="00D61CDB">
      <w:pPr>
        <w:numPr>
          <w:ilvl w:val="0"/>
          <w:numId w:val="13"/>
        </w:numPr>
        <w:rPr>
          <w:iCs/>
        </w:rPr>
      </w:pPr>
      <w:r>
        <w:rPr>
          <w:iCs/>
        </w:rPr>
        <w:t>Neapliekamā minimuma palielināšana zemo algu saņēmējiem, lai nodroši</w:t>
      </w:r>
      <w:r w:rsidR="007F1AA1">
        <w:rPr>
          <w:iCs/>
        </w:rPr>
        <w:t>nātu izteiktāku progresivitāti iedzīvotāju ienākuma nodokļa sistēmā.</w:t>
      </w:r>
    </w:p>
    <w:p w14:paraId="60BB6A37" w14:textId="77777777" w:rsidR="00D61CDB" w:rsidRDefault="00D61CDB" w:rsidP="00D61CDB">
      <w:pPr>
        <w:rPr>
          <w:iCs/>
        </w:rPr>
      </w:pPr>
      <w:r>
        <w:rPr>
          <w:iCs/>
        </w:rPr>
        <w:t>Neapliekamais minimums varētu tikt palielināts minimālās algas saņēmējiem. Darbiniekiem, kas saņem virs minimālās algas, palielinātais neapliekamais minimums varētu tikt samazināts proporcionāli no ienākuma, kas pārsniedz minimālo algu, bet ne zemāk kā pašreizējie Ls 45 mēnesī.</w:t>
      </w:r>
    </w:p>
    <w:p w14:paraId="10E6A237" w14:textId="77777777" w:rsidR="00D61CDB" w:rsidRDefault="00D61CDB" w:rsidP="00D61CDB">
      <w:pPr>
        <w:rPr>
          <w:iCs/>
        </w:rPr>
      </w:pPr>
      <w:r>
        <w:rPr>
          <w:iCs/>
        </w:rPr>
        <w:t>Paredzams, ka minimālās algas palielināšana atstās pozitīvu ietekmi uz „aplokšņu algu” samazināšanu, daļēji kompensējot nodokļu ieņēmumu samazinājumu, kas rodas no neapliekamā minimuma un atvieglojuma par apgādībā esošas personas palielināšanu.</w:t>
      </w:r>
    </w:p>
    <w:p w14:paraId="7AE9D079" w14:textId="77777777" w:rsidR="00D61CDB" w:rsidRDefault="00D61CDB" w:rsidP="00D61CDB">
      <w:pPr>
        <w:rPr>
          <w:iCs/>
        </w:rPr>
      </w:pPr>
      <w:r>
        <w:rPr>
          <w:iCs/>
        </w:rPr>
        <w:t>Neapliekamā minimuma proporcionalitātes piemērošana atstās pozitīvu iespaidu uz zemo algu saņēmējiem un paredzams, ka mazinās atkarību no sociālajiem pabalstiem.</w:t>
      </w:r>
    </w:p>
    <w:p w14:paraId="76EFB082" w14:textId="77777777" w:rsidR="00D61CDB" w:rsidRPr="00BB4C96" w:rsidRDefault="00D61CDB" w:rsidP="00D61CDB">
      <w:r w:rsidRPr="00BB4C96">
        <w:t>Nodokļu sloga izmaiņu priekšlikumi tiks izstrādāti skatot tos kopumā, kā arī ņemot vērā gan savstarpēju ietekmi, gan ietekmi uz fiskālo mērķu sasniegšanu. Ievērojot fiskālo atbildību, tiks noteikta tālākā rīcība saskaņā ar Ikgadējā izaugsmes ziņojumā un Eiro Plus paktā minētajām prioritātēm, ņemot vērā mērķi prioritāri samazināt nodokļu slogu darbaspēkam.</w:t>
      </w:r>
    </w:p>
    <w:p w14:paraId="6453637C" w14:textId="77777777" w:rsidR="00E069FA" w:rsidRPr="000141D4" w:rsidRDefault="00E069FA" w:rsidP="00E069FA">
      <w:r w:rsidRPr="000141D4">
        <w:t>Papildu ieņēmumi paredzami, uzlabojot uzņēmumu reģistrācijas kārtību, t.i., samazinot „fiktīvo” uzņēmumu rašanos, kuri lielākoties tiek dibināti dalībai nodokļu krāpšanas shēmās, tādējādi samazi</w:t>
      </w:r>
      <w:r w:rsidR="0061488E">
        <w:t>not nodokļu izkrāpšanas riskus.</w:t>
      </w:r>
      <w:r w:rsidRPr="000141D4">
        <w:t xml:space="preserve"> Tāpat arī paredzami papildus ieņēmumi, pilnveidojot aplokšņu algu novēršanas pasākumus, jo īpaši cīnoties ar tiem nodokļu maksātājiem, kuri nodokļu jomā esošo regulējumu nepiemēro atbilstoši tā ekonomiskai būtībai.</w:t>
      </w:r>
    </w:p>
    <w:p w14:paraId="6E1C7A6A" w14:textId="77777777" w:rsidR="00D61CDB" w:rsidRPr="00BB0C27" w:rsidRDefault="00D61CDB" w:rsidP="00BB0C27">
      <w:pPr>
        <w:ind w:left="567" w:firstLine="0"/>
        <w:jc w:val="left"/>
        <w:outlineLvl w:val="3"/>
        <w:rPr>
          <w:b/>
          <w:sz w:val="28"/>
          <w:highlight w:val="yellow"/>
        </w:rPr>
      </w:pPr>
    </w:p>
    <w:p w14:paraId="559123B3" w14:textId="77777777" w:rsidR="00D61CDB" w:rsidRPr="00DD7686" w:rsidRDefault="00D61CDB" w:rsidP="00D61CDB">
      <w:pPr>
        <w:ind w:left="567" w:firstLine="0"/>
        <w:jc w:val="left"/>
        <w:outlineLvl w:val="3"/>
        <w:rPr>
          <w:b/>
          <w:szCs w:val="24"/>
        </w:rPr>
      </w:pPr>
      <w:r w:rsidRPr="00DD7686">
        <w:rPr>
          <w:b/>
          <w:szCs w:val="24"/>
        </w:rPr>
        <w:t>Pievienotās vērtības nodoklis</w:t>
      </w:r>
    </w:p>
    <w:p w14:paraId="3C137926" w14:textId="77777777" w:rsidR="00D61CDB" w:rsidRDefault="00D61CDB" w:rsidP="00D61CDB">
      <w:pPr>
        <w:rPr>
          <w:iCs/>
        </w:rPr>
      </w:pPr>
      <w:r w:rsidRPr="00980FC5">
        <w:t xml:space="preserve">Būtisku īpatsvaru kopējos nodokļu ieņēmumos veido pievienotās vērtības nodokļa ieņēmumi. </w:t>
      </w:r>
      <w:r w:rsidRPr="00F40FE1">
        <w:t>Ekonomikas izaugsmes gados pievienotās vērtības nodokļa ieņēmumiem ir bijis augsts pieauguma temps</w:t>
      </w:r>
      <w:r>
        <w:t>, taču</w:t>
      </w:r>
      <w:r w:rsidRPr="00F40FE1">
        <w:t xml:space="preserve"> 2008. gadā uzsākoties </w:t>
      </w:r>
      <w:r>
        <w:t>ekonomikas lejupslīdei, ko raksturo</w:t>
      </w:r>
      <w:r w:rsidRPr="00F40FE1">
        <w:t xml:space="preserve"> mazumtirdzniecības apgrozījuma sarukum</w:t>
      </w:r>
      <w:r>
        <w:t>s</w:t>
      </w:r>
      <w:r w:rsidRPr="00F40FE1">
        <w:t>, kā arī saimnieciskās darbības apjomu kritum</w:t>
      </w:r>
      <w:r>
        <w:t>s</w:t>
      </w:r>
      <w:r w:rsidRPr="00F40FE1">
        <w:t xml:space="preserve"> un importa apjomu kritum</w:t>
      </w:r>
      <w:r>
        <w:t>s</w:t>
      </w:r>
      <w:r w:rsidRPr="00F40FE1">
        <w:t>, pievienotās vērtības nodokļa ieņēmumi samazināj</w:t>
      </w:r>
      <w:r>
        <w:t>ā</w:t>
      </w:r>
      <w:r w:rsidRPr="00F40FE1">
        <w:t xml:space="preserve">s. Turklāt </w:t>
      </w:r>
      <w:r w:rsidRPr="00F40FE1">
        <w:lastRenderedPageBreak/>
        <w:t xml:space="preserve">ekonomiskās krīzes ietekme ir bijusi tik ievērojama, ka pievienotās vērtības nodokļa </w:t>
      </w:r>
      <w:proofErr w:type="spellStart"/>
      <w:r w:rsidRPr="00F40FE1">
        <w:t>standartlikme</w:t>
      </w:r>
      <w:r>
        <w:t>s</w:t>
      </w:r>
      <w:proofErr w:type="spellEnd"/>
      <w:r w:rsidRPr="00F40FE1">
        <w:t xml:space="preserve"> paaugstinā</w:t>
      </w:r>
      <w:r>
        <w:t>šana</w:t>
      </w:r>
      <w:r>
        <w:rPr>
          <w:rStyle w:val="FootnoteReference"/>
        </w:rPr>
        <w:footnoteReference w:id="14"/>
      </w:r>
      <w:r w:rsidRPr="00F40FE1">
        <w:t xml:space="preserve"> nespēja kompensēt to ieņēmumu samazinājumu, kas radās ekonomiskās lejupslīdes rezultātā. </w:t>
      </w:r>
      <w:r w:rsidRPr="00F40FE1">
        <w:rPr>
          <w:iCs/>
        </w:rPr>
        <w:t>Pēc ekonomiskās lejupslīdes</w:t>
      </w:r>
      <w:r w:rsidRPr="00980FC5">
        <w:rPr>
          <w:iCs/>
        </w:rPr>
        <w:t>, ekonomikai sekmīgi attīstoties</w:t>
      </w:r>
      <w:r w:rsidRPr="00877E49">
        <w:rPr>
          <w:iCs/>
        </w:rPr>
        <w:t xml:space="preserve">, </w:t>
      </w:r>
      <w:r w:rsidRPr="00980FC5">
        <w:rPr>
          <w:iCs/>
        </w:rPr>
        <w:t>kopš 201</w:t>
      </w:r>
      <w:r>
        <w:rPr>
          <w:iCs/>
        </w:rPr>
        <w:t>1</w:t>
      </w:r>
      <w:r w:rsidRPr="00980FC5">
        <w:rPr>
          <w:iCs/>
        </w:rPr>
        <w:t xml:space="preserve">. gada </w:t>
      </w:r>
      <w:r>
        <w:rPr>
          <w:iCs/>
        </w:rPr>
        <w:t xml:space="preserve">pievienotās vērtības </w:t>
      </w:r>
      <w:r w:rsidRPr="00980FC5">
        <w:rPr>
          <w:iCs/>
        </w:rPr>
        <w:t>nodokļa ieņēmumi ir būtiski pieauguši</w:t>
      </w:r>
      <w:r>
        <w:rPr>
          <w:iCs/>
        </w:rPr>
        <w:t>.</w:t>
      </w:r>
      <w:r w:rsidRPr="002E6DCE">
        <w:t xml:space="preserve"> </w:t>
      </w:r>
      <w:r w:rsidRPr="002E6DCE">
        <w:rPr>
          <w:iCs/>
        </w:rPr>
        <w:t>2012.</w:t>
      </w:r>
      <w:r>
        <w:rPr>
          <w:iCs/>
        </w:rPr>
        <w:t> </w:t>
      </w:r>
      <w:r w:rsidRPr="002E6DCE">
        <w:rPr>
          <w:iCs/>
        </w:rPr>
        <w:t xml:space="preserve">gadā </w:t>
      </w:r>
      <w:r>
        <w:rPr>
          <w:iCs/>
        </w:rPr>
        <w:t>pievienotās vērtības</w:t>
      </w:r>
      <w:r w:rsidRPr="002E6DCE">
        <w:rPr>
          <w:iCs/>
        </w:rPr>
        <w:t xml:space="preserve"> nodokļa ieņēmumi pieauga par </w:t>
      </w:r>
      <w:r>
        <w:rPr>
          <w:iCs/>
        </w:rPr>
        <w:t>16</w:t>
      </w:r>
      <w:r w:rsidRPr="002E6DCE">
        <w:rPr>
          <w:iCs/>
        </w:rPr>
        <w:t>,</w:t>
      </w:r>
      <w:r>
        <w:rPr>
          <w:iCs/>
        </w:rPr>
        <w:t>5 </w:t>
      </w:r>
      <w:r w:rsidRPr="002E6DCE">
        <w:rPr>
          <w:iCs/>
        </w:rPr>
        <w:t>% attiecībā pret 2011.</w:t>
      </w:r>
      <w:r>
        <w:rPr>
          <w:iCs/>
        </w:rPr>
        <w:t> </w:t>
      </w:r>
      <w:r w:rsidRPr="002E6DCE">
        <w:rPr>
          <w:iCs/>
        </w:rPr>
        <w:t>gadu.</w:t>
      </w:r>
    </w:p>
    <w:p w14:paraId="521B6897" w14:textId="77777777" w:rsidR="00D61CDB" w:rsidRDefault="00D61CDB" w:rsidP="00D61CDB">
      <w:pPr>
        <w:rPr>
          <w:szCs w:val="24"/>
        </w:rPr>
      </w:pPr>
      <w:r w:rsidRPr="00F753A3">
        <w:rPr>
          <w:szCs w:val="24"/>
        </w:rPr>
        <w:t xml:space="preserve">Lai tuvinātu netiešo nodokļu likmes ar kaimiņvalstīm, kas sekmētu īpaši Latvijas pakalpojumu sektora reģionālo konkurētspēju un mazinātu pasaules cenu kāpuma izraisīto inflācijas spiedienu uz mazāk turīgiem iedzīvotājiem, ar 2012.gada 1.jūliju tika samazināta PVN </w:t>
      </w:r>
      <w:proofErr w:type="spellStart"/>
      <w:r w:rsidRPr="00F753A3">
        <w:rPr>
          <w:szCs w:val="24"/>
        </w:rPr>
        <w:t>standartlikme</w:t>
      </w:r>
      <w:proofErr w:type="spellEnd"/>
      <w:r w:rsidRPr="00F753A3">
        <w:rPr>
          <w:szCs w:val="24"/>
        </w:rPr>
        <w:t xml:space="preserve"> no 22% uz 21</w:t>
      </w:r>
      <w:r>
        <w:rPr>
          <w:szCs w:val="24"/>
        </w:rPr>
        <w:t> procentu</w:t>
      </w:r>
      <w:r w:rsidRPr="00F753A3">
        <w:rPr>
          <w:szCs w:val="24"/>
        </w:rPr>
        <w:t xml:space="preserve">. </w:t>
      </w:r>
    </w:p>
    <w:p w14:paraId="00885522" w14:textId="77777777" w:rsidR="00D61CDB" w:rsidRPr="00D0321A" w:rsidRDefault="00D61CDB" w:rsidP="00D61CDB">
      <w:r w:rsidRPr="00D0321A">
        <w:t>Ekonomikai attīstoties, 2013. gadā tiek prognozēts, ka pievienotās vērtības nodokļa ieņēmumi pieaugs par 3,0 % salīdzinājumā ar 2012. gadu.</w:t>
      </w:r>
    </w:p>
    <w:p w14:paraId="09369887" w14:textId="77777777" w:rsidR="00D61CDB" w:rsidRPr="009A21ED" w:rsidRDefault="00D61CDB" w:rsidP="00D61CDB">
      <w:pPr>
        <w:rPr>
          <w:szCs w:val="28"/>
        </w:rPr>
      </w:pPr>
      <w:r w:rsidRPr="009A21ED">
        <w:t>Pievienotās vērtības nodokļa ieņēmumu prognoze 2013. gadam ir sagatavota, ņemot vērā prognozējamās tautsaimniecības attīstības tendences, privātā patēriņa pieaugumu, pievienotās vērtības nodokļa izpildi 2012. gadā un</w:t>
      </w:r>
      <w:r w:rsidRPr="009A21ED">
        <w:rPr>
          <w:szCs w:val="28"/>
        </w:rPr>
        <w:t xml:space="preserve"> ņemot vērā </w:t>
      </w:r>
      <w:proofErr w:type="spellStart"/>
      <w:r>
        <w:rPr>
          <w:szCs w:val="28"/>
        </w:rPr>
        <w:t>standartlikmes</w:t>
      </w:r>
      <w:proofErr w:type="spellEnd"/>
      <w:r>
        <w:rPr>
          <w:szCs w:val="28"/>
        </w:rPr>
        <w:t xml:space="preserve"> samazinājuma </w:t>
      </w:r>
      <w:r w:rsidRPr="009A21ED">
        <w:rPr>
          <w:szCs w:val="28"/>
        </w:rPr>
        <w:t>ietekmi.</w:t>
      </w:r>
    </w:p>
    <w:p w14:paraId="0E8615BD" w14:textId="77777777" w:rsidR="00D61CDB" w:rsidRPr="009A21ED" w:rsidRDefault="00D61CDB" w:rsidP="00D61CDB">
      <w:pPr>
        <w:pStyle w:val="T"/>
        <w:jc w:val="right"/>
        <w:rPr>
          <w:rFonts w:ascii="Times New Roman" w:hAnsi="Times New Roman"/>
          <w:b w:val="0"/>
        </w:rPr>
      </w:pPr>
      <w:r w:rsidRPr="009A21ED">
        <w:rPr>
          <w:rFonts w:ascii="Times New Roman" w:hAnsi="Times New Roman"/>
          <w:b w:val="0"/>
        </w:rPr>
        <w:t>7.3. tabula. Nodokļu politikas izmaiņu ietekme</w:t>
      </w:r>
      <w:r w:rsidRPr="009A21ED">
        <w:rPr>
          <w:rFonts w:ascii="Times New Roman" w:hAnsi="Times New Roman"/>
          <w:b w:val="0"/>
        </w:rPr>
        <w:br/>
        <w:t>uz pievienotās vērtības nodokļa ieņēmumiem, milj. latu</w:t>
      </w:r>
    </w:p>
    <w:tbl>
      <w:tblPr>
        <w:tblW w:w="9061"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5145"/>
        <w:gridCol w:w="973"/>
        <w:gridCol w:w="973"/>
        <w:gridCol w:w="973"/>
        <w:gridCol w:w="985"/>
        <w:gridCol w:w="12"/>
      </w:tblGrid>
      <w:tr w:rsidR="00D61CDB" w:rsidRPr="009A21ED" w14:paraId="0E20FEE1" w14:textId="77777777" w:rsidTr="00BB0C27">
        <w:trPr>
          <w:jc w:val="center"/>
        </w:trPr>
        <w:tc>
          <w:tcPr>
            <w:tcW w:w="5153" w:type="dxa"/>
            <w:tcBorders>
              <w:top w:val="double" w:sz="6" w:space="0" w:color="auto"/>
            </w:tcBorders>
          </w:tcPr>
          <w:p w14:paraId="48FCB675" w14:textId="77777777" w:rsidR="00D61CDB" w:rsidRPr="009A21ED" w:rsidRDefault="00D61CDB" w:rsidP="001329C2">
            <w:pPr>
              <w:spacing w:after="0"/>
              <w:ind w:firstLine="0"/>
              <w:jc w:val="left"/>
              <w:rPr>
                <w:sz w:val="20"/>
              </w:rPr>
            </w:pPr>
          </w:p>
        </w:tc>
        <w:tc>
          <w:tcPr>
            <w:tcW w:w="974" w:type="dxa"/>
            <w:tcBorders>
              <w:top w:val="double" w:sz="6" w:space="0" w:color="auto"/>
            </w:tcBorders>
          </w:tcPr>
          <w:p w14:paraId="21F090F1" w14:textId="77777777" w:rsidR="00D61CDB" w:rsidRPr="009A21ED" w:rsidRDefault="00D61CDB" w:rsidP="001329C2">
            <w:pPr>
              <w:tabs>
                <w:tab w:val="decimal" w:pos="-12114"/>
              </w:tabs>
              <w:spacing w:after="0"/>
              <w:ind w:firstLine="0"/>
              <w:jc w:val="center"/>
              <w:rPr>
                <w:b/>
                <w:sz w:val="20"/>
              </w:rPr>
            </w:pPr>
            <w:r w:rsidRPr="009A21ED">
              <w:rPr>
                <w:b/>
                <w:sz w:val="20"/>
              </w:rPr>
              <w:t>2013</w:t>
            </w:r>
          </w:p>
        </w:tc>
        <w:tc>
          <w:tcPr>
            <w:tcW w:w="974" w:type="dxa"/>
            <w:tcBorders>
              <w:top w:val="double" w:sz="6" w:space="0" w:color="auto"/>
            </w:tcBorders>
          </w:tcPr>
          <w:p w14:paraId="24F53509" w14:textId="77777777" w:rsidR="00D61CDB" w:rsidRPr="009A21ED" w:rsidRDefault="00D61CDB" w:rsidP="001329C2">
            <w:pPr>
              <w:tabs>
                <w:tab w:val="decimal" w:pos="-12114"/>
              </w:tabs>
              <w:spacing w:after="0"/>
              <w:ind w:firstLine="0"/>
              <w:jc w:val="center"/>
              <w:rPr>
                <w:b/>
                <w:sz w:val="20"/>
              </w:rPr>
            </w:pPr>
            <w:r w:rsidRPr="009A21ED">
              <w:rPr>
                <w:b/>
                <w:sz w:val="20"/>
              </w:rPr>
              <w:t>2014</w:t>
            </w:r>
          </w:p>
        </w:tc>
        <w:tc>
          <w:tcPr>
            <w:tcW w:w="974" w:type="dxa"/>
            <w:tcBorders>
              <w:top w:val="double" w:sz="6" w:space="0" w:color="auto"/>
            </w:tcBorders>
          </w:tcPr>
          <w:p w14:paraId="6E0058AF" w14:textId="77777777" w:rsidR="00D61CDB" w:rsidRPr="009A21ED" w:rsidRDefault="00D61CDB" w:rsidP="001329C2">
            <w:pPr>
              <w:tabs>
                <w:tab w:val="decimal" w:pos="-12114"/>
              </w:tabs>
              <w:spacing w:after="0"/>
              <w:ind w:firstLine="0"/>
              <w:jc w:val="center"/>
              <w:rPr>
                <w:b/>
                <w:sz w:val="20"/>
              </w:rPr>
            </w:pPr>
            <w:r w:rsidRPr="009A21ED">
              <w:rPr>
                <w:b/>
                <w:sz w:val="20"/>
              </w:rPr>
              <w:t>2015</w:t>
            </w:r>
          </w:p>
        </w:tc>
        <w:tc>
          <w:tcPr>
            <w:tcW w:w="986" w:type="dxa"/>
            <w:gridSpan w:val="2"/>
            <w:tcBorders>
              <w:top w:val="double" w:sz="6" w:space="0" w:color="auto"/>
            </w:tcBorders>
          </w:tcPr>
          <w:p w14:paraId="1E57172E" w14:textId="77777777" w:rsidR="00D61CDB" w:rsidRPr="009A21ED" w:rsidRDefault="00D61CDB" w:rsidP="001329C2">
            <w:pPr>
              <w:tabs>
                <w:tab w:val="decimal" w:pos="-12114"/>
              </w:tabs>
              <w:spacing w:after="0"/>
              <w:ind w:firstLine="0"/>
              <w:jc w:val="center"/>
              <w:rPr>
                <w:b/>
                <w:sz w:val="20"/>
              </w:rPr>
            </w:pPr>
            <w:r w:rsidRPr="009A21ED">
              <w:rPr>
                <w:b/>
                <w:sz w:val="20"/>
              </w:rPr>
              <w:t>2016</w:t>
            </w:r>
          </w:p>
        </w:tc>
      </w:tr>
      <w:tr w:rsidR="00D61CDB" w:rsidRPr="009A21ED" w14:paraId="6B36E02D" w14:textId="77777777" w:rsidTr="00BB0C27">
        <w:trPr>
          <w:jc w:val="center"/>
        </w:trPr>
        <w:tc>
          <w:tcPr>
            <w:tcW w:w="5153" w:type="dxa"/>
          </w:tcPr>
          <w:p w14:paraId="22DEB5F0" w14:textId="77777777" w:rsidR="00D61CDB" w:rsidRPr="009A21ED" w:rsidRDefault="00D61CDB" w:rsidP="001329C2">
            <w:pPr>
              <w:spacing w:after="0"/>
              <w:ind w:firstLine="0"/>
              <w:rPr>
                <w:sz w:val="20"/>
              </w:rPr>
            </w:pPr>
            <w:r w:rsidRPr="009A21ED">
              <w:rPr>
                <w:sz w:val="20"/>
              </w:rPr>
              <w:t xml:space="preserve">Pievienotās vērtības nodokļa </w:t>
            </w:r>
            <w:proofErr w:type="spellStart"/>
            <w:r>
              <w:rPr>
                <w:sz w:val="20"/>
              </w:rPr>
              <w:t>standart</w:t>
            </w:r>
            <w:r w:rsidRPr="009A21ED">
              <w:rPr>
                <w:sz w:val="20"/>
              </w:rPr>
              <w:t>likmes</w:t>
            </w:r>
            <w:proofErr w:type="spellEnd"/>
            <w:r w:rsidRPr="009A21ED">
              <w:rPr>
                <w:sz w:val="20"/>
              </w:rPr>
              <w:t xml:space="preserve"> samazināšana no 22% uz 21%</w:t>
            </w:r>
          </w:p>
        </w:tc>
        <w:tc>
          <w:tcPr>
            <w:tcW w:w="974" w:type="dxa"/>
            <w:vAlign w:val="center"/>
          </w:tcPr>
          <w:p w14:paraId="54F67481" w14:textId="77777777" w:rsidR="00D61CDB" w:rsidRPr="009A21ED" w:rsidRDefault="00D61CDB" w:rsidP="001329C2">
            <w:pPr>
              <w:tabs>
                <w:tab w:val="decimal" w:pos="458"/>
              </w:tabs>
              <w:spacing w:after="0"/>
              <w:ind w:firstLine="0"/>
              <w:rPr>
                <w:sz w:val="20"/>
              </w:rPr>
            </w:pPr>
            <w:r w:rsidRPr="009A21ED">
              <w:rPr>
                <w:sz w:val="20"/>
              </w:rPr>
              <w:t>-40,5</w:t>
            </w:r>
          </w:p>
        </w:tc>
        <w:tc>
          <w:tcPr>
            <w:tcW w:w="974" w:type="dxa"/>
            <w:vAlign w:val="center"/>
          </w:tcPr>
          <w:p w14:paraId="0DE05B2C" w14:textId="77777777" w:rsidR="00D61CDB" w:rsidRPr="009A21ED" w:rsidRDefault="00D61CDB" w:rsidP="001329C2">
            <w:pPr>
              <w:tabs>
                <w:tab w:val="decimal" w:pos="458"/>
              </w:tabs>
              <w:spacing w:after="0"/>
              <w:ind w:firstLine="0"/>
              <w:rPr>
                <w:sz w:val="20"/>
              </w:rPr>
            </w:pPr>
            <w:r w:rsidRPr="009A21ED">
              <w:rPr>
                <w:sz w:val="20"/>
              </w:rPr>
              <w:t>-</w:t>
            </w:r>
          </w:p>
        </w:tc>
        <w:tc>
          <w:tcPr>
            <w:tcW w:w="974" w:type="dxa"/>
            <w:vAlign w:val="center"/>
          </w:tcPr>
          <w:p w14:paraId="73166672" w14:textId="77777777" w:rsidR="00D61CDB" w:rsidRPr="009A21ED" w:rsidRDefault="00D61CDB" w:rsidP="001329C2">
            <w:pPr>
              <w:tabs>
                <w:tab w:val="decimal" w:pos="458"/>
              </w:tabs>
              <w:spacing w:after="0"/>
              <w:ind w:firstLine="0"/>
              <w:rPr>
                <w:sz w:val="20"/>
              </w:rPr>
            </w:pPr>
            <w:r w:rsidRPr="009A21ED">
              <w:rPr>
                <w:sz w:val="20"/>
              </w:rPr>
              <w:t>-</w:t>
            </w:r>
          </w:p>
        </w:tc>
        <w:tc>
          <w:tcPr>
            <w:tcW w:w="986" w:type="dxa"/>
            <w:gridSpan w:val="2"/>
            <w:vAlign w:val="center"/>
          </w:tcPr>
          <w:p w14:paraId="3D651DD9" w14:textId="77777777" w:rsidR="00D61CDB" w:rsidRPr="009A21ED" w:rsidRDefault="00D61CDB" w:rsidP="001329C2">
            <w:pPr>
              <w:spacing w:after="0"/>
              <w:ind w:firstLine="0"/>
              <w:jc w:val="center"/>
              <w:rPr>
                <w:sz w:val="20"/>
              </w:rPr>
            </w:pPr>
            <w:r w:rsidRPr="009A21ED">
              <w:rPr>
                <w:sz w:val="20"/>
              </w:rPr>
              <w:t>-</w:t>
            </w:r>
          </w:p>
        </w:tc>
      </w:tr>
      <w:tr w:rsidR="00E069FA" w:rsidRPr="000141D4" w14:paraId="25EE0756" w14:textId="77777777" w:rsidTr="00133159">
        <w:trPr>
          <w:gridAfter w:val="1"/>
          <w:wAfter w:w="12" w:type="dxa"/>
          <w:jc w:val="center"/>
        </w:trPr>
        <w:tc>
          <w:tcPr>
            <w:tcW w:w="5153" w:type="dxa"/>
            <w:tcBorders>
              <w:bottom w:val="double" w:sz="6" w:space="0" w:color="auto"/>
            </w:tcBorders>
          </w:tcPr>
          <w:p w14:paraId="33431017" w14:textId="77777777" w:rsidR="00E069FA" w:rsidRPr="000141D4" w:rsidRDefault="00E069FA" w:rsidP="00133159">
            <w:pPr>
              <w:spacing w:after="0"/>
              <w:ind w:firstLine="0"/>
              <w:rPr>
                <w:b/>
                <w:sz w:val="20"/>
              </w:rPr>
            </w:pPr>
            <w:r w:rsidRPr="000141D4">
              <w:rPr>
                <w:sz w:val="20"/>
              </w:rPr>
              <w:t>Ēnu ekonomikas ierobežošanas pasākumi</w:t>
            </w:r>
          </w:p>
        </w:tc>
        <w:tc>
          <w:tcPr>
            <w:tcW w:w="974" w:type="dxa"/>
            <w:tcBorders>
              <w:bottom w:val="double" w:sz="6" w:space="0" w:color="auto"/>
            </w:tcBorders>
          </w:tcPr>
          <w:p w14:paraId="2ECD1201" w14:textId="77777777" w:rsidR="00E069FA" w:rsidRPr="000141D4" w:rsidRDefault="00E069FA" w:rsidP="00133159">
            <w:pPr>
              <w:tabs>
                <w:tab w:val="decimal" w:pos="458"/>
              </w:tabs>
              <w:spacing w:after="0"/>
              <w:ind w:firstLine="0"/>
              <w:rPr>
                <w:b/>
                <w:sz w:val="20"/>
              </w:rPr>
            </w:pPr>
            <w:r w:rsidRPr="000141D4">
              <w:rPr>
                <w:b/>
                <w:sz w:val="20"/>
              </w:rPr>
              <w:t>-</w:t>
            </w:r>
          </w:p>
        </w:tc>
        <w:tc>
          <w:tcPr>
            <w:tcW w:w="974" w:type="dxa"/>
            <w:tcBorders>
              <w:bottom w:val="double" w:sz="6" w:space="0" w:color="auto"/>
            </w:tcBorders>
          </w:tcPr>
          <w:p w14:paraId="0C388D6D" w14:textId="77777777" w:rsidR="00E069FA" w:rsidRPr="000141D4" w:rsidRDefault="00E069FA" w:rsidP="00133159">
            <w:pPr>
              <w:tabs>
                <w:tab w:val="decimal" w:pos="458"/>
              </w:tabs>
              <w:spacing w:after="0"/>
              <w:ind w:firstLine="0"/>
              <w:rPr>
                <w:sz w:val="20"/>
              </w:rPr>
            </w:pPr>
            <w:r w:rsidRPr="000141D4">
              <w:rPr>
                <w:sz w:val="20"/>
              </w:rPr>
              <w:t>+9,2</w:t>
            </w:r>
          </w:p>
        </w:tc>
        <w:tc>
          <w:tcPr>
            <w:tcW w:w="974" w:type="dxa"/>
            <w:tcBorders>
              <w:bottom w:val="double" w:sz="6" w:space="0" w:color="auto"/>
            </w:tcBorders>
          </w:tcPr>
          <w:p w14:paraId="70965900" w14:textId="77777777" w:rsidR="00E069FA" w:rsidRPr="000141D4" w:rsidRDefault="00E069FA" w:rsidP="00133159">
            <w:pPr>
              <w:tabs>
                <w:tab w:val="decimal" w:pos="458"/>
              </w:tabs>
              <w:spacing w:after="0"/>
              <w:ind w:firstLine="0"/>
              <w:rPr>
                <w:sz w:val="20"/>
              </w:rPr>
            </w:pPr>
            <w:r w:rsidRPr="000141D4">
              <w:rPr>
                <w:sz w:val="20"/>
              </w:rPr>
              <w:t>+11,2</w:t>
            </w:r>
          </w:p>
        </w:tc>
        <w:tc>
          <w:tcPr>
            <w:tcW w:w="986" w:type="dxa"/>
            <w:tcBorders>
              <w:bottom w:val="double" w:sz="6" w:space="0" w:color="auto"/>
            </w:tcBorders>
          </w:tcPr>
          <w:p w14:paraId="52E13D00" w14:textId="77777777" w:rsidR="00E069FA" w:rsidRPr="000141D4" w:rsidRDefault="00E069FA" w:rsidP="00133159">
            <w:pPr>
              <w:spacing w:after="0"/>
              <w:ind w:firstLine="0"/>
              <w:jc w:val="center"/>
              <w:rPr>
                <w:sz w:val="20"/>
              </w:rPr>
            </w:pPr>
            <w:r w:rsidRPr="000141D4">
              <w:rPr>
                <w:sz w:val="20"/>
              </w:rPr>
              <w:t>+11,8</w:t>
            </w:r>
          </w:p>
        </w:tc>
      </w:tr>
      <w:tr w:rsidR="00D61CDB" w:rsidRPr="00016A8F" w14:paraId="68F00882" w14:textId="77777777" w:rsidTr="00BB0C27">
        <w:trPr>
          <w:jc w:val="center"/>
        </w:trPr>
        <w:tc>
          <w:tcPr>
            <w:tcW w:w="5153" w:type="dxa"/>
            <w:tcBorders>
              <w:bottom w:val="double" w:sz="6" w:space="0" w:color="auto"/>
            </w:tcBorders>
          </w:tcPr>
          <w:p w14:paraId="379C3C05" w14:textId="77777777" w:rsidR="00D61CDB" w:rsidRPr="009A21ED" w:rsidRDefault="00D61CDB" w:rsidP="001329C2">
            <w:pPr>
              <w:spacing w:after="0"/>
              <w:ind w:firstLine="0"/>
              <w:rPr>
                <w:b/>
                <w:sz w:val="20"/>
              </w:rPr>
            </w:pPr>
            <w:r w:rsidRPr="009A21ED">
              <w:rPr>
                <w:b/>
                <w:sz w:val="20"/>
              </w:rPr>
              <w:t>Izmaiņu ietekme kopā:</w:t>
            </w:r>
          </w:p>
        </w:tc>
        <w:tc>
          <w:tcPr>
            <w:tcW w:w="974" w:type="dxa"/>
            <w:tcBorders>
              <w:bottom w:val="double" w:sz="6" w:space="0" w:color="auto"/>
            </w:tcBorders>
          </w:tcPr>
          <w:p w14:paraId="7FB7541E" w14:textId="77777777" w:rsidR="00D61CDB" w:rsidRPr="009A21ED" w:rsidRDefault="00D61CDB" w:rsidP="001329C2">
            <w:pPr>
              <w:tabs>
                <w:tab w:val="decimal" w:pos="458"/>
              </w:tabs>
              <w:spacing w:after="0"/>
              <w:ind w:firstLine="0"/>
              <w:rPr>
                <w:sz w:val="20"/>
              </w:rPr>
            </w:pPr>
            <w:r w:rsidRPr="009A21ED">
              <w:rPr>
                <w:b/>
                <w:sz w:val="20"/>
              </w:rPr>
              <w:t>-40,5</w:t>
            </w:r>
          </w:p>
        </w:tc>
        <w:tc>
          <w:tcPr>
            <w:tcW w:w="974" w:type="dxa"/>
            <w:tcBorders>
              <w:bottom w:val="double" w:sz="6" w:space="0" w:color="auto"/>
            </w:tcBorders>
          </w:tcPr>
          <w:p w14:paraId="37230DF7" w14:textId="77777777" w:rsidR="00D61CDB" w:rsidRPr="00BB0C27" w:rsidRDefault="00E069FA" w:rsidP="001329C2">
            <w:pPr>
              <w:tabs>
                <w:tab w:val="decimal" w:pos="458"/>
              </w:tabs>
              <w:spacing w:after="0"/>
              <w:ind w:firstLine="0"/>
              <w:rPr>
                <w:sz w:val="20"/>
              </w:rPr>
            </w:pPr>
            <w:r w:rsidRPr="000141D4">
              <w:rPr>
                <w:b/>
                <w:sz w:val="20"/>
              </w:rPr>
              <w:t>+9,2</w:t>
            </w:r>
          </w:p>
        </w:tc>
        <w:tc>
          <w:tcPr>
            <w:tcW w:w="974" w:type="dxa"/>
            <w:tcBorders>
              <w:bottom w:val="double" w:sz="6" w:space="0" w:color="auto"/>
            </w:tcBorders>
          </w:tcPr>
          <w:p w14:paraId="56DB9B5D" w14:textId="77777777" w:rsidR="00D61CDB" w:rsidRPr="00BB0C27" w:rsidRDefault="00E069FA" w:rsidP="001329C2">
            <w:pPr>
              <w:tabs>
                <w:tab w:val="decimal" w:pos="458"/>
              </w:tabs>
              <w:spacing w:after="0"/>
              <w:ind w:firstLine="0"/>
              <w:rPr>
                <w:sz w:val="20"/>
              </w:rPr>
            </w:pPr>
            <w:r w:rsidRPr="000141D4">
              <w:rPr>
                <w:b/>
                <w:sz w:val="20"/>
              </w:rPr>
              <w:t>+11,2</w:t>
            </w:r>
          </w:p>
        </w:tc>
        <w:tc>
          <w:tcPr>
            <w:tcW w:w="986" w:type="dxa"/>
            <w:gridSpan w:val="2"/>
            <w:tcBorders>
              <w:bottom w:val="double" w:sz="6" w:space="0" w:color="auto"/>
            </w:tcBorders>
          </w:tcPr>
          <w:p w14:paraId="41E4286F" w14:textId="77777777" w:rsidR="00D61CDB" w:rsidRPr="00BB0C27" w:rsidRDefault="00E069FA" w:rsidP="001329C2">
            <w:pPr>
              <w:spacing w:after="0"/>
              <w:ind w:firstLine="0"/>
              <w:jc w:val="center"/>
              <w:rPr>
                <w:sz w:val="20"/>
              </w:rPr>
            </w:pPr>
            <w:r w:rsidRPr="000141D4">
              <w:rPr>
                <w:b/>
                <w:sz w:val="20"/>
              </w:rPr>
              <w:t>+11,8</w:t>
            </w:r>
          </w:p>
        </w:tc>
      </w:tr>
    </w:tbl>
    <w:p w14:paraId="5B83496D" w14:textId="77777777" w:rsidR="00D61CDB" w:rsidRPr="00BB0C27" w:rsidRDefault="00D61CDB" w:rsidP="00D61CDB">
      <w:pPr>
        <w:pStyle w:val="H4"/>
        <w:rPr>
          <w:highlight w:val="yellow"/>
        </w:rPr>
      </w:pPr>
    </w:p>
    <w:p w14:paraId="56A4D182" w14:textId="77777777" w:rsidR="00D61CDB" w:rsidRPr="00B6566E" w:rsidRDefault="00D61CDB" w:rsidP="00D61CDB">
      <w:pPr>
        <w:pStyle w:val="H4"/>
        <w:rPr>
          <w:rFonts w:ascii="Times New Roman" w:hAnsi="Times New Roman"/>
          <w:sz w:val="24"/>
          <w:szCs w:val="24"/>
        </w:rPr>
      </w:pPr>
      <w:r w:rsidRPr="00B6566E">
        <w:rPr>
          <w:rFonts w:ascii="Times New Roman" w:hAnsi="Times New Roman"/>
          <w:sz w:val="24"/>
          <w:szCs w:val="24"/>
        </w:rPr>
        <w:t>Uzņēmumu ienākuma nodoklis</w:t>
      </w:r>
    </w:p>
    <w:p w14:paraId="0C064C2F" w14:textId="77777777" w:rsidR="00D61CDB" w:rsidRPr="00B6566E" w:rsidRDefault="00D61CDB" w:rsidP="00D61CDB">
      <w:r w:rsidRPr="00B6566E">
        <w:t>Tiek paredzēts, ka uzņēmumu ienākuma nodokļa likme – 15 %, kas ir spēkā no 2004. gada un ir viena no zemākajām ES, saglabāsies nemainīga. Pēc ekonomiskās lejupslīdes, ekonomikai sekmīgi attīstoties un uzlabojoties uzņēmumu finanšu rādītājiem, kopš 2011. gada uzņēmumu ienākuma nodokļa ieņēmumi ir būtiski pieauguši.</w:t>
      </w:r>
    </w:p>
    <w:p w14:paraId="68A56663" w14:textId="77777777" w:rsidR="00D61CDB" w:rsidRPr="00B6566E" w:rsidRDefault="00D61CDB" w:rsidP="00D61CDB">
      <w:r w:rsidRPr="00B6566E">
        <w:t xml:space="preserve">2012. gadā, </w:t>
      </w:r>
      <w:r>
        <w:t>ekonomiskai situācijai</w:t>
      </w:r>
      <w:r w:rsidRPr="00B6566E">
        <w:t xml:space="preserve"> </w:t>
      </w:r>
      <w:r>
        <w:t>uzlabojoties</w:t>
      </w:r>
      <w:r w:rsidRPr="00B6566E">
        <w:t xml:space="preserve">, uzņēmumu ienākuma nodokļa ieņēmumi salīdzinājumā ar 2011. gadu pieauga par 24,1 %, kas liecina par to, ka uzņēmumi 2011. gadu ir noslēguši ar būtiski labākiem finanšu rezultātiem nekā 2010. gadā. </w:t>
      </w:r>
    </w:p>
    <w:p w14:paraId="2C55D076" w14:textId="77777777" w:rsidR="00D61CDB" w:rsidRDefault="00D61CDB" w:rsidP="00D61CDB">
      <w:r w:rsidRPr="00B6566E">
        <w:t>Ekonomikai turpinot attīstīties, turpmākajos gados uzņēmumu ienākuma nodokļi tiek prognozēti ar augšupejošu tendenci. 2013. gadā tiek prognozēts, ka uzņēmumu ienākuma nodokļa ieņēmumi pieaugs par 10,1 % salīdzinājumā ar 2012. gadu.</w:t>
      </w:r>
      <w:r>
        <w:t xml:space="preserve"> </w:t>
      </w:r>
    </w:p>
    <w:p w14:paraId="732B194E" w14:textId="77777777" w:rsidR="00D61CDB" w:rsidRPr="00BB0C27" w:rsidRDefault="00D61CDB" w:rsidP="00D61CDB">
      <w:pPr>
        <w:rPr>
          <w:highlight w:val="yellow"/>
        </w:rPr>
      </w:pPr>
      <w:r w:rsidRPr="00E4206E">
        <w:t xml:space="preserve">2013. </w:t>
      </w:r>
      <w:r>
        <w:t>un 2014. </w:t>
      </w:r>
      <w:r w:rsidRPr="00E4206E">
        <w:t xml:space="preserve">gada </w:t>
      </w:r>
      <w:r>
        <w:t xml:space="preserve">uzņēmumu ienākuma nodokļa </w:t>
      </w:r>
      <w:r w:rsidRPr="00E4206E">
        <w:t>ieņēmumus ietekmēs 2012. gadā pieņemtās likumdošanas izmaiņas, kas paredz pievilcīgāku uzņēmumu ienākuma nodokļa režīma izveidi, lai mazinātu nepieciešamību izmantot ārzonu struktūras nodokļu samazināšanas vajadzībām, un uzņēmumu ienākuma nodokļa likmes vienādošanu</w:t>
      </w:r>
      <w:r>
        <w:t xml:space="preserve">, radot negatīvu ietekmi uz 2013. gada ieņēmumiem 2,9 milj. latu apmērā un uz 2014. gada </w:t>
      </w:r>
      <w:r>
        <w:lastRenderedPageBreak/>
        <w:t>ieņēmumiem 8,0 milj. latu apmērā.</w:t>
      </w:r>
      <w:r w:rsidR="00E069FA" w:rsidRPr="000141D4">
        <w:t xml:space="preserve">  Savukārt pozitīvu ietekmi uz uzņēmumu ienākuma nodokļa ieņēmumiem vidējā termiņā atstās papildus ieņēmumi no ēnu ekonomikas samazināšanas pasākumiem.</w:t>
      </w:r>
    </w:p>
    <w:p w14:paraId="5776A864" w14:textId="77777777" w:rsidR="00E069FA" w:rsidRPr="000141D4" w:rsidRDefault="00E069FA" w:rsidP="00E069FA">
      <w:pPr>
        <w:pStyle w:val="T"/>
        <w:jc w:val="right"/>
        <w:rPr>
          <w:rFonts w:ascii="Times New Roman" w:hAnsi="Times New Roman"/>
          <w:b w:val="0"/>
        </w:rPr>
      </w:pPr>
      <w:r w:rsidRPr="000141D4">
        <w:rPr>
          <w:rFonts w:ascii="Times New Roman" w:hAnsi="Times New Roman"/>
          <w:b w:val="0"/>
        </w:rPr>
        <w:t>7.4. tabula. Nodokļu politikas izmaiņu ietekme</w:t>
      </w:r>
      <w:r w:rsidRPr="000141D4">
        <w:rPr>
          <w:rFonts w:ascii="Times New Roman" w:hAnsi="Times New Roman"/>
          <w:b w:val="0"/>
        </w:rPr>
        <w:br/>
        <w:t>uz uzņēmumu ienākuma nodokļa ieņēmumiem, milj. latu</w:t>
      </w:r>
    </w:p>
    <w:tbl>
      <w:tblPr>
        <w:tblW w:w="9049"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5153"/>
        <w:gridCol w:w="974"/>
        <w:gridCol w:w="974"/>
        <w:gridCol w:w="974"/>
        <w:gridCol w:w="974"/>
      </w:tblGrid>
      <w:tr w:rsidR="00E069FA" w:rsidRPr="000141D4" w14:paraId="60815C99" w14:textId="77777777" w:rsidTr="00133159">
        <w:trPr>
          <w:jc w:val="center"/>
        </w:trPr>
        <w:tc>
          <w:tcPr>
            <w:tcW w:w="5153" w:type="dxa"/>
            <w:tcBorders>
              <w:top w:val="double" w:sz="6" w:space="0" w:color="auto"/>
            </w:tcBorders>
          </w:tcPr>
          <w:p w14:paraId="7E26E342" w14:textId="77777777" w:rsidR="00E069FA" w:rsidRPr="000141D4" w:rsidRDefault="00E069FA" w:rsidP="00133159">
            <w:pPr>
              <w:spacing w:after="0"/>
              <w:ind w:firstLine="0"/>
              <w:jc w:val="left"/>
              <w:rPr>
                <w:sz w:val="20"/>
              </w:rPr>
            </w:pPr>
          </w:p>
        </w:tc>
        <w:tc>
          <w:tcPr>
            <w:tcW w:w="974" w:type="dxa"/>
            <w:tcBorders>
              <w:top w:val="double" w:sz="6" w:space="0" w:color="auto"/>
            </w:tcBorders>
          </w:tcPr>
          <w:p w14:paraId="34E96080" w14:textId="77777777" w:rsidR="00E069FA" w:rsidRPr="000141D4" w:rsidRDefault="00E069FA" w:rsidP="00133159">
            <w:pPr>
              <w:tabs>
                <w:tab w:val="decimal" w:pos="-12114"/>
              </w:tabs>
              <w:spacing w:after="0"/>
              <w:ind w:firstLine="0"/>
              <w:jc w:val="center"/>
              <w:rPr>
                <w:b/>
                <w:sz w:val="20"/>
              </w:rPr>
            </w:pPr>
            <w:r w:rsidRPr="000141D4">
              <w:rPr>
                <w:b/>
                <w:sz w:val="20"/>
              </w:rPr>
              <w:t>2013</w:t>
            </w:r>
          </w:p>
        </w:tc>
        <w:tc>
          <w:tcPr>
            <w:tcW w:w="974" w:type="dxa"/>
            <w:tcBorders>
              <w:top w:val="double" w:sz="6" w:space="0" w:color="auto"/>
            </w:tcBorders>
          </w:tcPr>
          <w:p w14:paraId="7827DC59" w14:textId="77777777" w:rsidR="00E069FA" w:rsidRPr="000141D4" w:rsidRDefault="00E069FA" w:rsidP="00133159">
            <w:pPr>
              <w:tabs>
                <w:tab w:val="decimal" w:pos="-12114"/>
              </w:tabs>
              <w:spacing w:after="0"/>
              <w:ind w:firstLine="0"/>
              <w:jc w:val="center"/>
              <w:rPr>
                <w:b/>
                <w:sz w:val="20"/>
              </w:rPr>
            </w:pPr>
            <w:r w:rsidRPr="000141D4">
              <w:rPr>
                <w:b/>
                <w:sz w:val="20"/>
              </w:rPr>
              <w:t>2014</w:t>
            </w:r>
          </w:p>
        </w:tc>
        <w:tc>
          <w:tcPr>
            <w:tcW w:w="974" w:type="dxa"/>
            <w:tcBorders>
              <w:top w:val="double" w:sz="6" w:space="0" w:color="auto"/>
            </w:tcBorders>
          </w:tcPr>
          <w:p w14:paraId="2C3D37F9" w14:textId="77777777" w:rsidR="00E069FA" w:rsidRPr="000141D4" w:rsidRDefault="00E069FA" w:rsidP="00133159">
            <w:pPr>
              <w:tabs>
                <w:tab w:val="decimal" w:pos="-12114"/>
              </w:tabs>
              <w:spacing w:after="0"/>
              <w:ind w:firstLine="0"/>
              <w:jc w:val="center"/>
              <w:rPr>
                <w:b/>
                <w:sz w:val="20"/>
              </w:rPr>
            </w:pPr>
            <w:r w:rsidRPr="000141D4">
              <w:rPr>
                <w:b/>
                <w:sz w:val="20"/>
              </w:rPr>
              <w:t>2015</w:t>
            </w:r>
          </w:p>
        </w:tc>
        <w:tc>
          <w:tcPr>
            <w:tcW w:w="974" w:type="dxa"/>
            <w:tcBorders>
              <w:top w:val="double" w:sz="6" w:space="0" w:color="auto"/>
            </w:tcBorders>
          </w:tcPr>
          <w:p w14:paraId="439905D4" w14:textId="77777777" w:rsidR="00E069FA" w:rsidRPr="000141D4" w:rsidRDefault="00E069FA" w:rsidP="00133159">
            <w:pPr>
              <w:tabs>
                <w:tab w:val="decimal" w:pos="-12114"/>
              </w:tabs>
              <w:spacing w:after="0"/>
              <w:ind w:firstLine="0"/>
              <w:jc w:val="center"/>
              <w:rPr>
                <w:b/>
                <w:sz w:val="20"/>
              </w:rPr>
            </w:pPr>
            <w:r w:rsidRPr="000141D4">
              <w:rPr>
                <w:b/>
                <w:sz w:val="20"/>
              </w:rPr>
              <w:t>2016</w:t>
            </w:r>
          </w:p>
        </w:tc>
      </w:tr>
      <w:tr w:rsidR="00E069FA" w:rsidRPr="000141D4" w14:paraId="5450BCAD" w14:textId="77777777" w:rsidTr="00133159">
        <w:trPr>
          <w:jc w:val="center"/>
        </w:trPr>
        <w:tc>
          <w:tcPr>
            <w:tcW w:w="5153" w:type="dxa"/>
          </w:tcPr>
          <w:p w14:paraId="5DCA3777" w14:textId="77777777" w:rsidR="00E069FA" w:rsidRPr="000141D4" w:rsidRDefault="00E069FA" w:rsidP="00133159">
            <w:pPr>
              <w:spacing w:after="0"/>
              <w:ind w:firstLine="0"/>
              <w:rPr>
                <w:sz w:val="20"/>
              </w:rPr>
            </w:pPr>
            <w:r w:rsidRPr="000141D4">
              <w:rPr>
                <w:sz w:val="20"/>
              </w:rPr>
              <w:t>Pievilcīgāka uzņēmumu ienākuma nodokļa režīma izveide, likmes vienādošana</w:t>
            </w:r>
          </w:p>
        </w:tc>
        <w:tc>
          <w:tcPr>
            <w:tcW w:w="974" w:type="dxa"/>
            <w:vAlign w:val="center"/>
          </w:tcPr>
          <w:p w14:paraId="31BEC0EC" w14:textId="77777777" w:rsidR="00E069FA" w:rsidRPr="000141D4" w:rsidRDefault="00E069FA" w:rsidP="00133159">
            <w:pPr>
              <w:tabs>
                <w:tab w:val="decimal" w:pos="458"/>
              </w:tabs>
              <w:spacing w:after="0"/>
              <w:ind w:firstLine="0"/>
              <w:rPr>
                <w:sz w:val="20"/>
              </w:rPr>
            </w:pPr>
            <w:r w:rsidRPr="000141D4">
              <w:rPr>
                <w:sz w:val="20"/>
              </w:rPr>
              <w:t>-2,9</w:t>
            </w:r>
          </w:p>
        </w:tc>
        <w:tc>
          <w:tcPr>
            <w:tcW w:w="974" w:type="dxa"/>
            <w:vAlign w:val="center"/>
          </w:tcPr>
          <w:p w14:paraId="7DFBFEC3" w14:textId="77777777" w:rsidR="00E069FA" w:rsidRPr="000141D4" w:rsidRDefault="00E069FA" w:rsidP="00133159">
            <w:pPr>
              <w:tabs>
                <w:tab w:val="decimal" w:pos="458"/>
              </w:tabs>
              <w:spacing w:after="0"/>
              <w:ind w:firstLine="0"/>
              <w:rPr>
                <w:sz w:val="20"/>
              </w:rPr>
            </w:pPr>
            <w:r w:rsidRPr="000141D4">
              <w:rPr>
                <w:sz w:val="20"/>
              </w:rPr>
              <w:t>-8,0</w:t>
            </w:r>
          </w:p>
        </w:tc>
        <w:tc>
          <w:tcPr>
            <w:tcW w:w="974" w:type="dxa"/>
            <w:vAlign w:val="center"/>
          </w:tcPr>
          <w:p w14:paraId="476987A9" w14:textId="77777777" w:rsidR="00E069FA" w:rsidRPr="000141D4" w:rsidRDefault="00E069FA" w:rsidP="00133159">
            <w:pPr>
              <w:tabs>
                <w:tab w:val="decimal" w:pos="458"/>
              </w:tabs>
              <w:spacing w:after="0"/>
              <w:ind w:firstLine="0"/>
              <w:rPr>
                <w:sz w:val="20"/>
              </w:rPr>
            </w:pPr>
            <w:r w:rsidRPr="000141D4">
              <w:rPr>
                <w:sz w:val="20"/>
              </w:rPr>
              <w:t>-</w:t>
            </w:r>
          </w:p>
        </w:tc>
        <w:tc>
          <w:tcPr>
            <w:tcW w:w="974" w:type="dxa"/>
            <w:vAlign w:val="center"/>
          </w:tcPr>
          <w:p w14:paraId="36862BF2" w14:textId="77777777" w:rsidR="00E069FA" w:rsidRPr="000141D4" w:rsidRDefault="00E069FA" w:rsidP="00133159">
            <w:pPr>
              <w:spacing w:after="0"/>
              <w:ind w:firstLine="0"/>
              <w:jc w:val="center"/>
              <w:rPr>
                <w:sz w:val="20"/>
              </w:rPr>
            </w:pPr>
            <w:r w:rsidRPr="000141D4">
              <w:rPr>
                <w:sz w:val="20"/>
              </w:rPr>
              <w:t>-</w:t>
            </w:r>
          </w:p>
        </w:tc>
      </w:tr>
      <w:tr w:rsidR="00E069FA" w:rsidRPr="000141D4" w14:paraId="62428703" w14:textId="77777777" w:rsidTr="00133159">
        <w:trPr>
          <w:jc w:val="center"/>
        </w:trPr>
        <w:tc>
          <w:tcPr>
            <w:tcW w:w="5153" w:type="dxa"/>
            <w:tcBorders>
              <w:bottom w:val="double" w:sz="6" w:space="0" w:color="auto"/>
            </w:tcBorders>
          </w:tcPr>
          <w:p w14:paraId="386329EA" w14:textId="77777777" w:rsidR="00E069FA" w:rsidRPr="000141D4" w:rsidRDefault="00E069FA" w:rsidP="00133159">
            <w:pPr>
              <w:spacing w:after="0"/>
              <w:ind w:firstLine="0"/>
              <w:rPr>
                <w:sz w:val="20"/>
              </w:rPr>
            </w:pPr>
            <w:r w:rsidRPr="000141D4">
              <w:rPr>
                <w:sz w:val="20"/>
              </w:rPr>
              <w:t>Ēnu ekonomikas ierobežošanas pasākumi</w:t>
            </w:r>
          </w:p>
        </w:tc>
        <w:tc>
          <w:tcPr>
            <w:tcW w:w="974" w:type="dxa"/>
            <w:tcBorders>
              <w:bottom w:val="double" w:sz="6" w:space="0" w:color="auto"/>
            </w:tcBorders>
          </w:tcPr>
          <w:p w14:paraId="4F4BD385" w14:textId="77777777" w:rsidR="00E069FA" w:rsidRPr="000141D4" w:rsidRDefault="00E069FA" w:rsidP="00133159">
            <w:pPr>
              <w:tabs>
                <w:tab w:val="decimal" w:pos="458"/>
              </w:tabs>
              <w:spacing w:after="0"/>
              <w:ind w:firstLine="0"/>
              <w:rPr>
                <w:b/>
                <w:sz w:val="20"/>
              </w:rPr>
            </w:pPr>
            <w:r w:rsidRPr="000141D4">
              <w:rPr>
                <w:b/>
                <w:sz w:val="20"/>
              </w:rPr>
              <w:t>-</w:t>
            </w:r>
          </w:p>
        </w:tc>
        <w:tc>
          <w:tcPr>
            <w:tcW w:w="974" w:type="dxa"/>
            <w:tcBorders>
              <w:bottom w:val="double" w:sz="6" w:space="0" w:color="auto"/>
            </w:tcBorders>
          </w:tcPr>
          <w:p w14:paraId="2AFE632B" w14:textId="77777777" w:rsidR="00E069FA" w:rsidRPr="000141D4" w:rsidRDefault="00E069FA" w:rsidP="00133159">
            <w:pPr>
              <w:tabs>
                <w:tab w:val="decimal" w:pos="458"/>
              </w:tabs>
              <w:spacing w:after="0"/>
              <w:ind w:firstLine="0"/>
              <w:rPr>
                <w:sz w:val="20"/>
              </w:rPr>
            </w:pPr>
            <w:r w:rsidRPr="000141D4">
              <w:rPr>
                <w:sz w:val="20"/>
              </w:rPr>
              <w:t>+3,0</w:t>
            </w:r>
          </w:p>
        </w:tc>
        <w:tc>
          <w:tcPr>
            <w:tcW w:w="974" w:type="dxa"/>
            <w:tcBorders>
              <w:bottom w:val="double" w:sz="6" w:space="0" w:color="auto"/>
            </w:tcBorders>
          </w:tcPr>
          <w:p w14:paraId="7C2F37E4" w14:textId="77777777" w:rsidR="00E069FA" w:rsidRPr="000141D4" w:rsidRDefault="00E069FA" w:rsidP="00133159">
            <w:pPr>
              <w:tabs>
                <w:tab w:val="decimal" w:pos="458"/>
              </w:tabs>
              <w:spacing w:after="0"/>
              <w:ind w:firstLine="0"/>
              <w:rPr>
                <w:sz w:val="20"/>
              </w:rPr>
            </w:pPr>
            <w:r w:rsidRPr="000141D4">
              <w:rPr>
                <w:sz w:val="20"/>
              </w:rPr>
              <w:t>+5,0</w:t>
            </w:r>
          </w:p>
        </w:tc>
        <w:tc>
          <w:tcPr>
            <w:tcW w:w="974" w:type="dxa"/>
            <w:tcBorders>
              <w:bottom w:val="double" w:sz="6" w:space="0" w:color="auto"/>
            </w:tcBorders>
          </w:tcPr>
          <w:p w14:paraId="3A802CC6" w14:textId="77777777" w:rsidR="00E069FA" w:rsidRPr="000141D4" w:rsidRDefault="00E069FA" w:rsidP="00133159">
            <w:pPr>
              <w:spacing w:after="0"/>
              <w:ind w:firstLine="0"/>
              <w:jc w:val="center"/>
              <w:rPr>
                <w:sz w:val="20"/>
              </w:rPr>
            </w:pPr>
            <w:r w:rsidRPr="000141D4">
              <w:rPr>
                <w:sz w:val="20"/>
              </w:rPr>
              <w:t>+5,3</w:t>
            </w:r>
          </w:p>
        </w:tc>
      </w:tr>
      <w:tr w:rsidR="00E069FA" w:rsidRPr="000141D4" w14:paraId="5CC74F4B" w14:textId="77777777" w:rsidTr="00133159">
        <w:trPr>
          <w:jc w:val="center"/>
        </w:trPr>
        <w:tc>
          <w:tcPr>
            <w:tcW w:w="5153" w:type="dxa"/>
            <w:tcBorders>
              <w:bottom w:val="double" w:sz="6" w:space="0" w:color="auto"/>
            </w:tcBorders>
          </w:tcPr>
          <w:p w14:paraId="2D426B30" w14:textId="77777777" w:rsidR="00E069FA" w:rsidRPr="000141D4" w:rsidRDefault="00E069FA" w:rsidP="00133159">
            <w:pPr>
              <w:spacing w:after="0"/>
              <w:ind w:firstLine="0"/>
              <w:rPr>
                <w:b/>
                <w:sz w:val="20"/>
              </w:rPr>
            </w:pPr>
            <w:r w:rsidRPr="000141D4">
              <w:rPr>
                <w:b/>
                <w:sz w:val="20"/>
              </w:rPr>
              <w:t>Izmaiņu ietekme kopā:</w:t>
            </w:r>
          </w:p>
        </w:tc>
        <w:tc>
          <w:tcPr>
            <w:tcW w:w="974" w:type="dxa"/>
            <w:tcBorders>
              <w:bottom w:val="double" w:sz="6" w:space="0" w:color="auto"/>
            </w:tcBorders>
          </w:tcPr>
          <w:p w14:paraId="6816D5E5" w14:textId="77777777" w:rsidR="00E069FA" w:rsidRPr="000141D4" w:rsidRDefault="00E069FA" w:rsidP="00133159">
            <w:pPr>
              <w:tabs>
                <w:tab w:val="decimal" w:pos="458"/>
              </w:tabs>
              <w:spacing w:after="0"/>
              <w:ind w:firstLine="0"/>
              <w:rPr>
                <w:sz w:val="20"/>
              </w:rPr>
            </w:pPr>
            <w:r w:rsidRPr="000141D4">
              <w:rPr>
                <w:b/>
                <w:sz w:val="20"/>
              </w:rPr>
              <w:t>-2,9</w:t>
            </w:r>
          </w:p>
        </w:tc>
        <w:tc>
          <w:tcPr>
            <w:tcW w:w="974" w:type="dxa"/>
            <w:tcBorders>
              <w:bottom w:val="double" w:sz="6" w:space="0" w:color="auto"/>
            </w:tcBorders>
          </w:tcPr>
          <w:p w14:paraId="4F189AA4" w14:textId="77777777" w:rsidR="00E069FA" w:rsidRPr="000141D4" w:rsidRDefault="00E069FA" w:rsidP="00133159">
            <w:pPr>
              <w:tabs>
                <w:tab w:val="decimal" w:pos="458"/>
              </w:tabs>
              <w:spacing w:after="0"/>
              <w:ind w:firstLine="0"/>
              <w:rPr>
                <w:b/>
                <w:sz w:val="20"/>
              </w:rPr>
            </w:pPr>
            <w:r w:rsidRPr="000141D4">
              <w:rPr>
                <w:b/>
                <w:sz w:val="20"/>
              </w:rPr>
              <w:t>-5,0</w:t>
            </w:r>
          </w:p>
        </w:tc>
        <w:tc>
          <w:tcPr>
            <w:tcW w:w="974" w:type="dxa"/>
            <w:tcBorders>
              <w:bottom w:val="double" w:sz="6" w:space="0" w:color="auto"/>
            </w:tcBorders>
          </w:tcPr>
          <w:p w14:paraId="7DF1675B" w14:textId="77777777" w:rsidR="00E069FA" w:rsidRPr="000141D4" w:rsidRDefault="00E069FA" w:rsidP="00133159">
            <w:pPr>
              <w:tabs>
                <w:tab w:val="decimal" w:pos="458"/>
              </w:tabs>
              <w:spacing w:after="0"/>
              <w:ind w:firstLine="0"/>
              <w:rPr>
                <w:b/>
                <w:sz w:val="20"/>
              </w:rPr>
            </w:pPr>
            <w:r w:rsidRPr="000141D4">
              <w:rPr>
                <w:b/>
                <w:sz w:val="20"/>
              </w:rPr>
              <w:t>+5,0</w:t>
            </w:r>
          </w:p>
        </w:tc>
        <w:tc>
          <w:tcPr>
            <w:tcW w:w="974" w:type="dxa"/>
            <w:tcBorders>
              <w:bottom w:val="double" w:sz="6" w:space="0" w:color="auto"/>
            </w:tcBorders>
          </w:tcPr>
          <w:p w14:paraId="31170FD6" w14:textId="77777777" w:rsidR="00E069FA" w:rsidRPr="000141D4" w:rsidRDefault="00E069FA" w:rsidP="00133159">
            <w:pPr>
              <w:spacing w:after="0"/>
              <w:ind w:firstLine="0"/>
              <w:jc w:val="center"/>
              <w:rPr>
                <w:b/>
                <w:sz w:val="20"/>
              </w:rPr>
            </w:pPr>
            <w:r w:rsidRPr="000141D4">
              <w:rPr>
                <w:b/>
                <w:sz w:val="20"/>
              </w:rPr>
              <w:t>+5,3</w:t>
            </w:r>
          </w:p>
        </w:tc>
      </w:tr>
    </w:tbl>
    <w:p w14:paraId="6539E62E" w14:textId="77777777" w:rsidR="00D61CDB" w:rsidRPr="00BB0C27" w:rsidRDefault="00D61CDB" w:rsidP="00BB0C27">
      <w:pPr>
        <w:pStyle w:val="H4"/>
        <w:ind w:left="0"/>
        <w:rPr>
          <w:highlight w:val="yellow"/>
        </w:rPr>
      </w:pPr>
    </w:p>
    <w:p w14:paraId="79406F2A" w14:textId="77777777" w:rsidR="00D61CDB" w:rsidRPr="000800A7" w:rsidRDefault="00D61CDB" w:rsidP="00D61CDB">
      <w:pPr>
        <w:pStyle w:val="H4"/>
        <w:rPr>
          <w:rFonts w:ascii="Times New Roman" w:hAnsi="Times New Roman"/>
          <w:sz w:val="24"/>
          <w:szCs w:val="24"/>
        </w:rPr>
      </w:pPr>
      <w:r w:rsidRPr="000800A7">
        <w:rPr>
          <w:rFonts w:ascii="Times New Roman" w:hAnsi="Times New Roman"/>
          <w:sz w:val="24"/>
          <w:szCs w:val="24"/>
        </w:rPr>
        <w:t>Akcīzes nodoklis</w:t>
      </w:r>
    </w:p>
    <w:p w14:paraId="37F59326" w14:textId="77777777" w:rsidR="00D61CDB" w:rsidRDefault="00D61CDB" w:rsidP="00D61CDB">
      <w:pPr>
        <w:rPr>
          <w:color w:val="000000"/>
          <w:szCs w:val="24"/>
        </w:rPr>
      </w:pPr>
      <w:r>
        <w:rPr>
          <w:color w:val="000000"/>
          <w:szCs w:val="24"/>
        </w:rPr>
        <w:t>Vērtējot akcīzes nodokļa ieņēmumus un to ietekmējošos faktorus, jāatzīmē, ka vidējā termiņā liela loma akcīzes nodokļa politikas īstenošanā būs akcīzes nodokļa likmju saskaņošanai ar ES prasībām. Atbilstoši Latvijai piešķirtajiem pārejas periodiem 2014. un 2016. gadā notiks izmaiņas attiecībā uz akcīzes nodokļa likmēm tabakas izstrādājumiem un akcīzes nodokļa piemērošanu dabasgāzei.</w:t>
      </w:r>
    </w:p>
    <w:p w14:paraId="631ADA11" w14:textId="77777777" w:rsidR="00D61CDB" w:rsidRDefault="00D61CDB" w:rsidP="00D61CDB">
      <w:pPr>
        <w:rPr>
          <w:color w:val="000000"/>
          <w:szCs w:val="24"/>
        </w:rPr>
      </w:pPr>
      <w:r>
        <w:rPr>
          <w:color w:val="000000"/>
          <w:szCs w:val="24"/>
        </w:rPr>
        <w:t>Kopējā ekonomiskās situācijas pasliktināšanās bija izraisījusi akcīzes preču realizācijas apjomu kritumu, kas tiešā veidā ietekmēja akcīzes nodokļa ieņēmumu samazinājumu 2009. un 2010. gadā, tomēr 2011. gadā, uzlabojoties Latvijas ekonomiskajai situācijai, arī 2012. gadā vērojamas pozitīvas tendences akcīzes nodokļa izpildes rādītājos. 2012. gadā akcīzes nodokļa ieņēmumi pieauga par 2,7 % attiecībā pret 2011. gadu.</w:t>
      </w:r>
    </w:p>
    <w:p w14:paraId="182CA009" w14:textId="77777777" w:rsidR="00D61CDB" w:rsidRDefault="00D61CDB" w:rsidP="00D61CDB">
      <w:pPr>
        <w:rPr>
          <w:color w:val="000000"/>
          <w:szCs w:val="24"/>
        </w:rPr>
      </w:pPr>
      <w:r>
        <w:rPr>
          <w:color w:val="000000"/>
          <w:szCs w:val="24"/>
        </w:rPr>
        <w:t>2013. gadā akcīzes nodokļa ieņēmumi tiek prognozēti ar 1,</w:t>
      </w:r>
      <w:r w:rsidR="00E069FA" w:rsidRPr="000141D4">
        <w:rPr>
          <w:color w:val="000000"/>
          <w:szCs w:val="24"/>
        </w:rPr>
        <w:t>4</w:t>
      </w:r>
      <w:r>
        <w:rPr>
          <w:color w:val="000000"/>
          <w:szCs w:val="24"/>
        </w:rPr>
        <w:t>% pieaugumu salīdzinājumā ar 2012. gadu.</w:t>
      </w:r>
    </w:p>
    <w:p w14:paraId="0304354B" w14:textId="77777777" w:rsidR="00E069FA" w:rsidRPr="000141D4" w:rsidRDefault="00E069FA" w:rsidP="00E069FA">
      <w:pPr>
        <w:rPr>
          <w:color w:val="000000"/>
          <w:szCs w:val="24"/>
        </w:rPr>
      </w:pPr>
      <w:r w:rsidRPr="000141D4">
        <w:rPr>
          <w:color w:val="000000"/>
          <w:szCs w:val="24"/>
        </w:rPr>
        <w:t xml:space="preserve">2013.gada 16.aprīlī apstiprinātie grozījumi </w:t>
      </w:r>
      <w:r w:rsidR="005342B6">
        <w:rPr>
          <w:color w:val="000000"/>
          <w:szCs w:val="24"/>
        </w:rPr>
        <w:t>MK</w:t>
      </w:r>
      <w:r w:rsidRPr="000141D4">
        <w:rPr>
          <w:color w:val="000000"/>
          <w:szCs w:val="24"/>
        </w:rPr>
        <w:t xml:space="preserve"> 2011.gada 3.maija noteikumos Nr.344 „Kārtība, kādā no akcīzes nodokļa atbrīvo dīzeļdegvielu (gāzeļļu), ko izmanto lauksaimniecības produkcijas ražošanai, lauksaimniecības zemes apstrādei un meža vai purva zemes apstrādei, kurā kultivē dzērvenes vai mellenes, kā arī zemes apstrādei zem zivju dīķiem” paredz palielināt 2013./2014. saimnieciskajam gadam maksimālo kopējo dīzeļdegvielas daudzumu, kas atbrīvots no akcīzes nodokļa.</w:t>
      </w:r>
    </w:p>
    <w:p w14:paraId="537D1E51" w14:textId="77777777" w:rsidR="00D61CDB" w:rsidRDefault="00D61CDB" w:rsidP="00D61CDB">
      <w:pPr>
        <w:rPr>
          <w:color w:val="000000"/>
          <w:szCs w:val="24"/>
        </w:rPr>
      </w:pPr>
      <w:r>
        <w:rPr>
          <w:color w:val="000000"/>
          <w:szCs w:val="24"/>
        </w:rPr>
        <w:t>No 2014. gada 1. janvāra tiks paaugstināta akcīzes nodokļa cigaretēm specifiskā likme no Ls 25 uz Ls 28 par 1000 cigaretēm, kā arī tiks samazināta procentuālā likme no 34% uz 33,5%, nodrošinot minimālo akcīzes nodokļa līmeni Ls 56 par 1000 cigaretēm Ls 52 vietā. Tāpat tiks paaugstināta likme cigāriem no Ls 26 uz Ls 28 un smēķējamai tabakai no Ls 34 uz Ls 39.</w:t>
      </w:r>
    </w:p>
    <w:p w14:paraId="0200D961" w14:textId="77777777" w:rsidR="00D61CDB" w:rsidRDefault="00D61CDB" w:rsidP="00D61CDB">
      <w:pPr>
        <w:rPr>
          <w:color w:val="000000"/>
          <w:szCs w:val="24"/>
        </w:rPr>
      </w:pPr>
      <w:r>
        <w:rPr>
          <w:color w:val="000000"/>
          <w:szCs w:val="24"/>
        </w:rPr>
        <w:t>No 2014. gada ar akcīzes nodokli tiks aplikta dabasgāze, kuru izmanto siltumnīcās un rūpnieciskās ražošanas tehnoloģisko iekārtu darbināšanai un tehnoloģiski nepieciešamā klimata nodrošināšanai rūpnieciskās ražošanas telpās.</w:t>
      </w:r>
    </w:p>
    <w:p w14:paraId="75A02172" w14:textId="77777777" w:rsidR="00D61CDB" w:rsidRDefault="00D61CDB" w:rsidP="00D61CDB">
      <w:pPr>
        <w:rPr>
          <w:color w:val="000000"/>
          <w:szCs w:val="24"/>
        </w:rPr>
      </w:pPr>
      <w:r>
        <w:rPr>
          <w:color w:val="000000"/>
          <w:szCs w:val="24"/>
        </w:rPr>
        <w:t>Atbilstoši likuma „Par akcīzes nodokli” pārejas noteikumiem no 2016. gada 1. janvāra atkārtoti tiks paaugstināta akcīzes nodokļa specifiskā likme no Ls 28 uz Ls 30 par 1000 cigaretēm, kā arī tiks samazināta procentuālā likme no 33,5% uz 33%, nodrošinot minimālo akcīzes nodokļa līmeni Ls 60 par 1000 cigaretēm Ls 56 vietā.</w:t>
      </w:r>
    </w:p>
    <w:p w14:paraId="1B301000" w14:textId="77777777" w:rsidR="00D61CDB" w:rsidRPr="007963AF" w:rsidRDefault="00D61CDB" w:rsidP="00D61CDB">
      <w:pPr>
        <w:pStyle w:val="T"/>
        <w:spacing w:after="0"/>
        <w:jc w:val="right"/>
        <w:rPr>
          <w:rFonts w:ascii="Times New Roman" w:hAnsi="Times New Roman"/>
          <w:b w:val="0"/>
        </w:rPr>
      </w:pPr>
      <w:r w:rsidRPr="007963AF">
        <w:rPr>
          <w:rFonts w:ascii="Times New Roman" w:hAnsi="Times New Roman"/>
          <w:b w:val="0"/>
        </w:rPr>
        <w:t>7.</w:t>
      </w:r>
      <w:r w:rsidR="00E069FA" w:rsidRPr="000141D4">
        <w:rPr>
          <w:rFonts w:ascii="Times New Roman" w:hAnsi="Times New Roman"/>
          <w:b w:val="0"/>
        </w:rPr>
        <w:t>5</w:t>
      </w:r>
      <w:r w:rsidRPr="007963AF">
        <w:rPr>
          <w:rFonts w:ascii="Times New Roman" w:hAnsi="Times New Roman"/>
          <w:b w:val="0"/>
        </w:rPr>
        <w:t>. tabula. Nodokļu politikas izmaiņu ietekme</w:t>
      </w:r>
    </w:p>
    <w:p w14:paraId="1DE284AD" w14:textId="77777777" w:rsidR="00D61CDB" w:rsidRPr="007963AF" w:rsidRDefault="00D61CDB" w:rsidP="00D61CDB">
      <w:pPr>
        <w:pStyle w:val="T"/>
        <w:spacing w:after="0"/>
        <w:jc w:val="right"/>
        <w:rPr>
          <w:rFonts w:ascii="Times New Roman" w:hAnsi="Times New Roman"/>
          <w:b w:val="0"/>
        </w:rPr>
      </w:pPr>
      <w:r w:rsidRPr="007963AF">
        <w:rPr>
          <w:rFonts w:ascii="Times New Roman" w:hAnsi="Times New Roman"/>
          <w:b w:val="0"/>
        </w:rPr>
        <w:t>uz akcīzes nodokļa ieņēmumiem, milj. latu</w:t>
      </w:r>
    </w:p>
    <w:tbl>
      <w:tblPr>
        <w:tblW w:w="9235"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5339"/>
        <w:gridCol w:w="974"/>
        <w:gridCol w:w="974"/>
        <w:gridCol w:w="974"/>
        <w:gridCol w:w="974"/>
      </w:tblGrid>
      <w:tr w:rsidR="00D61CDB" w:rsidRPr="00016A8F" w14:paraId="597301A1" w14:textId="77777777" w:rsidTr="001329C2">
        <w:trPr>
          <w:jc w:val="center"/>
        </w:trPr>
        <w:tc>
          <w:tcPr>
            <w:tcW w:w="5339" w:type="dxa"/>
            <w:tcBorders>
              <w:top w:val="double" w:sz="6" w:space="0" w:color="auto"/>
            </w:tcBorders>
          </w:tcPr>
          <w:p w14:paraId="1608AEED" w14:textId="77777777" w:rsidR="00D61CDB" w:rsidRPr="007963AF" w:rsidRDefault="00D61CDB" w:rsidP="001329C2">
            <w:pPr>
              <w:pStyle w:val="tabteksts"/>
            </w:pPr>
          </w:p>
        </w:tc>
        <w:tc>
          <w:tcPr>
            <w:tcW w:w="974" w:type="dxa"/>
            <w:tcBorders>
              <w:top w:val="double" w:sz="6" w:space="0" w:color="auto"/>
            </w:tcBorders>
          </w:tcPr>
          <w:p w14:paraId="662B77E9" w14:textId="77777777" w:rsidR="00D61CDB" w:rsidRPr="007963AF" w:rsidRDefault="00D61CDB" w:rsidP="001329C2">
            <w:pPr>
              <w:pStyle w:val="tabteksts"/>
              <w:tabs>
                <w:tab w:val="decimal" w:pos="-12114"/>
              </w:tabs>
              <w:jc w:val="center"/>
              <w:rPr>
                <w:b/>
              </w:rPr>
            </w:pPr>
            <w:r w:rsidRPr="007963AF">
              <w:rPr>
                <w:b/>
              </w:rPr>
              <w:t>2013</w:t>
            </w:r>
          </w:p>
        </w:tc>
        <w:tc>
          <w:tcPr>
            <w:tcW w:w="974" w:type="dxa"/>
            <w:tcBorders>
              <w:top w:val="double" w:sz="6" w:space="0" w:color="auto"/>
            </w:tcBorders>
          </w:tcPr>
          <w:p w14:paraId="2CA4203B" w14:textId="77777777" w:rsidR="00D61CDB" w:rsidRPr="007963AF" w:rsidRDefault="00D61CDB" w:rsidP="001329C2">
            <w:pPr>
              <w:pStyle w:val="tabteksts"/>
              <w:tabs>
                <w:tab w:val="decimal" w:pos="-12114"/>
              </w:tabs>
              <w:jc w:val="center"/>
              <w:rPr>
                <w:b/>
              </w:rPr>
            </w:pPr>
            <w:r w:rsidRPr="007963AF">
              <w:rPr>
                <w:b/>
              </w:rPr>
              <w:t>2014</w:t>
            </w:r>
          </w:p>
        </w:tc>
        <w:tc>
          <w:tcPr>
            <w:tcW w:w="974" w:type="dxa"/>
            <w:tcBorders>
              <w:top w:val="double" w:sz="6" w:space="0" w:color="auto"/>
            </w:tcBorders>
          </w:tcPr>
          <w:p w14:paraId="2F753134" w14:textId="77777777" w:rsidR="00D61CDB" w:rsidRPr="007963AF" w:rsidRDefault="00D61CDB" w:rsidP="001329C2">
            <w:pPr>
              <w:pStyle w:val="tabteksts"/>
              <w:tabs>
                <w:tab w:val="decimal" w:pos="-12114"/>
              </w:tabs>
              <w:jc w:val="center"/>
              <w:rPr>
                <w:b/>
              </w:rPr>
            </w:pPr>
            <w:r w:rsidRPr="007963AF">
              <w:rPr>
                <w:b/>
              </w:rPr>
              <w:t>2015</w:t>
            </w:r>
          </w:p>
        </w:tc>
        <w:tc>
          <w:tcPr>
            <w:tcW w:w="974" w:type="dxa"/>
            <w:tcBorders>
              <w:top w:val="double" w:sz="6" w:space="0" w:color="auto"/>
            </w:tcBorders>
          </w:tcPr>
          <w:p w14:paraId="3DED7374" w14:textId="77777777" w:rsidR="00D61CDB" w:rsidRPr="007963AF" w:rsidRDefault="00D61CDB" w:rsidP="001329C2">
            <w:pPr>
              <w:pStyle w:val="tabteksts"/>
              <w:tabs>
                <w:tab w:val="decimal" w:pos="-12114"/>
              </w:tabs>
              <w:jc w:val="center"/>
              <w:rPr>
                <w:b/>
              </w:rPr>
            </w:pPr>
            <w:r w:rsidRPr="007963AF">
              <w:rPr>
                <w:b/>
              </w:rPr>
              <w:t>2016</w:t>
            </w:r>
          </w:p>
        </w:tc>
      </w:tr>
      <w:tr w:rsidR="00E069FA" w:rsidRPr="000141D4" w14:paraId="436E9FD9" w14:textId="77777777" w:rsidTr="00133159">
        <w:trPr>
          <w:jc w:val="center"/>
        </w:trPr>
        <w:tc>
          <w:tcPr>
            <w:tcW w:w="5339" w:type="dxa"/>
            <w:tcBorders>
              <w:top w:val="single" w:sz="4" w:space="0" w:color="auto"/>
              <w:bottom w:val="single" w:sz="4" w:space="0" w:color="auto"/>
            </w:tcBorders>
          </w:tcPr>
          <w:p w14:paraId="2C126B2F" w14:textId="77777777" w:rsidR="00E069FA" w:rsidRPr="000141D4" w:rsidRDefault="00E069FA" w:rsidP="00133159">
            <w:pPr>
              <w:pStyle w:val="tabteksts"/>
            </w:pPr>
            <w:r w:rsidRPr="000141D4">
              <w:t xml:space="preserve">Ar akcīzes nodokli neapliekamās dīzeļdegvielas apjoma </w:t>
            </w:r>
            <w:r w:rsidRPr="000141D4">
              <w:lastRenderedPageBreak/>
              <w:t>palielinājums zemniekiem 2013./2014.saimnieciskajā gadā</w:t>
            </w:r>
          </w:p>
        </w:tc>
        <w:tc>
          <w:tcPr>
            <w:tcW w:w="974" w:type="dxa"/>
            <w:tcBorders>
              <w:top w:val="single" w:sz="4" w:space="0" w:color="auto"/>
              <w:bottom w:val="single" w:sz="4" w:space="0" w:color="auto"/>
            </w:tcBorders>
          </w:tcPr>
          <w:p w14:paraId="59A6C0EA" w14:textId="77777777" w:rsidR="00E069FA" w:rsidRPr="000141D4" w:rsidRDefault="00E069FA" w:rsidP="00133159">
            <w:pPr>
              <w:pStyle w:val="tabteksts"/>
              <w:tabs>
                <w:tab w:val="decimal" w:pos="458"/>
              </w:tabs>
              <w:jc w:val="both"/>
            </w:pPr>
            <w:r w:rsidRPr="000141D4">
              <w:lastRenderedPageBreak/>
              <w:t>-2,7</w:t>
            </w:r>
          </w:p>
        </w:tc>
        <w:tc>
          <w:tcPr>
            <w:tcW w:w="974" w:type="dxa"/>
            <w:tcBorders>
              <w:top w:val="single" w:sz="4" w:space="0" w:color="auto"/>
              <w:bottom w:val="single" w:sz="4" w:space="0" w:color="auto"/>
            </w:tcBorders>
          </w:tcPr>
          <w:p w14:paraId="6D43BEDA" w14:textId="77777777" w:rsidR="00E069FA" w:rsidRPr="000141D4" w:rsidRDefault="00E069FA" w:rsidP="00133159">
            <w:pPr>
              <w:pStyle w:val="tabteksts"/>
              <w:tabs>
                <w:tab w:val="decimal" w:pos="458"/>
              </w:tabs>
              <w:jc w:val="both"/>
            </w:pPr>
            <w:r w:rsidRPr="000141D4">
              <w:t>-2,7</w:t>
            </w:r>
          </w:p>
        </w:tc>
        <w:tc>
          <w:tcPr>
            <w:tcW w:w="974" w:type="dxa"/>
            <w:tcBorders>
              <w:top w:val="single" w:sz="4" w:space="0" w:color="auto"/>
              <w:bottom w:val="single" w:sz="4" w:space="0" w:color="auto"/>
            </w:tcBorders>
          </w:tcPr>
          <w:p w14:paraId="5AFD95F9" w14:textId="77777777" w:rsidR="00E069FA" w:rsidRPr="000141D4" w:rsidRDefault="00E069FA" w:rsidP="00133159">
            <w:pPr>
              <w:pStyle w:val="tabteksts"/>
              <w:tabs>
                <w:tab w:val="decimal" w:pos="458"/>
              </w:tabs>
              <w:jc w:val="both"/>
            </w:pPr>
            <w:r w:rsidRPr="000141D4">
              <w:t>-</w:t>
            </w:r>
          </w:p>
        </w:tc>
        <w:tc>
          <w:tcPr>
            <w:tcW w:w="974" w:type="dxa"/>
            <w:tcBorders>
              <w:top w:val="single" w:sz="4" w:space="0" w:color="auto"/>
              <w:bottom w:val="single" w:sz="4" w:space="0" w:color="auto"/>
            </w:tcBorders>
          </w:tcPr>
          <w:p w14:paraId="4D6F5722" w14:textId="77777777" w:rsidR="00E069FA" w:rsidRPr="000141D4" w:rsidRDefault="00E069FA" w:rsidP="00133159">
            <w:pPr>
              <w:pStyle w:val="tabteksts"/>
              <w:tabs>
                <w:tab w:val="decimal" w:pos="458"/>
              </w:tabs>
              <w:jc w:val="both"/>
            </w:pPr>
            <w:r w:rsidRPr="000141D4">
              <w:t>-</w:t>
            </w:r>
          </w:p>
        </w:tc>
      </w:tr>
      <w:tr w:rsidR="00D61CDB" w:rsidRPr="00016A8F" w14:paraId="2040F262" w14:textId="77777777" w:rsidTr="00BB0C27">
        <w:trPr>
          <w:jc w:val="center"/>
        </w:trPr>
        <w:tc>
          <w:tcPr>
            <w:tcW w:w="5339" w:type="dxa"/>
            <w:tcBorders>
              <w:top w:val="single" w:sz="4" w:space="0" w:color="auto"/>
              <w:bottom w:val="single" w:sz="4" w:space="0" w:color="auto"/>
            </w:tcBorders>
          </w:tcPr>
          <w:p w14:paraId="05F72246" w14:textId="77777777" w:rsidR="00D61CDB" w:rsidRPr="007963AF" w:rsidRDefault="00D61CDB" w:rsidP="001329C2">
            <w:pPr>
              <w:pStyle w:val="tabteksts"/>
            </w:pPr>
            <w:r w:rsidRPr="007963AF">
              <w:lastRenderedPageBreak/>
              <w:t>Akcīzes nodokļa likmes paaugstināšana tabakas izstrādājumiem</w:t>
            </w:r>
          </w:p>
        </w:tc>
        <w:tc>
          <w:tcPr>
            <w:tcW w:w="974" w:type="dxa"/>
            <w:tcBorders>
              <w:top w:val="single" w:sz="4" w:space="0" w:color="auto"/>
              <w:bottom w:val="single" w:sz="4" w:space="0" w:color="auto"/>
            </w:tcBorders>
          </w:tcPr>
          <w:p w14:paraId="74EA941E" w14:textId="77777777" w:rsidR="00D61CDB" w:rsidRPr="007963AF" w:rsidRDefault="00D61CDB" w:rsidP="001329C2">
            <w:pPr>
              <w:pStyle w:val="tabteksts"/>
              <w:tabs>
                <w:tab w:val="decimal" w:pos="458"/>
              </w:tabs>
              <w:jc w:val="both"/>
            </w:pPr>
            <w:r w:rsidRPr="007963AF">
              <w:t>-</w:t>
            </w:r>
          </w:p>
        </w:tc>
        <w:tc>
          <w:tcPr>
            <w:tcW w:w="974" w:type="dxa"/>
            <w:tcBorders>
              <w:top w:val="single" w:sz="4" w:space="0" w:color="auto"/>
              <w:bottom w:val="single" w:sz="4" w:space="0" w:color="auto"/>
            </w:tcBorders>
          </w:tcPr>
          <w:p w14:paraId="6641480B" w14:textId="77777777" w:rsidR="00D61CDB" w:rsidRPr="007963AF" w:rsidRDefault="00D61CDB" w:rsidP="001329C2">
            <w:pPr>
              <w:pStyle w:val="tabteksts"/>
              <w:tabs>
                <w:tab w:val="decimal" w:pos="458"/>
              </w:tabs>
              <w:jc w:val="both"/>
            </w:pPr>
            <w:r w:rsidRPr="007963AF">
              <w:t>+3,6</w:t>
            </w:r>
          </w:p>
        </w:tc>
        <w:tc>
          <w:tcPr>
            <w:tcW w:w="974" w:type="dxa"/>
            <w:tcBorders>
              <w:top w:val="single" w:sz="4" w:space="0" w:color="auto"/>
              <w:bottom w:val="single" w:sz="4" w:space="0" w:color="auto"/>
            </w:tcBorders>
          </w:tcPr>
          <w:p w14:paraId="7175C5A7" w14:textId="77777777" w:rsidR="00D61CDB" w:rsidRPr="007963AF" w:rsidRDefault="00D61CDB" w:rsidP="001329C2">
            <w:pPr>
              <w:pStyle w:val="tabteksts"/>
              <w:tabs>
                <w:tab w:val="decimal" w:pos="458"/>
              </w:tabs>
              <w:jc w:val="both"/>
            </w:pPr>
            <w:r>
              <w:t>-</w:t>
            </w:r>
          </w:p>
        </w:tc>
        <w:tc>
          <w:tcPr>
            <w:tcW w:w="974" w:type="dxa"/>
            <w:tcBorders>
              <w:top w:val="single" w:sz="4" w:space="0" w:color="auto"/>
              <w:bottom w:val="single" w:sz="4" w:space="0" w:color="auto"/>
            </w:tcBorders>
          </w:tcPr>
          <w:p w14:paraId="4E2C9AF1" w14:textId="77777777" w:rsidR="00D61CDB" w:rsidRPr="007963AF" w:rsidRDefault="00D61CDB" w:rsidP="001329C2">
            <w:pPr>
              <w:pStyle w:val="tabteksts"/>
              <w:tabs>
                <w:tab w:val="decimal" w:pos="458"/>
              </w:tabs>
              <w:jc w:val="both"/>
            </w:pPr>
            <w:r>
              <w:t>+1,8</w:t>
            </w:r>
          </w:p>
        </w:tc>
      </w:tr>
      <w:tr w:rsidR="00D61CDB" w:rsidRPr="00016A8F" w14:paraId="35C575D3" w14:textId="77777777" w:rsidTr="001329C2">
        <w:trPr>
          <w:jc w:val="center"/>
        </w:trPr>
        <w:tc>
          <w:tcPr>
            <w:tcW w:w="5339" w:type="dxa"/>
            <w:tcBorders>
              <w:top w:val="single" w:sz="4" w:space="0" w:color="auto"/>
              <w:bottom w:val="single" w:sz="4" w:space="0" w:color="auto"/>
            </w:tcBorders>
          </w:tcPr>
          <w:p w14:paraId="769F637A" w14:textId="77777777" w:rsidR="00D61CDB" w:rsidRPr="007963AF" w:rsidRDefault="00D61CDB" w:rsidP="001329C2">
            <w:pPr>
              <w:pStyle w:val="tabteksts"/>
            </w:pPr>
            <w:r w:rsidRPr="007963AF">
              <w:t>Akcīzes nodokļa dabasgāzei atbrīvojuma atcelšana</w:t>
            </w:r>
          </w:p>
        </w:tc>
        <w:tc>
          <w:tcPr>
            <w:tcW w:w="974" w:type="dxa"/>
            <w:tcBorders>
              <w:top w:val="single" w:sz="4" w:space="0" w:color="auto"/>
              <w:bottom w:val="single" w:sz="4" w:space="0" w:color="auto"/>
            </w:tcBorders>
          </w:tcPr>
          <w:p w14:paraId="5BB84345" w14:textId="77777777" w:rsidR="00D61CDB" w:rsidRPr="007963AF" w:rsidRDefault="00D61CDB" w:rsidP="001329C2">
            <w:pPr>
              <w:pStyle w:val="tabteksts"/>
              <w:tabs>
                <w:tab w:val="decimal" w:pos="458"/>
              </w:tabs>
              <w:jc w:val="both"/>
            </w:pPr>
            <w:r w:rsidRPr="007963AF">
              <w:t>-</w:t>
            </w:r>
          </w:p>
        </w:tc>
        <w:tc>
          <w:tcPr>
            <w:tcW w:w="974" w:type="dxa"/>
            <w:tcBorders>
              <w:top w:val="single" w:sz="4" w:space="0" w:color="auto"/>
              <w:bottom w:val="single" w:sz="4" w:space="0" w:color="auto"/>
            </w:tcBorders>
          </w:tcPr>
          <w:p w14:paraId="46F982F6" w14:textId="77777777" w:rsidR="00D61CDB" w:rsidRPr="007963AF" w:rsidRDefault="00D61CDB" w:rsidP="001329C2">
            <w:pPr>
              <w:pStyle w:val="tabteksts"/>
              <w:tabs>
                <w:tab w:val="decimal" w:pos="458"/>
              </w:tabs>
              <w:jc w:val="both"/>
            </w:pPr>
            <w:r w:rsidRPr="007963AF">
              <w:t>+1,7</w:t>
            </w:r>
          </w:p>
        </w:tc>
        <w:tc>
          <w:tcPr>
            <w:tcW w:w="974" w:type="dxa"/>
            <w:tcBorders>
              <w:top w:val="single" w:sz="4" w:space="0" w:color="auto"/>
              <w:bottom w:val="single" w:sz="4" w:space="0" w:color="auto"/>
            </w:tcBorders>
          </w:tcPr>
          <w:p w14:paraId="6D21E97C" w14:textId="77777777" w:rsidR="00D61CDB" w:rsidRPr="007963AF" w:rsidRDefault="00D61CDB" w:rsidP="001329C2">
            <w:pPr>
              <w:pStyle w:val="tabteksts"/>
              <w:tabs>
                <w:tab w:val="decimal" w:pos="458"/>
              </w:tabs>
              <w:jc w:val="both"/>
            </w:pPr>
            <w:r>
              <w:t>-</w:t>
            </w:r>
          </w:p>
        </w:tc>
        <w:tc>
          <w:tcPr>
            <w:tcW w:w="974" w:type="dxa"/>
            <w:tcBorders>
              <w:top w:val="single" w:sz="4" w:space="0" w:color="auto"/>
              <w:bottom w:val="single" w:sz="4" w:space="0" w:color="auto"/>
            </w:tcBorders>
          </w:tcPr>
          <w:p w14:paraId="49073D3F" w14:textId="77777777" w:rsidR="00D61CDB" w:rsidRPr="007963AF" w:rsidRDefault="00D61CDB" w:rsidP="001329C2">
            <w:pPr>
              <w:pStyle w:val="tabteksts"/>
              <w:tabs>
                <w:tab w:val="decimal" w:pos="458"/>
              </w:tabs>
              <w:jc w:val="both"/>
            </w:pPr>
            <w:r>
              <w:t>-</w:t>
            </w:r>
          </w:p>
        </w:tc>
      </w:tr>
      <w:tr w:rsidR="00D61CDB" w:rsidRPr="00016A8F" w14:paraId="2B55CA04" w14:textId="77777777" w:rsidTr="001329C2">
        <w:trPr>
          <w:jc w:val="center"/>
        </w:trPr>
        <w:tc>
          <w:tcPr>
            <w:tcW w:w="5339" w:type="dxa"/>
            <w:tcBorders>
              <w:bottom w:val="double" w:sz="6" w:space="0" w:color="auto"/>
            </w:tcBorders>
          </w:tcPr>
          <w:p w14:paraId="7345F49E" w14:textId="77777777" w:rsidR="00D61CDB" w:rsidRPr="007963AF" w:rsidRDefault="00D61CDB" w:rsidP="001329C2">
            <w:pPr>
              <w:pStyle w:val="tabteksts"/>
              <w:jc w:val="both"/>
              <w:rPr>
                <w:b/>
              </w:rPr>
            </w:pPr>
            <w:r w:rsidRPr="007963AF">
              <w:rPr>
                <w:b/>
              </w:rPr>
              <w:t>Izmaiņu ietekme kopā:</w:t>
            </w:r>
          </w:p>
        </w:tc>
        <w:tc>
          <w:tcPr>
            <w:tcW w:w="974" w:type="dxa"/>
            <w:tcBorders>
              <w:bottom w:val="double" w:sz="6" w:space="0" w:color="auto"/>
            </w:tcBorders>
          </w:tcPr>
          <w:p w14:paraId="5DC650DA" w14:textId="77777777" w:rsidR="00D61CDB" w:rsidRPr="007963AF" w:rsidRDefault="00D61CDB" w:rsidP="001329C2">
            <w:pPr>
              <w:pStyle w:val="tabteksts"/>
              <w:tabs>
                <w:tab w:val="decimal" w:pos="458"/>
              </w:tabs>
              <w:jc w:val="both"/>
              <w:rPr>
                <w:b/>
              </w:rPr>
            </w:pPr>
            <w:r w:rsidRPr="007963AF">
              <w:rPr>
                <w:b/>
              </w:rPr>
              <w:t>-</w:t>
            </w:r>
            <w:r w:rsidR="00E069FA" w:rsidRPr="000141D4">
              <w:rPr>
                <w:b/>
              </w:rPr>
              <w:t>2,7</w:t>
            </w:r>
          </w:p>
        </w:tc>
        <w:tc>
          <w:tcPr>
            <w:tcW w:w="974" w:type="dxa"/>
            <w:tcBorders>
              <w:bottom w:val="double" w:sz="6" w:space="0" w:color="auto"/>
            </w:tcBorders>
          </w:tcPr>
          <w:p w14:paraId="1C1893FD" w14:textId="77777777" w:rsidR="00D61CDB" w:rsidRPr="007963AF" w:rsidRDefault="00D61CDB" w:rsidP="001329C2">
            <w:pPr>
              <w:pStyle w:val="tabteksts"/>
              <w:tabs>
                <w:tab w:val="decimal" w:pos="458"/>
              </w:tabs>
              <w:jc w:val="both"/>
              <w:rPr>
                <w:b/>
              </w:rPr>
            </w:pPr>
            <w:r w:rsidRPr="007963AF">
              <w:rPr>
                <w:b/>
              </w:rPr>
              <w:t>+</w:t>
            </w:r>
            <w:r w:rsidR="00E069FA" w:rsidRPr="000141D4">
              <w:rPr>
                <w:b/>
              </w:rPr>
              <w:t>2,6</w:t>
            </w:r>
          </w:p>
        </w:tc>
        <w:tc>
          <w:tcPr>
            <w:tcW w:w="974" w:type="dxa"/>
            <w:tcBorders>
              <w:bottom w:val="double" w:sz="6" w:space="0" w:color="auto"/>
            </w:tcBorders>
          </w:tcPr>
          <w:p w14:paraId="75F20DC0" w14:textId="77777777" w:rsidR="00D61CDB" w:rsidRPr="007963AF" w:rsidRDefault="00D61CDB" w:rsidP="001329C2">
            <w:pPr>
              <w:pStyle w:val="tabteksts"/>
              <w:tabs>
                <w:tab w:val="decimal" w:pos="458"/>
              </w:tabs>
              <w:jc w:val="both"/>
              <w:rPr>
                <w:b/>
              </w:rPr>
            </w:pPr>
            <w:r>
              <w:rPr>
                <w:b/>
              </w:rPr>
              <w:t>-</w:t>
            </w:r>
          </w:p>
        </w:tc>
        <w:tc>
          <w:tcPr>
            <w:tcW w:w="974" w:type="dxa"/>
            <w:tcBorders>
              <w:bottom w:val="double" w:sz="6" w:space="0" w:color="auto"/>
            </w:tcBorders>
          </w:tcPr>
          <w:p w14:paraId="62066B78" w14:textId="77777777" w:rsidR="00D61CDB" w:rsidRPr="007963AF" w:rsidRDefault="00D61CDB" w:rsidP="001329C2">
            <w:pPr>
              <w:pStyle w:val="tabteksts"/>
              <w:tabs>
                <w:tab w:val="decimal" w:pos="458"/>
              </w:tabs>
              <w:jc w:val="both"/>
              <w:rPr>
                <w:b/>
              </w:rPr>
            </w:pPr>
            <w:r>
              <w:rPr>
                <w:b/>
              </w:rPr>
              <w:t>+1,8</w:t>
            </w:r>
          </w:p>
        </w:tc>
      </w:tr>
    </w:tbl>
    <w:p w14:paraId="1533B2C1" w14:textId="77777777" w:rsidR="00D61CDB" w:rsidRPr="00BB0C27" w:rsidRDefault="00D61CDB" w:rsidP="00D61CDB">
      <w:pPr>
        <w:pStyle w:val="T"/>
        <w:spacing w:after="0"/>
        <w:rPr>
          <w:highlight w:val="yellow"/>
        </w:rPr>
      </w:pPr>
    </w:p>
    <w:p w14:paraId="7B5D4B89" w14:textId="77777777" w:rsidR="00D61CDB" w:rsidRPr="00E402EE" w:rsidRDefault="00D61CDB" w:rsidP="00D61CDB">
      <w:pPr>
        <w:pStyle w:val="H4"/>
        <w:rPr>
          <w:rFonts w:ascii="Times New Roman" w:hAnsi="Times New Roman"/>
          <w:sz w:val="24"/>
          <w:szCs w:val="24"/>
        </w:rPr>
      </w:pPr>
      <w:r w:rsidRPr="00E402EE">
        <w:rPr>
          <w:rFonts w:ascii="Times New Roman" w:hAnsi="Times New Roman"/>
          <w:sz w:val="24"/>
          <w:szCs w:val="24"/>
        </w:rPr>
        <w:t>Nekustamā īpašuma nodoklis</w:t>
      </w:r>
    </w:p>
    <w:p w14:paraId="4527B42A" w14:textId="77777777" w:rsidR="00D61CDB" w:rsidRDefault="00D61CDB" w:rsidP="00D61CDB">
      <w:r w:rsidRPr="00E402EE">
        <w:t>2013. gadā nekustamā īpašuma nodokļa ieņēmumi tiek prognozēti ar 1,4 % pieaugumu salīdzinājumā ar 2012. gadu.</w:t>
      </w:r>
    </w:p>
    <w:p w14:paraId="1F379098" w14:textId="77777777" w:rsidR="00D61CDB" w:rsidRDefault="00D61CDB" w:rsidP="00D61CDB">
      <w:r>
        <w:t xml:space="preserve">Būtiskākās likumdošanas izmaiņas, kas ir spēkā no 2013. gada 1. janvāra, attiecas uz pašvaldībām piešķirtajām tiesībām noteikt nekustamā īpašuma nodokļa likmes 0,2 - 3,0% robežās no nekustamā īpašuma kadastrālās vērtības, nosakot tās attiecīgās pašvaldības saistošajos noteikumos. Pašvaldības nekustamā īpašuma nodokļa likmi virs 1,5% drīkst noteikt tikai gadījumā, ja </w:t>
      </w:r>
      <w:r w:rsidRPr="00DD6247">
        <w:t>nekustamais īpašums netiek uzturēts atbilstoši normatīvajos aktos noteiktajai kārtībai</w:t>
      </w:r>
      <w:r>
        <w:t xml:space="preserve">, kā arī </w:t>
      </w:r>
      <w:r w:rsidRPr="00313BC6">
        <w:t>neapstrādāt</w:t>
      </w:r>
      <w:r>
        <w:t>ai</w:t>
      </w:r>
      <w:r w:rsidRPr="00313BC6">
        <w:t xml:space="preserve"> lauksaimniecībā izmantojam</w:t>
      </w:r>
      <w:r>
        <w:t>ai zemei.</w:t>
      </w:r>
    </w:p>
    <w:p w14:paraId="31B2C8D3" w14:textId="77777777" w:rsidR="00D61CDB" w:rsidRPr="00F975D2" w:rsidRDefault="00D61CDB" w:rsidP="00D61CDB">
      <w:r w:rsidRPr="00F975D2">
        <w:t xml:space="preserve">2013. un 2014. gadā pašvaldībām, izdodot saistošos noteikumus, ir tiesības piemērot nodokļa apmēra pieauguma ierobežojumu zemei vai saglabāt nodokļa apmēru zemei iepriekšējā gada līmenī, kā arī noteikt šā pieauguma ierobežojuma apmēru un piemērošanas nosacījumus. </w:t>
      </w:r>
    </w:p>
    <w:p w14:paraId="32CF0392" w14:textId="77777777" w:rsidR="00D61CDB" w:rsidRPr="00E402EE" w:rsidRDefault="00D61CDB" w:rsidP="00D61CDB">
      <w:r>
        <w:t>Tāpat izmaiņas likumdošanā paredz piešķirt 50% atlaidi no aprēķinātās nodokļa summas par dzīvojamām mājām daudzbērnu ģimenēm, tomēr šī atlaide nedrīkst pārsniegt 300 latu. Šīs likumdošanas normas ieviešana samazinās nekustamā īpašuma nodokļa ieņēmumus 2014. un turpmākajos gados par 101,0 tūkst. latu.</w:t>
      </w:r>
    </w:p>
    <w:p w14:paraId="4AC8C55D" w14:textId="77777777" w:rsidR="00D61CDB" w:rsidRPr="00BB0C27" w:rsidRDefault="00D61CDB" w:rsidP="00D61CDB">
      <w:pPr>
        <w:pStyle w:val="H4"/>
        <w:rPr>
          <w:highlight w:val="yellow"/>
        </w:rPr>
      </w:pPr>
    </w:p>
    <w:p w14:paraId="13486C03" w14:textId="77777777" w:rsidR="00D61CDB" w:rsidRPr="0073342C" w:rsidRDefault="00D61CDB" w:rsidP="00D61CDB">
      <w:pPr>
        <w:pStyle w:val="H4"/>
        <w:rPr>
          <w:rFonts w:ascii="Times New Roman" w:hAnsi="Times New Roman"/>
          <w:sz w:val="24"/>
          <w:szCs w:val="24"/>
        </w:rPr>
      </w:pPr>
      <w:r w:rsidRPr="0073342C">
        <w:rPr>
          <w:rFonts w:ascii="Times New Roman" w:hAnsi="Times New Roman"/>
          <w:sz w:val="24"/>
          <w:szCs w:val="24"/>
        </w:rPr>
        <w:t>Iedzīvotāju ienākuma nodoklis</w:t>
      </w:r>
    </w:p>
    <w:p w14:paraId="5C645FCB" w14:textId="77777777" w:rsidR="00D61CDB" w:rsidRPr="00877E49" w:rsidRDefault="00D61CDB" w:rsidP="00D61CDB">
      <w:pPr>
        <w:rPr>
          <w:iCs/>
        </w:rPr>
      </w:pPr>
      <w:r w:rsidRPr="00877E49">
        <w:rPr>
          <w:iCs/>
        </w:rPr>
        <w:t>Sākoties ekonomikas lejupslīdei, 2009. gadā iedzīvotāju ienākuma nodokļa ieņēmumi būtiski samazinājās, tomēr, ekonomikai attīstoties, 2011. gadā iedzīvotāju ienākuma nodokļa ieņēmumi pieauga, neskatoties uz 2011. gadā veiktajām izmaiņām likumdošanas normās, tai skaitā, likmes samazināšanu no 26% uz 25%, neapliekamā minimuma palielināšanu no 35 latiem uz 45 latiem mēnesī un atvieglojuma apmēra par apgādībā esošu personu palielināšana no 63 latiem uz 70 latiem mēnesī.</w:t>
      </w:r>
    </w:p>
    <w:p w14:paraId="11BBCB23" w14:textId="77777777" w:rsidR="00D61CDB" w:rsidRPr="0073342C" w:rsidRDefault="00D61CDB" w:rsidP="00D61CDB">
      <w:r w:rsidRPr="0073342C">
        <w:rPr>
          <w:iCs/>
        </w:rPr>
        <w:t>Vidēja termiņa makroekonomiskās attīstības prognozes no 2012. gada paredz darba samaksas fonda palielināšanos, kas savukārt palielinās darba nodokļu ieņēmumus turpmāko gadu laikā</w:t>
      </w:r>
      <w:r>
        <w:rPr>
          <w:iCs/>
        </w:rPr>
        <w:t>, tomēr</w:t>
      </w:r>
      <w:r w:rsidRPr="0073342C">
        <w:rPr>
          <w:iCs/>
        </w:rPr>
        <w:t xml:space="preserve"> iedzīvotāju ienākuma nodokļa ieņēmumus</w:t>
      </w:r>
      <w:r>
        <w:rPr>
          <w:iCs/>
        </w:rPr>
        <w:t xml:space="preserve"> negatīvi</w:t>
      </w:r>
      <w:r w:rsidRPr="0073342C">
        <w:rPr>
          <w:iCs/>
        </w:rPr>
        <w:t xml:space="preserve"> ietekmēs veiktās likumdošanas izmaiņas.</w:t>
      </w:r>
    </w:p>
    <w:p w14:paraId="6C6CAFC4" w14:textId="77777777" w:rsidR="00D61CDB" w:rsidRDefault="00D61CDB" w:rsidP="00D61CDB">
      <w:pPr>
        <w:rPr>
          <w:iCs/>
        </w:rPr>
      </w:pPr>
      <w:r w:rsidRPr="001C3C7A">
        <w:rPr>
          <w:iCs/>
        </w:rPr>
        <w:t>2013. gadā iedzīvotāju ienākuma nodokļa ieņēmumi tiek prognozēti ar 3,4 % pieaugumu attiecībā pret 2012. gadu.</w:t>
      </w:r>
    </w:p>
    <w:p w14:paraId="209FD8EF" w14:textId="77777777" w:rsidR="00D61CDB" w:rsidRPr="0002521A" w:rsidRDefault="00D61CDB" w:rsidP="00D61CDB">
      <w:pPr>
        <w:rPr>
          <w:iCs/>
        </w:rPr>
      </w:pPr>
      <w:r>
        <w:rPr>
          <w:iCs/>
        </w:rPr>
        <w:t xml:space="preserve">Ar 2013. gada 1. janvāri tika samazināta iedzīvotāju ienākuma nodokļa likme no 25% uz 24 procentiem. Arī vidējā termiņā paredzēts turpināt iedzīvotāju ienākuma nodokļa likmes </w:t>
      </w:r>
      <w:r w:rsidRPr="0002521A">
        <w:rPr>
          <w:iCs/>
        </w:rPr>
        <w:t>samazināšanu līdz 22% 2014. gadā un līdz 20% 2015. gadā.</w:t>
      </w:r>
    </w:p>
    <w:p w14:paraId="2F51FD80" w14:textId="77777777" w:rsidR="00D61CDB" w:rsidRPr="009A2502" w:rsidRDefault="00D61CDB" w:rsidP="00D61CDB">
      <w:pPr>
        <w:rPr>
          <w:iCs/>
        </w:rPr>
      </w:pPr>
      <w:r w:rsidRPr="0002521A">
        <w:rPr>
          <w:iCs/>
        </w:rPr>
        <w:t xml:space="preserve">2013. gada 1. jūlijā stāsies spēkā likumdošanas izmaiņas, kas paredz paaugstināt </w:t>
      </w:r>
      <w:r w:rsidRPr="009A2502">
        <w:rPr>
          <w:iCs/>
        </w:rPr>
        <w:t xml:space="preserve">atvieglojuma apmēru par apgādībā esošu personu no Ls 70 uz Ls 80.  </w:t>
      </w:r>
    </w:p>
    <w:p w14:paraId="7776E592" w14:textId="77777777" w:rsidR="00D61CDB" w:rsidRDefault="00D61CDB" w:rsidP="00D61CDB">
      <w:pPr>
        <w:rPr>
          <w:iCs/>
        </w:rPr>
      </w:pPr>
      <w:r w:rsidRPr="009A2502">
        <w:rPr>
          <w:iCs/>
        </w:rPr>
        <w:t xml:space="preserve">Izmaiņas likumdošanā ar pozitīvu efektu uz iedzīvotāju ienākuma nodokļa ieņēmumiem paredz ar 2013. gada 1. janvāri Iekšlietu ministrijas sistēmas iestāžu un Ieslodzījuma vietu pārvaldes amatpersonu ar speciālajām dienesta pakāpēm uzturdevas kompensācijas </w:t>
      </w:r>
      <w:r w:rsidRPr="009A2502">
        <w:rPr>
          <w:iCs/>
        </w:rPr>
        <w:lastRenderedPageBreak/>
        <w:t>integrēšanu mēnešalgā</w:t>
      </w:r>
      <w:r w:rsidR="00E069FA" w:rsidRPr="000141D4">
        <w:rPr>
          <w:iCs/>
        </w:rPr>
        <w:t>, kā arī tiek prognozēti papildus ieņēmumi no ēnu ekonomikas samazināšanas pasākumiem</w:t>
      </w:r>
      <w:r w:rsidRPr="009A2502">
        <w:rPr>
          <w:iCs/>
        </w:rPr>
        <w:t>.</w:t>
      </w:r>
    </w:p>
    <w:p w14:paraId="27521C95" w14:textId="77777777" w:rsidR="00D61CDB" w:rsidRDefault="00D61CDB" w:rsidP="00D61CDB">
      <w:pPr>
        <w:pStyle w:val="T"/>
        <w:jc w:val="right"/>
        <w:rPr>
          <w:rFonts w:ascii="Times New Roman" w:hAnsi="Times New Roman"/>
          <w:b w:val="0"/>
        </w:rPr>
      </w:pPr>
      <w:r w:rsidRPr="00AB115C">
        <w:rPr>
          <w:rFonts w:ascii="Times New Roman" w:hAnsi="Times New Roman"/>
          <w:b w:val="0"/>
        </w:rPr>
        <w:t>7.</w:t>
      </w:r>
      <w:r w:rsidR="00E069FA" w:rsidRPr="000141D4">
        <w:rPr>
          <w:rFonts w:ascii="Times New Roman" w:hAnsi="Times New Roman"/>
          <w:b w:val="0"/>
        </w:rPr>
        <w:t>6</w:t>
      </w:r>
      <w:r w:rsidRPr="00AB115C">
        <w:rPr>
          <w:rFonts w:ascii="Times New Roman" w:hAnsi="Times New Roman"/>
          <w:b w:val="0"/>
        </w:rPr>
        <w:t>. tabula. Nodokļu politikas izmaiņu ietekme</w:t>
      </w:r>
      <w:r w:rsidRPr="00AB115C">
        <w:rPr>
          <w:rFonts w:ascii="Times New Roman" w:hAnsi="Times New Roman"/>
          <w:b w:val="0"/>
        </w:rPr>
        <w:br/>
        <w:t>uz iedzīvotāju ienākuma nodokļa ieņēmumiem, milj. latu</w:t>
      </w:r>
    </w:p>
    <w:tbl>
      <w:tblPr>
        <w:tblW w:w="9032" w:type="dxa"/>
        <w:jc w:val="center"/>
        <w:tblInd w:w="-207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5060"/>
        <w:gridCol w:w="993"/>
        <w:gridCol w:w="993"/>
        <w:gridCol w:w="993"/>
        <w:gridCol w:w="993"/>
      </w:tblGrid>
      <w:tr w:rsidR="005933E2" w:rsidRPr="000141D4" w14:paraId="7C3876C3" w14:textId="77777777" w:rsidTr="008C62DB">
        <w:trPr>
          <w:jc w:val="center"/>
        </w:trPr>
        <w:tc>
          <w:tcPr>
            <w:tcW w:w="5060" w:type="dxa"/>
            <w:tcBorders>
              <w:top w:val="double" w:sz="6" w:space="0" w:color="auto"/>
            </w:tcBorders>
            <w:shd w:val="clear" w:color="auto" w:fill="auto"/>
          </w:tcPr>
          <w:p w14:paraId="1ABA7E1B" w14:textId="77777777" w:rsidR="005933E2" w:rsidRPr="000141D4" w:rsidRDefault="005933E2" w:rsidP="008C62DB">
            <w:pPr>
              <w:pStyle w:val="tabteksts"/>
            </w:pPr>
          </w:p>
        </w:tc>
        <w:tc>
          <w:tcPr>
            <w:tcW w:w="993" w:type="dxa"/>
            <w:tcBorders>
              <w:top w:val="double" w:sz="6" w:space="0" w:color="auto"/>
            </w:tcBorders>
          </w:tcPr>
          <w:p w14:paraId="7F848C19" w14:textId="77777777" w:rsidR="005933E2" w:rsidRPr="000141D4" w:rsidRDefault="005933E2" w:rsidP="008C62DB">
            <w:pPr>
              <w:pStyle w:val="tabteksts"/>
              <w:tabs>
                <w:tab w:val="decimal" w:pos="-12114"/>
              </w:tabs>
              <w:jc w:val="center"/>
              <w:rPr>
                <w:b/>
              </w:rPr>
            </w:pPr>
            <w:r w:rsidRPr="000141D4">
              <w:rPr>
                <w:b/>
              </w:rPr>
              <w:t>2013</w:t>
            </w:r>
          </w:p>
        </w:tc>
        <w:tc>
          <w:tcPr>
            <w:tcW w:w="993" w:type="dxa"/>
            <w:tcBorders>
              <w:top w:val="double" w:sz="6" w:space="0" w:color="auto"/>
            </w:tcBorders>
          </w:tcPr>
          <w:p w14:paraId="1AFFA76D" w14:textId="77777777" w:rsidR="005933E2" w:rsidRPr="000141D4" w:rsidRDefault="005933E2" w:rsidP="008C62DB">
            <w:pPr>
              <w:pStyle w:val="tabteksts"/>
              <w:tabs>
                <w:tab w:val="decimal" w:pos="-12114"/>
              </w:tabs>
              <w:jc w:val="center"/>
              <w:rPr>
                <w:b/>
              </w:rPr>
            </w:pPr>
            <w:r w:rsidRPr="000141D4">
              <w:rPr>
                <w:b/>
              </w:rPr>
              <w:t>2014</w:t>
            </w:r>
          </w:p>
        </w:tc>
        <w:tc>
          <w:tcPr>
            <w:tcW w:w="993" w:type="dxa"/>
            <w:tcBorders>
              <w:top w:val="double" w:sz="6" w:space="0" w:color="auto"/>
            </w:tcBorders>
          </w:tcPr>
          <w:p w14:paraId="5CC6BC50" w14:textId="77777777" w:rsidR="005933E2" w:rsidRPr="000141D4" w:rsidRDefault="005933E2" w:rsidP="008C62DB">
            <w:pPr>
              <w:pStyle w:val="tabteksts"/>
              <w:tabs>
                <w:tab w:val="decimal" w:pos="-12114"/>
              </w:tabs>
              <w:jc w:val="center"/>
              <w:rPr>
                <w:b/>
              </w:rPr>
            </w:pPr>
            <w:r w:rsidRPr="000141D4">
              <w:rPr>
                <w:b/>
              </w:rPr>
              <w:t>2015</w:t>
            </w:r>
          </w:p>
        </w:tc>
        <w:tc>
          <w:tcPr>
            <w:tcW w:w="993" w:type="dxa"/>
            <w:tcBorders>
              <w:top w:val="double" w:sz="6" w:space="0" w:color="auto"/>
            </w:tcBorders>
          </w:tcPr>
          <w:p w14:paraId="4F334059" w14:textId="77777777" w:rsidR="005933E2" w:rsidRPr="000141D4" w:rsidRDefault="005933E2" w:rsidP="008C62DB">
            <w:pPr>
              <w:pStyle w:val="tabteksts"/>
              <w:tabs>
                <w:tab w:val="decimal" w:pos="-12114"/>
              </w:tabs>
              <w:jc w:val="center"/>
              <w:rPr>
                <w:b/>
              </w:rPr>
            </w:pPr>
            <w:r w:rsidRPr="000141D4">
              <w:rPr>
                <w:b/>
              </w:rPr>
              <w:t>2016</w:t>
            </w:r>
          </w:p>
        </w:tc>
      </w:tr>
      <w:tr w:rsidR="005933E2" w:rsidRPr="000141D4" w14:paraId="4E77D599" w14:textId="77777777" w:rsidTr="008C62DB">
        <w:trPr>
          <w:jc w:val="center"/>
        </w:trPr>
        <w:tc>
          <w:tcPr>
            <w:tcW w:w="5060" w:type="dxa"/>
            <w:shd w:val="clear" w:color="auto" w:fill="auto"/>
          </w:tcPr>
          <w:p w14:paraId="1D310E47" w14:textId="77777777" w:rsidR="005933E2" w:rsidRPr="000141D4" w:rsidRDefault="005933E2" w:rsidP="008C62DB">
            <w:pPr>
              <w:pStyle w:val="tabteksts"/>
              <w:jc w:val="both"/>
            </w:pPr>
            <w:r w:rsidRPr="000141D4">
              <w:t>Iedzīvotāju ienākuma nodokļa likmes samazināšana</w:t>
            </w:r>
          </w:p>
        </w:tc>
        <w:tc>
          <w:tcPr>
            <w:tcW w:w="993" w:type="dxa"/>
            <w:vAlign w:val="center"/>
          </w:tcPr>
          <w:p w14:paraId="7DFD81CC" w14:textId="77777777" w:rsidR="005933E2" w:rsidRPr="000141D4" w:rsidRDefault="005933E2" w:rsidP="008C62DB">
            <w:pPr>
              <w:pStyle w:val="tabteksts"/>
              <w:jc w:val="center"/>
            </w:pPr>
            <w:r w:rsidRPr="000141D4">
              <w:t>-30,5</w:t>
            </w:r>
          </w:p>
        </w:tc>
        <w:tc>
          <w:tcPr>
            <w:tcW w:w="993" w:type="dxa"/>
          </w:tcPr>
          <w:p w14:paraId="01695E4F" w14:textId="77777777" w:rsidR="005933E2" w:rsidRPr="000141D4" w:rsidRDefault="005933E2" w:rsidP="008C62DB">
            <w:pPr>
              <w:pStyle w:val="tabteksts"/>
              <w:jc w:val="center"/>
            </w:pPr>
            <w:r w:rsidRPr="000141D4">
              <w:t>-64,9</w:t>
            </w:r>
          </w:p>
        </w:tc>
        <w:tc>
          <w:tcPr>
            <w:tcW w:w="993" w:type="dxa"/>
          </w:tcPr>
          <w:p w14:paraId="42539F17" w14:textId="77777777" w:rsidR="005933E2" w:rsidRPr="000141D4" w:rsidRDefault="005933E2" w:rsidP="008C62DB">
            <w:pPr>
              <w:pStyle w:val="tabteksts"/>
              <w:jc w:val="center"/>
            </w:pPr>
            <w:r w:rsidRPr="000141D4">
              <w:t>-69,3</w:t>
            </w:r>
          </w:p>
        </w:tc>
        <w:tc>
          <w:tcPr>
            <w:tcW w:w="993" w:type="dxa"/>
          </w:tcPr>
          <w:p w14:paraId="1D0B1D82" w14:textId="77777777" w:rsidR="005933E2" w:rsidRPr="000141D4" w:rsidRDefault="005933E2" w:rsidP="008C62DB">
            <w:pPr>
              <w:pStyle w:val="tabteksts"/>
              <w:jc w:val="center"/>
            </w:pPr>
            <w:r w:rsidRPr="000141D4">
              <w:t>-</w:t>
            </w:r>
          </w:p>
        </w:tc>
      </w:tr>
      <w:tr w:rsidR="005933E2" w:rsidRPr="000141D4" w14:paraId="50A1B674" w14:textId="77777777" w:rsidTr="008C62DB">
        <w:trPr>
          <w:jc w:val="center"/>
        </w:trPr>
        <w:tc>
          <w:tcPr>
            <w:tcW w:w="5060" w:type="dxa"/>
            <w:tcBorders>
              <w:bottom w:val="single" w:sz="4" w:space="0" w:color="auto"/>
            </w:tcBorders>
            <w:shd w:val="clear" w:color="auto" w:fill="auto"/>
          </w:tcPr>
          <w:p w14:paraId="664A3276" w14:textId="77777777" w:rsidR="005933E2" w:rsidRPr="000141D4" w:rsidRDefault="005933E2" w:rsidP="008C62DB">
            <w:pPr>
              <w:pStyle w:val="tabteksts"/>
              <w:jc w:val="both"/>
            </w:pPr>
            <w:r w:rsidRPr="000141D4">
              <w:t>Atvieglojuma apmēra par apgādībā esošu paaugstināšana</w:t>
            </w:r>
          </w:p>
        </w:tc>
        <w:tc>
          <w:tcPr>
            <w:tcW w:w="993" w:type="dxa"/>
            <w:tcBorders>
              <w:bottom w:val="single" w:sz="4" w:space="0" w:color="auto"/>
            </w:tcBorders>
            <w:vAlign w:val="center"/>
          </w:tcPr>
          <w:p w14:paraId="477EB794" w14:textId="77777777" w:rsidR="005933E2" w:rsidRPr="000141D4" w:rsidRDefault="005933E2" w:rsidP="008C62DB">
            <w:pPr>
              <w:pStyle w:val="tabteksts"/>
              <w:jc w:val="center"/>
            </w:pPr>
            <w:r w:rsidRPr="000141D4">
              <w:t>-3,4</w:t>
            </w:r>
          </w:p>
        </w:tc>
        <w:tc>
          <w:tcPr>
            <w:tcW w:w="993" w:type="dxa"/>
            <w:tcBorders>
              <w:bottom w:val="single" w:sz="4" w:space="0" w:color="auto"/>
            </w:tcBorders>
          </w:tcPr>
          <w:p w14:paraId="63557305" w14:textId="77777777" w:rsidR="005933E2" w:rsidRPr="000141D4" w:rsidRDefault="005933E2" w:rsidP="008C62DB">
            <w:pPr>
              <w:pStyle w:val="tabteksts"/>
              <w:jc w:val="center"/>
            </w:pPr>
            <w:r w:rsidRPr="000141D4">
              <w:t>-7,6*</w:t>
            </w:r>
          </w:p>
        </w:tc>
        <w:tc>
          <w:tcPr>
            <w:tcW w:w="993" w:type="dxa"/>
            <w:tcBorders>
              <w:bottom w:val="single" w:sz="4" w:space="0" w:color="auto"/>
            </w:tcBorders>
          </w:tcPr>
          <w:p w14:paraId="602A60E1" w14:textId="77777777" w:rsidR="005933E2" w:rsidRPr="000141D4" w:rsidRDefault="005933E2" w:rsidP="008C62DB">
            <w:pPr>
              <w:pStyle w:val="tabteksts"/>
              <w:jc w:val="center"/>
            </w:pPr>
            <w:r w:rsidRPr="000141D4">
              <w:t>-6,9*</w:t>
            </w:r>
          </w:p>
        </w:tc>
        <w:tc>
          <w:tcPr>
            <w:tcW w:w="993" w:type="dxa"/>
            <w:tcBorders>
              <w:bottom w:val="single" w:sz="4" w:space="0" w:color="auto"/>
            </w:tcBorders>
          </w:tcPr>
          <w:p w14:paraId="54D37E50" w14:textId="77777777" w:rsidR="005933E2" w:rsidRPr="000141D4" w:rsidRDefault="005933E2" w:rsidP="008C62DB">
            <w:pPr>
              <w:pStyle w:val="tabteksts"/>
              <w:jc w:val="center"/>
            </w:pPr>
            <w:r w:rsidRPr="000141D4">
              <w:t>-</w:t>
            </w:r>
          </w:p>
        </w:tc>
      </w:tr>
      <w:tr w:rsidR="005933E2" w:rsidRPr="000141D4" w14:paraId="5404695D" w14:textId="77777777" w:rsidTr="008C62DB">
        <w:trPr>
          <w:jc w:val="center"/>
        </w:trPr>
        <w:tc>
          <w:tcPr>
            <w:tcW w:w="5060" w:type="dxa"/>
            <w:tcBorders>
              <w:bottom w:val="single" w:sz="4" w:space="0" w:color="auto"/>
            </w:tcBorders>
            <w:shd w:val="clear" w:color="auto" w:fill="auto"/>
          </w:tcPr>
          <w:p w14:paraId="66E14F7D" w14:textId="77777777" w:rsidR="005933E2" w:rsidRPr="000141D4" w:rsidRDefault="005933E2" w:rsidP="008C62DB">
            <w:pPr>
              <w:pStyle w:val="tabteksts"/>
              <w:jc w:val="both"/>
            </w:pPr>
            <w:r w:rsidRPr="000141D4">
              <w:t>Uzturdevas kompensācijas integrēšana mēnešalgā</w:t>
            </w:r>
          </w:p>
        </w:tc>
        <w:tc>
          <w:tcPr>
            <w:tcW w:w="993" w:type="dxa"/>
            <w:tcBorders>
              <w:bottom w:val="single" w:sz="4" w:space="0" w:color="auto"/>
            </w:tcBorders>
            <w:vAlign w:val="center"/>
          </w:tcPr>
          <w:p w14:paraId="6CB355F5" w14:textId="77777777" w:rsidR="005933E2" w:rsidRPr="000141D4" w:rsidRDefault="005933E2" w:rsidP="008C62DB">
            <w:pPr>
              <w:pStyle w:val="tabteksts"/>
              <w:jc w:val="center"/>
            </w:pPr>
            <w:r w:rsidRPr="000141D4">
              <w:t>+5,0</w:t>
            </w:r>
          </w:p>
        </w:tc>
        <w:tc>
          <w:tcPr>
            <w:tcW w:w="993" w:type="dxa"/>
            <w:tcBorders>
              <w:bottom w:val="single" w:sz="4" w:space="0" w:color="auto"/>
            </w:tcBorders>
          </w:tcPr>
          <w:p w14:paraId="36F59942" w14:textId="77777777" w:rsidR="005933E2" w:rsidRPr="000141D4" w:rsidRDefault="005933E2" w:rsidP="008C62DB">
            <w:pPr>
              <w:pStyle w:val="tabteksts"/>
              <w:jc w:val="center"/>
            </w:pPr>
            <w:r w:rsidRPr="000141D4">
              <w:t>-</w:t>
            </w:r>
          </w:p>
        </w:tc>
        <w:tc>
          <w:tcPr>
            <w:tcW w:w="993" w:type="dxa"/>
            <w:tcBorders>
              <w:bottom w:val="single" w:sz="4" w:space="0" w:color="auto"/>
            </w:tcBorders>
          </w:tcPr>
          <w:p w14:paraId="07053932" w14:textId="77777777" w:rsidR="005933E2" w:rsidRPr="000141D4" w:rsidRDefault="005933E2" w:rsidP="008C62DB">
            <w:pPr>
              <w:pStyle w:val="tabteksts"/>
              <w:jc w:val="center"/>
            </w:pPr>
            <w:r w:rsidRPr="000141D4">
              <w:t>-</w:t>
            </w:r>
          </w:p>
        </w:tc>
        <w:tc>
          <w:tcPr>
            <w:tcW w:w="993" w:type="dxa"/>
            <w:tcBorders>
              <w:bottom w:val="single" w:sz="4" w:space="0" w:color="auto"/>
            </w:tcBorders>
          </w:tcPr>
          <w:p w14:paraId="6E6FD9D3" w14:textId="77777777" w:rsidR="005933E2" w:rsidRPr="000141D4" w:rsidRDefault="005933E2" w:rsidP="008C62DB">
            <w:pPr>
              <w:pStyle w:val="tabteksts"/>
              <w:jc w:val="center"/>
            </w:pPr>
            <w:r w:rsidRPr="000141D4">
              <w:t>-</w:t>
            </w:r>
          </w:p>
        </w:tc>
      </w:tr>
      <w:tr w:rsidR="005933E2" w:rsidRPr="000141D4" w14:paraId="1A7EDFCF" w14:textId="77777777" w:rsidTr="008C62DB">
        <w:trPr>
          <w:jc w:val="center"/>
        </w:trPr>
        <w:tc>
          <w:tcPr>
            <w:tcW w:w="5060" w:type="dxa"/>
            <w:tcBorders>
              <w:top w:val="single" w:sz="4" w:space="0" w:color="auto"/>
              <w:bottom w:val="double" w:sz="6" w:space="0" w:color="auto"/>
            </w:tcBorders>
            <w:shd w:val="clear" w:color="auto" w:fill="auto"/>
          </w:tcPr>
          <w:p w14:paraId="484AFC69" w14:textId="77777777" w:rsidR="005933E2" w:rsidRPr="000141D4" w:rsidRDefault="005933E2" w:rsidP="008C62DB">
            <w:pPr>
              <w:pStyle w:val="tabteksts"/>
              <w:jc w:val="both"/>
            </w:pPr>
            <w:r w:rsidRPr="000141D4">
              <w:t>Ēnu ekonomikas ierobežošanas pasākumi</w:t>
            </w:r>
          </w:p>
        </w:tc>
        <w:tc>
          <w:tcPr>
            <w:tcW w:w="993" w:type="dxa"/>
            <w:tcBorders>
              <w:top w:val="single" w:sz="4" w:space="0" w:color="auto"/>
              <w:bottom w:val="double" w:sz="6" w:space="0" w:color="auto"/>
            </w:tcBorders>
            <w:vAlign w:val="center"/>
          </w:tcPr>
          <w:p w14:paraId="7FC229FF" w14:textId="77777777" w:rsidR="005933E2" w:rsidRPr="000141D4" w:rsidRDefault="005933E2" w:rsidP="008C62DB">
            <w:pPr>
              <w:pStyle w:val="tabteksts"/>
              <w:jc w:val="center"/>
            </w:pPr>
            <w:r w:rsidRPr="000141D4">
              <w:t>-</w:t>
            </w:r>
          </w:p>
        </w:tc>
        <w:tc>
          <w:tcPr>
            <w:tcW w:w="993" w:type="dxa"/>
            <w:tcBorders>
              <w:top w:val="single" w:sz="4" w:space="0" w:color="auto"/>
              <w:bottom w:val="double" w:sz="6" w:space="0" w:color="auto"/>
            </w:tcBorders>
          </w:tcPr>
          <w:p w14:paraId="56D22461" w14:textId="77777777" w:rsidR="005933E2" w:rsidRPr="000141D4" w:rsidRDefault="005933E2" w:rsidP="008C62DB">
            <w:pPr>
              <w:pStyle w:val="tabteksts"/>
              <w:jc w:val="center"/>
            </w:pPr>
            <w:r w:rsidRPr="000141D4">
              <w:t>+4,8</w:t>
            </w:r>
          </w:p>
        </w:tc>
        <w:tc>
          <w:tcPr>
            <w:tcW w:w="993" w:type="dxa"/>
            <w:tcBorders>
              <w:top w:val="single" w:sz="4" w:space="0" w:color="auto"/>
              <w:bottom w:val="double" w:sz="6" w:space="0" w:color="auto"/>
            </w:tcBorders>
          </w:tcPr>
          <w:p w14:paraId="56CA8A1C" w14:textId="77777777" w:rsidR="005933E2" w:rsidRPr="000141D4" w:rsidRDefault="005933E2" w:rsidP="008C62DB">
            <w:pPr>
              <w:pStyle w:val="tabteksts"/>
              <w:jc w:val="center"/>
            </w:pPr>
            <w:r w:rsidRPr="000141D4">
              <w:t>+4,6</w:t>
            </w:r>
          </w:p>
        </w:tc>
        <w:tc>
          <w:tcPr>
            <w:tcW w:w="993" w:type="dxa"/>
            <w:tcBorders>
              <w:top w:val="single" w:sz="4" w:space="0" w:color="auto"/>
              <w:bottom w:val="double" w:sz="6" w:space="0" w:color="auto"/>
            </w:tcBorders>
          </w:tcPr>
          <w:p w14:paraId="33212B17" w14:textId="77777777" w:rsidR="005933E2" w:rsidRPr="000141D4" w:rsidRDefault="005933E2" w:rsidP="008C62DB">
            <w:pPr>
              <w:pStyle w:val="tabteksts"/>
              <w:jc w:val="center"/>
            </w:pPr>
            <w:r w:rsidRPr="000141D4">
              <w:t>+4,7</w:t>
            </w:r>
          </w:p>
        </w:tc>
      </w:tr>
      <w:tr w:rsidR="005933E2" w:rsidRPr="000141D4" w14:paraId="55F888A6" w14:textId="77777777" w:rsidTr="008C62DB">
        <w:trPr>
          <w:jc w:val="center"/>
        </w:trPr>
        <w:tc>
          <w:tcPr>
            <w:tcW w:w="5060" w:type="dxa"/>
            <w:tcBorders>
              <w:bottom w:val="double" w:sz="6" w:space="0" w:color="auto"/>
            </w:tcBorders>
            <w:shd w:val="clear" w:color="auto" w:fill="auto"/>
          </w:tcPr>
          <w:p w14:paraId="105CC27F" w14:textId="77777777" w:rsidR="005933E2" w:rsidRPr="000141D4" w:rsidRDefault="005933E2" w:rsidP="008C62DB">
            <w:pPr>
              <w:pStyle w:val="tabteksts"/>
              <w:jc w:val="both"/>
              <w:rPr>
                <w:b/>
              </w:rPr>
            </w:pPr>
            <w:r w:rsidRPr="000141D4">
              <w:rPr>
                <w:b/>
              </w:rPr>
              <w:t>Izmaiņu ietekme kopā:</w:t>
            </w:r>
          </w:p>
        </w:tc>
        <w:tc>
          <w:tcPr>
            <w:tcW w:w="993" w:type="dxa"/>
            <w:tcBorders>
              <w:bottom w:val="double" w:sz="6" w:space="0" w:color="auto"/>
            </w:tcBorders>
          </w:tcPr>
          <w:p w14:paraId="519E41C0" w14:textId="77777777" w:rsidR="005933E2" w:rsidRPr="000141D4" w:rsidRDefault="005933E2" w:rsidP="008C62DB">
            <w:pPr>
              <w:pStyle w:val="tabteksts"/>
              <w:jc w:val="center"/>
              <w:rPr>
                <w:b/>
              </w:rPr>
            </w:pPr>
            <w:r w:rsidRPr="000141D4">
              <w:rPr>
                <w:b/>
              </w:rPr>
              <w:t>-28,9</w:t>
            </w:r>
          </w:p>
        </w:tc>
        <w:tc>
          <w:tcPr>
            <w:tcW w:w="993" w:type="dxa"/>
            <w:tcBorders>
              <w:bottom w:val="double" w:sz="6" w:space="0" w:color="auto"/>
            </w:tcBorders>
          </w:tcPr>
          <w:p w14:paraId="3F4D44C2" w14:textId="77777777" w:rsidR="005933E2" w:rsidRPr="000141D4" w:rsidRDefault="005933E2" w:rsidP="008C62DB">
            <w:pPr>
              <w:pStyle w:val="tabteksts"/>
              <w:jc w:val="center"/>
              <w:rPr>
                <w:b/>
              </w:rPr>
            </w:pPr>
            <w:r w:rsidRPr="000141D4">
              <w:rPr>
                <w:b/>
              </w:rPr>
              <w:t>-67,7</w:t>
            </w:r>
          </w:p>
        </w:tc>
        <w:tc>
          <w:tcPr>
            <w:tcW w:w="993" w:type="dxa"/>
            <w:tcBorders>
              <w:bottom w:val="double" w:sz="6" w:space="0" w:color="auto"/>
            </w:tcBorders>
          </w:tcPr>
          <w:p w14:paraId="1253906F" w14:textId="77777777" w:rsidR="005933E2" w:rsidRPr="000141D4" w:rsidRDefault="005933E2" w:rsidP="008C62DB">
            <w:pPr>
              <w:pStyle w:val="tabteksts"/>
              <w:jc w:val="center"/>
              <w:rPr>
                <w:b/>
              </w:rPr>
            </w:pPr>
            <w:r w:rsidRPr="000141D4">
              <w:rPr>
                <w:b/>
              </w:rPr>
              <w:t>-71,6</w:t>
            </w:r>
          </w:p>
        </w:tc>
        <w:tc>
          <w:tcPr>
            <w:tcW w:w="993" w:type="dxa"/>
            <w:tcBorders>
              <w:bottom w:val="double" w:sz="6" w:space="0" w:color="auto"/>
            </w:tcBorders>
          </w:tcPr>
          <w:p w14:paraId="2AD8B084" w14:textId="77777777" w:rsidR="005933E2" w:rsidRPr="000141D4" w:rsidRDefault="005933E2" w:rsidP="008C62DB">
            <w:pPr>
              <w:pStyle w:val="tabteksts"/>
              <w:jc w:val="center"/>
              <w:rPr>
                <w:b/>
              </w:rPr>
            </w:pPr>
            <w:r w:rsidRPr="000141D4">
              <w:rPr>
                <w:b/>
              </w:rPr>
              <w:t>+4,7</w:t>
            </w:r>
          </w:p>
        </w:tc>
      </w:tr>
    </w:tbl>
    <w:p w14:paraId="13E7331B" w14:textId="77777777" w:rsidR="005933E2" w:rsidRDefault="005933E2" w:rsidP="00D61CDB">
      <w:pPr>
        <w:pStyle w:val="T"/>
        <w:jc w:val="right"/>
        <w:rPr>
          <w:rFonts w:ascii="Times New Roman" w:hAnsi="Times New Roman"/>
          <w:b w:val="0"/>
        </w:rPr>
      </w:pPr>
    </w:p>
    <w:p w14:paraId="28A345D3" w14:textId="77777777" w:rsidR="005933E2" w:rsidRPr="00AB115C" w:rsidRDefault="005933E2" w:rsidP="00D61CDB">
      <w:pPr>
        <w:pStyle w:val="T"/>
        <w:jc w:val="right"/>
        <w:rPr>
          <w:rFonts w:ascii="Times New Roman" w:hAnsi="Times New Roman"/>
          <w:b w:val="0"/>
        </w:rPr>
      </w:pPr>
    </w:p>
    <w:p w14:paraId="0C7C0595" w14:textId="77777777" w:rsidR="00D61CDB" w:rsidRPr="00BB0C27" w:rsidRDefault="00D61CDB" w:rsidP="00BB0C27">
      <w:pPr>
        <w:rPr>
          <w:sz w:val="20"/>
        </w:rPr>
      </w:pPr>
      <w:r w:rsidRPr="000800A7">
        <w:rPr>
          <w:sz w:val="20"/>
        </w:rPr>
        <w:t>* ietekme no 2013. gada izmaiņām un likmes izmaiņām</w:t>
      </w:r>
    </w:p>
    <w:p w14:paraId="0CEEE99E" w14:textId="77777777" w:rsidR="00D61CDB" w:rsidRPr="00744CE7" w:rsidRDefault="00D61CDB" w:rsidP="00BB0C27">
      <w:pPr>
        <w:pStyle w:val="H4"/>
        <w:spacing w:before="240"/>
        <w:rPr>
          <w:rFonts w:ascii="Times New Roman" w:hAnsi="Times New Roman"/>
          <w:sz w:val="24"/>
          <w:szCs w:val="24"/>
        </w:rPr>
      </w:pPr>
      <w:r w:rsidRPr="00744CE7">
        <w:rPr>
          <w:rFonts w:ascii="Times New Roman" w:hAnsi="Times New Roman"/>
          <w:sz w:val="24"/>
          <w:szCs w:val="24"/>
        </w:rPr>
        <w:t>Sociālās apdrošināšanas iemaksas</w:t>
      </w:r>
      <w:r w:rsidRPr="00744CE7">
        <w:rPr>
          <w:rStyle w:val="FootnoteReference"/>
          <w:rFonts w:ascii="Times New Roman" w:hAnsi="Times New Roman"/>
          <w:sz w:val="24"/>
          <w:szCs w:val="24"/>
        </w:rPr>
        <w:footnoteReference w:id="15"/>
      </w:r>
    </w:p>
    <w:p w14:paraId="448506A0" w14:textId="77777777" w:rsidR="00D61CDB" w:rsidRDefault="00D61CDB" w:rsidP="00D61CDB">
      <w:pPr>
        <w:rPr>
          <w:iCs/>
        </w:rPr>
      </w:pPr>
      <w:r w:rsidRPr="00744CE7">
        <w:rPr>
          <w:iCs/>
        </w:rPr>
        <w:t>Vidēja termiņa sociālās apdrošināšanas iemaksu ieņēmumu dinamiku noteiks ne tikai prognozētais darba samaksas fonda pieaugums, bet arī veiktās izmaiņas li</w:t>
      </w:r>
      <w:r>
        <w:rPr>
          <w:iCs/>
        </w:rPr>
        <w:t xml:space="preserve">kumdošanā </w:t>
      </w:r>
      <w:r w:rsidRPr="00744CE7">
        <w:rPr>
          <w:iCs/>
        </w:rPr>
        <w:t>un izmaiņas iemaksu likmēs valsts fondēto pensiju shēmā</w:t>
      </w:r>
      <w:r>
        <w:rPr>
          <w:iCs/>
        </w:rPr>
        <w:t>.</w:t>
      </w:r>
      <w:r>
        <w:rPr>
          <w:rStyle w:val="FootnoteReference"/>
          <w:iCs/>
        </w:rPr>
        <w:footnoteReference w:id="16"/>
      </w:r>
      <w:r w:rsidRPr="00744CE7">
        <w:rPr>
          <w:iCs/>
        </w:rPr>
        <w:t xml:space="preserve"> </w:t>
      </w:r>
    </w:p>
    <w:p w14:paraId="3E5BF2C1" w14:textId="77777777" w:rsidR="00D61CDB" w:rsidRPr="00744CE7" w:rsidRDefault="00D61CDB" w:rsidP="00D61CDB">
      <w:r w:rsidRPr="00744CE7">
        <w:t>2013. gadā sociālās apdrošināšanas iemaksas tiek prognozētas ar 2,7 % pieaugumu attiecībā pret 2012. gadu.</w:t>
      </w:r>
    </w:p>
    <w:p w14:paraId="687CACA7" w14:textId="77777777" w:rsidR="00D61CDB" w:rsidRDefault="00D61CDB" w:rsidP="00D61CDB">
      <w:r w:rsidRPr="0091203D">
        <w:t xml:space="preserve">2012. gadā pieņemtās likumdošanas izmaiņas, kas </w:t>
      </w:r>
      <w:r>
        <w:t xml:space="preserve">pozitīvi </w:t>
      </w:r>
      <w:r w:rsidRPr="0091203D">
        <w:t>ietekmē sociālās apdrošināšanas iemaksu ieņēmumus, ir Iekšlietu ministrijas sistēmas iestāžu un Ieslodzījuma vietu pārvaldes amatpersonu ar speciālajām dienesta pakāpēm uzturdevas kompensācijas integrēšan</w:t>
      </w:r>
      <w:r>
        <w:t>a</w:t>
      </w:r>
      <w:r w:rsidRPr="0091203D">
        <w:t xml:space="preserve"> mēnešalgā</w:t>
      </w:r>
      <w:r>
        <w:t xml:space="preserve"> no 2013. gada 1. janvāra, radot pozitīvu ietekmi uz sociālās apdrošināšanas iemaksu ieņēmumiem 2013. gadā 7,9 milj. latu apmērā</w:t>
      </w:r>
      <w:r w:rsidRPr="0091203D">
        <w:t>.</w:t>
      </w:r>
      <w:r w:rsidR="00E069FA" w:rsidRPr="000141D4">
        <w:t xml:space="preserve"> Tāpat sociālās apdrošināšanas iemaksu ieņēmumus pozitīvi ietekmēs papildus ieņēmumi no ēnu ekonomikas samazināšanas pasākumiem.</w:t>
      </w:r>
    </w:p>
    <w:p w14:paraId="11F87B02" w14:textId="77777777" w:rsidR="00D61CDB" w:rsidRDefault="00D61CDB" w:rsidP="00D61CDB">
      <w:r w:rsidRPr="00E76380">
        <w:t>No 2013. gada ir paaugstināta iemaksu likme valsts fondēto pensiju shēmā no 2% uz 4 %, 2015. gadā tā tiks paaugstināta uz 5% un 2016. gadā uz 6 procentiem</w:t>
      </w:r>
      <w:r>
        <w:t>, kas būtiski ietekmē sociālās apdrošināšanas iemaksu apmēru valsts speciālajā budžetā ne tikai 2013. gadā, bet arī vidējā termiņā.</w:t>
      </w:r>
      <w:r w:rsidRPr="00E76380">
        <w:t xml:space="preserve"> </w:t>
      </w:r>
    </w:p>
    <w:p w14:paraId="0493A444" w14:textId="77777777" w:rsidR="00D61CDB" w:rsidRDefault="00D61CDB" w:rsidP="00D61CDB">
      <w:r>
        <w:t>2015. gadā un turpmākajos gados sociālās apdrošināšanas iemaksu ieņēmumus būtiski ietekmēs sociālās apdrošināšanas iemaksu maksimālā apmēra atjaunošana no 2014. gada, kas paredzēta likuma „Par valsts sociālo apdrošināšanu” pārejas noteikumos.</w:t>
      </w:r>
    </w:p>
    <w:p w14:paraId="2F118272" w14:textId="77777777" w:rsidR="00D61CDB" w:rsidRDefault="00D61CDB" w:rsidP="00D61CDB">
      <w:pPr>
        <w:pStyle w:val="T"/>
        <w:jc w:val="right"/>
        <w:rPr>
          <w:rFonts w:ascii="Times New Roman" w:hAnsi="Times New Roman"/>
          <w:b w:val="0"/>
        </w:rPr>
      </w:pPr>
      <w:r w:rsidRPr="00AB115C">
        <w:rPr>
          <w:rFonts w:ascii="Times New Roman" w:hAnsi="Times New Roman"/>
          <w:b w:val="0"/>
        </w:rPr>
        <w:t>7.</w:t>
      </w:r>
      <w:r w:rsidR="00E069FA" w:rsidRPr="000141D4">
        <w:rPr>
          <w:rFonts w:ascii="Times New Roman" w:hAnsi="Times New Roman"/>
          <w:b w:val="0"/>
        </w:rPr>
        <w:t>7</w:t>
      </w:r>
      <w:r w:rsidRPr="00AB115C">
        <w:rPr>
          <w:rFonts w:ascii="Times New Roman" w:hAnsi="Times New Roman"/>
          <w:b w:val="0"/>
        </w:rPr>
        <w:t>. tabula. Nodokļu politikas izmaiņu ietekme</w:t>
      </w:r>
      <w:r w:rsidRPr="00AB115C">
        <w:rPr>
          <w:rFonts w:ascii="Times New Roman" w:hAnsi="Times New Roman"/>
          <w:b w:val="0"/>
        </w:rPr>
        <w:br/>
        <w:t xml:space="preserve">uz </w:t>
      </w:r>
      <w:r>
        <w:rPr>
          <w:rFonts w:ascii="Times New Roman" w:hAnsi="Times New Roman"/>
          <w:b w:val="0"/>
        </w:rPr>
        <w:t>sociālās apdrošināšanas iemaksu</w:t>
      </w:r>
      <w:r w:rsidRPr="00AB115C">
        <w:rPr>
          <w:rFonts w:ascii="Times New Roman" w:hAnsi="Times New Roman"/>
          <w:b w:val="0"/>
        </w:rPr>
        <w:t xml:space="preserve"> ieņēmumiem, milj. latu</w:t>
      </w:r>
    </w:p>
    <w:tbl>
      <w:tblPr>
        <w:tblW w:w="9032" w:type="dxa"/>
        <w:jc w:val="center"/>
        <w:tblInd w:w="-207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5060"/>
        <w:gridCol w:w="993"/>
        <w:gridCol w:w="993"/>
        <w:gridCol w:w="993"/>
        <w:gridCol w:w="993"/>
      </w:tblGrid>
      <w:tr w:rsidR="00A83AEC" w:rsidRPr="000141D4" w14:paraId="4EDD91F3" w14:textId="77777777" w:rsidTr="008C62DB">
        <w:trPr>
          <w:jc w:val="center"/>
        </w:trPr>
        <w:tc>
          <w:tcPr>
            <w:tcW w:w="5060" w:type="dxa"/>
            <w:tcBorders>
              <w:top w:val="double" w:sz="6" w:space="0" w:color="auto"/>
            </w:tcBorders>
            <w:shd w:val="clear" w:color="auto" w:fill="auto"/>
          </w:tcPr>
          <w:p w14:paraId="520942A8" w14:textId="77777777" w:rsidR="00A83AEC" w:rsidRPr="000141D4" w:rsidRDefault="00A83AEC" w:rsidP="008C62DB">
            <w:pPr>
              <w:pStyle w:val="tabteksts"/>
            </w:pPr>
          </w:p>
        </w:tc>
        <w:tc>
          <w:tcPr>
            <w:tcW w:w="993" w:type="dxa"/>
            <w:tcBorders>
              <w:top w:val="double" w:sz="6" w:space="0" w:color="auto"/>
            </w:tcBorders>
          </w:tcPr>
          <w:p w14:paraId="484F1088" w14:textId="77777777" w:rsidR="00A83AEC" w:rsidRPr="000141D4" w:rsidRDefault="00A83AEC" w:rsidP="008C62DB">
            <w:pPr>
              <w:pStyle w:val="tabteksts"/>
              <w:tabs>
                <w:tab w:val="decimal" w:pos="-12114"/>
              </w:tabs>
              <w:jc w:val="center"/>
              <w:rPr>
                <w:b/>
              </w:rPr>
            </w:pPr>
            <w:r w:rsidRPr="000141D4">
              <w:rPr>
                <w:b/>
              </w:rPr>
              <w:t>2013</w:t>
            </w:r>
          </w:p>
        </w:tc>
        <w:tc>
          <w:tcPr>
            <w:tcW w:w="993" w:type="dxa"/>
            <w:tcBorders>
              <w:top w:val="double" w:sz="6" w:space="0" w:color="auto"/>
            </w:tcBorders>
          </w:tcPr>
          <w:p w14:paraId="1C3A01A8" w14:textId="77777777" w:rsidR="00A83AEC" w:rsidRPr="000141D4" w:rsidRDefault="00A83AEC" w:rsidP="008C62DB">
            <w:pPr>
              <w:pStyle w:val="tabteksts"/>
              <w:tabs>
                <w:tab w:val="decimal" w:pos="-12114"/>
              </w:tabs>
              <w:jc w:val="center"/>
              <w:rPr>
                <w:b/>
              </w:rPr>
            </w:pPr>
            <w:r w:rsidRPr="000141D4">
              <w:rPr>
                <w:b/>
              </w:rPr>
              <w:t>2014</w:t>
            </w:r>
          </w:p>
        </w:tc>
        <w:tc>
          <w:tcPr>
            <w:tcW w:w="993" w:type="dxa"/>
            <w:tcBorders>
              <w:top w:val="double" w:sz="6" w:space="0" w:color="auto"/>
            </w:tcBorders>
          </w:tcPr>
          <w:p w14:paraId="785E521C" w14:textId="77777777" w:rsidR="00A83AEC" w:rsidRPr="000141D4" w:rsidRDefault="00A83AEC" w:rsidP="008C62DB">
            <w:pPr>
              <w:pStyle w:val="tabteksts"/>
              <w:tabs>
                <w:tab w:val="decimal" w:pos="-12114"/>
              </w:tabs>
              <w:jc w:val="center"/>
              <w:rPr>
                <w:b/>
              </w:rPr>
            </w:pPr>
            <w:r w:rsidRPr="000141D4">
              <w:rPr>
                <w:b/>
              </w:rPr>
              <w:t>2015</w:t>
            </w:r>
          </w:p>
        </w:tc>
        <w:tc>
          <w:tcPr>
            <w:tcW w:w="993" w:type="dxa"/>
            <w:tcBorders>
              <w:top w:val="double" w:sz="6" w:space="0" w:color="auto"/>
            </w:tcBorders>
          </w:tcPr>
          <w:p w14:paraId="5580F255" w14:textId="77777777" w:rsidR="00A83AEC" w:rsidRPr="000141D4" w:rsidRDefault="00A83AEC" w:rsidP="008C62DB">
            <w:pPr>
              <w:pStyle w:val="tabteksts"/>
              <w:tabs>
                <w:tab w:val="decimal" w:pos="-12114"/>
              </w:tabs>
              <w:jc w:val="center"/>
              <w:rPr>
                <w:b/>
              </w:rPr>
            </w:pPr>
            <w:r w:rsidRPr="000141D4">
              <w:rPr>
                <w:b/>
              </w:rPr>
              <w:t>2016</w:t>
            </w:r>
          </w:p>
        </w:tc>
      </w:tr>
      <w:tr w:rsidR="00A83AEC" w:rsidRPr="000141D4" w14:paraId="6C46BDBD" w14:textId="77777777" w:rsidTr="008C62DB">
        <w:trPr>
          <w:jc w:val="center"/>
        </w:trPr>
        <w:tc>
          <w:tcPr>
            <w:tcW w:w="5060" w:type="dxa"/>
            <w:shd w:val="clear" w:color="auto" w:fill="auto"/>
          </w:tcPr>
          <w:p w14:paraId="253506C6" w14:textId="77777777" w:rsidR="00A83AEC" w:rsidRPr="000141D4" w:rsidRDefault="00A83AEC" w:rsidP="008C62DB">
            <w:pPr>
              <w:pStyle w:val="tabteksts"/>
              <w:jc w:val="both"/>
            </w:pPr>
            <w:r w:rsidRPr="000141D4">
              <w:t>Uzturdevas kompensācijas integrēšana mēnešalgā</w:t>
            </w:r>
          </w:p>
        </w:tc>
        <w:tc>
          <w:tcPr>
            <w:tcW w:w="993" w:type="dxa"/>
            <w:vAlign w:val="center"/>
          </w:tcPr>
          <w:p w14:paraId="7E519831" w14:textId="77777777" w:rsidR="00A83AEC" w:rsidRPr="000141D4" w:rsidRDefault="00A83AEC" w:rsidP="008C62DB">
            <w:pPr>
              <w:pStyle w:val="tabteksts"/>
              <w:jc w:val="center"/>
            </w:pPr>
            <w:r w:rsidRPr="000141D4">
              <w:t>+7,9</w:t>
            </w:r>
          </w:p>
        </w:tc>
        <w:tc>
          <w:tcPr>
            <w:tcW w:w="993" w:type="dxa"/>
          </w:tcPr>
          <w:p w14:paraId="1B488DD5" w14:textId="77777777" w:rsidR="00A83AEC" w:rsidRPr="000141D4" w:rsidRDefault="00A83AEC" w:rsidP="008C62DB">
            <w:pPr>
              <w:pStyle w:val="tabteksts"/>
              <w:jc w:val="center"/>
            </w:pPr>
            <w:r w:rsidRPr="000141D4">
              <w:t>-</w:t>
            </w:r>
          </w:p>
        </w:tc>
        <w:tc>
          <w:tcPr>
            <w:tcW w:w="993" w:type="dxa"/>
          </w:tcPr>
          <w:p w14:paraId="4975EBC9" w14:textId="77777777" w:rsidR="00A83AEC" w:rsidRPr="000141D4" w:rsidRDefault="00A83AEC" w:rsidP="008C62DB">
            <w:pPr>
              <w:pStyle w:val="tabteksts"/>
              <w:jc w:val="center"/>
            </w:pPr>
            <w:r w:rsidRPr="000141D4">
              <w:t>-</w:t>
            </w:r>
          </w:p>
        </w:tc>
        <w:tc>
          <w:tcPr>
            <w:tcW w:w="993" w:type="dxa"/>
          </w:tcPr>
          <w:p w14:paraId="4BE35BD4" w14:textId="77777777" w:rsidR="00A83AEC" w:rsidRPr="000141D4" w:rsidRDefault="00A83AEC" w:rsidP="008C62DB">
            <w:pPr>
              <w:pStyle w:val="tabteksts"/>
              <w:jc w:val="center"/>
            </w:pPr>
            <w:r w:rsidRPr="000141D4">
              <w:t>-</w:t>
            </w:r>
          </w:p>
        </w:tc>
      </w:tr>
      <w:tr w:rsidR="00A83AEC" w:rsidRPr="000141D4" w14:paraId="733E6394" w14:textId="77777777" w:rsidTr="008C62DB">
        <w:trPr>
          <w:jc w:val="center"/>
        </w:trPr>
        <w:tc>
          <w:tcPr>
            <w:tcW w:w="5060" w:type="dxa"/>
            <w:tcBorders>
              <w:bottom w:val="single" w:sz="4" w:space="0" w:color="auto"/>
            </w:tcBorders>
            <w:shd w:val="clear" w:color="auto" w:fill="auto"/>
          </w:tcPr>
          <w:p w14:paraId="70E9E0D0" w14:textId="77777777" w:rsidR="00A83AEC" w:rsidRPr="000141D4" w:rsidRDefault="00A83AEC" w:rsidP="008C62DB">
            <w:pPr>
              <w:pStyle w:val="tabteksts"/>
              <w:jc w:val="both"/>
            </w:pPr>
            <w:r w:rsidRPr="000141D4">
              <w:t>Izmaiņas iemaksu likmēs valsts fondēto pensiju shēmā</w:t>
            </w:r>
            <w:r w:rsidRPr="000141D4">
              <w:rPr>
                <w:rStyle w:val="FootnoteReference"/>
              </w:rPr>
              <w:footnoteReference w:id="17"/>
            </w:r>
          </w:p>
        </w:tc>
        <w:tc>
          <w:tcPr>
            <w:tcW w:w="993" w:type="dxa"/>
            <w:tcBorders>
              <w:bottom w:val="single" w:sz="4" w:space="0" w:color="auto"/>
            </w:tcBorders>
            <w:vAlign w:val="center"/>
          </w:tcPr>
          <w:p w14:paraId="57626DA4" w14:textId="77777777" w:rsidR="00A83AEC" w:rsidRPr="000141D4" w:rsidRDefault="00A83AEC" w:rsidP="008C62DB">
            <w:pPr>
              <w:pStyle w:val="tabteksts"/>
              <w:jc w:val="center"/>
            </w:pPr>
            <w:r w:rsidRPr="000141D4">
              <w:t>-59,7</w:t>
            </w:r>
          </w:p>
        </w:tc>
        <w:tc>
          <w:tcPr>
            <w:tcW w:w="993" w:type="dxa"/>
            <w:tcBorders>
              <w:bottom w:val="single" w:sz="4" w:space="0" w:color="auto"/>
            </w:tcBorders>
          </w:tcPr>
          <w:p w14:paraId="761523F0" w14:textId="77777777" w:rsidR="00A83AEC" w:rsidRPr="000141D4" w:rsidRDefault="00A83AEC" w:rsidP="008C62DB">
            <w:pPr>
              <w:pStyle w:val="tabteksts"/>
              <w:jc w:val="center"/>
            </w:pPr>
            <w:r w:rsidRPr="000141D4">
              <w:t>-93,3</w:t>
            </w:r>
          </w:p>
        </w:tc>
        <w:tc>
          <w:tcPr>
            <w:tcW w:w="993" w:type="dxa"/>
            <w:tcBorders>
              <w:bottom w:val="single" w:sz="4" w:space="0" w:color="auto"/>
            </w:tcBorders>
          </w:tcPr>
          <w:p w14:paraId="24109597" w14:textId="77777777" w:rsidR="00A83AEC" w:rsidRPr="000141D4" w:rsidRDefault="00A83AEC" w:rsidP="008C62DB">
            <w:pPr>
              <w:pStyle w:val="tabteksts"/>
              <w:jc w:val="center"/>
            </w:pPr>
            <w:r w:rsidRPr="000141D4">
              <w:t>-130,3</w:t>
            </w:r>
          </w:p>
        </w:tc>
        <w:tc>
          <w:tcPr>
            <w:tcW w:w="993" w:type="dxa"/>
            <w:tcBorders>
              <w:bottom w:val="single" w:sz="4" w:space="0" w:color="auto"/>
            </w:tcBorders>
          </w:tcPr>
          <w:p w14:paraId="2B478ECF" w14:textId="77777777" w:rsidR="00A83AEC" w:rsidRPr="000141D4" w:rsidRDefault="00A83AEC" w:rsidP="008C62DB">
            <w:pPr>
              <w:pStyle w:val="tabteksts"/>
              <w:jc w:val="center"/>
            </w:pPr>
            <w:r w:rsidRPr="000141D4">
              <w:t>-</w:t>
            </w:r>
          </w:p>
        </w:tc>
      </w:tr>
      <w:tr w:rsidR="00A83AEC" w:rsidRPr="000141D4" w14:paraId="72F4899A" w14:textId="77777777" w:rsidTr="008C62DB">
        <w:trPr>
          <w:jc w:val="center"/>
        </w:trPr>
        <w:tc>
          <w:tcPr>
            <w:tcW w:w="5060" w:type="dxa"/>
            <w:tcBorders>
              <w:bottom w:val="single" w:sz="4" w:space="0" w:color="auto"/>
            </w:tcBorders>
            <w:shd w:val="clear" w:color="auto" w:fill="auto"/>
          </w:tcPr>
          <w:p w14:paraId="3B7F1070" w14:textId="77777777" w:rsidR="00A83AEC" w:rsidRPr="000141D4" w:rsidRDefault="00A83AEC" w:rsidP="008C62DB">
            <w:pPr>
              <w:pStyle w:val="tabteksts"/>
              <w:jc w:val="both"/>
            </w:pPr>
            <w:r w:rsidRPr="000141D4">
              <w:lastRenderedPageBreak/>
              <w:t>Ēnu ekonomikas ierobežošanas pasākumi</w:t>
            </w:r>
          </w:p>
        </w:tc>
        <w:tc>
          <w:tcPr>
            <w:tcW w:w="993" w:type="dxa"/>
            <w:tcBorders>
              <w:bottom w:val="single" w:sz="4" w:space="0" w:color="auto"/>
            </w:tcBorders>
            <w:vAlign w:val="center"/>
          </w:tcPr>
          <w:p w14:paraId="14A67347" w14:textId="77777777" w:rsidR="00A83AEC" w:rsidRPr="000141D4" w:rsidRDefault="00A83AEC" w:rsidP="008C62DB">
            <w:pPr>
              <w:pStyle w:val="tabteksts"/>
              <w:jc w:val="center"/>
            </w:pPr>
            <w:r w:rsidRPr="000141D4">
              <w:t>-</w:t>
            </w:r>
          </w:p>
        </w:tc>
        <w:tc>
          <w:tcPr>
            <w:tcW w:w="993" w:type="dxa"/>
            <w:tcBorders>
              <w:bottom w:val="single" w:sz="4" w:space="0" w:color="auto"/>
            </w:tcBorders>
          </w:tcPr>
          <w:p w14:paraId="50A1356C" w14:textId="77777777" w:rsidR="00A83AEC" w:rsidRPr="000141D4" w:rsidRDefault="00A83AEC" w:rsidP="008C62DB">
            <w:pPr>
              <w:pStyle w:val="tabteksts"/>
              <w:jc w:val="center"/>
            </w:pPr>
            <w:r w:rsidRPr="000141D4">
              <w:t>+6,7</w:t>
            </w:r>
          </w:p>
        </w:tc>
        <w:tc>
          <w:tcPr>
            <w:tcW w:w="993" w:type="dxa"/>
            <w:tcBorders>
              <w:bottom w:val="single" w:sz="4" w:space="0" w:color="auto"/>
            </w:tcBorders>
          </w:tcPr>
          <w:p w14:paraId="538B46C7" w14:textId="77777777" w:rsidR="00A83AEC" w:rsidRPr="000141D4" w:rsidRDefault="00A83AEC" w:rsidP="008C62DB">
            <w:pPr>
              <w:pStyle w:val="tabteksts"/>
              <w:jc w:val="center"/>
            </w:pPr>
            <w:r w:rsidRPr="000141D4">
              <w:t>+7,2</w:t>
            </w:r>
          </w:p>
        </w:tc>
        <w:tc>
          <w:tcPr>
            <w:tcW w:w="993" w:type="dxa"/>
            <w:tcBorders>
              <w:bottom w:val="single" w:sz="4" w:space="0" w:color="auto"/>
            </w:tcBorders>
          </w:tcPr>
          <w:p w14:paraId="21271244" w14:textId="77777777" w:rsidR="00A83AEC" w:rsidRPr="000141D4" w:rsidRDefault="00A83AEC" w:rsidP="008C62DB">
            <w:pPr>
              <w:pStyle w:val="tabteksts"/>
              <w:jc w:val="center"/>
            </w:pPr>
            <w:r w:rsidRPr="000141D4">
              <w:t>+7,3</w:t>
            </w:r>
          </w:p>
        </w:tc>
      </w:tr>
      <w:tr w:rsidR="00A83AEC" w:rsidRPr="000141D4" w14:paraId="5CC7E345" w14:textId="77777777" w:rsidTr="008C62DB">
        <w:trPr>
          <w:jc w:val="center"/>
        </w:trPr>
        <w:tc>
          <w:tcPr>
            <w:tcW w:w="5060" w:type="dxa"/>
            <w:tcBorders>
              <w:bottom w:val="double" w:sz="6" w:space="0" w:color="auto"/>
            </w:tcBorders>
            <w:shd w:val="clear" w:color="auto" w:fill="auto"/>
          </w:tcPr>
          <w:p w14:paraId="2A4FBD0D" w14:textId="77777777" w:rsidR="00A83AEC" w:rsidRPr="000141D4" w:rsidRDefault="00A83AEC" w:rsidP="008C62DB">
            <w:pPr>
              <w:pStyle w:val="tabteksts"/>
              <w:jc w:val="both"/>
              <w:rPr>
                <w:b/>
              </w:rPr>
            </w:pPr>
            <w:r w:rsidRPr="000141D4">
              <w:rPr>
                <w:b/>
              </w:rPr>
              <w:t>Izmaiņu ietekme kopā:</w:t>
            </w:r>
          </w:p>
        </w:tc>
        <w:tc>
          <w:tcPr>
            <w:tcW w:w="993" w:type="dxa"/>
            <w:tcBorders>
              <w:bottom w:val="double" w:sz="6" w:space="0" w:color="auto"/>
            </w:tcBorders>
          </w:tcPr>
          <w:p w14:paraId="501468F9" w14:textId="77777777" w:rsidR="00A83AEC" w:rsidRPr="000141D4" w:rsidRDefault="00A83AEC" w:rsidP="008C62DB">
            <w:pPr>
              <w:pStyle w:val="tabteksts"/>
              <w:jc w:val="center"/>
              <w:rPr>
                <w:b/>
              </w:rPr>
            </w:pPr>
            <w:r w:rsidRPr="000141D4">
              <w:rPr>
                <w:b/>
              </w:rPr>
              <w:t>-51,8</w:t>
            </w:r>
          </w:p>
        </w:tc>
        <w:tc>
          <w:tcPr>
            <w:tcW w:w="993" w:type="dxa"/>
            <w:tcBorders>
              <w:bottom w:val="double" w:sz="6" w:space="0" w:color="auto"/>
            </w:tcBorders>
          </w:tcPr>
          <w:p w14:paraId="3A0BFCB6" w14:textId="77777777" w:rsidR="00A83AEC" w:rsidRPr="000141D4" w:rsidRDefault="00A83AEC" w:rsidP="008C62DB">
            <w:pPr>
              <w:pStyle w:val="tabteksts"/>
              <w:jc w:val="center"/>
              <w:rPr>
                <w:b/>
              </w:rPr>
            </w:pPr>
            <w:r w:rsidRPr="000141D4">
              <w:rPr>
                <w:b/>
              </w:rPr>
              <w:t>-86,6</w:t>
            </w:r>
          </w:p>
        </w:tc>
        <w:tc>
          <w:tcPr>
            <w:tcW w:w="993" w:type="dxa"/>
            <w:tcBorders>
              <w:bottom w:val="double" w:sz="6" w:space="0" w:color="auto"/>
            </w:tcBorders>
          </w:tcPr>
          <w:p w14:paraId="78EAAD4D" w14:textId="77777777" w:rsidR="00A83AEC" w:rsidRPr="000141D4" w:rsidRDefault="00A83AEC" w:rsidP="008C62DB">
            <w:pPr>
              <w:pStyle w:val="tabteksts"/>
              <w:jc w:val="center"/>
              <w:rPr>
                <w:b/>
              </w:rPr>
            </w:pPr>
            <w:r w:rsidRPr="000141D4">
              <w:rPr>
                <w:b/>
              </w:rPr>
              <w:t>-123,1</w:t>
            </w:r>
          </w:p>
        </w:tc>
        <w:tc>
          <w:tcPr>
            <w:tcW w:w="993" w:type="dxa"/>
            <w:tcBorders>
              <w:bottom w:val="double" w:sz="6" w:space="0" w:color="auto"/>
            </w:tcBorders>
          </w:tcPr>
          <w:p w14:paraId="5E076559" w14:textId="77777777" w:rsidR="00A83AEC" w:rsidRPr="000141D4" w:rsidRDefault="00A83AEC" w:rsidP="008C62DB">
            <w:pPr>
              <w:pStyle w:val="tabteksts"/>
              <w:jc w:val="center"/>
              <w:rPr>
                <w:b/>
              </w:rPr>
            </w:pPr>
            <w:r w:rsidRPr="000141D4">
              <w:rPr>
                <w:b/>
              </w:rPr>
              <w:t>+7,3</w:t>
            </w:r>
          </w:p>
        </w:tc>
      </w:tr>
    </w:tbl>
    <w:p w14:paraId="20921E2A" w14:textId="77777777" w:rsidR="00D61CDB" w:rsidRDefault="00D61CDB" w:rsidP="00A83AEC">
      <w:pPr>
        <w:pStyle w:val="T"/>
        <w:ind w:left="0"/>
        <w:rPr>
          <w:rFonts w:ascii="Times New Roman" w:hAnsi="Times New Roman"/>
          <w:b w:val="0"/>
        </w:rPr>
      </w:pPr>
    </w:p>
    <w:p w14:paraId="209BF897" w14:textId="77777777" w:rsidR="00D61CDB" w:rsidRPr="007A5454" w:rsidRDefault="00D61CDB" w:rsidP="00D61CDB">
      <w:pPr>
        <w:pStyle w:val="T"/>
        <w:jc w:val="right"/>
        <w:rPr>
          <w:rFonts w:ascii="Times New Roman" w:hAnsi="Times New Roman"/>
          <w:b w:val="0"/>
        </w:rPr>
      </w:pPr>
      <w:r w:rsidRPr="007A5454">
        <w:rPr>
          <w:rFonts w:ascii="Times New Roman" w:hAnsi="Times New Roman"/>
          <w:b w:val="0"/>
        </w:rPr>
        <w:t>7.</w:t>
      </w:r>
      <w:r w:rsidR="00E069FA" w:rsidRPr="000141D4">
        <w:rPr>
          <w:rFonts w:ascii="Times New Roman" w:hAnsi="Times New Roman"/>
          <w:b w:val="0"/>
        </w:rPr>
        <w:t>8</w:t>
      </w:r>
      <w:r w:rsidRPr="007A5454">
        <w:rPr>
          <w:rFonts w:ascii="Times New Roman" w:hAnsi="Times New Roman"/>
          <w:b w:val="0"/>
        </w:rPr>
        <w:t>. tabula. Sociālās apdrošināšanas iemaksas valsts fondēto pensiju shēmā</w:t>
      </w:r>
    </w:p>
    <w:tbl>
      <w:tblPr>
        <w:tblW w:w="884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823"/>
        <w:gridCol w:w="910"/>
        <w:gridCol w:w="3050"/>
        <w:gridCol w:w="3060"/>
      </w:tblGrid>
      <w:tr w:rsidR="00D61CDB" w:rsidRPr="00016A8F" w14:paraId="2F4C2041" w14:textId="77777777" w:rsidTr="001329C2">
        <w:trPr>
          <w:jc w:val="center"/>
        </w:trPr>
        <w:tc>
          <w:tcPr>
            <w:tcW w:w="1823" w:type="dxa"/>
            <w:tcBorders>
              <w:top w:val="double" w:sz="6" w:space="0" w:color="auto"/>
            </w:tcBorders>
            <w:vAlign w:val="center"/>
          </w:tcPr>
          <w:p w14:paraId="1A9C8FB3" w14:textId="77777777" w:rsidR="00D61CDB" w:rsidRPr="007A5454" w:rsidRDefault="00D61CDB" w:rsidP="001329C2">
            <w:pPr>
              <w:pStyle w:val="tabteksts"/>
              <w:jc w:val="center"/>
            </w:pPr>
            <w:r w:rsidRPr="007A5454">
              <w:t>Periods</w:t>
            </w:r>
          </w:p>
        </w:tc>
        <w:tc>
          <w:tcPr>
            <w:tcW w:w="910" w:type="dxa"/>
            <w:tcBorders>
              <w:top w:val="double" w:sz="6" w:space="0" w:color="auto"/>
            </w:tcBorders>
            <w:vAlign w:val="center"/>
          </w:tcPr>
          <w:p w14:paraId="03418D83" w14:textId="77777777" w:rsidR="00D61CDB" w:rsidRPr="007A5454" w:rsidRDefault="00D61CDB" w:rsidP="001329C2">
            <w:pPr>
              <w:pStyle w:val="tabteksts"/>
              <w:jc w:val="center"/>
            </w:pPr>
            <w:r w:rsidRPr="007A5454">
              <w:t>Iemaksu likme</w:t>
            </w:r>
          </w:p>
        </w:tc>
        <w:tc>
          <w:tcPr>
            <w:tcW w:w="3050" w:type="dxa"/>
            <w:tcBorders>
              <w:top w:val="double" w:sz="6" w:space="0" w:color="auto"/>
            </w:tcBorders>
            <w:vAlign w:val="center"/>
          </w:tcPr>
          <w:p w14:paraId="04DE9902" w14:textId="77777777" w:rsidR="00D61CDB" w:rsidRPr="007A5454" w:rsidRDefault="00D61CDB" w:rsidP="001329C2">
            <w:pPr>
              <w:pStyle w:val="tabteksts"/>
              <w:jc w:val="center"/>
            </w:pPr>
            <w:r w:rsidRPr="007A5454">
              <w:t xml:space="preserve">Prognozētās sociālās apdrošināšanas iemaksas valsts fondēto pensiju shēmā, </w:t>
            </w:r>
            <w:proofErr w:type="spellStart"/>
            <w:r w:rsidRPr="007A5454">
              <w:t>milj</w:t>
            </w:r>
            <w:proofErr w:type="spellEnd"/>
            <w:r w:rsidRPr="007A5454">
              <w:t>. latu</w:t>
            </w:r>
          </w:p>
        </w:tc>
        <w:tc>
          <w:tcPr>
            <w:tcW w:w="3060" w:type="dxa"/>
            <w:tcBorders>
              <w:top w:val="double" w:sz="6" w:space="0" w:color="auto"/>
            </w:tcBorders>
            <w:vAlign w:val="center"/>
          </w:tcPr>
          <w:p w14:paraId="6AA0A0F7" w14:textId="77777777" w:rsidR="00D61CDB" w:rsidRPr="007A5454" w:rsidRDefault="00D61CDB" w:rsidP="001329C2">
            <w:pPr>
              <w:pStyle w:val="tabteksts"/>
              <w:jc w:val="center"/>
            </w:pPr>
            <w:r w:rsidRPr="007A5454">
              <w:t>Prognozētās sociālās apdrošināšanas iemaksas valsts fondēto pensiju shēmā, % no IKP</w:t>
            </w:r>
          </w:p>
        </w:tc>
      </w:tr>
      <w:tr w:rsidR="00D61CDB" w:rsidRPr="00016A8F" w14:paraId="0592E41D" w14:textId="77777777" w:rsidTr="001329C2">
        <w:trPr>
          <w:jc w:val="center"/>
        </w:trPr>
        <w:tc>
          <w:tcPr>
            <w:tcW w:w="1823" w:type="dxa"/>
          </w:tcPr>
          <w:p w14:paraId="167E23D3" w14:textId="77777777" w:rsidR="00D61CDB" w:rsidRPr="007A5454" w:rsidRDefault="00D61CDB" w:rsidP="001329C2">
            <w:pPr>
              <w:pStyle w:val="tabteksts"/>
            </w:pPr>
            <w:r w:rsidRPr="007A5454">
              <w:t>2013. gads</w:t>
            </w:r>
          </w:p>
        </w:tc>
        <w:tc>
          <w:tcPr>
            <w:tcW w:w="910" w:type="dxa"/>
          </w:tcPr>
          <w:p w14:paraId="003110B3" w14:textId="77777777" w:rsidR="00D61CDB" w:rsidRPr="007A5454" w:rsidRDefault="00D61CDB" w:rsidP="001329C2">
            <w:pPr>
              <w:pStyle w:val="tabteksts"/>
              <w:jc w:val="center"/>
            </w:pPr>
            <w:r w:rsidRPr="007A5454">
              <w:t>4%</w:t>
            </w:r>
          </w:p>
        </w:tc>
        <w:tc>
          <w:tcPr>
            <w:tcW w:w="3050" w:type="dxa"/>
          </w:tcPr>
          <w:p w14:paraId="755A5B98" w14:textId="77777777" w:rsidR="00D61CDB" w:rsidRPr="007A5454" w:rsidRDefault="00D61CDB" w:rsidP="001329C2">
            <w:pPr>
              <w:pStyle w:val="tabteksts"/>
              <w:jc w:val="center"/>
            </w:pPr>
            <w:r w:rsidRPr="007A5454">
              <w:t>129,9</w:t>
            </w:r>
          </w:p>
        </w:tc>
        <w:tc>
          <w:tcPr>
            <w:tcW w:w="3060" w:type="dxa"/>
          </w:tcPr>
          <w:p w14:paraId="2678DBBF" w14:textId="77777777" w:rsidR="00D61CDB" w:rsidRPr="007A5454" w:rsidRDefault="00D61CDB" w:rsidP="001329C2">
            <w:pPr>
              <w:pStyle w:val="tabteksts"/>
              <w:jc w:val="center"/>
            </w:pPr>
            <w:r w:rsidRPr="007A5454">
              <w:t>0,8</w:t>
            </w:r>
          </w:p>
        </w:tc>
      </w:tr>
      <w:tr w:rsidR="00D61CDB" w:rsidRPr="00016A8F" w14:paraId="6FAD9BAF" w14:textId="77777777" w:rsidTr="001329C2">
        <w:trPr>
          <w:jc w:val="center"/>
        </w:trPr>
        <w:tc>
          <w:tcPr>
            <w:tcW w:w="1823" w:type="dxa"/>
          </w:tcPr>
          <w:p w14:paraId="6F45E913" w14:textId="77777777" w:rsidR="00D61CDB" w:rsidRPr="007A5454" w:rsidRDefault="00D61CDB" w:rsidP="001329C2">
            <w:pPr>
              <w:pStyle w:val="tabteksts"/>
            </w:pPr>
            <w:r w:rsidRPr="007A5454">
              <w:t>2014. gads</w:t>
            </w:r>
          </w:p>
        </w:tc>
        <w:tc>
          <w:tcPr>
            <w:tcW w:w="910" w:type="dxa"/>
          </w:tcPr>
          <w:p w14:paraId="680B751C" w14:textId="77777777" w:rsidR="00D61CDB" w:rsidRPr="007A5454" w:rsidRDefault="00D61CDB" w:rsidP="001329C2">
            <w:pPr>
              <w:pStyle w:val="tabteksts"/>
              <w:jc w:val="center"/>
            </w:pPr>
            <w:r w:rsidRPr="007A5454">
              <w:t>4%</w:t>
            </w:r>
          </w:p>
        </w:tc>
        <w:tc>
          <w:tcPr>
            <w:tcW w:w="3050" w:type="dxa"/>
          </w:tcPr>
          <w:p w14:paraId="1A98B314" w14:textId="77777777" w:rsidR="00D61CDB" w:rsidRPr="007A5454" w:rsidRDefault="00E069FA" w:rsidP="001329C2">
            <w:pPr>
              <w:pStyle w:val="tabteksts"/>
              <w:jc w:val="center"/>
            </w:pPr>
            <w:r w:rsidRPr="000141D4">
              <w:t>165,6</w:t>
            </w:r>
          </w:p>
        </w:tc>
        <w:tc>
          <w:tcPr>
            <w:tcW w:w="3060" w:type="dxa"/>
          </w:tcPr>
          <w:p w14:paraId="6F1ABC10" w14:textId="77777777" w:rsidR="00D61CDB" w:rsidRPr="007A5454" w:rsidRDefault="00E069FA" w:rsidP="001329C2">
            <w:pPr>
              <w:pStyle w:val="tabteksts"/>
              <w:jc w:val="center"/>
            </w:pPr>
            <w:r w:rsidRPr="000141D4">
              <w:t>1,</w:t>
            </w:r>
            <w:r w:rsidR="00D61CDB" w:rsidRPr="007A5454">
              <w:t>0</w:t>
            </w:r>
          </w:p>
        </w:tc>
      </w:tr>
      <w:tr w:rsidR="00D61CDB" w:rsidRPr="00016A8F" w14:paraId="03C6620E" w14:textId="77777777" w:rsidTr="001329C2">
        <w:trPr>
          <w:jc w:val="center"/>
        </w:trPr>
        <w:tc>
          <w:tcPr>
            <w:tcW w:w="1823" w:type="dxa"/>
          </w:tcPr>
          <w:p w14:paraId="723A7BBC" w14:textId="77777777" w:rsidR="00D61CDB" w:rsidRPr="007A5454" w:rsidRDefault="00D61CDB" w:rsidP="001329C2">
            <w:pPr>
              <w:pStyle w:val="tabteksts"/>
            </w:pPr>
            <w:r w:rsidRPr="007A5454">
              <w:t>2015. gads</w:t>
            </w:r>
          </w:p>
        </w:tc>
        <w:tc>
          <w:tcPr>
            <w:tcW w:w="910" w:type="dxa"/>
          </w:tcPr>
          <w:p w14:paraId="48A9E28B" w14:textId="77777777" w:rsidR="00D61CDB" w:rsidRPr="007A5454" w:rsidRDefault="00D61CDB" w:rsidP="001329C2">
            <w:pPr>
              <w:pStyle w:val="tabteksts"/>
              <w:jc w:val="center"/>
            </w:pPr>
            <w:r w:rsidRPr="007A5454">
              <w:t>5%</w:t>
            </w:r>
          </w:p>
        </w:tc>
        <w:tc>
          <w:tcPr>
            <w:tcW w:w="3050" w:type="dxa"/>
          </w:tcPr>
          <w:p w14:paraId="3864C317" w14:textId="77777777" w:rsidR="00D61CDB" w:rsidRPr="007A5454" w:rsidRDefault="00E069FA" w:rsidP="001329C2">
            <w:pPr>
              <w:pStyle w:val="tabteksts"/>
              <w:jc w:val="center"/>
            </w:pPr>
            <w:r w:rsidRPr="000141D4">
              <w:t>200,3</w:t>
            </w:r>
          </w:p>
        </w:tc>
        <w:tc>
          <w:tcPr>
            <w:tcW w:w="3060" w:type="dxa"/>
          </w:tcPr>
          <w:p w14:paraId="0C9D25F8" w14:textId="77777777" w:rsidR="00D61CDB" w:rsidRPr="007A5454" w:rsidRDefault="00D61CDB" w:rsidP="001329C2">
            <w:pPr>
              <w:pStyle w:val="tabteksts"/>
              <w:jc w:val="center"/>
            </w:pPr>
            <w:r w:rsidRPr="007A5454">
              <w:t>1,1</w:t>
            </w:r>
          </w:p>
        </w:tc>
      </w:tr>
      <w:tr w:rsidR="00D61CDB" w:rsidRPr="00016A8F" w14:paraId="6D0447BB" w14:textId="77777777" w:rsidTr="001329C2">
        <w:trPr>
          <w:jc w:val="center"/>
        </w:trPr>
        <w:tc>
          <w:tcPr>
            <w:tcW w:w="1823" w:type="dxa"/>
          </w:tcPr>
          <w:p w14:paraId="6CAC6715" w14:textId="77777777" w:rsidR="00D61CDB" w:rsidRPr="007A5454" w:rsidRDefault="00D61CDB" w:rsidP="001329C2">
            <w:pPr>
              <w:pStyle w:val="tabteksts"/>
            </w:pPr>
            <w:r w:rsidRPr="007A5454">
              <w:t>2016. gads</w:t>
            </w:r>
          </w:p>
        </w:tc>
        <w:tc>
          <w:tcPr>
            <w:tcW w:w="910" w:type="dxa"/>
          </w:tcPr>
          <w:p w14:paraId="2CFB9315" w14:textId="77777777" w:rsidR="00D61CDB" w:rsidRPr="007A5454" w:rsidRDefault="00D61CDB" w:rsidP="001329C2">
            <w:pPr>
              <w:pStyle w:val="tabteksts"/>
              <w:jc w:val="center"/>
            </w:pPr>
            <w:r w:rsidRPr="007A5454">
              <w:t>6%</w:t>
            </w:r>
          </w:p>
        </w:tc>
        <w:tc>
          <w:tcPr>
            <w:tcW w:w="3050" w:type="dxa"/>
          </w:tcPr>
          <w:p w14:paraId="4A46493F" w14:textId="77777777" w:rsidR="00D61CDB" w:rsidRPr="007A5454" w:rsidRDefault="00D61CDB" w:rsidP="001329C2">
            <w:pPr>
              <w:pStyle w:val="tabteksts"/>
              <w:jc w:val="center"/>
            </w:pPr>
            <w:r w:rsidRPr="007A5454">
              <w:t>25</w:t>
            </w:r>
            <w:r w:rsidR="00E069FA" w:rsidRPr="000141D4">
              <w:t>7</w:t>
            </w:r>
            <w:r w:rsidRPr="007A5454">
              <w:t>,9</w:t>
            </w:r>
          </w:p>
        </w:tc>
        <w:tc>
          <w:tcPr>
            <w:tcW w:w="3060" w:type="dxa"/>
          </w:tcPr>
          <w:p w14:paraId="0574CDB5" w14:textId="77777777" w:rsidR="00D61CDB" w:rsidRPr="007A5454" w:rsidRDefault="00D61CDB" w:rsidP="001329C2">
            <w:pPr>
              <w:pStyle w:val="tabteksts"/>
              <w:jc w:val="center"/>
            </w:pPr>
            <w:r w:rsidRPr="007A5454">
              <w:t>1,3</w:t>
            </w:r>
          </w:p>
        </w:tc>
      </w:tr>
    </w:tbl>
    <w:p w14:paraId="5840CCDD" w14:textId="77777777" w:rsidR="00D61CDB" w:rsidRPr="00BB0C27" w:rsidRDefault="00D61CDB" w:rsidP="00D61CDB"/>
    <w:p w14:paraId="3D5CD55B" w14:textId="77777777" w:rsidR="00D51A9D" w:rsidRDefault="00D51A9D" w:rsidP="00D61CDB">
      <w:pPr>
        <w:pStyle w:val="H4"/>
        <w:rPr>
          <w:rFonts w:ascii="Times New Roman" w:hAnsi="Times New Roman"/>
          <w:sz w:val="24"/>
          <w:szCs w:val="24"/>
        </w:rPr>
      </w:pPr>
    </w:p>
    <w:p w14:paraId="2D71CED7" w14:textId="77777777" w:rsidR="00D51A9D" w:rsidRDefault="00D51A9D" w:rsidP="00D61CDB">
      <w:pPr>
        <w:pStyle w:val="H4"/>
        <w:rPr>
          <w:rFonts w:ascii="Times New Roman" w:hAnsi="Times New Roman"/>
          <w:sz w:val="24"/>
          <w:szCs w:val="24"/>
        </w:rPr>
      </w:pPr>
    </w:p>
    <w:p w14:paraId="490024E8" w14:textId="77777777" w:rsidR="00D61CDB" w:rsidRPr="00E402EE" w:rsidRDefault="00D61CDB" w:rsidP="00D61CDB">
      <w:pPr>
        <w:pStyle w:val="H4"/>
        <w:rPr>
          <w:rFonts w:ascii="Times New Roman" w:hAnsi="Times New Roman"/>
          <w:sz w:val="24"/>
          <w:szCs w:val="24"/>
        </w:rPr>
      </w:pPr>
      <w:r w:rsidRPr="00A00FBB">
        <w:rPr>
          <w:rFonts w:ascii="Times New Roman" w:hAnsi="Times New Roman"/>
          <w:sz w:val="24"/>
          <w:szCs w:val="24"/>
        </w:rPr>
        <w:t>Transpor</w:t>
      </w:r>
      <w:r>
        <w:rPr>
          <w:rFonts w:ascii="Times New Roman" w:hAnsi="Times New Roman"/>
          <w:sz w:val="24"/>
          <w:szCs w:val="24"/>
        </w:rPr>
        <w:t>tlīdzekļu ekspluatācijas nodoklis</w:t>
      </w:r>
    </w:p>
    <w:p w14:paraId="2594C454" w14:textId="77777777" w:rsidR="00D61CDB" w:rsidRDefault="00D61CDB" w:rsidP="00D61CDB">
      <w:r w:rsidRPr="00E402EE">
        <w:t xml:space="preserve">2013. gadā </w:t>
      </w:r>
      <w:r>
        <w:t xml:space="preserve">transportlīdzekļu </w:t>
      </w:r>
      <w:r w:rsidRPr="00A00FBB">
        <w:t>ekspluatācijas</w:t>
      </w:r>
      <w:r w:rsidRPr="00E402EE">
        <w:t xml:space="preserve"> nodokļa ieņēmumi tiek prognozēti ar </w:t>
      </w:r>
      <w:r>
        <w:t>3</w:t>
      </w:r>
      <w:r w:rsidRPr="00E402EE">
        <w:t>,</w:t>
      </w:r>
      <w:r>
        <w:t>8 </w:t>
      </w:r>
      <w:r w:rsidRPr="00E402EE">
        <w:t>% pieaugumu salīdzinājumā ar 2012. gadu.</w:t>
      </w:r>
    </w:p>
    <w:p w14:paraId="573CA182" w14:textId="77777777" w:rsidR="00D61CDB" w:rsidRDefault="00D61CDB" w:rsidP="00BB0C27">
      <w:pPr>
        <w:spacing w:after="0"/>
        <w:rPr>
          <w:color w:val="000000"/>
          <w:szCs w:val="24"/>
          <w:lang w:eastAsia="lv-LV"/>
        </w:rPr>
      </w:pPr>
      <w:r>
        <w:t xml:space="preserve">Būtiskākās likumdošanas izmaiņas, kas ir spēkā no 2013. gada 1. janvāra, attiecas uz </w:t>
      </w:r>
      <w:r w:rsidRPr="00DA35F7">
        <w:rPr>
          <w:color w:val="000000"/>
          <w:szCs w:val="24"/>
          <w:lang w:eastAsia="lv-LV"/>
        </w:rPr>
        <w:t>transportlīdzekļa ekspluatā</w:t>
      </w:r>
      <w:r>
        <w:rPr>
          <w:color w:val="000000"/>
          <w:szCs w:val="24"/>
          <w:lang w:eastAsia="lv-LV"/>
        </w:rPr>
        <w:t>cijas nodokļa maksāšanas kārtību, kur tiek saglabāta pašreizējā kārtība un nosakot nodokļa maksāšanas kārtības maiņu ar 2016.gada 1.janvāri. Pašreiz</w:t>
      </w:r>
      <w:r w:rsidRPr="00DA35F7">
        <w:rPr>
          <w:color w:val="000000"/>
          <w:szCs w:val="24"/>
          <w:lang w:eastAsia="lv-LV"/>
        </w:rPr>
        <w:t xml:space="preserve"> transportlīdzekļa ekspluatācijas nodoklis tiek maksāts par visu kārtējo gadu, faktiski avansa veidā, </w:t>
      </w:r>
      <w:r>
        <w:rPr>
          <w:color w:val="000000"/>
          <w:szCs w:val="24"/>
          <w:lang w:eastAsia="lv-LV"/>
        </w:rPr>
        <w:t>savukārt, jaunā kārtība</w:t>
      </w:r>
      <w:r w:rsidRPr="00DA35F7">
        <w:rPr>
          <w:color w:val="000000"/>
          <w:szCs w:val="24"/>
          <w:lang w:eastAsia="lv-LV"/>
        </w:rPr>
        <w:t xml:space="preserve"> paredz, ka nodokli</w:t>
      </w:r>
      <w:r>
        <w:rPr>
          <w:color w:val="000000"/>
          <w:szCs w:val="24"/>
          <w:lang w:eastAsia="lv-LV"/>
        </w:rPr>
        <w:t>s</w:t>
      </w:r>
      <w:r w:rsidRPr="00DA35F7">
        <w:rPr>
          <w:color w:val="000000"/>
          <w:szCs w:val="24"/>
          <w:lang w:eastAsia="lv-LV"/>
        </w:rPr>
        <w:t xml:space="preserve"> būs jāmaksā par faktisko transportlīdzekļa ekspluatācijas periodu</w:t>
      </w:r>
      <w:r>
        <w:rPr>
          <w:color w:val="000000"/>
          <w:szCs w:val="24"/>
          <w:lang w:eastAsia="lv-LV"/>
        </w:rPr>
        <w:t>, kā rezultātā veidojas nodokļa ieņēmumu nobīde ieviešanas gadā (-21,9 milj. lati)</w:t>
      </w:r>
      <w:r w:rsidRPr="00DA35F7">
        <w:rPr>
          <w:color w:val="000000"/>
          <w:szCs w:val="24"/>
          <w:lang w:eastAsia="lv-LV"/>
        </w:rPr>
        <w:t>.</w:t>
      </w:r>
    </w:p>
    <w:p w14:paraId="4C0CCDA5" w14:textId="77777777" w:rsidR="00D61CDB" w:rsidRDefault="00D61CDB" w:rsidP="00BB0C27">
      <w:pPr>
        <w:spacing w:after="0"/>
      </w:pPr>
      <w:r w:rsidRPr="00E76380">
        <w:t>No 2013. </w:t>
      </w:r>
      <w:r>
        <w:t>g</w:t>
      </w:r>
      <w:r w:rsidRPr="00E76380">
        <w:t>ada</w:t>
      </w:r>
      <w:r>
        <w:t xml:space="preserve"> 1. janvāra</w:t>
      </w:r>
      <w:r w:rsidRPr="00E76380">
        <w:t xml:space="preserve"> </w:t>
      </w:r>
      <w:r>
        <w:t xml:space="preserve">stājas spēkā </w:t>
      </w:r>
      <w:r w:rsidRPr="00B0223E">
        <w:t>grozījum</w:t>
      </w:r>
      <w:r w:rsidR="00E069FA" w:rsidRPr="000141D4">
        <w:t>ā</w:t>
      </w:r>
      <w:r w:rsidRPr="00B0223E">
        <w:t xml:space="preserve"> likumā "Ceļu satiksmes likum</w:t>
      </w:r>
      <w:r w:rsidR="00E069FA" w:rsidRPr="000141D4">
        <w:t>ā</w:t>
      </w:r>
      <w:r w:rsidRPr="00B0223E">
        <w:t xml:space="preserve">", kas </w:t>
      </w:r>
      <w:r>
        <w:t xml:space="preserve"> ietekmē transportlīdzekļu ekspluatācijas nodokļa ieņēmumus. Izmaiņas attiecas uz </w:t>
      </w:r>
      <w:r w:rsidRPr="00B0223E">
        <w:t xml:space="preserve"> Latvijā iepriekš nereģistrētiem jauniem transportlīdzekļiem</w:t>
      </w:r>
      <w:r>
        <w:t>, kuri</w:t>
      </w:r>
      <w:r w:rsidRPr="00B0223E">
        <w:t xml:space="preserve"> pirmreizējo valsts tehnisko apskati </w:t>
      </w:r>
      <w:r>
        <w:t xml:space="preserve">var </w:t>
      </w:r>
      <w:r w:rsidRPr="00B0223E">
        <w:t>vei</w:t>
      </w:r>
      <w:r>
        <w:t>kt</w:t>
      </w:r>
      <w:r w:rsidRPr="00B0223E">
        <w:t xml:space="preserve"> ne vēlāk kā 24 mēnešus pēc to pirmreizējās reģistrācijas. Līdz ar to veidojas transportlīdzekļu ekspluatācijas nodokļa ieņēmumu nobīde 2014.gadā</w:t>
      </w:r>
      <w:r>
        <w:t xml:space="preserve"> (-0,7 milj. lati)</w:t>
      </w:r>
      <w:r w:rsidRPr="00B0223E">
        <w:t>.</w:t>
      </w:r>
    </w:p>
    <w:p w14:paraId="223A0F7B" w14:textId="77777777" w:rsidR="00BB0C27" w:rsidRDefault="00BB0C27" w:rsidP="00BB0C27">
      <w:pPr>
        <w:spacing w:after="0"/>
        <w:rPr>
          <w:color w:val="000000"/>
          <w:szCs w:val="24"/>
          <w:lang w:eastAsia="lv-LV"/>
        </w:rPr>
      </w:pPr>
    </w:p>
    <w:p w14:paraId="2870A1AD" w14:textId="77777777" w:rsidR="00D61CDB" w:rsidRPr="007963AF" w:rsidRDefault="00D61CDB" w:rsidP="00D61CDB">
      <w:pPr>
        <w:pStyle w:val="T"/>
        <w:spacing w:after="0"/>
        <w:jc w:val="right"/>
        <w:rPr>
          <w:rFonts w:ascii="Times New Roman" w:hAnsi="Times New Roman"/>
          <w:b w:val="0"/>
        </w:rPr>
      </w:pPr>
      <w:r w:rsidRPr="007963AF">
        <w:rPr>
          <w:rFonts w:ascii="Times New Roman" w:hAnsi="Times New Roman"/>
          <w:b w:val="0"/>
        </w:rPr>
        <w:t>7.</w:t>
      </w:r>
      <w:r w:rsidR="00E069FA" w:rsidRPr="000141D4">
        <w:rPr>
          <w:rFonts w:ascii="Times New Roman" w:hAnsi="Times New Roman"/>
          <w:b w:val="0"/>
        </w:rPr>
        <w:t>9</w:t>
      </w:r>
      <w:r w:rsidRPr="007963AF">
        <w:rPr>
          <w:rFonts w:ascii="Times New Roman" w:hAnsi="Times New Roman"/>
          <w:b w:val="0"/>
        </w:rPr>
        <w:t>. tabula. Nodokļu politikas izmaiņu ietekme</w:t>
      </w:r>
    </w:p>
    <w:p w14:paraId="03F721F9" w14:textId="77777777" w:rsidR="00D61CDB" w:rsidRPr="007963AF" w:rsidRDefault="00D61CDB" w:rsidP="00D61CDB">
      <w:pPr>
        <w:pStyle w:val="T"/>
        <w:spacing w:after="0"/>
        <w:jc w:val="right"/>
        <w:rPr>
          <w:rFonts w:ascii="Times New Roman" w:hAnsi="Times New Roman"/>
          <w:b w:val="0"/>
        </w:rPr>
      </w:pPr>
      <w:r w:rsidRPr="007963AF">
        <w:rPr>
          <w:rFonts w:ascii="Times New Roman" w:hAnsi="Times New Roman"/>
          <w:b w:val="0"/>
        </w:rPr>
        <w:t xml:space="preserve">uz </w:t>
      </w:r>
      <w:r>
        <w:rPr>
          <w:rFonts w:ascii="Times New Roman" w:hAnsi="Times New Roman"/>
          <w:b w:val="0"/>
        </w:rPr>
        <w:t>t</w:t>
      </w:r>
      <w:r w:rsidRPr="00B0223E">
        <w:rPr>
          <w:rFonts w:ascii="Times New Roman" w:hAnsi="Times New Roman"/>
          <w:b w:val="0"/>
        </w:rPr>
        <w:t>ranspo</w:t>
      </w:r>
      <w:r>
        <w:rPr>
          <w:rFonts w:ascii="Times New Roman" w:hAnsi="Times New Roman"/>
          <w:b w:val="0"/>
        </w:rPr>
        <w:t>rtlīdzekļu ekspluatācijas nodokļa ieņēmumiem</w:t>
      </w:r>
      <w:r w:rsidRPr="007963AF">
        <w:rPr>
          <w:rFonts w:ascii="Times New Roman" w:hAnsi="Times New Roman"/>
          <w:b w:val="0"/>
        </w:rPr>
        <w:t>, milj. latu</w:t>
      </w:r>
    </w:p>
    <w:tbl>
      <w:tblPr>
        <w:tblW w:w="9235"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1E0" w:firstRow="1" w:lastRow="1" w:firstColumn="1" w:lastColumn="1" w:noHBand="0" w:noVBand="0"/>
      </w:tblPr>
      <w:tblGrid>
        <w:gridCol w:w="5339"/>
        <w:gridCol w:w="974"/>
        <w:gridCol w:w="974"/>
        <w:gridCol w:w="974"/>
        <w:gridCol w:w="974"/>
      </w:tblGrid>
      <w:tr w:rsidR="00D61CDB" w:rsidRPr="00016A8F" w14:paraId="05EDDEEF" w14:textId="77777777" w:rsidTr="001329C2">
        <w:trPr>
          <w:jc w:val="center"/>
        </w:trPr>
        <w:tc>
          <w:tcPr>
            <w:tcW w:w="5339" w:type="dxa"/>
            <w:tcBorders>
              <w:top w:val="double" w:sz="6" w:space="0" w:color="auto"/>
            </w:tcBorders>
          </w:tcPr>
          <w:p w14:paraId="3ADF02CE" w14:textId="77777777" w:rsidR="00D61CDB" w:rsidRPr="007963AF" w:rsidRDefault="00D61CDB" w:rsidP="001329C2">
            <w:pPr>
              <w:pStyle w:val="tabteksts"/>
            </w:pPr>
          </w:p>
        </w:tc>
        <w:tc>
          <w:tcPr>
            <w:tcW w:w="974" w:type="dxa"/>
            <w:tcBorders>
              <w:top w:val="double" w:sz="6" w:space="0" w:color="auto"/>
            </w:tcBorders>
          </w:tcPr>
          <w:p w14:paraId="187B7F44" w14:textId="77777777" w:rsidR="00D61CDB" w:rsidRPr="007963AF" w:rsidRDefault="00D61CDB" w:rsidP="001329C2">
            <w:pPr>
              <w:pStyle w:val="tabteksts"/>
              <w:tabs>
                <w:tab w:val="decimal" w:pos="-12114"/>
              </w:tabs>
              <w:jc w:val="center"/>
              <w:rPr>
                <w:b/>
              </w:rPr>
            </w:pPr>
            <w:r w:rsidRPr="007963AF">
              <w:rPr>
                <w:b/>
              </w:rPr>
              <w:t>2013</w:t>
            </w:r>
          </w:p>
        </w:tc>
        <w:tc>
          <w:tcPr>
            <w:tcW w:w="974" w:type="dxa"/>
            <w:tcBorders>
              <w:top w:val="double" w:sz="6" w:space="0" w:color="auto"/>
            </w:tcBorders>
          </w:tcPr>
          <w:p w14:paraId="54CE12CB" w14:textId="77777777" w:rsidR="00D61CDB" w:rsidRPr="007963AF" w:rsidRDefault="00D61CDB" w:rsidP="001329C2">
            <w:pPr>
              <w:pStyle w:val="tabteksts"/>
              <w:tabs>
                <w:tab w:val="decimal" w:pos="-12114"/>
              </w:tabs>
              <w:jc w:val="center"/>
              <w:rPr>
                <w:b/>
              </w:rPr>
            </w:pPr>
            <w:r w:rsidRPr="007963AF">
              <w:rPr>
                <w:b/>
              </w:rPr>
              <w:t>2014</w:t>
            </w:r>
          </w:p>
        </w:tc>
        <w:tc>
          <w:tcPr>
            <w:tcW w:w="974" w:type="dxa"/>
            <w:tcBorders>
              <w:top w:val="double" w:sz="6" w:space="0" w:color="auto"/>
            </w:tcBorders>
          </w:tcPr>
          <w:p w14:paraId="00B3CD57" w14:textId="77777777" w:rsidR="00D61CDB" w:rsidRPr="007963AF" w:rsidRDefault="00D61CDB" w:rsidP="001329C2">
            <w:pPr>
              <w:pStyle w:val="tabteksts"/>
              <w:tabs>
                <w:tab w:val="decimal" w:pos="-12114"/>
              </w:tabs>
              <w:jc w:val="center"/>
              <w:rPr>
                <w:b/>
              </w:rPr>
            </w:pPr>
            <w:r w:rsidRPr="007963AF">
              <w:rPr>
                <w:b/>
              </w:rPr>
              <w:t>2015</w:t>
            </w:r>
          </w:p>
        </w:tc>
        <w:tc>
          <w:tcPr>
            <w:tcW w:w="974" w:type="dxa"/>
            <w:tcBorders>
              <w:top w:val="double" w:sz="6" w:space="0" w:color="auto"/>
            </w:tcBorders>
          </w:tcPr>
          <w:p w14:paraId="0CD9430C" w14:textId="77777777" w:rsidR="00D61CDB" w:rsidRPr="007963AF" w:rsidRDefault="00D61CDB" w:rsidP="001329C2">
            <w:pPr>
              <w:pStyle w:val="tabteksts"/>
              <w:tabs>
                <w:tab w:val="decimal" w:pos="-12114"/>
              </w:tabs>
              <w:jc w:val="center"/>
              <w:rPr>
                <w:b/>
              </w:rPr>
            </w:pPr>
            <w:r w:rsidRPr="007963AF">
              <w:rPr>
                <w:b/>
              </w:rPr>
              <w:t>2016</w:t>
            </w:r>
          </w:p>
        </w:tc>
      </w:tr>
      <w:tr w:rsidR="00D61CDB" w:rsidRPr="00016A8F" w14:paraId="79DC81E5" w14:textId="77777777" w:rsidTr="001329C2">
        <w:trPr>
          <w:jc w:val="center"/>
        </w:trPr>
        <w:tc>
          <w:tcPr>
            <w:tcW w:w="5339" w:type="dxa"/>
            <w:tcBorders>
              <w:top w:val="double" w:sz="6" w:space="0" w:color="auto"/>
              <w:bottom w:val="single" w:sz="4" w:space="0" w:color="auto"/>
            </w:tcBorders>
          </w:tcPr>
          <w:p w14:paraId="118E1EF4" w14:textId="77777777" w:rsidR="00D61CDB" w:rsidRPr="007963AF" w:rsidRDefault="00D61CDB" w:rsidP="001329C2">
            <w:pPr>
              <w:pStyle w:val="tabteksts"/>
            </w:pPr>
            <w:r>
              <w:t>Maksāšanas kārtības maiņa</w:t>
            </w:r>
          </w:p>
        </w:tc>
        <w:tc>
          <w:tcPr>
            <w:tcW w:w="974" w:type="dxa"/>
            <w:tcBorders>
              <w:top w:val="double" w:sz="6" w:space="0" w:color="auto"/>
              <w:bottom w:val="single" w:sz="4" w:space="0" w:color="auto"/>
            </w:tcBorders>
          </w:tcPr>
          <w:p w14:paraId="1446213E" w14:textId="77777777" w:rsidR="00D61CDB" w:rsidRPr="007963AF" w:rsidRDefault="00D61CDB" w:rsidP="001329C2">
            <w:pPr>
              <w:pStyle w:val="tabteksts"/>
              <w:tabs>
                <w:tab w:val="decimal" w:pos="458"/>
              </w:tabs>
              <w:jc w:val="both"/>
            </w:pPr>
            <w:r w:rsidRPr="007963AF">
              <w:t>-</w:t>
            </w:r>
          </w:p>
        </w:tc>
        <w:tc>
          <w:tcPr>
            <w:tcW w:w="974" w:type="dxa"/>
            <w:tcBorders>
              <w:top w:val="double" w:sz="6" w:space="0" w:color="auto"/>
              <w:bottom w:val="single" w:sz="4" w:space="0" w:color="auto"/>
            </w:tcBorders>
          </w:tcPr>
          <w:p w14:paraId="6175F1E5" w14:textId="77777777" w:rsidR="00D61CDB" w:rsidRPr="007963AF" w:rsidRDefault="00D61CDB" w:rsidP="001329C2">
            <w:pPr>
              <w:pStyle w:val="tabteksts"/>
              <w:tabs>
                <w:tab w:val="decimal" w:pos="458"/>
              </w:tabs>
              <w:jc w:val="both"/>
            </w:pPr>
            <w:r>
              <w:t>-</w:t>
            </w:r>
          </w:p>
        </w:tc>
        <w:tc>
          <w:tcPr>
            <w:tcW w:w="974" w:type="dxa"/>
            <w:tcBorders>
              <w:top w:val="double" w:sz="6" w:space="0" w:color="auto"/>
              <w:bottom w:val="single" w:sz="4" w:space="0" w:color="auto"/>
            </w:tcBorders>
          </w:tcPr>
          <w:p w14:paraId="04CDC064" w14:textId="77777777" w:rsidR="00D61CDB" w:rsidRPr="007963AF" w:rsidRDefault="00D61CDB" w:rsidP="001329C2">
            <w:pPr>
              <w:pStyle w:val="tabteksts"/>
              <w:tabs>
                <w:tab w:val="decimal" w:pos="458"/>
              </w:tabs>
              <w:jc w:val="both"/>
            </w:pPr>
            <w:r>
              <w:t>-</w:t>
            </w:r>
          </w:p>
        </w:tc>
        <w:tc>
          <w:tcPr>
            <w:tcW w:w="974" w:type="dxa"/>
            <w:tcBorders>
              <w:top w:val="double" w:sz="6" w:space="0" w:color="auto"/>
              <w:bottom w:val="single" w:sz="4" w:space="0" w:color="auto"/>
            </w:tcBorders>
          </w:tcPr>
          <w:p w14:paraId="645A5E32" w14:textId="77777777" w:rsidR="00D61CDB" w:rsidRPr="007963AF" w:rsidRDefault="00D61CDB" w:rsidP="001329C2">
            <w:pPr>
              <w:pStyle w:val="tabteksts"/>
              <w:tabs>
                <w:tab w:val="decimal" w:pos="458"/>
              </w:tabs>
              <w:jc w:val="both"/>
            </w:pPr>
            <w:r>
              <w:t>-21,9</w:t>
            </w:r>
          </w:p>
        </w:tc>
      </w:tr>
      <w:tr w:rsidR="00D61CDB" w:rsidRPr="00016A8F" w14:paraId="08B9DD1E" w14:textId="77777777" w:rsidTr="001329C2">
        <w:trPr>
          <w:jc w:val="center"/>
        </w:trPr>
        <w:tc>
          <w:tcPr>
            <w:tcW w:w="5339" w:type="dxa"/>
            <w:tcBorders>
              <w:top w:val="single" w:sz="4" w:space="0" w:color="auto"/>
              <w:bottom w:val="single" w:sz="4" w:space="0" w:color="auto"/>
            </w:tcBorders>
          </w:tcPr>
          <w:p w14:paraId="1B703750" w14:textId="77777777" w:rsidR="00D61CDB" w:rsidRPr="007963AF" w:rsidRDefault="00D61CDB" w:rsidP="001329C2">
            <w:pPr>
              <w:pStyle w:val="tabteksts"/>
            </w:pPr>
            <w:r>
              <w:t>J</w:t>
            </w:r>
            <w:r w:rsidRPr="00B0223E">
              <w:t>aunie transportlīdzekļi pirmreizējo valsts tehnisko apskati vei</w:t>
            </w:r>
            <w:r>
              <w:t>c</w:t>
            </w:r>
            <w:r w:rsidRPr="00B0223E">
              <w:t xml:space="preserve"> ne vēlāk kā 24 mēnešus</w:t>
            </w:r>
          </w:p>
        </w:tc>
        <w:tc>
          <w:tcPr>
            <w:tcW w:w="974" w:type="dxa"/>
            <w:tcBorders>
              <w:top w:val="single" w:sz="4" w:space="0" w:color="auto"/>
              <w:bottom w:val="single" w:sz="4" w:space="0" w:color="auto"/>
            </w:tcBorders>
          </w:tcPr>
          <w:p w14:paraId="3B06BB20" w14:textId="77777777" w:rsidR="00D61CDB" w:rsidRPr="007963AF" w:rsidRDefault="00D61CDB" w:rsidP="001329C2">
            <w:pPr>
              <w:pStyle w:val="tabteksts"/>
              <w:tabs>
                <w:tab w:val="decimal" w:pos="458"/>
              </w:tabs>
              <w:jc w:val="both"/>
            </w:pPr>
            <w:r w:rsidRPr="007963AF">
              <w:t>-</w:t>
            </w:r>
          </w:p>
        </w:tc>
        <w:tc>
          <w:tcPr>
            <w:tcW w:w="974" w:type="dxa"/>
            <w:tcBorders>
              <w:top w:val="single" w:sz="4" w:space="0" w:color="auto"/>
              <w:bottom w:val="single" w:sz="4" w:space="0" w:color="auto"/>
            </w:tcBorders>
          </w:tcPr>
          <w:p w14:paraId="0C4583E9" w14:textId="77777777" w:rsidR="00D61CDB" w:rsidRPr="007963AF" w:rsidRDefault="00D61CDB" w:rsidP="001329C2">
            <w:pPr>
              <w:pStyle w:val="tabteksts"/>
              <w:tabs>
                <w:tab w:val="decimal" w:pos="458"/>
              </w:tabs>
              <w:jc w:val="both"/>
            </w:pPr>
            <w:r>
              <w:t>-0</w:t>
            </w:r>
            <w:r w:rsidRPr="007963AF">
              <w:t>,7</w:t>
            </w:r>
          </w:p>
        </w:tc>
        <w:tc>
          <w:tcPr>
            <w:tcW w:w="974" w:type="dxa"/>
            <w:tcBorders>
              <w:top w:val="single" w:sz="4" w:space="0" w:color="auto"/>
              <w:bottom w:val="single" w:sz="4" w:space="0" w:color="auto"/>
            </w:tcBorders>
          </w:tcPr>
          <w:p w14:paraId="61E2277B" w14:textId="77777777" w:rsidR="00D61CDB" w:rsidRPr="007963AF" w:rsidRDefault="00D61CDB" w:rsidP="001329C2">
            <w:pPr>
              <w:pStyle w:val="tabteksts"/>
              <w:tabs>
                <w:tab w:val="decimal" w:pos="458"/>
              </w:tabs>
              <w:jc w:val="both"/>
            </w:pPr>
            <w:r>
              <w:t>-</w:t>
            </w:r>
          </w:p>
        </w:tc>
        <w:tc>
          <w:tcPr>
            <w:tcW w:w="974" w:type="dxa"/>
            <w:tcBorders>
              <w:top w:val="single" w:sz="4" w:space="0" w:color="auto"/>
              <w:bottom w:val="single" w:sz="4" w:space="0" w:color="auto"/>
            </w:tcBorders>
          </w:tcPr>
          <w:p w14:paraId="3C118F79" w14:textId="77777777" w:rsidR="00D61CDB" w:rsidRPr="007963AF" w:rsidRDefault="00D61CDB" w:rsidP="001329C2">
            <w:pPr>
              <w:pStyle w:val="tabteksts"/>
              <w:tabs>
                <w:tab w:val="decimal" w:pos="458"/>
              </w:tabs>
              <w:jc w:val="both"/>
            </w:pPr>
            <w:r>
              <w:t>-</w:t>
            </w:r>
          </w:p>
        </w:tc>
      </w:tr>
      <w:tr w:rsidR="00D61CDB" w:rsidRPr="00016A8F" w14:paraId="40DBF5B7" w14:textId="77777777" w:rsidTr="001329C2">
        <w:trPr>
          <w:jc w:val="center"/>
        </w:trPr>
        <w:tc>
          <w:tcPr>
            <w:tcW w:w="5339" w:type="dxa"/>
            <w:tcBorders>
              <w:bottom w:val="double" w:sz="6" w:space="0" w:color="auto"/>
            </w:tcBorders>
          </w:tcPr>
          <w:p w14:paraId="5D64784D" w14:textId="77777777" w:rsidR="00D61CDB" w:rsidRPr="007963AF" w:rsidRDefault="00D61CDB" w:rsidP="001329C2">
            <w:pPr>
              <w:pStyle w:val="tabteksts"/>
              <w:jc w:val="both"/>
              <w:rPr>
                <w:b/>
              </w:rPr>
            </w:pPr>
            <w:r w:rsidRPr="007963AF">
              <w:rPr>
                <w:b/>
              </w:rPr>
              <w:t>Izmaiņu ietekme kopā:</w:t>
            </w:r>
          </w:p>
        </w:tc>
        <w:tc>
          <w:tcPr>
            <w:tcW w:w="974" w:type="dxa"/>
            <w:tcBorders>
              <w:bottom w:val="double" w:sz="6" w:space="0" w:color="auto"/>
            </w:tcBorders>
          </w:tcPr>
          <w:p w14:paraId="726808D9" w14:textId="77777777" w:rsidR="00D61CDB" w:rsidRPr="007963AF" w:rsidRDefault="00D61CDB" w:rsidP="001329C2">
            <w:pPr>
              <w:pStyle w:val="tabteksts"/>
              <w:tabs>
                <w:tab w:val="decimal" w:pos="458"/>
              </w:tabs>
              <w:jc w:val="both"/>
              <w:rPr>
                <w:b/>
              </w:rPr>
            </w:pPr>
            <w:r w:rsidRPr="007963AF">
              <w:rPr>
                <w:b/>
              </w:rPr>
              <w:t>-</w:t>
            </w:r>
          </w:p>
        </w:tc>
        <w:tc>
          <w:tcPr>
            <w:tcW w:w="974" w:type="dxa"/>
            <w:tcBorders>
              <w:bottom w:val="double" w:sz="6" w:space="0" w:color="auto"/>
            </w:tcBorders>
          </w:tcPr>
          <w:p w14:paraId="1C2855BC" w14:textId="77777777" w:rsidR="00D61CDB" w:rsidRPr="007963AF" w:rsidRDefault="00D61CDB" w:rsidP="001329C2">
            <w:pPr>
              <w:pStyle w:val="tabteksts"/>
              <w:tabs>
                <w:tab w:val="decimal" w:pos="458"/>
              </w:tabs>
              <w:jc w:val="both"/>
              <w:rPr>
                <w:b/>
              </w:rPr>
            </w:pPr>
            <w:r>
              <w:rPr>
                <w:b/>
              </w:rPr>
              <w:t>-0</w:t>
            </w:r>
            <w:r w:rsidRPr="007963AF">
              <w:rPr>
                <w:b/>
              </w:rPr>
              <w:t>,</w:t>
            </w:r>
            <w:r>
              <w:rPr>
                <w:b/>
              </w:rPr>
              <w:t>7</w:t>
            </w:r>
          </w:p>
        </w:tc>
        <w:tc>
          <w:tcPr>
            <w:tcW w:w="974" w:type="dxa"/>
            <w:tcBorders>
              <w:bottom w:val="double" w:sz="6" w:space="0" w:color="auto"/>
            </w:tcBorders>
          </w:tcPr>
          <w:p w14:paraId="526DCC29" w14:textId="77777777" w:rsidR="00D61CDB" w:rsidRPr="007963AF" w:rsidRDefault="00D61CDB" w:rsidP="001329C2">
            <w:pPr>
              <w:pStyle w:val="tabteksts"/>
              <w:tabs>
                <w:tab w:val="decimal" w:pos="458"/>
              </w:tabs>
              <w:jc w:val="both"/>
              <w:rPr>
                <w:b/>
              </w:rPr>
            </w:pPr>
            <w:r>
              <w:rPr>
                <w:b/>
              </w:rPr>
              <w:t>-</w:t>
            </w:r>
          </w:p>
        </w:tc>
        <w:tc>
          <w:tcPr>
            <w:tcW w:w="974" w:type="dxa"/>
            <w:tcBorders>
              <w:bottom w:val="double" w:sz="6" w:space="0" w:color="auto"/>
            </w:tcBorders>
          </w:tcPr>
          <w:p w14:paraId="593E29F1" w14:textId="77777777" w:rsidR="00D61CDB" w:rsidRPr="007963AF" w:rsidRDefault="00D61CDB" w:rsidP="001329C2">
            <w:pPr>
              <w:pStyle w:val="tabteksts"/>
              <w:tabs>
                <w:tab w:val="decimal" w:pos="458"/>
              </w:tabs>
              <w:jc w:val="both"/>
              <w:rPr>
                <w:b/>
              </w:rPr>
            </w:pPr>
            <w:r>
              <w:rPr>
                <w:b/>
              </w:rPr>
              <w:t>-21,9</w:t>
            </w:r>
          </w:p>
        </w:tc>
      </w:tr>
    </w:tbl>
    <w:p w14:paraId="516E4E49" w14:textId="77777777" w:rsidR="00D61CDB" w:rsidRPr="00BB0C27" w:rsidRDefault="00D61CDB" w:rsidP="00BB0C27">
      <w:pPr>
        <w:ind w:firstLine="0"/>
        <w:rPr>
          <w:color w:val="000000"/>
        </w:rPr>
      </w:pPr>
    </w:p>
    <w:p w14:paraId="0FBE3A70" w14:textId="77777777" w:rsidR="00163B37" w:rsidRPr="00163B37" w:rsidRDefault="00283B8B" w:rsidP="00EF38FE">
      <w:pPr>
        <w:pStyle w:val="PIRMAIS"/>
        <w:ind w:left="0" w:firstLine="0"/>
        <w:rPr>
          <w:highlight w:val="yellow"/>
        </w:rPr>
      </w:pPr>
      <w:bookmarkStart w:id="64" w:name="_Toc354671234"/>
      <w:r>
        <w:lastRenderedPageBreak/>
        <w:t>8</w:t>
      </w:r>
      <w:r w:rsidR="000F6956" w:rsidRPr="009C61B1">
        <w:t>.</w:t>
      </w:r>
      <w:r w:rsidR="000F6956" w:rsidRPr="009C61B1">
        <w:tab/>
      </w:r>
      <w:bookmarkStart w:id="65" w:name="_Toc251917344"/>
      <w:bookmarkEnd w:id="62"/>
      <w:bookmarkEnd w:id="63"/>
      <w:r w:rsidR="007043C5" w:rsidRPr="00026883">
        <w:t>Publisko finanšu ilgtspēja</w:t>
      </w:r>
      <w:bookmarkEnd w:id="65"/>
      <w:bookmarkEnd w:id="64"/>
    </w:p>
    <w:p w14:paraId="0FD48E17" w14:textId="77777777" w:rsidR="007043C5" w:rsidRPr="00A652BA" w:rsidRDefault="007043C5" w:rsidP="00A652BA">
      <w:pPr>
        <w:pStyle w:val="Heading3"/>
        <w:ind w:firstLine="0"/>
        <w:rPr>
          <w:rFonts w:ascii="Times New Roman" w:hAnsi="Times New Roman"/>
          <w:sz w:val="32"/>
          <w:szCs w:val="32"/>
        </w:rPr>
      </w:pPr>
      <w:bookmarkStart w:id="66" w:name="_Toc354671235"/>
      <w:r w:rsidRPr="00A652BA">
        <w:rPr>
          <w:rFonts w:ascii="Times New Roman" w:hAnsi="Times New Roman"/>
          <w:sz w:val="32"/>
          <w:szCs w:val="32"/>
        </w:rPr>
        <w:t>8.1. Publisko finanšu ilgtermiņa attīstības scenārijs</w:t>
      </w:r>
      <w:bookmarkEnd w:id="66"/>
    </w:p>
    <w:p w14:paraId="685BD30F" w14:textId="77777777" w:rsidR="007043C5" w:rsidRPr="00026883" w:rsidRDefault="007043C5" w:rsidP="007043C5">
      <w:pPr>
        <w:rPr>
          <w:szCs w:val="24"/>
        </w:rPr>
      </w:pPr>
      <w:r w:rsidRPr="00026883">
        <w:rPr>
          <w:szCs w:val="24"/>
        </w:rPr>
        <w:t xml:space="preserve">Demogrāfiskās izmaiņas, sevišķi vecāka gadagājuma iedzīvotāju skaita pieaugums, var </w:t>
      </w:r>
      <w:r>
        <w:rPr>
          <w:szCs w:val="24"/>
        </w:rPr>
        <w:t xml:space="preserve">veicināt publiskā sektora </w:t>
      </w:r>
      <w:r w:rsidRPr="00026883">
        <w:rPr>
          <w:szCs w:val="24"/>
        </w:rPr>
        <w:t>izdevumu pieaugumu ilgtermiņā. Arī sākotnējā budžeta pozīcija ietekmē publisko finanšu ilgtspēju. 2012.</w:t>
      </w:r>
      <w:r>
        <w:rPr>
          <w:szCs w:val="24"/>
        </w:rPr>
        <w:t> </w:t>
      </w:r>
      <w:r w:rsidRPr="00026883">
        <w:rPr>
          <w:szCs w:val="24"/>
        </w:rPr>
        <w:t xml:space="preserve">gadā </w:t>
      </w:r>
      <w:r>
        <w:rPr>
          <w:szCs w:val="24"/>
        </w:rPr>
        <w:t xml:space="preserve">tika </w:t>
      </w:r>
      <w:r w:rsidRPr="00026883">
        <w:rPr>
          <w:szCs w:val="24"/>
        </w:rPr>
        <w:t>veikta</w:t>
      </w:r>
      <w:r>
        <w:rPr>
          <w:szCs w:val="24"/>
        </w:rPr>
        <w:t>s</w:t>
      </w:r>
      <w:r w:rsidRPr="00026883">
        <w:rPr>
          <w:szCs w:val="24"/>
        </w:rPr>
        <w:t xml:space="preserve"> ievērojama</w:t>
      </w:r>
      <w:r>
        <w:rPr>
          <w:szCs w:val="24"/>
        </w:rPr>
        <w:t xml:space="preserve">s izmaiņas Latvijas </w:t>
      </w:r>
      <w:r w:rsidRPr="00026883">
        <w:rPr>
          <w:szCs w:val="24"/>
        </w:rPr>
        <w:t>pensiju sistēm</w:t>
      </w:r>
      <w:r>
        <w:rPr>
          <w:szCs w:val="24"/>
        </w:rPr>
        <w:t>ā</w:t>
      </w:r>
      <w:r w:rsidRPr="00026883">
        <w:rPr>
          <w:szCs w:val="24"/>
        </w:rPr>
        <w:t xml:space="preserve">, </w:t>
      </w:r>
      <w:r>
        <w:rPr>
          <w:szCs w:val="24"/>
        </w:rPr>
        <w:t>tajā skaitā pensionēšanās vecuma pakāpeniska paaugstināšana</w:t>
      </w:r>
      <w:r w:rsidRPr="00026883">
        <w:rPr>
          <w:szCs w:val="24"/>
        </w:rPr>
        <w:t>, tādējādi daļēji ierobežojot sabiedrības novecošanās negatīvo ietekmi uz Latvijas publiskajām finansēm ilgtermiņā. Tāpat, 2008.-2012.</w:t>
      </w:r>
      <w:r>
        <w:rPr>
          <w:szCs w:val="24"/>
        </w:rPr>
        <w:t> </w:t>
      </w:r>
      <w:r w:rsidRPr="00026883">
        <w:rPr>
          <w:szCs w:val="24"/>
        </w:rPr>
        <w:t>gadā veiktā fiskālā konsolidācija ir nodrošinājusi vispārējās valdības deficīta, kā arī strukturālā deficīta samazināšanos, būtiski uzlabojot</w:t>
      </w:r>
      <w:r>
        <w:rPr>
          <w:szCs w:val="24"/>
        </w:rPr>
        <w:t xml:space="preserve"> publisko finanšu stāvokli Latvijā, tajā</w:t>
      </w:r>
      <w:r w:rsidRPr="00026883">
        <w:rPr>
          <w:szCs w:val="24"/>
        </w:rPr>
        <w:t xml:space="preserve"> skaitā stabilizējot vispārējās valdības parāda līmeni. Publisko finanšu ilgtspējas kontekstā ir būtiski</w:t>
      </w:r>
      <w:r w:rsidR="003322D4">
        <w:rPr>
          <w:szCs w:val="24"/>
        </w:rPr>
        <w:t>,</w:t>
      </w:r>
      <w:r w:rsidRPr="00026883">
        <w:rPr>
          <w:szCs w:val="24"/>
        </w:rPr>
        <w:t xml:space="preserve"> </w:t>
      </w:r>
      <w:r w:rsidR="003E52AE">
        <w:rPr>
          <w:szCs w:val="24"/>
        </w:rPr>
        <w:t>ka ir sasniegts budžeta vidēja termiņa</w:t>
      </w:r>
      <w:r w:rsidR="003322D4">
        <w:rPr>
          <w:szCs w:val="24"/>
        </w:rPr>
        <w:t xml:space="preserve"> mērķis, kā arī ir svarīga MTO </w:t>
      </w:r>
      <w:r w:rsidRPr="00026883">
        <w:rPr>
          <w:szCs w:val="24"/>
        </w:rPr>
        <w:t>noturēšan</w:t>
      </w:r>
      <w:r w:rsidR="003E52AE">
        <w:rPr>
          <w:szCs w:val="24"/>
        </w:rPr>
        <w:t>a</w:t>
      </w:r>
      <w:r w:rsidRPr="00026883">
        <w:rPr>
          <w:szCs w:val="24"/>
        </w:rPr>
        <w:t xml:space="preserve"> ilgtermiņā. To </w:t>
      </w:r>
      <w:r>
        <w:rPr>
          <w:szCs w:val="24"/>
        </w:rPr>
        <w:t>sekmēs</w:t>
      </w:r>
      <w:r w:rsidRPr="00026883">
        <w:rPr>
          <w:szCs w:val="24"/>
        </w:rPr>
        <w:t xml:space="preserve"> 201</w:t>
      </w:r>
      <w:r w:rsidR="003E52AE">
        <w:rPr>
          <w:szCs w:val="24"/>
        </w:rPr>
        <w:t>3</w:t>
      </w:r>
      <w:r w:rsidRPr="00026883">
        <w:rPr>
          <w:szCs w:val="24"/>
        </w:rPr>
        <w:t>.</w:t>
      </w:r>
      <w:r>
        <w:rPr>
          <w:szCs w:val="24"/>
        </w:rPr>
        <w:t> </w:t>
      </w:r>
      <w:r w:rsidRPr="00026883">
        <w:rPr>
          <w:szCs w:val="24"/>
        </w:rPr>
        <w:t xml:space="preserve">gada </w:t>
      </w:r>
      <w:r w:rsidR="003E52AE">
        <w:rPr>
          <w:szCs w:val="24"/>
        </w:rPr>
        <w:t>6</w:t>
      </w:r>
      <w:r w:rsidRPr="00026883">
        <w:rPr>
          <w:szCs w:val="24"/>
        </w:rPr>
        <w:t>.</w:t>
      </w:r>
      <w:r>
        <w:rPr>
          <w:szCs w:val="24"/>
        </w:rPr>
        <w:t> </w:t>
      </w:r>
      <w:r w:rsidR="003E52AE">
        <w:rPr>
          <w:szCs w:val="24"/>
        </w:rPr>
        <w:t>martā spēkā stājušais</w:t>
      </w:r>
      <w:r w:rsidR="003322D4">
        <w:rPr>
          <w:szCs w:val="24"/>
        </w:rPr>
        <w:t xml:space="preserve"> </w:t>
      </w:r>
      <w:r w:rsidR="00117618">
        <w:rPr>
          <w:szCs w:val="24"/>
        </w:rPr>
        <w:t>FDL</w:t>
      </w:r>
      <w:r>
        <w:rPr>
          <w:szCs w:val="24"/>
        </w:rPr>
        <w:t xml:space="preserve"> un tajā ietvertās </w:t>
      </w:r>
      <w:r w:rsidRPr="00026883">
        <w:rPr>
          <w:szCs w:val="24"/>
        </w:rPr>
        <w:t xml:space="preserve">normas. </w:t>
      </w:r>
      <w:r>
        <w:rPr>
          <w:szCs w:val="24"/>
        </w:rPr>
        <w:t xml:space="preserve">Ņemot vērā sabiedrības novecošanos Latvijā, būtiski ir turpināt </w:t>
      </w:r>
      <w:r w:rsidRPr="00026883">
        <w:rPr>
          <w:szCs w:val="24"/>
        </w:rPr>
        <w:t xml:space="preserve">īstenot reformas, </w:t>
      </w:r>
      <w:r>
        <w:rPr>
          <w:szCs w:val="24"/>
        </w:rPr>
        <w:t xml:space="preserve">it īpaši </w:t>
      </w:r>
      <w:r w:rsidRPr="00026883">
        <w:rPr>
          <w:szCs w:val="24"/>
        </w:rPr>
        <w:t xml:space="preserve">veselības aprūpes </w:t>
      </w:r>
      <w:r>
        <w:rPr>
          <w:szCs w:val="24"/>
        </w:rPr>
        <w:t xml:space="preserve">un </w:t>
      </w:r>
      <w:r w:rsidRPr="00026883">
        <w:rPr>
          <w:szCs w:val="24"/>
        </w:rPr>
        <w:t>izglītības</w:t>
      </w:r>
      <w:r>
        <w:rPr>
          <w:szCs w:val="24"/>
        </w:rPr>
        <w:t xml:space="preserve"> </w:t>
      </w:r>
      <w:r w:rsidRPr="00026883">
        <w:rPr>
          <w:szCs w:val="24"/>
        </w:rPr>
        <w:t>nozarēs</w:t>
      </w:r>
      <w:r>
        <w:rPr>
          <w:szCs w:val="24"/>
        </w:rPr>
        <w:t>.</w:t>
      </w:r>
      <w:r w:rsidRPr="00026883">
        <w:rPr>
          <w:szCs w:val="24"/>
        </w:rPr>
        <w:t xml:space="preserve"> </w:t>
      </w:r>
    </w:p>
    <w:p w14:paraId="25BCC3F6" w14:textId="77777777" w:rsidR="007043C5" w:rsidRPr="00026883" w:rsidRDefault="00117618" w:rsidP="007043C5">
      <w:pPr>
        <w:rPr>
          <w:noProof/>
          <w:szCs w:val="24"/>
        </w:rPr>
      </w:pPr>
      <w:r>
        <w:rPr>
          <w:szCs w:val="24"/>
        </w:rPr>
        <w:t>EK</w:t>
      </w:r>
      <w:r w:rsidR="007043C5" w:rsidRPr="00026883">
        <w:rPr>
          <w:szCs w:val="24"/>
        </w:rPr>
        <w:t xml:space="preserve"> sadarbībā ar dalībvalstīm vienu reizi trijos gados izstrādā ar sabiedrības novecošanos saistīto izdevumu ilgtermiņa prognozes, kā arī novērtē publisko finanšu ilgtspēju katrai dalībvalstij. Ilgtermiņa prognožu pamatā ir demogrāfiskās prognozes, ko sniedz </w:t>
      </w:r>
      <w:r w:rsidR="007043C5" w:rsidRPr="00026883">
        <w:rPr>
          <w:i/>
          <w:noProof/>
          <w:szCs w:val="24"/>
        </w:rPr>
        <w:t>Eurostat</w:t>
      </w:r>
      <w:r w:rsidR="007043C5" w:rsidRPr="00026883">
        <w:rPr>
          <w:noProof/>
          <w:szCs w:val="24"/>
        </w:rPr>
        <w:t>, un pieņēmumi par ekonomisko izaugsmi un tās noteicošajiem faktoriem ilgtermiņā. 2012.</w:t>
      </w:r>
      <w:r w:rsidR="007043C5">
        <w:rPr>
          <w:noProof/>
          <w:szCs w:val="24"/>
        </w:rPr>
        <w:t> </w:t>
      </w:r>
      <w:r w:rsidR="007043C5" w:rsidRPr="00026883">
        <w:rPr>
          <w:noProof/>
          <w:szCs w:val="24"/>
        </w:rPr>
        <w:t>gada m</w:t>
      </w:r>
      <w:r w:rsidR="007043C5">
        <w:rPr>
          <w:noProof/>
          <w:szCs w:val="24"/>
        </w:rPr>
        <w:t xml:space="preserve">aijā </w:t>
      </w:r>
      <w:r>
        <w:rPr>
          <w:noProof/>
          <w:szCs w:val="24"/>
        </w:rPr>
        <w:t>EK</w:t>
      </w:r>
      <w:r w:rsidR="007043C5">
        <w:rPr>
          <w:noProof/>
          <w:szCs w:val="24"/>
        </w:rPr>
        <w:t xml:space="preserve"> publicēja </w:t>
      </w:r>
      <w:r w:rsidR="007043C5" w:rsidRPr="00026883">
        <w:rPr>
          <w:noProof/>
          <w:szCs w:val="24"/>
        </w:rPr>
        <w:t>Novecošanās ziņojumu</w:t>
      </w:r>
      <w:r w:rsidR="007043C5">
        <w:rPr>
          <w:noProof/>
          <w:szCs w:val="24"/>
        </w:rPr>
        <w:t xml:space="preserve"> (</w:t>
      </w:r>
      <w:r w:rsidR="007043C5" w:rsidRPr="00546555">
        <w:rPr>
          <w:i/>
          <w:noProof/>
          <w:szCs w:val="24"/>
        </w:rPr>
        <w:t>The 2012 Ageing Report</w:t>
      </w:r>
      <w:r w:rsidR="007043C5">
        <w:rPr>
          <w:noProof/>
          <w:szCs w:val="24"/>
        </w:rPr>
        <w:t xml:space="preserve">), </w:t>
      </w:r>
      <w:r w:rsidR="007043C5" w:rsidRPr="00026883">
        <w:rPr>
          <w:noProof/>
          <w:szCs w:val="24"/>
        </w:rPr>
        <w:t xml:space="preserve">kurā tiek analizētas ar sabiedrības novecošanos saistīto izdevumu izmaiņas </w:t>
      </w:r>
      <w:r>
        <w:rPr>
          <w:noProof/>
          <w:szCs w:val="24"/>
        </w:rPr>
        <w:t>ES</w:t>
      </w:r>
      <w:r w:rsidR="007043C5">
        <w:rPr>
          <w:noProof/>
          <w:szCs w:val="24"/>
        </w:rPr>
        <w:t xml:space="preserve"> un katrā dalībvalstī </w:t>
      </w:r>
      <w:r w:rsidR="007043C5" w:rsidRPr="00026883">
        <w:rPr>
          <w:noProof/>
          <w:szCs w:val="24"/>
        </w:rPr>
        <w:t>ilgtermiņā. Nākamo ziņojumu tiek plānots publicēt 2015.</w:t>
      </w:r>
      <w:r w:rsidR="007043C5">
        <w:rPr>
          <w:noProof/>
          <w:szCs w:val="24"/>
        </w:rPr>
        <w:t> </w:t>
      </w:r>
      <w:r w:rsidR="007043C5" w:rsidRPr="00026883">
        <w:rPr>
          <w:noProof/>
          <w:szCs w:val="24"/>
        </w:rPr>
        <w:t xml:space="preserve">gadā. </w:t>
      </w:r>
    </w:p>
    <w:p w14:paraId="55B68237" w14:textId="12AE1CBD" w:rsidR="007043C5" w:rsidRPr="00026883" w:rsidRDefault="007043C5" w:rsidP="007043C5">
      <w:pPr>
        <w:rPr>
          <w:szCs w:val="24"/>
        </w:rPr>
      </w:pPr>
      <w:r w:rsidRPr="00026883">
        <w:rPr>
          <w:szCs w:val="24"/>
        </w:rPr>
        <w:t xml:space="preserve">Ilgtermiņa </w:t>
      </w:r>
      <w:r w:rsidRPr="00026883">
        <w:rPr>
          <w:b/>
          <w:szCs w:val="24"/>
        </w:rPr>
        <w:t>demogrāfiskās prognozes</w:t>
      </w:r>
      <w:r w:rsidRPr="00026883">
        <w:rPr>
          <w:szCs w:val="24"/>
        </w:rPr>
        <w:t xml:space="preserve"> (</w:t>
      </w:r>
      <w:r w:rsidRPr="00026883">
        <w:rPr>
          <w:i/>
          <w:szCs w:val="24"/>
        </w:rPr>
        <w:t>EUROPOP2010</w:t>
      </w:r>
      <w:r w:rsidRPr="00026883">
        <w:rPr>
          <w:szCs w:val="24"/>
        </w:rPr>
        <w:t xml:space="preserve">) tika veidotas, ņemot vērā 2010. gada faktiskos datus pirms tautas skaitīšanas un atbilstoši faktiskajiem </w:t>
      </w:r>
      <w:r w:rsidRPr="00026883">
        <w:rPr>
          <w:i/>
          <w:noProof/>
          <w:szCs w:val="24"/>
        </w:rPr>
        <w:t>Eurostat</w:t>
      </w:r>
      <w:r w:rsidRPr="00026883">
        <w:rPr>
          <w:szCs w:val="24"/>
        </w:rPr>
        <w:t xml:space="preserve"> datiem 2010. gada 1. janvārī Latvijas iedzīvotāju kopējais skaits bija 2,25 miljoni. 2011.</w:t>
      </w:r>
      <w:r>
        <w:rPr>
          <w:szCs w:val="24"/>
        </w:rPr>
        <w:t> </w:t>
      </w:r>
      <w:r w:rsidRPr="00026883">
        <w:rPr>
          <w:szCs w:val="24"/>
        </w:rPr>
        <w:t>gadā Latvijā tika veikta tautas skaitīšana</w:t>
      </w:r>
      <w:r>
        <w:rPr>
          <w:szCs w:val="24"/>
        </w:rPr>
        <w:t xml:space="preserve">. Ņemot vērā tautas skaitīšanas rezultātus, </w:t>
      </w:r>
      <w:proofErr w:type="spellStart"/>
      <w:r w:rsidR="00F27493">
        <w:rPr>
          <w:szCs w:val="24"/>
        </w:rPr>
        <w:t>CSP</w:t>
      </w:r>
      <w:r>
        <w:rPr>
          <w:szCs w:val="24"/>
        </w:rPr>
        <w:t>ir</w:t>
      </w:r>
      <w:proofErr w:type="spellEnd"/>
      <w:r>
        <w:rPr>
          <w:szCs w:val="24"/>
        </w:rPr>
        <w:t xml:space="preserve"> aprēķinājusi, ka</w:t>
      </w:r>
      <w:r w:rsidRPr="00315E15">
        <w:rPr>
          <w:szCs w:val="24"/>
        </w:rPr>
        <w:t xml:space="preserve"> </w:t>
      </w:r>
      <w:r>
        <w:rPr>
          <w:szCs w:val="24"/>
        </w:rPr>
        <w:t xml:space="preserve">2010. gada sākumā pastāvīgo iedzīvotāju skaits </w:t>
      </w:r>
      <w:r w:rsidRPr="00026883">
        <w:rPr>
          <w:szCs w:val="24"/>
        </w:rPr>
        <w:t xml:space="preserve">bija </w:t>
      </w:r>
      <w:r w:rsidRPr="00591FBB">
        <w:rPr>
          <w:szCs w:val="24"/>
        </w:rPr>
        <w:t>2,12</w:t>
      </w:r>
      <w:r>
        <w:rPr>
          <w:szCs w:val="24"/>
        </w:rPr>
        <w:t xml:space="preserve"> </w:t>
      </w:r>
      <w:r w:rsidRPr="00026883">
        <w:rPr>
          <w:szCs w:val="24"/>
        </w:rPr>
        <w:t xml:space="preserve">miljoni, kas ir par </w:t>
      </w:r>
      <w:r>
        <w:rPr>
          <w:szCs w:val="24"/>
        </w:rPr>
        <w:t>127,9</w:t>
      </w:r>
      <w:r w:rsidRPr="00026883">
        <w:rPr>
          <w:szCs w:val="24"/>
        </w:rPr>
        <w:t xml:space="preserve"> tūkstošiem mazāk nekā izmantots ilgtermiņa prognozēs. </w:t>
      </w:r>
    </w:p>
    <w:p w14:paraId="55AE6D9E" w14:textId="77777777" w:rsidR="007043C5" w:rsidRPr="00026883" w:rsidRDefault="007043C5" w:rsidP="007043C5">
      <w:pPr>
        <w:jc w:val="center"/>
        <w:rPr>
          <w:szCs w:val="24"/>
        </w:rPr>
      </w:pPr>
      <w:r w:rsidRPr="00026883">
        <w:rPr>
          <w:noProof/>
          <w:lang w:eastAsia="lv-LV"/>
        </w:rPr>
        <w:drawing>
          <wp:inline distT="0" distB="0" distL="0" distR="0" wp14:anchorId="2B942D17" wp14:editId="6E92A8A4">
            <wp:extent cx="3711489" cy="2146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9918" t="10637" r="7933" b="14400"/>
                    <a:stretch/>
                  </pic:blipFill>
                  <pic:spPr bwMode="auto">
                    <a:xfrm>
                      <a:off x="0" y="0"/>
                      <a:ext cx="3723556" cy="2153832"/>
                    </a:xfrm>
                    <a:prstGeom prst="rect">
                      <a:avLst/>
                    </a:prstGeom>
                    <a:noFill/>
                    <a:ln>
                      <a:noFill/>
                    </a:ln>
                    <a:extLst>
                      <a:ext uri="{53640926-AAD7-44D8-BBD7-CCE9431645EC}">
                        <a14:shadowObscured xmlns:a14="http://schemas.microsoft.com/office/drawing/2010/main"/>
                      </a:ext>
                    </a:extLst>
                  </pic:spPr>
                </pic:pic>
              </a:graphicData>
            </a:graphic>
          </wp:inline>
        </w:drawing>
      </w:r>
    </w:p>
    <w:p w14:paraId="1FB026FC" w14:textId="77777777" w:rsidR="007043C5" w:rsidRPr="00026883" w:rsidRDefault="007043C5" w:rsidP="007043C5">
      <w:pPr>
        <w:pStyle w:val="Zpar"/>
        <w:spacing w:after="240"/>
        <w:ind w:firstLine="0"/>
        <w:jc w:val="center"/>
        <w:rPr>
          <w:rFonts w:ascii="Times New Roman" w:hAnsi="Times New Roman"/>
          <w:i w:val="0"/>
          <w:sz w:val="24"/>
          <w:szCs w:val="24"/>
        </w:rPr>
      </w:pPr>
      <w:r w:rsidRPr="00026883">
        <w:rPr>
          <w:rFonts w:ascii="Times New Roman" w:hAnsi="Times New Roman"/>
          <w:i w:val="0"/>
          <w:sz w:val="24"/>
          <w:szCs w:val="24"/>
        </w:rPr>
        <w:t>8.1. </w:t>
      </w:r>
      <w:r w:rsidRPr="00026883">
        <w:rPr>
          <w:rFonts w:ascii="Times New Roman" w:hAnsi="Times New Roman"/>
          <w:i w:val="0"/>
          <w:noProof/>
          <w:sz w:val="24"/>
          <w:szCs w:val="24"/>
        </w:rPr>
        <w:t>att</w:t>
      </w:r>
      <w:r w:rsidRPr="00026883">
        <w:rPr>
          <w:rFonts w:ascii="Times New Roman" w:hAnsi="Times New Roman"/>
          <w:i w:val="0"/>
          <w:sz w:val="24"/>
          <w:szCs w:val="24"/>
        </w:rPr>
        <w:t xml:space="preserve">. Latvijas iedzīvotāju vecuma struktūra 2010.-2060. gadā (Datu avots: </w:t>
      </w:r>
      <w:r w:rsidRPr="00026883">
        <w:rPr>
          <w:rFonts w:ascii="Times New Roman" w:hAnsi="Times New Roman"/>
          <w:i w:val="0"/>
          <w:noProof/>
          <w:sz w:val="24"/>
          <w:szCs w:val="24"/>
        </w:rPr>
        <w:t>Eurostat</w:t>
      </w:r>
      <w:r w:rsidRPr="00026883">
        <w:rPr>
          <w:rFonts w:ascii="Times New Roman" w:hAnsi="Times New Roman"/>
          <w:i w:val="0"/>
          <w:sz w:val="24"/>
          <w:szCs w:val="24"/>
        </w:rPr>
        <w:t>)</w:t>
      </w:r>
    </w:p>
    <w:p w14:paraId="43D44A31" w14:textId="77777777" w:rsidR="007043C5" w:rsidRDefault="007043C5" w:rsidP="007043C5">
      <w:pPr>
        <w:tabs>
          <w:tab w:val="left" w:pos="993"/>
          <w:tab w:val="left" w:pos="8080"/>
        </w:tabs>
        <w:rPr>
          <w:szCs w:val="24"/>
        </w:rPr>
      </w:pPr>
      <w:r>
        <w:rPr>
          <w:szCs w:val="24"/>
        </w:rPr>
        <w:t xml:space="preserve">Jāatzīmē, ka 2012. gada sākumā pastāvīgo iedzīvotāju skaits samazinājās līdz 2,04 miljoniem. Tautas skaitīšanas rezultāti tiks iekļauti nākamajās </w:t>
      </w:r>
      <w:proofErr w:type="spellStart"/>
      <w:r w:rsidRPr="00B07274">
        <w:rPr>
          <w:i/>
          <w:szCs w:val="24"/>
        </w:rPr>
        <w:t>Eurostat</w:t>
      </w:r>
      <w:proofErr w:type="spellEnd"/>
      <w:r>
        <w:rPr>
          <w:szCs w:val="24"/>
        </w:rPr>
        <w:t xml:space="preserve"> demogrāfiskajās prognozēs, kuras ir paredzēts izstrādāt līdz 2014. gada pavasarim. </w:t>
      </w:r>
    </w:p>
    <w:p w14:paraId="422F1FEE" w14:textId="77777777" w:rsidR="007043C5" w:rsidRPr="00026883" w:rsidRDefault="007043C5" w:rsidP="007043C5">
      <w:pPr>
        <w:tabs>
          <w:tab w:val="left" w:pos="993"/>
          <w:tab w:val="left" w:pos="8080"/>
        </w:tabs>
        <w:rPr>
          <w:szCs w:val="24"/>
        </w:rPr>
      </w:pPr>
      <w:r w:rsidRPr="00026883">
        <w:rPr>
          <w:szCs w:val="24"/>
        </w:rPr>
        <w:lastRenderedPageBreak/>
        <w:t xml:space="preserve">Saskaņā ar </w:t>
      </w:r>
      <w:r w:rsidRPr="00026883">
        <w:rPr>
          <w:i/>
          <w:noProof/>
          <w:szCs w:val="24"/>
        </w:rPr>
        <w:t>Eurostat</w:t>
      </w:r>
      <w:r w:rsidRPr="00026883">
        <w:rPr>
          <w:szCs w:val="24"/>
        </w:rPr>
        <w:t xml:space="preserve"> demogrāfiskajām prognozēm Latvijas iedzīvotāju kopējais skaits turpinās samazināties un 2060. gadā būs par 25,6% jeb 576,6 tūkst. mazāks nekā 2010. gadā. Tiek prognozēts, ka darbspējas vecuma (15-64) iedzīvotāju skaits, salīdzinot ar 2010. gadu, 2060. gadā būs par 43,4% mazāks. Latvijā turpinās samazināties arī bērnu skaits un 2060. gadā salīdzinājumā ar 2010. gadu tas būs par 35,6% mazāks. Tas izskaidrojams ar salīdzinoši zemu dzimstības līmeni un ilgtermiņā prognozētais uzlabojums nav pietiekams, lai notiktu iedzīvotāju atražošanās. Savukārt, iedzīvotāju skaits vecumā virs 65 gadiem 2060. gadā salīdzinājumā ar 2010. gadu palielināsies par 52,7%, bet vecumā virs 80 gadiem par 140,3%. Jāsecina, ka, salīdzinot ar iepriekšējām </w:t>
      </w:r>
      <w:proofErr w:type="spellStart"/>
      <w:r w:rsidRPr="00026883">
        <w:rPr>
          <w:i/>
          <w:szCs w:val="24"/>
        </w:rPr>
        <w:t>Eurostat</w:t>
      </w:r>
      <w:proofErr w:type="spellEnd"/>
      <w:r w:rsidRPr="00026883">
        <w:rPr>
          <w:szCs w:val="24"/>
        </w:rPr>
        <w:t xml:space="preserve"> demogrāfiskajām prognozēm (</w:t>
      </w:r>
      <w:r w:rsidRPr="00026883">
        <w:rPr>
          <w:i/>
          <w:szCs w:val="24"/>
        </w:rPr>
        <w:t>EUROPOP2008</w:t>
      </w:r>
      <w:r w:rsidRPr="00026883">
        <w:rPr>
          <w:szCs w:val="24"/>
        </w:rPr>
        <w:t xml:space="preserve">), netiek prognozētas būtiskas izmaiņas kopējā iedzīvotāju skaitā, bet tiek prognozēts lielāks vecāka gadagājuma iedzīvotāju īpatsvars, kas izskaidrojams ar lielāku paredzamā mūža ilgumu, kas, savukārt, ir konverģences pieņēmuma nosacījums. Konverģences pieņēmums ilgtermiņā paredz jauno dalībvalstu tuvošanos </w:t>
      </w:r>
      <w:r w:rsidR="00117618">
        <w:rPr>
          <w:szCs w:val="24"/>
        </w:rPr>
        <w:t>ES</w:t>
      </w:r>
      <w:r w:rsidRPr="00026883">
        <w:rPr>
          <w:szCs w:val="24"/>
        </w:rPr>
        <w:t xml:space="preserve"> vidējam labklājības līmenim.</w:t>
      </w:r>
    </w:p>
    <w:p w14:paraId="24E8B70B" w14:textId="77777777" w:rsidR="007043C5" w:rsidRPr="00026883" w:rsidRDefault="007043C5" w:rsidP="007043C5">
      <w:pPr>
        <w:tabs>
          <w:tab w:val="left" w:pos="993"/>
          <w:tab w:val="left" w:pos="8080"/>
        </w:tabs>
        <w:ind w:firstLine="0"/>
        <w:jc w:val="center"/>
        <w:rPr>
          <w:szCs w:val="24"/>
        </w:rPr>
      </w:pPr>
      <w:r w:rsidRPr="00026883">
        <w:rPr>
          <w:noProof/>
          <w:lang w:eastAsia="lv-LV"/>
        </w:rPr>
        <w:drawing>
          <wp:inline distT="0" distB="0" distL="0" distR="0" wp14:anchorId="0B5C7AE4" wp14:editId="75E33219">
            <wp:extent cx="3179721" cy="2075291"/>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90516" cy="2082337"/>
                    </a:xfrm>
                    <a:prstGeom prst="rect">
                      <a:avLst/>
                    </a:prstGeom>
                    <a:noFill/>
                    <a:ln>
                      <a:noFill/>
                    </a:ln>
                  </pic:spPr>
                </pic:pic>
              </a:graphicData>
            </a:graphic>
          </wp:inline>
        </w:drawing>
      </w:r>
    </w:p>
    <w:p w14:paraId="0EC2E2B6" w14:textId="77777777" w:rsidR="007043C5" w:rsidRPr="00026883" w:rsidRDefault="007043C5" w:rsidP="007043C5">
      <w:pPr>
        <w:pStyle w:val="Zpar"/>
        <w:spacing w:after="240"/>
        <w:ind w:firstLine="0"/>
        <w:jc w:val="center"/>
        <w:rPr>
          <w:rFonts w:ascii="Times New Roman" w:hAnsi="Times New Roman"/>
          <w:i w:val="0"/>
          <w:sz w:val="24"/>
          <w:szCs w:val="24"/>
        </w:rPr>
      </w:pPr>
      <w:r w:rsidRPr="00026883">
        <w:rPr>
          <w:rFonts w:ascii="Times New Roman" w:hAnsi="Times New Roman"/>
          <w:i w:val="0"/>
          <w:noProof/>
          <w:sz w:val="24"/>
          <w:szCs w:val="24"/>
        </w:rPr>
        <w:t xml:space="preserve">8.2. att. Latvijas iedzīvotāju skaits sadalījumā pa vecuma </w:t>
      </w:r>
      <w:r>
        <w:rPr>
          <w:rFonts w:ascii="Times New Roman" w:hAnsi="Times New Roman"/>
          <w:i w:val="0"/>
          <w:noProof/>
          <w:sz w:val="24"/>
          <w:szCs w:val="24"/>
        </w:rPr>
        <w:t>grup</w:t>
      </w:r>
      <w:r w:rsidRPr="00026883">
        <w:rPr>
          <w:rFonts w:ascii="Times New Roman" w:hAnsi="Times New Roman"/>
          <w:i w:val="0"/>
          <w:noProof/>
          <w:sz w:val="24"/>
          <w:szCs w:val="24"/>
        </w:rPr>
        <w:t xml:space="preserve">ām 2010.-2060. gadā (Datu avots: </w:t>
      </w:r>
      <w:r w:rsidRPr="00E54AB9">
        <w:rPr>
          <w:rFonts w:ascii="Times New Roman" w:hAnsi="Times New Roman"/>
          <w:noProof/>
          <w:sz w:val="24"/>
          <w:szCs w:val="24"/>
        </w:rPr>
        <w:t>Eurostat</w:t>
      </w:r>
      <w:r w:rsidRPr="00026883">
        <w:rPr>
          <w:rFonts w:ascii="Times New Roman" w:hAnsi="Times New Roman"/>
          <w:i w:val="0"/>
          <w:sz w:val="24"/>
          <w:szCs w:val="24"/>
        </w:rPr>
        <w:t>)</w:t>
      </w:r>
    </w:p>
    <w:p w14:paraId="65801F0E" w14:textId="77777777" w:rsidR="007043C5" w:rsidRPr="00026883" w:rsidRDefault="007043C5" w:rsidP="007043C5">
      <w:pPr>
        <w:rPr>
          <w:szCs w:val="24"/>
        </w:rPr>
      </w:pPr>
      <w:r w:rsidRPr="00026883">
        <w:rPr>
          <w:szCs w:val="24"/>
        </w:rPr>
        <w:t>Ņemot vērā iedzīvotāju vecuma sastāva izmaiņas, tiek prognozēts, ka kopējais demogrāfiskās slodzes līmenis</w:t>
      </w:r>
      <w:r w:rsidRPr="00026883">
        <w:rPr>
          <w:rStyle w:val="FootnoteReference"/>
          <w:szCs w:val="24"/>
        </w:rPr>
        <w:footnoteReference w:id="18"/>
      </w:r>
      <w:r w:rsidRPr="00026883">
        <w:rPr>
          <w:szCs w:val="24"/>
        </w:rPr>
        <w:t xml:space="preserve"> darbspējas vecuma iedzīvotājiem ilgtermiņā pieaugs gandrīz divas reizes. Turklāt, 2060. gadā uz 1 iedzīvotāju vecumā virs 65 gadiem būs 1,5 iedzīvotājs darbspējas vecumā (2010. gadā </w:t>
      </w:r>
      <w:r>
        <w:rPr>
          <w:szCs w:val="24"/>
        </w:rPr>
        <w:t xml:space="preserve">uz 1 </w:t>
      </w:r>
      <w:r w:rsidRPr="00026883">
        <w:rPr>
          <w:szCs w:val="24"/>
        </w:rPr>
        <w:t>iedzīvotāju vecumā virs 65 gadiem b</w:t>
      </w:r>
      <w:r>
        <w:rPr>
          <w:szCs w:val="24"/>
        </w:rPr>
        <w:t xml:space="preserve">ija 4 </w:t>
      </w:r>
      <w:r w:rsidRPr="00026883">
        <w:rPr>
          <w:szCs w:val="24"/>
        </w:rPr>
        <w:t>iedzīvotāj</w:t>
      </w:r>
      <w:r>
        <w:rPr>
          <w:szCs w:val="24"/>
        </w:rPr>
        <w:t>i</w:t>
      </w:r>
      <w:r w:rsidRPr="00026883">
        <w:rPr>
          <w:szCs w:val="24"/>
        </w:rPr>
        <w:t xml:space="preserve"> darbspējas vecumā). Saskaņā ar prognozēm, ekonomiskās slodzes līmenis</w:t>
      </w:r>
      <w:r w:rsidRPr="00026883">
        <w:rPr>
          <w:rStyle w:val="FootnoteReference"/>
          <w:szCs w:val="24"/>
        </w:rPr>
        <w:footnoteReference w:id="19"/>
      </w:r>
      <w:r w:rsidRPr="00026883">
        <w:rPr>
          <w:szCs w:val="24"/>
        </w:rPr>
        <w:t xml:space="preserve"> palielināsies lēnāk nekā kopējais demogrāfiskās slodzes līmenis, tomēr jau 2010. gadā šis rādītājs bija ļoti augsts, ko noteica pensijas un bezdarbnieku pabalsta saņēmēju skaita pieaugums un nodarbināto skaita samazinājums. </w:t>
      </w:r>
      <w:r>
        <w:rPr>
          <w:szCs w:val="24"/>
        </w:rPr>
        <w:t xml:space="preserve">Jāatzīmē, ka </w:t>
      </w:r>
      <w:r w:rsidRPr="00026883">
        <w:rPr>
          <w:szCs w:val="24"/>
        </w:rPr>
        <w:t>2012.</w:t>
      </w:r>
      <w:r>
        <w:rPr>
          <w:szCs w:val="24"/>
        </w:rPr>
        <w:t> </w:t>
      </w:r>
      <w:r w:rsidRPr="00026883">
        <w:rPr>
          <w:szCs w:val="24"/>
        </w:rPr>
        <w:t>gadā bija vērojams nodarbināto skaita pieaugums.</w:t>
      </w:r>
    </w:p>
    <w:p w14:paraId="7F344C1A" w14:textId="77777777" w:rsidR="007043C5" w:rsidRPr="00026883" w:rsidRDefault="007043C5" w:rsidP="007043C5">
      <w:pPr>
        <w:rPr>
          <w:szCs w:val="24"/>
        </w:rPr>
      </w:pPr>
      <w:r w:rsidRPr="00026883">
        <w:rPr>
          <w:szCs w:val="24"/>
        </w:rPr>
        <w:t>Būtiska nozīme ilgtspējas nodrošināšanā ir ekonomi</w:t>
      </w:r>
      <w:r>
        <w:rPr>
          <w:szCs w:val="24"/>
        </w:rPr>
        <w:t xml:space="preserve">kas </w:t>
      </w:r>
      <w:r w:rsidRPr="00026883">
        <w:rPr>
          <w:szCs w:val="24"/>
        </w:rPr>
        <w:t xml:space="preserve">izaugsmei. Tiek prognozēts, ka demogrāfisko izmaiņu </w:t>
      </w:r>
      <w:r>
        <w:rPr>
          <w:szCs w:val="24"/>
        </w:rPr>
        <w:t>ietekmē</w:t>
      </w:r>
      <w:r w:rsidRPr="00026883">
        <w:rPr>
          <w:szCs w:val="24"/>
        </w:rPr>
        <w:t xml:space="preserve"> būs vērojamas izmaiņas nodarbinātības attīstībā. Paredzams, ka ilgtermiņā pieaugs gan līdzdalības līmenis</w:t>
      </w:r>
      <w:r w:rsidRPr="00026883">
        <w:rPr>
          <w:rStyle w:val="FootnoteReference"/>
          <w:szCs w:val="24"/>
        </w:rPr>
        <w:footnoteReference w:id="20"/>
      </w:r>
      <w:r w:rsidRPr="00026883">
        <w:rPr>
          <w:szCs w:val="24"/>
        </w:rPr>
        <w:t xml:space="preserve">, gan samazināsies bezdarbs. Tas daļēji ļaus kompensēt darbspējas vecuma iedzīvotāju skaita samazināšanās ietekmi uz nodarbinātību. Tiek prognozēts, ka produktivitāte ilgtermiņā būs noteicošais ekonomiskās izaugsmes faktors </w:t>
      </w:r>
      <w:r w:rsidRPr="00026883">
        <w:rPr>
          <w:szCs w:val="24"/>
        </w:rPr>
        <w:lastRenderedPageBreak/>
        <w:t>un tas būs konverģences pamats ilgtermiņā. Tomēr, salīdzinot ar iepriekšējām ilgtermiņa prognozēm, jaunākie pieņēmumi paredz lēnāku produktivitātes kāpumu, līdz ar to arī lēnāku ekonomisko izaugsmi. Produktivitātes kāpumu var sekmēt strukturālās reformas, tehnoloģiskais progress, izglītība un profesionālā sagatavošana, resursu izvietošanas efektivitāte un kapitāla krājumi.</w:t>
      </w:r>
    </w:p>
    <w:p w14:paraId="1458707E" w14:textId="77777777" w:rsidR="007043C5" w:rsidRPr="00026883" w:rsidRDefault="007043C5" w:rsidP="007043C5">
      <w:pPr>
        <w:rPr>
          <w:szCs w:val="24"/>
        </w:rPr>
      </w:pPr>
      <w:r w:rsidRPr="00026883">
        <w:rPr>
          <w:szCs w:val="24"/>
        </w:rPr>
        <w:t xml:space="preserve">Vērtējot publisko finanšu ilgtspēju, tiek </w:t>
      </w:r>
      <w:r>
        <w:rPr>
          <w:szCs w:val="24"/>
        </w:rPr>
        <w:t>ņemtas</w:t>
      </w:r>
      <w:r w:rsidRPr="00026883">
        <w:rPr>
          <w:szCs w:val="24"/>
        </w:rPr>
        <w:t xml:space="preserve"> vērā ar sabiedrības novecošanos saistīto izdevumu, t.</w:t>
      </w:r>
      <w:r w:rsidRPr="00026883">
        <w:rPr>
          <w:noProof/>
          <w:szCs w:val="24"/>
        </w:rPr>
        <w:t xml:space="preserve">i. </w:t>
      </w:r>
      <w:r w:rsidRPr="00026883">
        <w:rPr>
          <w:szCs w:val="24"/>
        </w:rPr>
        <w:t>izdevumi pensijām, veselības aprūpei, ilgstošai aprūpei un izglītībai, izmaiņas ilgtermiņā.</w:t>
      </w:r>
    </w:p>
    <w:p w14:paraId="1FE04CBF" w14:textId="77777777" w:rsidR="007043C5" w:rsidRPr="00026883" w:rsidRDefault="007043C5" w:rsidP="00117618">
      <w:pPr>
        <w:ind w:left="2160" w:firstLine="720"/>
        <w:jc w:val="left"/>
        <w:rPr>
          <w:szCs w:val="24"/>
        </w:rPr>
      </w:pPr>
      <w:r w:rsidRPr="00026883">
        <w:rPr>
          <w:szCs w:val="24"/>
        </w:rPr>
        <w:t xml:space="preserve">8.1. tabula. Publisko finanšu ilgtspēja </w:t>
      </w:r>
      <w:r>
        <w:rPr>
          <w:szCs w:val="24"/>
        </w:rPr>
        <w:t xml:space="preserve">(Datu avots: </w:t>
      </w:r>
      <w:r w:rsidRPr="00026883">
        <w:rPr>
          <w:szCs w:val="24"/>
        </w:rPr>
        <w:t>AWG</w:t>
      </w:r>
      <w:r w:rsidRPr="00026883">
        <w:rPr>
          <w:rStyle w:val="FootnoteReference"/>
          <w:szCs w:val="24"/>
        </w:rPr>
        <w:footnoteReference w:id="21"/>
      </w:r>
      <w:r w:rsidRPr="00026883">
        <w:rPr>
          <w:szCs w:val="24"/>
        </w:rPr>
        <w:t>)</w:t>
      </w:r>
    </w:p>
    <w:tbl>
      <w:tblPr>
        <w:tblW w:w="0" w:type="auto"/>
        <w:jc w:val="center"/>
        <w:tblLayout w:type="fixed"/>
        <w:tblCellMar>
          <w:left w:w="0" w:type="dxa"/>
          <w:right w:w="0" w:type="dxa"/>
        </w:tblCellMar>
        <w:tblLook w:val="0000" w:firstRow="0" w:lastRow="0" w:firstColumn="0" w:lastColumn="0" w:noHBand="0" w:noVBand="0"/>
      </w:tblPr>
      <w:tblGrid>
        <w:gridCol w:w="3840"/>
        <w:gridCol w:w="754"/>
        <w:gridCol w:w="754"/>
        <w:gridCol w:w="754"/>
        <w:gridCol w:w="754"/>
        <w:gridCol w:w="754"/>
        <w:gridCol w:w="754"/>
      </w:tblGrid>
      <w:tr w:rsidR="007043C5" w:rsidRPr="00026883" w14:paraId="5B152FBC" w14:textId="77777777" w:rsidTr="00DA2735">
        <w:trPr>
          <w:tblHeader/>
          <w:jc w:val="center"/>
        </w:trPr>
        <w:tc>
          <w:tcPr>
            <w:tcW w:w="3840" w:type="dxa"/>
            <w:tcBorders>
              <w:top w:val="double" w:sz="6" w:space="0" w:color="auto"/>
              <w:left w:val="double" w:sz="6" w:space="0" w:color="auto"/>
              <w:bottom w:val="double" w:sz="6" w:space="0" w:color="auto"/>
              <w:right w:val="double" w:sz="6" w:space="0" w:color="auto"/>
            </w:tcBorders>
            <w:vAlign w:val="bottom"/>
          </w:tcPr>
          <w:p w14:paraId="7AECECFC" w14:textId="77777777" w:rsidR="007043C5" w:rsidRPr="00026883" w:rsidRDefault="007043C5" w:rsidP="00DA2735">
            <w:pPr>
              <w:pStyle w:val="tabteksts"/>
            </w:pPr>
            <w:r w:rsidRPr="00026883">
              <w:t>% no IKP</w:t>
            </w:r>
          </w:p>
        </w:tc>
        <w:tc>
          <w:tcPr>
            <w:tcW w:w="754" w:type="dxa"/>
            <w:tcBorders>
              <w:top w:val="double" w:sz="6" w:space="0" w:color="auto"/>
              <w:left w:val="nil"/>
              <w:bottom w:val="double" w:sz="6" w:space="0" w:color="auto"/>
              <w:right w:val="single" w:sz="4" w:space="0" w:color="auto"/>
            </w:tcBorders>
            <w:vAlign w:val="bottom"/>
          </w:tcPr>
          <w:p w14:paraId="6E4C8930" w14:textId="77777777" w:rsidR="007043C5" w:rsidRPr="00026883" w:rsidRDefault="007043C5" w:rsidP="00DA2735">
            <w:pPr>
              <w:pStyle w:val="tabteksts"/>
              <w:jc w:val="center"/>
              <w:rPr>
                <w:b/>
              </w:rPr>
            </w:pPr>
            <w:r w:rsidRPr="00026883">
              <w:rPr>
                <w:b/>
              </w:rPr>
              <w:t>2010</w:t>
            </w:r>
          </w:p>
        </w:tc>
        <w:tc>
          <w:tcPr>
            <w:tcW w:w="754" w:type="dxa"/>
            <w:tcBorders>
              <w:top w:val="double" w:sz="6" w:space="0" w:color="auto"/>
              <w:left w:val="single" w:sz="4" w:space="0" w:color="auto"/>
              <w:bottom w:val="double" w:sz="6" w:space="0" w:color="auto"/>
              <w:right w:val="single" w:sz="4" w:space="0" w:color="auto"/>
            </w:tcBorders>
            <w:vAlign w:val="bottom"/>
          </w:tcPr>
          <w:p w14:paraId="0937EA35" w14:textId="77777777" w:rsidR="007043C5" w:rsidRPr="00026883" w:rsidRDefault="007043C5" w:rsidP="00DA2735">
            <w:pPr>
              <w:pStyle w:val="tabteksts"/>
              <w:jc w:val="center"/>
              <w:rPr>
                <w:b/>
              </w:rPr>
            </w:pPr>
            <w:r w:rsidRPr="00026883">
              <w:rPr>
                <w:b/>
              </w:rPr>
              <w:t>2020</w:t>
            </w:r>
          </w:p>
        </w:tc>
        <w:tc>
          <w:tcPr>
            <w:tcW w:w="754" w:type="dxa"/>
            <w:tcBorders>
              <w:top w:val="double" w:sz="6" w:space="0" w:color="auto"/>
              <w:left w:val="nil"/>
              <w:bottom w:val="double" w:sz="6" w:space="0" w:color="auto"/>
              <w:right w:val="single" w:sz="4" w:space="0" w:color="auto"/>
            </w:tcBorders>
            <w:vAlign w:val="bottom"/>
          </w:tcPr>
          <w:p w14:paraId="412098CB" w14:textId="77777777" w:rsidR="007043C5" w:rsidRPr="00026883" w:rsidRDefault="007043C5" w:rsidP="00DA2735">
            <w:pPr>
              <w:pStyle w:val="tabteksts"/>
              <w:jc w:val="center"/>
              <w:rPr>
                <w:b/>
              </w:rPr>
            </w:pPr>
            <w:r w:rsidRPr="00026883">
              <w:rPr>
                <w:b/>
              </w:rPr>
              <w:t>2030</w:t>
            </w:r>
          </w:p>
        </w:tc>
        <w:tc>
          <w:tcPr>
            <w:tcW w:w="754" w:type="dxa"/>
            <w:tcBorders>
              <w:top w:val="double" w:sz="6" w:space="0" w:color="auto"/>
              <w:left w:val="nil"/>
              <w:bottom w:val="double" w:sz="6" w:space="0" w:color="auto"/>
              <w:right w:val="single" w:sz="4" w:space="0" w:color="auto"/>
            </w:tcBorders>
            <w:vAlign w:val="bottom"/>
          </w:tcPr>
          <w:p w14:paraId="1A927DAA" w14:textId="77777777" w:rsidR="007043C5" w:rsidRPr="00026883" w:rsidRDefault="007043C5" w:rsidP="00DA2735">
            <w:pPr>
              <w:pStyle w:val="tabteksts"/>
              <w:jc w:val="center"/>
              <w:rPr>
                <w:b/>
              </w:rPr>
            </w:pPr>
            <w:r w:rsidRPr="00026883">
              <w:rPr>
                <w:b/>
              </w:rPr>
              <w:t>2040</w:t>
            </w:r>
          </w:p>
        </w:tc>
        <w:tc>
          <w:tcPr>
            <w:tcW w:w="754" w:type="dxa"/>
            <w:tcBorders>
              <w:top w:val="double" w:sz="6" w:space="0" w:color="auto"/>
              <w:left w:val="nil"/>
              <w:bottom w:val="double" w:sz="6" w:space="0" w:color="auto"/>
              <w:right w:val="single" w:sz="4" w:space="0" w:color="auto"/>
            </w:tcBorders>
          </w:tcPr>
          <w:p w14:paraId="00EB950A" w14:textId="77777777" w:rsidR="007043C5" w:rsidRPr="00026883" w:rsidRDefault="007043C5" w:rsidP="00DA2735">
            <w:pPr>
              <w:pStyle w:val="tabteksts"/>
              <w:jc w:val="center"/>
              <w:rPr>
                <w:b/>
              </w:rPr>
            </w:pPr>
            <w:r w:rsidRPr="00026883">
              <w:rPr>
                <w:b/>
              </w:rPr>
              <w:t>2050</w:t>
            </w:r>
          </w:p>
        </w:tc>
        <w:tc>
          <w:tcPr>
            <w:tcW w:w="754" w:type="dxa"/>
            <w:tcBorders>
              <w:top w:val="double" w:sz="6" w:space="0" w:color="auto"/>
              <w:left w:val="single" w:sz="4" w:space="0" w:color="auto"/>
              <w:bottom w:val="double" w:sz="6" w:space="0" w:color="auto"/>
              <w:right w:val="double" w:sz="6" w:space="0" w:color="auto"/>
            </w:tcBorders>
            <w:vAlign w:val="bottom"/>
          </w:tcPr>
          <w:p w14:paraId="68C14F89" w14:textId="77777777" w:rsidR="007043C5" w:rsidRPr="00026883" w:rsidRDefault="007043C5" w:rsidP="00DA2735">
            <w:pPr>
              <w:pStyle w:val="tabteksts"/>
              <w:jc w:val="center"/>
              <w:rPr>
                <w:b/>
              </w:rPr>
            </w:pPr>
            <w:r w:rsidRPr="00026883">
              <w:rPr>
                <w:b/>
              </w:rPr>
              <w:t>2060</w:t>
            </w:r>
          </w:p>
        </w:tc>
      </w:tr>
      <w:tr w:rsidR="007043C5" w:rsidRPr="00026883" w14:paraId="644046FC" w14:textId="77777777" w:rsidTr="00DA2735">
        <w:trPr>
          <w:jc w:val="center"/>
        </w:trPr>
        <w:tc>
          <w:tcPr>
            <w:tcW w:w="3840" w:type="dxa"/>
            <w:tcBorders>
              <w:top w:val="double" w:sz="6" w:space="0" w:color="auto"/>
              <w:left w:val="double" w:sz="6" w:space="0" w:color="auto"/>
              <w:bottom w:val="single" w:sz="4" w:space="0" w:color="auto"/>
              <w:right w:val="double" w:sz="6" w:space="0" w:color="auto"/>
            </w:tcBorders>
            <w:vAlign w:val="bottom"/>
          </w:tcPr>
          <w:p w14:paraId="56D512FE" w14:textId="77777777" w:rsidR="007043C5" w:rsidRPr="00026883" w:rsidRDefault="007043C5" w:rsidP="00DA2735">
            <w:pPr>
              <w:pStyle w:val="tabteksts"/>
            </w:pPr>
            <w:r w:rsidRPr="00026883">
              <w:t>Kopējie izdevumi</w:t>
            </w:r>
          </w:p>
        </w:tc>
        <w:tc>
          <w:tcPr>
            <w:tcW w:w="754" w:type="dxa"/>
            <w:tcBorders>
              <w:top w:val="double" w:sz="6" w:space="0" w:color="auto"/>
              <w:left w:val="nil"/>
              <w:bottom w:val="single" w:sz="4" w:space="0" w:color="auto"/>
              <w:right w:val="single" w:sz="4" w:space="0" w:color="auto"/>
            </w:tcBorders>
            <w:vAlign w:val="bottom"/>
          </w:tcPr>
          <w:p w14:paraId="47466FFE" w14:textId="77777777" w:rsidR="007043C5" w:rsidRPr="00026883" w:rsidRDefault="007043C5" w:rsidP="00DA2735">
            <w:pPr>
              <w:pStyle w:val="tabteksts"/>
              <w:tabs>
                <w:tab w:val="decimal" w:pos="436"/>
              </w:tabs>
            </w:pPr>
          </w:p>
        </w:tc>
        <w:tc>
          <w:tcPr>
            <w:tcW w:w="754" w:type="dxa"/>
            <w:tcBorders>
              <w:top w:val="double" w:sz="6" w:space="0" w:color="auto"/>
              <w:left w:val="single" w:sz="4" w:space="0" w:color="auto"/>
              <w:bottom w:val="single" w:sz="4" w:space="0" w:color="auto"/>
              <w:right w:val="single" w:sz="4" w:space="0" w:color="auto"/>
            </w:tcBorders>
            <w:vAlign w:val="bottom"/>
          </w:tcPr>
          <w:p w14:paraId="74433551" w14:textId="77777777" w:rsidR="007043C5" w:rsidRPr="00026883" w:rsidRDefault="007043C5" w:rsidP="00DA2735">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14:paraId="516160A8" w14:textId="77777777" w:rsidR="007043C5" w:rsidRPr="00026883" w:rsidRDefault="007043C5" w:rsidP="00DA2735">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14:paraId="1FC5ED2B" w14:textId="77777777" w:rsidR="007043C5" w:rsidRPr="00026883" w:rsidRDefault="007043C5" w:rsidP="00DA2735">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14:paraId="07283FD3" w14:textId="77777777" w:rsidR="007043C5" w:rsidRPr="00026883" w:rsidRDefault="007043C5" w:rsidP="00DA2735">
            <w:pPr>
              <w:pStyle w:val="tabteksts"/>
              <w:tabs>
                <w:tab w:val="decimal" w:pos="436"/>
              </w:tabs>
            </w:pPr>
          </w:p>
        </w:tc>
        <w:tc>
          <w:tcPr>
            <w:tcW w:w="754" w:type="dxa"/>
            <w:tcBorders>
              <w:top w:val="double" w:sz="6" w:space="0" w:color="auto"/>
              <w:left w:val="single" w:sz="4" w:space="0" w:color="auto"/>
              <w:bottom w:val="single" w:sz="4" w:space="0" w:color="auto"/>
              <w:right w:val="double" w:sz="6" w:space="0" w:color="auto"/>
            </w:tcBorders>
            <w:vAlign w:val="bottom"/>
          </w:tcPr>
          <w:p w14:paraId="2E2533C8" w14:textId="77777777" w:rsidR="007043C5" w:rsidRPr="00026883" w:rsidRDefault="007043C5" w:rsidP="00DA2735">
            <w:pPr>
              <w:pStyle w:val="tabteksts"/>
              <w:tabs>
                <w:tab w:val="decimal" w:pos="436"/>
              </w:tabs>
            </w:pPr>
          </w:p>
        </w:tc>
      </w:tr>
      <w:tr w:rsidR="007043C5" w:rsidRPr="00026883" w14:paraId="428B7D3B"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10F02EC1" w14:textId="77777777" w:rsidR="007043C5" w:rsidRPr="00026883" w:rsidRDefault="007043C5" w:rsidP="00DA2735">
            <w:pPr>
              <w:pStyle w:val="tabteksts"/>
              <w:rPr>
                <w:noProof/>
              </w:rPr>
            </w:pPr>
            <w:r w:rsidRPr="00026883">
              <w:rPr>
                <w:noProof/>
              </w:rPr>
              <w:t>t.sk. ar vecumu saistītie izdevumi</w:t>
            </w:r>
          </w:p>
        </w:tc>
        <w:tc>
          <w:tcPr>
            <w:tcW w:w="754" w:type="dxa"/>
            <w:tcBorders>
              <w:top w:val="single" w:sz="4" w:space="0" w:color="auto"/>
              <w:left w:val="nil"/>
              <w:bottom w:val="single" w:sz="4" w:space="0" w:color="auto"/>
              <w:right w:val="single" w:sz="4" w:space="0" w:color="auto"/>
            </w:tcBorders>
            <w:vAlign w:val="bottom"/>
          </w:tcPr>
          <w:p w14:paraId="693E6998" w14:textId="77777777" w:rsidR="007043C5" w:rsidRPr="00026883" w:rsidRDefault="007043C5" w:rsidP="00DA2735">
            <w:pPr>
              <w:pStyle w:val="tabteksts"/>
              <w:tabs>
                <w:tab w:val="decimal" w:pos="436"/>
              </w:tabs>
            </w:pPr>
            <w:r w:rsidRPr="00026883">
              <w:t>18,5</w:t>
            </w:r>
          </w:p>
        </w:tc>
        <w:tc>
          <w:tcPr>
            <w:tcW w:w="754" w:type="dxa"/>
            <w:tcBorders>
              <w:top w:val="single" w:sz="4" w:space="0" w:color="auto"/>
              <w:left w:val="single" w:sz="4" w:space="0" w:color="auto"/>
              <w:bottom w:val="single" w:sz="4" w:space="0" w:color="auto"/>
              <w:right w:val="single" w:sz="4" w:space="0" w:color="auto"/>
            </w:tcBorders>
            <w:vAlign w:val="bottom"/>
          </w:tcPr>
          <w:p w14:paraId="1A65D100" w14:textId="77777777" w:rsidR="007043C5" w:rsidRPr="00026883" w:rsidRDefault="007043C5" w:rsidP="00DA2735">
            <w:pPr>
              <w:pStyle w:val="tabteksts"/>
              <w:tabs>
                <w:tab w:val="decimal" w:pos="436"/>
              </w:tabs>
            </w:pPr>
            <w:r w:rsidRPr="00026883">
              <w:t>15,4</w:t>
            </w:r>
          </w:p>
        </w:tc>
        <w:tc>
          <w:tcPr>
            <w:tcW w:w="754" w:type="dxa"/>
            <w:tcBorders>
              <w:top w:val="single" w:sz="4" w:space="0" w:color="auto"/>
              <w:left w:val="nil"/>
              <w:bottom w:val="single" w:sz="4" w:space="0" w:color="auto"/>
              <w:right w:val="single" w:sz="4" w:space="0" w:color="auto"/>
            </w:tcBorders>
            <w:vAlign w:val="bottom"/>
          </w:tcPr>
          <w:p w14:paraId="4F0FAC3D" w14:textId="77777777" w:rsidR="007043C5" w:rsidRPr="00026883" w:rsidRDefault="007043C5" w:rsidP="00DA2735">
            <w:pPr>
              <w:pStyle w:val="tabteksts"/>
              <w:tabs>
                <w:tab w:val="decimal" w:pos="436"/>
              </w:tabs>
            </w:pPr>
            <w:r w:rsidRPr="00026883">
              <w:t>14,4</w:t>
            </w:r>
          </w:p>
        </w:tc>
        <w:tc>
          <w:tcPr>
            <w:tcW w:w="754" w:type="dxa"/>
            <w:tcBorders>
              <w:top w:val="single" w:sz="4" w:space="0" w:color="auto"/>
              <w:left w:val="nil"/>
              <w:bottom w:val="single" w:sz="4" w:space="0" w:color="auto"/>
              <w:right w:val="single" w:sz="4" w:space="0" w:color="auto"/>
            </w:tcBorders>
            <w:vAlign w:val="bottom"/>
          </w:tcPr>
          <w:p w14:paraId="274F85B1" w14:textId="77777777" w:rsidR="007043C5" w:rsidRPr="00026883" w:rsidRDefault="007043C5" w:rsidP="00DA2735">
            <w:pPr>
              <w:pStyle w:val="tabteksts"/>
              <w:tabs>
                <w:tab w:val="decimal" w:pos="436"/>
              </w:tabs>
            </w:pPr>
            <w:r w:rsidRPr="00026883">
              <w:t>14,4</w:t>
            </w:r>
          </w:p>
        </w:tc>
        <w:tc>
          <w:tcPr>
            <w:tcW w:w="754" w:type="dxa"/>
            <w:tcBorders>
              <w:top w:val="single" w:sz="4" w:space="0" w:color="auto"/>
              <w:left w:val="nil"/>
              <w:bottom w:val="single" w:sz="4" w:space="0" w:color="auto"/>
              <w:right w:val="single" w:sz="4" w:space="0" w:color="auto"/>
            </w:tcBorders>
            <w:vAlign w:val="bottom"/>
          </w:tcPr>
          <w:p w14:paraId="30C88F80" w14:textId="77777777" w:rsidR="007043C5" w:rsidRPr="00026883" w:rsidRDefault="007043C5" w:rsidP="00DA2735">
            <w:pPr>
              <w:pStyle w:val="tabteksts"/>
              <w:tabs>
                <w:tab w:val="decimal" w:pos="436"/>
              </w:tabs>
            </w:pPr>
            <w:r w:rsidRPr="00026883">
              <w:t>14,9</w:t>
            </w:r>
          </w:p>
        </w:tc>
        <w:tc>
          <w:tcPr>
            <w:tcW w:w="754" w:type="dxa"/>
            <w:tcBorders>
              <w:top w:val="single" w:sz="4" w:space="0" w:color="auto"/>
              <w:left w:val="single" w:sz="4" w:space="0" w:color="auto"/>
              <w:bottom w:val="single" w:sz="4" w:space="0" w:color="auto"/>
              <w:right w:val="double" w:sz="6" w:space="0" w:color="auto"/>
            </w:tcBorders>
            <w:vAlign w:val="bottom"/>
          </w:tcPr>
          <w:p w14:paraId="1935DDD2" w14:textId="77777777" w:rsidR="007043C5" w:rsidRPr="00026883" w:rsidRDefault="007043C5" w:rsidP="00DA2735">
            <w:pPr>
              <w:pStyle w:val="tabteksts"/>
              <w:tabs>
                <w:tab w:val="decimal" w:pos="436"/>
              </w:tabs>
            </w:pPr>
            <w:r w:rsidRPr="00026883">
              <w:t>15,1</w:t>
            </w:r>
          </w:p>
        </w:tc>
      </w:tr>
      <w:tr w:rsidR="007043C5" w:rsidRPr="00026883" w14:paraId="1ECF2911"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7C502642" w14:textId="77777777" w:rsidR="007043C5" w:rsidRPr="00026883" w:rsidRDefault="007043C5" w:rsidP="00DA2735">
            <w:pPr>
              <w:pStyle w:val="tabteksts"/>
              <w:rPr>
                <w:b/>
                <w:noProof/>
              </w:rPr>
            </w:pPr>
            <w:r w:rsidRPr="00026883">
              <w:rPr>
                <w:b/>
                <w:noProof/>
              </w:rPr>
              <w:t>Pensiju izdevumi</w:t>
            </w:r>
          </w:p>
        </w:tc>
        <w:tc>
          <w:tcPr>
            <w:tcW w:w="754" w:type="dxa"/>
            <w:tcBorders>
              <w:top w:val="single" w:sz="4" w:space="0" w:color="auto"/>
              <w:left w:val="nil"/>
              <w:bottom w:val="single" w:sz="4" w:space="0" w:color="auto"/>
              <w:right w:val="single" w:sz="4" w:space="0" w:color="auto"/>
            </w:tcBorders>
            <w:vAlign w:val="bottom"/>
          </w:tcPr>
          <w:p w14:paraId="29D8AC69" w14:textId="77777777" w:rsidR="007043C5" w:rsidRPr="00026883" w:rsidRDefault="007043C5" w:rsidP="00DA2735">
            <w:pPr>
              <w:pStyle w:val="tabteksts"/>
              <w:tabs>
                <w:tab w:val="decimal" w:pos="436"/>
              </w:tabs>
            </w:pPr>
            <w:r w:rsidRPr="00026883">
              <w:t>9,7</w:t>
            </w:r>
          </w:p>
        </w:tc>
        <w:tc>
          <w:tcPr>
            <w:tcW w:w="754" w:type="dxa"/>
            <w:tcBorders>
              <w:top w:val="single" w:sz="4" w:space="0" w:color="auto"/>
              <w:left w:val="single" w:sz="4" w:space="0" w:color="auto"/>
              <w:bottom w:val="single" w:sz="4" w:space="0" w:color="auto"/>
              <w:right w:val="single" w:sz="4" w:space="0" w:color="auto"/>
            </w:tcBorders>
            <w:vAlign w:val="bottom"/>
          </w:tcPr>
          <w:p w14:paraId="785B0A7D" w14:textId="77777777" w:rsidR="007043C5" w:rsidRPr="00026883" w:rsidRDefault="007043C5" w:rsidP="00DA2735">
            <w:pPr>
              <w:pStyle w:val="tabteksts"/>
              <w:tabs>
                <w:tab w:val="decimal" w:pos="436"/>
              </w:tabs>
            </w:pPr>
            <w:r w:rsidRPr="00026883">
              <w:t>6,8</w:t>
            </w:r>
          </w:p>
        </w:tc>
        <w:tc>
          <w:tcPr>
            <w:tcW w:w="754" w:type="dxa"/>
            <w:tcBorders>
              <w:top w:val="single" w:sz="4" w:space="0" w:color="auto"/>
              <w:left w:val="nil"/>
              <w:bottom w:val="single" w:sz="4" w:space="0" w:color="auto"/>
              <w:right w:val="single" w:sz="4" w:space="0" w:color="auto"/>
            </w:tcBorders>
            <w:vAlign w:val="bottom"/>
          </w:tcPr>
          <w:p w14:paraId="57AE4F26" w14:textId="77777777" w:rsidR="007043C5" w:rsidRPr="00026883" w:rsidRDefault="007043C5" w:rsidP="00DA2735">
            <w:pPr>
              <w:pStyle w:val="tabteksts"/>
              <w:tabs>
                <w:tab w:val="decimal" w:pos="436"/>
              </w:tabs>
            </w:pPr>
            <w:r w:rsidRPr="00026883">
              <w:t>6,0</w:t>
            </w:r>
          </w:p>
        </w:tc>
        <w:tc>
          <w:tcPr>
            <w:tcW w:w="754" w:type="dxa"/>
            <w:tcBorders>
              <w:top w:val="single" w:sz="4" w:space="0" w:color="auto"/>
              <w:left w:val="nil"/>
              <w:bottom w:val="single" w:sz="4" w:space="0" w:color="auto"/>
              <w:right w:val="single" w:sz="4" w:space="0" w:color="auto"/>
            </w:tcBorders>
            <w:vAlign w:val="bottom"/>
          </w:tcPr>
          <w:p w14:paraId="551F5AD1" w14:textId="77777777" w:rsidR="007043C5" w:rsidRPr="00026883" w:rsidRDefault="007043C5" w:rsidP="00DA2735">
            <w:pPr>
              <w:pStyle w:val="tabteksts"/>
              <w:tabs>
                <w:tab w:val="decimal" w:pos="436"/>
              </w:tabs>
            </w:pPr>
            <w:r w:rsidRPr="00026883">
              <w:t>6,1</w:t>
            </w:r>
          </w:p>
        </w:tc>
        <w:tc>
          <w:tcPr>
            <w:tcW w:w="754" w:type="dxa"/>
            <w:tcBorders>
              <w:top w:val="single" w:sz="4" w:space="0" w:color="auto"/>
              <w:left w:val="nil"/>
              <w:bottom w:val="single" w:sz="4" w:space="0" w:color="auto"/>
              <w:right w:val="single" w:sz="4" w:space="0" w:color="auto"/>
            </w:tcBorders>
            <w:vAlign w:val="bottom"/>
          </w:tcPr>
          <w:p w14:paraId="2EEBE0FD" w14:textId="77777777" w:rsidR="007043C5" w:rsidRPr="00026883" w:rsidRDefault="007043C5" w:rsidP="00DA2735">
            <w:pPr>
              <w:pStyle w:val="tabteksts"/>
              <w:tabs>
                <w:tab w:val="decimal" w:pos="436"/>
              </w:tabs>
            </w:pPr>
            <w:r w:rsidRPr="00026883">
              <w:t>6,2</w:t>
            </w:r>
          </w:p>
        </w:tc>
        <w:tc>
          <w:tcPr>
            <w:tcW w:w="754" w:type="dxa"/>
            <w:tcBorders>
              <w:top w:val="single" w:sz="4" w:space="0" w:color="auto"/>
              <w:left w:val="single" w:sz="4" w:space="0" w:color="auto"/>
              <w:bottom w:val="single" w:sz="4" w:space="0" w:color="auto"/>
              <w:right w:val="double" w:sz="6" w:space="0" w:color="auto"/>
            </w:tcBorders>
            <w:vAlign w:val="bottom"/>
          </w:tcPr>
          <w:p w14:paraId="2A231451" w14:textId="77777777" w:rsidR="007043C5" w:rsidRPr="00026883" w:rsidRDefault="007043C5" w:rsidP="00DA2735">
            <w:pPr>
              <w:pStyle w:val="tabteksts"/>
              <w:tabs>
                <w:tab w:val="decimal" w:pos="436"/>
              </w:tabs>
            </w:pPr>
            <w:r w:rsidRPr="00026883">
              <w:t>6,0</w:t>
            </w:r>
          </w:p>
        </w:tc>
      </w:tr>
      <w:tr w:rsidR="007043C5" w:rsidRPr="00026883" w14:paraId="638316DC"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0C672927" w14:textId="77777777" w:rsidR="007043C5" w:rsidRPr="00026883" w:rsidRDefault="007043C5" w:rsidP="00DA2735">
            <w:pPr>
              <w:pStyle w:val="tabteksts"/>
              <w:rPr>
                <w:noProof/>
              </w:rPr>
            </w:pPr>
            <w:r w:rsidRPr="00026883">
              <w:rPr>
                <w:noProof/>
              </w:rPr>
              <w:t>Sociālās apdrošināšanas pensijas</w:t>
            </w:r>
          </w:p>
        </w:tc>
        <w:tc>
          <w:tcPr>
            <w:tcW w:w="754" w:type="dxa"/>
            <w:tcBorders>
              <w:top w:val="single" w:sz="4" w:space="0" w:color="auto"/>
              <w:left w:val="nil"/>
              <w:bottom w:val="single" w:sz="4" w:space="0" w:color="auto"/>
              <w:right w:val="single" w:sz="4" w:space="0" w:color="auto"/>
            </w:tcBorders>
            <w:vAlign w:val="bottom"/>
          </w:tcPr>
          <w:p w14:paraId="6CA26494" w14:textId="77777777" w:rsidR="007043C5" w:rsidRPr="00026883" w:rsidRDefault="007043C5" w:rsidP="00DA2735">
            <w:pPr>
              <w:pStyle w:val="tabteksts"/>
              <w:tabs>
                <w:tab w:val="decimal" w:pos="436"/>
              </w:tabs>
            </w:pPr>
            <w:r w:rsidRPr="00026883">
              <w:t>9,7</w:t>
            </w:r>
          </w:p>
        </w:tc>
        <w:tc>
          <w:tcPr>
            <w:tcW w:w="754" w:type="dxa"/>
            <w:tcBorders>
              <w:top w:val="single" w:sz="4" w:space="0" w:color="auto"/>
              <w:left w:val="single" w:sz="4" w:space="0" w:color="auto"/>
              <w:bottom w:val="single" w:sz="4" w:space="0" w:color="auto"/>
              <w:right w:val="single" w:sz="4" w:space="0" w:color="auto"/>
            </w:tcBorders>
            <w:vAlign w:val="bottom"/>
          </w:tcPr>
          <w:p w14:paraId="2CF97070" w14:textId="77777777" w:rsidR="007043C5" w:rsidRPr="00026883" w:rsidRDefault="007043C5" w:rsidP="00DA2735">
            <w:pPr>
              <w:pStyle w:val="tabteksts"/>
              <w:tabs>
                <w:tab w:val="decimal" w:pos="436"/>
              </w:tabs>
            </w:pPr>
            <w:r w:rsidRPr="00026883">
              <w:t>6,8</w:t>
            </w:r>
          </w:p>
        </w:tc>
        <w:tc>
          <w:tcPr>
            <w:tcW w:w="754" w:type="dxa"/>
            <w:tcBorders>
              <w:top w:val="single" w:sz="4" w:space="0" w:color="auto"/>
              <w:left w:val="nil"/>
              <w:bottom w:val="single" w:sz="4" w:space="0" w:color="auto"/>
              <w:right w:val="single" w:sz="4" w:space="0" w:color="auto"/>
            </w:tcBorders>
            <w:vAlign w:val="bottom"/>
          </w:tcPr>
          <w:p w14:paraId="785B371A" w14:textId="77777777" w:rsidR="007043C5" w:rsidRPr="00026883" w:rsidRDefault="007043C5" w:rsidP="00DA2735">
            <w:pPr>
              <w:pStyle w:val="tabteksts"/>
              <w:tabs>
                <w:tab w:val="decimal" w:pos="436"/>
              </w:tabs>
            </w:pPr>
            <w:r w:rsidRPr="00026883">
              <w:t>6,0</w:t>
            </w:r>
          </w:p>
        </w:tc>
        <w:tc>
          <w:tcPr>
            <w:tcW w:w="754" w:type="dxa"/>
            <w:tcBorders>
              <w:top w:val="single" w:sz="4" w:space="0" w:color="auto"/>
              <w:left w:val="nil"/>
              <w:bottom w:val="single" w:sz="4" w:space="0" w:color="auto"/>
              <w:right w:val="single" w:sz="4" w:space="0" w:color="auto"/>
            </w:tcBorders>
            <w:vAlign w:val="bottom"/>
          </w:tcPr>
          <w:p w14:paraId="5E5DC60C" w14:textId="77777777" w:rsidR="007043C5" w:rsidRPr="00026883" w:rsidRDefault="007043C5" w:rsidP="00DA2735">
            <w:pPr>
              <w:pStyle w:val="tabteksts"/>
              <w:tabs>
                <w:tab w:val="decimal" w:pos="436"/>
              </w:tabs>
            </w:pPr>
            <w:r w:rsidRPr="00026883">
              <w:t>6,1</w:t>
            </w:r>
          </w:p>
        </w:tc>
        <w:tc>
          <w:tcPr>
            <w:tcW w:w="754" w:type="dxa"/>
            <w:tcBorders>
              <w:top w:val="single" w:sz="4" w:space="0" w:color="auto"/>
              <w:left w:val="nil"/>
              <w:bottom w:val="single" w:sz="4" w:space="0" w:color="auto"/>
              <w:right w:val="single" w:sz="4" w:space="0" w:color="auto"/>
            </w:tcBorders>
            <w:vAlign w:val="bottom"/>
          </w:tcPr>
          <w:p w14:paraId="4E839FE3" w14:textId="77777777" w:rsidR="007043C5" w:rsidRPr="00026883" w:rsidRDefault="007043C5" w:rsidP="00DA2735">
            <w:pPr>
              <w:pStyle w:val="tabteksts"/>
              <w:tabs>
                <w:tab w:val="decimal" w:pos="436"/>
              </w:tabs>
            </w:pPr>
            <w:r w:rsidRPr="00026883">
              <w:t>6,2</w:t>
            </w:r>
          </w:p>
        </w:tc>
        <w:tc>
          <w:tcPr>
            <w:tcW w:w="754" w:type="dxa"/>
            <w:tcBorders>
              <w:top w:val="single" w:sz="4" w:space="0" w:color="auto"/>
              <w:left w:val="single" w:sz="4" w:space="0" w:color="auto"/>
              <w:bottom w:val="single" w:sz="4" w:space="0" w:color="auto"/>
              <w:right w:val="double" w:sz="6" w:space="0" w:color="auto"/>
            </w:tcBorders>
            <w:vAlign w:val="bottom"/>
          </w:tcPr>
          <w:p w14:paraId="2A99A607" w14:textId="77777777" w:rsidR="007043C5" w:rsidRPr="00026883" w:rsidRDefault="007043C5" w:rsidP="00DA2735">
            <w:pPr>
              <w:pStyle w:val="tabteksts"/>
              <w:tabs>
                <w:tab w:val="decimal" w:pos="436"/>
              </w:tabs>
            </w:pPr>
            <w:r w:rsidRPr="00026883">
              <w:t>6,0</w:t>
            </w:r>
          </w:p>
        </w:tc>
      </w:tr>
      <w:tr w:rsidR="007043C5" w:rsidRPr="00026883" w14:paraId="502609EA"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3710D83B" w14:textId="77777777" w:rsidR="007043C5" w:rsidRPr="00026883" w:rsidRDefault="007043C5" w:rsidP="00DA2735">
            <w:pPr>
              <w:pStyle w:val="tabteksts"/>
              <w:ind w:left="720"/>
              <w:rPr>
                <w:noProof/>
              </w:rPr>
            </w:pPr>
            <w:r w:rsidRPr="00026883">
              <w:rPr>
                <w:noProof/>
              </w:rPr>
              <w:t>Vecuma un priekšlaicīgās pensijas</w:t>
            </w:r>
          </w:p>
        </w:tc>
        <w:tc>
          <w:tcPr>
            <w:tcW w:w="754" w:type="dxa"/>
            <w:tcBorders>
              <w:top w:val="single" w:sz="4" w:space="0" w:color="auto"/>
              <w:left w:val="nil"/>
              <w:bottom w:val="single" w:sz="4" w:space="0" w:color="auto"/>
              <w:right w:val="single" w:sz="4" w:space="0" w:color="auto"/>
            </w:tcBorders>
            <w:vAlign w:val="bottom"/>
          </w:tcPr>
          <w:p w14:paraId="1C440EE6" w14:textId="77777777" w:rsidR="007043C5" w:rsidRPr="00026883" w:rsidRDefault="007043C5" w:rsidP="00DA2735">
            <w:pPr>
              <w:pStyle w:val="tabteksts"/>
              <w:tabs>
                <w:tab w:val="decimal" w:pos="436"/>
              </w:tabs>
            </w:pPr>
            <w:r w:rsidRPr="00026883">
              <w:t>8,7</w:t>
            </w:r>
          </w:p>
        </w:tc>
        <w:tc>
          <w:tcPr>
            <w:tcW w:w="754" w:type="dxa"/>
            <w:tcBorders>
              <w:top w:val="single" w:sz="4" w:space="0" w:color="auto"/>
              <w:left w:val="single" w:sz="4" w:space="0" w:color="auto"/>
              <w:bottom w:val="single" w:sz="4" w:space="0" w:color="auto"/>
              <w:right w:val="single" w:sz="4" w:space="0" w:color="auto"/>
            </w:tcBorders>
            <w:vAlign w:val="bottom"/>
          </w:tcPr>
          <w:p w14:paraId="79FC619F" w14:textId="77777777" w:rsidR="007043C5" w:rsidRPr="00026883" w:rsidRDefault="007043C5" w:rsidP="00DA2735">
            <w:pPr>
              <w:pStyle w:val="tabteksts"/>
              <w:tabs>
                <w:tab w:val="decimal" w:pos="436"/>
              </w:tabs>
            </w:pPr>
            <w:r w:rsidRPr="00026883">
              <w:t>6,1</w:t>
            </w:r>
          </w:p>
        </w:tc>
        <w:tc>
          <w:tcPr>
            <w:tcW w:w="754" w:type="dxa"/>
            <w:tcBorders>
              <w:top w:val="single" w:sz="4" w:space="0" w:color="auto"/>
              <w:left w:val="nil"/>
              <w:bottom w:val="single" w:sz="4" w:space="0" w:color="auto"/>
              <w:right w:val="single" w:sz="4" w:space="0" w:color="auto"/>
            </w:tcBorders>
            <w:vAlign w:val="bottom"/>
          </w:tcPr>
          <w:p w14:paraId="623A0952" w14:textId="77777777" w:rsidR="007043C5" w:rsidRPr="00026883" w:rsidRDefault="007043C5" w:rsidP="00DA2735">
            <w:pPr>
              <w:pStyle w:val="tabteksts"/>
              <w:tabs>
                <w:tab w:val="decimal" w:pos="436"/>
              </w:tabs>
            </w:pPr>
            <w:r w:rsidRPr="00026883">
              <w:t>5,4</w:t>
            </w:r>
          </w:p>
        </w:tc>
        <w:tc>
          <w:tcPr>
            <w:tcW w:w="754" w:type="dxa"/>
            <w:tcBorders>
              <w:top w:val="single" w:sz="4" w:space="0" w:color="auto"/>
              <w:left w:val="nil"/>
              <w:bottom w:val="single" w:sz="4" w:space="0" w:color="auto"/>
              <w:right w:val="single" w:sz="4" w:space="0" w:color="auto"/>
            </w:tcBorders>
            <w:vAlign w:val="bottom"/>
          </w:tcPr>
          <w:p w14:paraId="678472AB" w14:textId="77777777" w:rsidR="007043C5" w:rsidRPr="00026883" w:rsidRDefault="007043C5" w:rsidP="00DA2735">
            <w:pPr>
              <w:pStyle w:val="tabteksts"/>
              <w:tabs>
                <w:tab w:val="decimal" w:pos="436"/>
              </w:tabs>
            </w:pPr>
            <w:r w:rsidRPr="00026883">
              <w:t>5,6</w:t>
            </w:r>
          </w:p>
        </w:tc>
        <w:tc>
          <w:tcPr>
            <w:tcW w:w="754" w:type="dxa"/>
            <w:tcBorders>
              <w:top w:val="single" w:sz="4" w:space="0" w:color="auto"/>
              <w:left w:val="nil"/>
              <w:bottom w:val="single" w:sz="4" w:space="0" w:color="auto"/>
              <w:right w:val="single" w:sz="4" w:space="0" w:color="auto"/>
            </w:tcBorders>
            <w:vAlign w:val="bottom"/>
          </w:tcPr>
          <w:p w14:paraId="5F2FE8D4" w14:textId="77777777" w:rsidR="007043C5" w:rsidRPr="00026883" w:rsidRDefault="007043C5" w:rsidP="00DA2735">
            <w:pPr>
              <w:pStyle w:val="tabteksts"/>
              <w:tabs>
                <w:tab w:val="decimal" w:pos="436"/>
              </w:tabs>
            </w:pPr>
            <w:r w:rsidRPr="00026883">
              <w:t>5,8</w:t>
            </w:r>
          </w:p>
        </w:tc>
        <w:tc>
          <w:tcPr>
            <w:tcW w:w="754" w:type="dxa"/>
            <w:tcBorders>
              <w:top w:val="single" w:sz="4" w:space="0" w:color="auto"/>
              <w:left w:val="single" w:sz="4" w:space="0" w:color="auto"/>
              <w:bottom w:val="single" w:sz="4" w:space="0" w:color="auto"/>
              <w:right w:val="double" w:sz="6" w:space="0" w:color="auto"/>
            </w:tcBorders>
            <w:vAlign w:val="bottom"/>
          </w:tcPr>
          <w:p w14:paraId="4C03FDA2" w14:textId="77777777" w:rsidR="007043C5" w:rsidRPr="00026883" w:rsidRDefault="007043C5" w:rsidP="00DA2735">
            <w:pPr>
              <w:pStyle w:val="tabteksts"/>
              <w:tabs>
                <w:tab w:val="decimal" w:pos="436"/>
              </w:tabs>
            </w:pPr>
            <w:r w:rsidRPr="00026883">
              <w:t>5,6</w:t>
            </w:r>
          </w:p>
        </w:tc>
      </w:tr>
      <w:tr w:rsidR="007043C5" w:rsidRPr="00026883" w14:paraId="0B5C869E"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5E573C95" w14:textId="77777777" w:rsidR="007043C5" w:rsidRPr="00026883" w:rsidRDefault="007043C5" w:rsidP="00DA2735">
            <w:pPr>
              <w:pStyle w:val="tabteksts"/>
              <w:ind w:left="720"/>
              <w:rPr>
                <w:noProof/>
              </w:rPr>
            </w:pPr>
            <w:r w:rsidRPr="00026883">
              <w:rPr>
                <w:noProof/>
              </w:rPr>
              <w:t>Citas pensijas (invaliditātes, apgādnieka zaudējuma)</w:t>
            </w:r>
          </w:p>
        </w:tc>
        <w:tc>
          <w:tcPr>
            <w:tcW w:w="754" w:type="dxa"/>
            <w:tcBorders>
              <w:top w:val="single" w:sz="4" w:space="0" w:color="auto"/>
              <w:left w:val="nil"/>
              <w:bottom w:val="single" w:sz="4" w:space="0" w:color="auto"/>
              <w:right w:val="single" w:sz="4" w:space="0" w:color="auto"/>
            </w:tcBorders>
            <w:vAlign w:val="bottom"/>
          </w:tcPr>
          <w:p w14:paraId="53BC1385" w14:textId="77777777" w:rsidR="007043C5" w:rsidRPr="00026883" w:rsidRDefault="007043C5" w:rsidP="00DA2735">
            <w:pPr>
              <w:pStyle w:val="tabteksts"/>
              <w:tabs>
                <w:tab w:val="decimal" w:pos="436"/>
              </w:tabs>
            </w:pPr>
            <w:r w:rsidRPr="00026883">
              <w:t>1,0</w:t>
            </w:r>
          </w:p>
        </w:tc>
        <w:tc>
          <w:tcPr>
            <w:tcW w:w="754" w:type="dxa"/>
            <w:tcBorders>
              <w:top w:val="single" w:sz="4" w:space="0" w:color="auto"/>
              <w:left w:val="single" w:sz="4" w:space="0" w:color="auto"/>
              <w:bottom w:val="single" w:sz="4" w:space="0" w:color="auto"/>
              <w:right w:val="single" w:sz="4" w:space="0" w:color="auto"/>
            </w:tcBorders>
            <w:vAlign w:val="bottom"/>
          </w:tcPr>
          <w:p w14:paraId="7145A4AA" w14:textId="77777777" w:rsidR="007043C5" w:rsidRPr="00026883" w:rsidRDefault="007043C5" w:rsidP="00DA2735">
            <w:pPr>
              <w:pStyle w:val="tabteksts"/>
              <w:tabs>
                <w:tab w:val="decimal" w:pos="436"/>
              </w:tabs>
            </w:pPr>
            <w:r w:rsidRPr="00026883">
              <w:t>0,7</w:t>
            </w:r>
          </w:p>
        </w:tc>
        <w:tc>
          <w:tcPr>
            <w:tcW w:w="754" w:type="dxa"/>
            <w:tcBorders>
              <w:top w:val="single" w:sz="4" w:space="0" w:color="auto"/>
              <w:left w:val="nil"/>
              <w:bottom w:val="single" w:sz="4" w:space="0" w:color="auto"/>
              <w:right w:val="single" w:sz="4" w:space="0" w:color="auto"/>
            </w:tcBorders>
            <w:vAlign w:val="bottom"/>
          </w:tcPr>
          <w:p w14:paraId="17CAF550" w14:textId="77777777" w:rsidR="007043C5" w:rsidRPr="00026883" w:rsidRDefault="007043C5" w:rsidP="00DA2735">
            <w:pPr>
              <w:pStyle w:val="tabteksts"/>
              <w:tabs>
                <w:tab w:val="decimal" w:pos="436"/>
              </w:tabs>
            </w:pPr>
            <w:r w:rsidRPr="00026883">
              <w:t>0,6</w:t>
            </w:r>
          </w:p>
        </w:tc>
        <w:tc>
          <w:tcPr>
            <w:tcW w:w="754" w:type="dxa"/>
            <w:tcBorders>
              <w:top w:val="single" w:sz="4" w:space="0" w:color="auto"/>
              <w:left w:val="nil"/>
              <w:bottom w:val="single" w:sz="4" w:space="0" w:color="auto"/>
              <w:right w:val="single" w:sz="4" w:space="0" w:color="auto"/>
            </w:tcBorders>
            <w:vAlign w:val="bottom"/>
          </w:tcPr>
          <w:p w14:paraId="6031B2BC" w14:textId="77777777" w:rsidR="007043C5" w:rsidRPr="00026883" w:rsidRDefault="007043C5" w:rsidP="00DA2735">
            <w:pPr>
              <w:pStyle w:val="tabteksts"/>
              <w:tabs>
                <w:tab w:val="decimal" w:pos="436"/>
              </w:tabs>
            </w:pPr>
            <w:r w:rsidRPr="00026883">
              <w:t>0,5</w:t>
            </w:r>
          </w:p>
        </w:tc>
        <w:tc>
          <w:tcPr>
            <w:tcW w:w="754" w:type="dxa"/>
            <w:tcBorders>
              <w:top w:val="single" w:sz="4" w:space="0" w:color="auto"/>
              <w:left w:val="nil"/>
              <w:bottom w:val="single" w:sz="4" w:space="0" w:color="auto"/>
              <w:right w:val="single" w:sz="4" w:space="0" w:color="auto"/>
            </w:tcBorders>
            <w:vAlign w:val="bottom"/>
          </w:tcPr>
          <w:p w14:paraId="6DA2CABC" w14:textId="77777777" w:rsidR="007043C5" w:rsidRPr="00026883" w:rsidRDefault="007043C5" w:rsidP="00DA2735">
            <w:pPr>
              <w:pStyle w:val="tabteksts"/>
              <w:tabs>
                <w:tab w:val="decimal" w:pos="436"/>
              </w:tabs>
            </w:pPr>
            <w:r w:rsidRPr="00026883">
              <w:t>0,5</w:t>
            </w:r>
          </w:p>
        </w:tc>
        <w:tc>
          <w:tcPr>
            <w:tcW w:w="754" w:type="dxa"/>
            <w:tcBorders>
              <w:top w:val="single" w:sz="4" w:space="0" w:color="auto"/>
              <w:left w:val="single" w:sz="4" w:space="0" w:color="auto"/>
              <w:bottom w:val="single" w:sz="4" w:space="0" w:color="auto"/>
              <w:right w:val="double" w:sz="6" w:space="0" w:color="auto"/>
            </w:tcBorders>
            <w:vAlign w:val="bottom"/>
          </w:tcPr>
          <w:p w14:paraId="1948727B" w14:textId="77777777" w:rsidR="007043C5" w:rsidRPr="00026883" w:rsidRDefault="007043C5" w:rsidP="00DA2735">
            <w:pPr>
              <w:pStyle w:val="tabteksts"/>
              <w:tabs>
                <w:tab w:val="decimal" w:pos="436"/>
              </w:tabs>
            </w:pPr>
            <w:r w:rsidRPr="00026883">
              <w:t>0,4</w:t>
            </w:r>
          </w:p>
        </w:tc>
      </w:tr>
      <w:tr w:rsidR="007043C5" w:rsidRPr="00026883" w14:paraId="184E5814"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77A51C22" w14:textId="77777777" w:rsidR="007043C5" w:rsidRPr="00026883" w:rsidRDefault="007043C5" w:rsidP="00DA2735">
            <w:pPr>
              <w:pStyle w:val="tabteksts"/>
              <w:rPr>
                <w:noProof/>
              </w:rPr>
            </w:pPr>
            <w:r w:rsidRPr="00026883">
              <w:rPr>
                <w:noProof/>
              </w:rPr>
              <w:t>Arodpensijas (ja vispārējā valdībā)</w:t>
            </w:r>
          </w:p>
        </w:tc>
        <w:tc>
          <w:tcPr>
            <w:tcW w:w="754" w:type="dxa"/>
            <w:tcBorders>
              <w:top w:val="single" w:sz="4" w:space="0" w:color="auto"/>
              <w:left w:val="nil"/>
              <w:bottom w:val="single" w:sz="4" w:space="0" w:color="auto"/>
              <w:right w:val="single" w:sz="4" w:space="0" w:color="auto"/>
            </w:tcBorders>
            <w:vAlign w:val="bottom"/>
          </w:tcPr>
          <w:p w14:paraId="14354229"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5A37D178"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A6BD9BD"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068CE5C8"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6657CD05"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14:paraId="51612ED4" w14:textId="77777777" w:rsidR="007043C5" w:rsidRPr="00026883" w:rsidRDefault="007043C5" w:rsidP="00DA2735">
            <w:pPr>
              <w:pStyle w:val="tabteksts"/>
              <w:tabs>
                <w:tab w:val="decimal" w:pos="436"/>
              </w:tabs>
            </w:pPr>
          </w:p>
        </w:tc>
      </w:tr>
      <w:tr w:rsidR="007043C5" w:rsidRPr="00026883" w14:paraId="6BA48389"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1095C1AC" w14:textId="77777777" w:rsidR="007043C5" w:rsidRPr="00026883" w:rsidRDefault="007043C5" w:rsidP="00DA2735">
            <w:pPr>
              <w:pStyle w:val="tabteksts"/>
              <w:rPr>
                <w:b/>
                <w:noProof/>
              </w:rPr>
            </w:pPr>
            <w:r w:rsidRPr="00026883">
              <w:rPr>
                <w:b/>
                <w:noProof/>
              </w:rPr>
              <w:t>Veselības aprūpes izdevumi</w:t>
            </w:r>
          </w:p>
        </w:tc>
        <w:tc>
          <w:tcPr>
            <w:tcW w:w="754" w:type="dxa"/>
            <w:tcBorders>
              <w:top w:val="single" w:sz="4" w:space="0" w:color="auto"/>
              <w:left w:val="nil"/>
              <w:bottom w:val="single" w:sz="4" w:space="0" w:color="auto"/>
              <w:right w:val="single" w:sz="4" w:space="0" w:color="auto"/>
            </w:tcBorders>
            <w:vAlign w:val="bottom"/>
          </w:tcPr>
          <w:p w14:paraId="5C33A51F" w14:textId="77777777" w:rsidR="007043C5" w:rsidRPr="00026883" w:rsidRDefault="007043C5" w:rsidP="00DA2735">
            <w:pPr>
              <w:pStyle w:val="tabteksts"/>
              <w:tabs>
                <w:tab w:val="decimal" w:pos="436"/>
              </w:tabs>
            </w:pPr>
            <w:r w:rsidRPr="00026883">
              <w:t>3,7</w:t>
            </w:r>
          </w:p>
        </w:tc>
        <w:tc>
          <w:tcPr>
            <w:tcW w:w="754" w:type="dxa"/>
            <w:tcBorders>
              <w:top w:val="single" w:sz="4" w:space="0" w:color="auto"/>
              <w:left w:val="single" w:sz="4" w:space="0" w:color="auto"/>
              <w:bottom w:val="single" w:sz="4" w:space="0" w:color="auto"/>
              <w:right w:val="single" w:sz="4" w:space="0" w:color="auto"/>
            </w:tcBorders>
            <w:vAlign w:val="bottom"/>
          </w:tcPr>
          <w:p w14:paraId="44527499" w14:textId="77777777" w:rsidR="007043C5" w:rsidRPr="00026883" w:rsidRDefault="007043C5" w:rsidP="00DA2735">
            <w:pPr>
              <w:pStyle w:val="tabteksts"/>
              <w:tabs>
                <w:tab w:val="decimal" w:pos="436"/>
              </w:tabs>
            </w:pPr>
            <w:r w:rsidRPr="00026883">
              <w:t>3,9</w:t>
            </w:r>
          </w:p>
        </w:tc>
        <w:tc>
          <w:tcPr>
            <w:tcW w:w="754" w:type="dxa"/>
            <w:tcBorders>
              <w:top w:val="single" w:sz="4" w:space="0" w:color="auto"/>
              <w:left w:val="nil"/>
              <w:bottom w:val="single" w:sz="4" w:space="0" w:color="auto"/>
              <w:right w:val="single" w:sz="4" w:space="0" w:color="auto"/>
            </w:tcBorders>
            <w:vAlign w:val="bottom"/>
          </w:tcPr>
          <w:p w14:paraId="2A4FDF5C" w14:textId="77777777" w:rsidR="007043C5" w:rsidRPr="00026883" w:rsidRDefault="007043C5" w:rsidP="00DA2735">
            <w:pPr>
              <w:pStyle w:val="tabteksts"/>
              <w:tabs>
                <w:tab w:val="decimal" w:pos="436"/>
              </w:tabs>
            </w:pPr>
            <w:r w:rsidRPr="00026883">
              <w:t>4,1</w:t>
            </w:r>
          </w:p>
        </w:tc>
        <w:tc>
          <w:tcPr>
            <w:tcW w:w="754" w:type="dxa"/>
            <w:tcBorders>
              <w:top w:val="single" w:sz="4" w:space="0" w:color="auto"/>
              <w:left w:val="nil"/>
              <w:bottom w:val="single" w:sz="4" w:space="0" w:color="auto"/>
              <w:right w:val="single" w:sz="4" w:space="0" w:color="auto"/>
            </w:tcBorders>
            <w:vAlign w:val="bottom"/>
          </w:tcPr>
          <w:p w14:paraId="553894BA" w14:textId="77777777" w:rsidR="007043C5" w:rsidRPr="00026883" w:rsidRDefault="007043C5" w:rsidP="00DA2735">
            <w:pPr>
              <w:pStyle w:val="tabteksts"/>
              <w:tabs>
                <w:tab w:val="decimal" w:pos="436"/>
              </w:tabs>
            </w:pPr>
            <w:r w:rsidRPr="00026883">
              <w:t>4,3</w:t>
            </w:r>
          </w:p>
        </w:tc>
        <w:tc>
          <w:tcPr>
            <w:tcW w:w="754" w:type="dxa"/>
            <w:tcBorders>
              <w:top w:val="single" w:sz="4" w:space="0" w:color="auto"/>
              <w:left w:val="nil"/>
              <w:bottom w:val="single" w:sz="4" w:space="0" w:color="auto"/>
              <w:right w:val="single" w:sz="4" w:space="0" w:color="auto"/>
            </w:tcBorders>
            <w:vAlign w:val="bottom"/>
          </w:tcPr>
          <w:p w14:paraId="76AE8845" w14:textId="77777777" w:rsidR="007043C5" w:rsidRPr="00026883" w:rsidRDefault="007043C5" w:rsidP="00DA2735">
            <w:pPr>
              <w:pStyle w:val="tabteksts"/>
              <w:tabs>
                <w:tab w:val="decimal" w:pos="436"/>
              </w:tabs>
            </w:pPr>
            <w:r w:rsidRPr="00026883">
              <w:t>4,4</w:t>
            </w:r>
          </w:p>
        </w:tc>
        <w:tc>
          <w:tcPr>
            <w:tcW w:w="754" w:type="dxa"/>
            <w:tcBorders>
              <w:top w:val="single" w:sz="4" w:space="0" w:color="auto"/>
              <w:left w:val="single" w:sz="4" w:space="0" w:color="auto"/>
              <w:bottom w:val="single" w:sz="4" w:space="0" w:color="auto"/>
              <w:right w:val="double" w:sz="6" w:space="0" w:color="auto"/>
            </w:tcBorders>
            <w:vAlign w:val="bottom"/>
          </w:tcPr>
          <w:p w14:paraId="20AEC411" w14:textId="77777777" w:rsidR="007043C5" w:rsidRPr="00026883" w:rsidRDefault="007043C5" w:rsidP="00DA2735">
            <w:pPr>
              <w:pStyle w:val="tabteksts"/>
              <w:tabs>
                <w:tab w:val="decimal" w:pos="436"/>
              </w:tabs>
            </w:pPr>
            <w:r w:rsidRPr="00026883">
              <w:t>4,4</w:t>
            </w:r>
          </w:p>
        </w:tc>
      </w:tr>
      <w:tr w:rsidR="007043C5" w:rsidRPr="00026883" w14:paraId="7333360C"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215703ED" w14:textId="77777777" w:rsidR="007043C5" w:rsidRPr="00026883" w:rsidRDefault="007043C5" w:rsidP="00DA2735">
            <w:pPr>
              <w:pStyle w:val="tabteksts"/>
              <w:rPr>
                <w:b/>
                <w:noProof/>
              </w:rPr>
            </w:pPr>
            <w:r w:rsidRPr="00026883">
              <w:rPr>
                <w:b/>
                <w:noProof/>
              </w:rPr>
              <w:t>Ilgstošās aprūpes izdevumi</w:t>
            </w:r>
          </w:p>
        </w:tc>
        <w:tc>
          <w:tcPr>
            <w:tcW w:w="754" w:type="dxa"/>
            <w:tcBorders>
              <w:top w:val="single" w:sz="4" w:space="0" w:color="auto"/>
              <w:left w:val="nil"/>
              <w:bottom w:val="single" w:sz="4" w:space="0" w:color="auto"/>
              <w:right w:val="single" w:sz="4" w:space="0" w:color="auto"/>
            </w:tcBorders>
            <w:vAlign w:val="bottom"/>
          </w:tcPr>
          <w:p w14:paraId="223E56F8" w14:textId="77777777" w:rsidR="007043C5" w:rsidRPr="00026883" w:rsidRDefault="007043C5" w:rsidP="00DA2735">
            <w:pPr>
              <w:pStyle w:val="tabteksts"/>
              <w:tabs>
                <w:tab w:val="decimal" w:pos="436"/>
              </w:tabs>
            </w:pPr>
            <w:r w:rsidRPr="00026883">
              <w:t>0,7</w:t>
            </w:r>
          </w:p>
        </w:tc>
        <w:tc>
          <w:tcPr>
            <w:tcW w:w="754" w:type="dxa"/>
            <w:tcBorders>
              <w:top w:val="single" w:sz="4" w:space="0" w:color="auto"/>
              <w:left w:val="single" w:sz="4" w:space="0" w:color="auto"/>
              <w:bottom w:val="single" w:sz="4" w:space="0" w:color="auto"/>
              <w:right w:val="single" w:sz="4" w:space="0" w:color="auto"/>
            </w:tcBorders>
            <w:vAlign w:val="bottom"/>
          </w:tcPr>
          <w:p w14:paraId="4C9B2097" w14:textId="77777777" w:rsidR="007043C5" w:rsidRPr="00026883" w:rsidRDefault="007043C5" w:rsidP="00DA2735">
            <w:pPr>
              <w:pStyle w:val="tabteksts"/>
              <w:tabs>
                <w:tab w:val="decimal" w:pos="436"/>
              </w:tabs>
            </w:pPr>
            <w:r w:rsidRPr="00026883">
              <w:t>0,7</w:t>
            </w:r>
          </w:p>
        </w:tc>
        <w:tc>
          <w:tcPr>
            <w:tcW w:w="754" w:type="dxa"/>
            <w:tcBorders>
              <w:top w:val="single" w:sz="4" w:space="0" w:color="auto"/>
              <w:left w:val="nil"/>
              <w:bottom w:val="single" w:sz="4" w:space="0" w:color="auto"/>
              <w:right w:val="single" w:sz="4" w:space="0" w:color="auto"/>
            </w:tcBorders>
            <w:vAlign w:val="bottom"/>
          </w:tcPr>
          <w:p w14:paraId="763E190B" w14:textId="77777777" w:rsidR="007043C5" w:rsidRPr="00026883" w:rsidRDefault="007043C5" w:rsidP="00DA2735">
            <w:pPr>
              <w:pStyle w:val="tabteksts"/>
              <w:tabs>
                <w:tab w:val="decimal" w:pos="436"/>
              </w:tabs>
            </w:pPr>
            <w:r w:rsidRPr="00026883">
              <w:t>0,7</w:t>
            </w:r>
          </w:p>
        </w:tc>
        <w:tc>
          <w:tcPr>
            <w:tcW w:w="754" w:type="dxa"/>
            <w:tcBorders>
              <w:top w:val="single" w:sz="4" w:space="0" w:color="auto"/>
              <w:left w:val="nil"/>
              <w:bottom w:val="single" w:sz="4" w:space="0" w:color="auto"/>
              <w:right w:val="single" w:sz="4" w:space="0" w:color="auto"/>
            </w:tcBorders>
            <w:vAlign w:val="bottom"/>
          </w:tcPr>
          <w:p w14:paraId="4753B32E" w14:textId="77777777" w:rsidR="007043C5" w:rsidRPr="00026883" w:rsidRDefault="007043C5" w:rsidP="00DA2735">
            <w:pPr>
              <w:pStyle w:val="tabteksts"/>
              <w:tabs>
                <w:tab w:val="decimal" w:pos="436"/>
              </w:tabs>
            </w:pPr>
            <w:r w:rsidRPr="00026883">
              <w:t>0,8</w:t>
            </w:r>
          </w:p>
        </w:tc>
        <w:tc>
          <w:tcPr>
            <w:tcW w:w="754" w:type="dxa"/>
            <w:tcBorders>
              <w:top w:val="single" w:sz="4" w:space="0" w:color="auto"/>
              <w:left w:val="nil"/>
              <w:bottom w:val="single" w:sz="4" w:space="0" w:color="auto"/>
              <w:right w:val="single" w:sz="4" w:space="0" w:color="auto"/>
            </w:tcBorders>
            <w:vAlign w:val="bottom"/>
          </w:tcPr>
          <w:p w14:paraId="710DD309" w14:textId="77777777" w:rsidR="007043C5" w:rsidRPr="00026883" w:rsidRDefault="007043C5" w:rsidP="00DA2735">
            <w:pPr>
              <w:pStyle w:val="tabteksts"/>
              <w:tabs>
                <w:tab w:val="decimal" w:pos="436"/>
              </w:tabs>
            </w:pPr>
            <w:r w:rsidRPr="00026883">
              <w:t>0,9</w:t>
            </w:r>
          </w:p>
        </w:tc>
        <w:tc>
          <w:tcPr>
            <w:tcW w:w="754" w:type="dxa"/>
            <w:tcBorders>
              <w:top w:val="single" w:sz="4" w:space="0" w:color="auto"/>
              <w:left w:val="single" w:sz="4" w:space="0" w:color="auto"/>
              <w:bottom w:val="single" w:sz="4" w:space="0" w:color="auto"/>
              <w:right w:val="double" w:sz="6" w:space="0" w:color="auto"/>
            </w:tcBorders>
            <w:vAlign w:val="bottom"/>
          </w:tcPr>
          <w:p w14:paraId="3A65EC9E" w14:textId="77777777" w:rsidR="007043C5" w:rsidRPr="00026883" w:rsidRDefault="007043C5" w:rsidP="00DA2735">
            <w:pPr>
              <w:pStyle w:val="tabteksts"/>
              <w:tabs>
                <w:tab w:val="decimal" w:pos="436"/>
              </w:tabs>
            </w:pPr>
            <w:r w:rsidRPr="00026883">
              <w:t>1,0</w:t>
            </w:r>
          </w:p>
        </w:tc>
      </w:tr>
      <w:tr w:rsidR="007043C5" w:rsidRPr="00026883" w14:paraId="1B8409AE"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0EAD6399" w14:textId="77777777" w:rsidR="007043C5" w:rsidRPr="00026883" w:rsidRDefault="007043C5" w:rsidP="00DA2735">
            <w:pPr>
              <w:pStyle w:val="tabteksts"/>
              <w:rPr>
                <w:b/>
                <w:noProof/>
              </w:rPr>
            </w:pPr>
            <w:r w:rsidRPr="00026883">
              <w:rPr>
                <w:b/>
                <w:noProof/>
              </w:rPr>
              <w:t>Izglītības izdevumi</w:t>
            </w:r>
          </w:p>
        </w:tc>
        <w:tc>
          <w:tcPr>
            <w:tcW w:w="754" w:type="dxa"/>
            <w:tcBorders>
              <w:top w:val="single" w:sz="4" w:space="0" w:color="auto"/>
              <w:left w:val="nil"/>
              <w:bottom w:val="single" w:sz="4" w:space="0" w:color="auto"/>
              <w:right w:val="single" w:sz="4" w:space="0" w:color="auto"/>
            </w:tcBorders>
            <w:vAlign w:val="bottom"/>
          </w:tcPr>
          <w:p w14:paraId="2CD2942A" w14:textId="77777777" w:rsidR="007043C5" w:rsidRPr="00026883" w:rsidRDefault="007043C5" w:rsidP="00DA2735">
            <w:pPr>
              <w:pStyle w:val="tabteksts"/>
              <w:tabs>
                <w:tab w:val="decimal" w:pos="436"/>
              </w:tabs>
            </w:pPr>
            <w:r w:rsidRPr="00026883">
              <w:t>4,4</w:t>
            </w:r>
          </w:p>
        </w:tc>
        <w:tc>
          <w:tcPr>
            <w:tcW w:w="754" w:type="dxa"/>
            <w:tcBorders>
              <w:top w:val="single" w:sz="4" w:space="0" w:color="auto"/>
              <w:left w:val="single" w:sz="4" w:space="0" w:color="auto"/>
              <w:bottom w:val="single" w:sz="4" w:space="0" w:color="auto"/>
              <w:right w:val="single" w:sz="4" w:space="0" w:color="auto"/>
            </w:tcBorders>
            <w:vAlign w:val="bottom"/>
          </w:tcPr>
          <w:p w14:paraId="258ACFD9" w14:textId="77777777" w:rsidR="007043C5" w:rsidRPr="00026883" w:rsidRDefault="007043C5" w:rsidP="00DA2735">
            <w:pPr>
              <w:pStyle w:val="tabteksts"/>
              <w:tabs>
                <w:tab w:val="decimal" w:pos="436"/>
              </w:tabs>
            </w:pPr>
            <w:r w:rsidRPr="00026883">
              <w:t>4,0</w:t>
            </w:r>
          </w:p>
        </w:tc>
        <w:tc>
          <w:tcPr>
            <w:tcW w:w="754" w:type="dxa"/>
            <w:tcBorders>
              <w:top w:val="single" w:sz="4" w:space="0" w:color="auto"/>
              <w:left w:val="nil"/>
              <w:bottom w:val="single" w:sz="4" w:space="0" w:color="auto"/>
              <w:right w:val="single" w:sz="4" w:space="0" w:color="auto"/>
            </w:tcBorders>
            <w:vAlign w:val="bottom"/>
          </w:tcPr>
          <w:p w14:paraId="59548156" w14:textId="77777777" w:rsidR="007043C5" w:rsidRPr="00026883" w:rsidRDefault="007043C5" w:rsidP="00DA2735">
            <w:pPr>
              <w:pStyle w:val="tabteksts"/>
              <w:tabs>
                <w:tab w:val="decimal" w:pos="436"/>
              </w:tabs>
            </w:pPr>
            <w:r w:rsidRPr="00026883">
              <w:t>3,6</w:t>
            </w:r>
          </w:p>
        </w:tc>
        <w:tc>
          <w:tcPr>
            <w:tcW w:w="754" w:type="dxa"/>
            <w:tcBorders>
              <w:top w:val="single" w:sz="4" w:space="0" w:color="auto"/>
              <w:left w:val="nil"/>
              <w:bottom w:val="single" w:sz="4" w:space="0" w:color="auto"/>
              <w:right w:val="single" w:sz="4" w:space="0" w:color="auto"/>
            </w:tcBorders>
            <w:vAlign w:val="bottom"/>
          </w:tcPr>
          <w:p w14:paraId="19F2A15A" w14:textId="77777777" w:rsidR="007043C5" w:rsidRPr="00026883" w:rsidRDefault="007043C5" w:rsidP="00DA2735">
            <w:pPr>
              <w:pStyle w:val="tabteksts"/>
              <w:tabs>
                <w:tab w:val="decimal" w:pos="436"/>
              </w:tabs>
            </w:pPr>
            <w:r w:rsidRPr="00026883">
              <w:t>3,2</w:t>
            </w:r>
          </w:p>
        </w:tc>
        <w:tc>
          <w:tcPr>
            <w:tcW w:w="754" w:type="dxa"/>
            <w:tcBorders>
              <w:top w:val="single" w:sz="4" w:space="0" w:color="auto"/>
              <w:left w:val="nil"/>
              <w:bottom w:val="single" w:sz="4" w:space="0" w:color="auto"/>
              <w:right w:val="single" w:sz="4" w:space="0" w:color="auto"/>
            </w:tcBorders>
            <w:vAlign w:val="bottom"/>
          </w:tcPr>
          <w:p w14:paraId="0C24BCC2" w14:textId="77777777" w:rsidR="007043C5" w:rsidRPr="00026883" w:rsidRDefault="007043C5" w:rsidP="00DA2735">
            <w:pPr>
              <w:pStyle w:val="tabteksts"/>
              <w:tabs>
                <w:tab w:val="decimal" w:pos="436"/>
              </w:tabs>
            </w:pPr>
            <w:r w:rsidRPr="00026883">
              <w:t>3,4</w:t>
            </w:r>
          </w:p>
        </w:tc>
        <w:tc>
          <w:tcPr>
            <w:tcW w:w="754" w:type="dxa"/>
            <w:tcBorders>
              <w:top w:val="single" w:sz="4" w:space="0" w:color="auto"/>
              <w:left w:val="single" w:sz="4" w:space="0" w:color="auto"/>
              <w:bottom w:val="single" w:sz="4" w:space="0" w:color="auto"/>
              <w:right w:val="double" w:sz="6" w:space="0" w:color="auto"/>
            </w:tcBorders>
            <w:vAlign w:val="bottom"/>
          </w:tcPr>
          <w:p w14:paraId="786A27C1" w14:textId="77777777" w:rsidR="007043C5" w:rsidRPr="00026883" w:rsidRDefault="007043C5" w:rsidP="00DA2735">
            <w:pPr>
              <w:pStyle w:val="tabteksts"/>
              <w:tabs>
                <w:tab w:val="decimal" w:pos="436"/>
              </w:tabs>
            </w:pPr>
            <w:r w:rsidRPr="00026883">
              <w:t>3,7</w:t>
            </w:r>
          </w:p>
        </w:tc>
      </w:tr>
      <w:tr w:rsidR="007043C5" w:rsidRPr="00026883" w14:paraId="12F71416"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337427B6" w14:textId="77777777" w:rsidR="007043C5" w:rsidRPr="00026883" w:rsidRDefault="007043C5" w:rsidP="00DA2735">
            <w:pPr>
              <w:pStyle w:val="tabteksts"/>
              <w:rPr>
                <w:noProof/>
              </w:rPr>
            </w:pPr>
            <w:r w:rsidRPr="00026883">
              <w:rPr>
                <w:noProof/>
              </w:rPr>
              <w:t>Citi ar vecumu saistītie izdevumi</w:t>
            </w:r>
          </w:p>
        </w:tc>
        <w:tc>
          <w:tcPr>
            <w:tcW w:w="754" w:type="dxa"/>
            <w:tcBorders>
              <w:top w:val="single" w:sz="4" w:space="0" w:color="auto"/>
              <w:left w:val="nil"/>
              <w:bottom w:val="single" w:sz="4" w:space="0" w:color="auto"/>
              <w:right w:val="single" w:sz="4" w:space="0" w:color="auto"/>
            </w:tcBorders>
            <w:vAlign w:val="bottom"/>
          </w:tcPr>
          <w:p w14:paraId="0A24403F"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2BC15D2C"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342021E0"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4FC04D64"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1F65C5F4"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14:paraId="1E67E634" w14:textId="77777777" w:rsidR="007043C5" w:rsidRPr="00026883" w:rsidRDefault="007043C5" w:rsidP="00DA2735">
            <w:pPr>
              <w:pStyle w:val="tabteksts"/>
              <w:tabs>
                <w:tab w:val="decimal" w:pos="436"/>
              </w:tabs>
            </w:pPr>
          </w:p>
        </w:tc>
      </w:tr>
      <w:tr w:rsidR="007043C5" w:rsidRPr="00026883" w14:paraId="49E750B8"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2BCA5680" w14:textId="77777777" w:rsidR="007043C5" w:rsidRPr="00026883" w:rsidRDefault="007043C5" w:rsidP="00DA2735">
            <w:pPr>
              <w:pStyle w:val="tabteksts"/>
              <w:rPr>
                <w:noProof/>
              </w:rPr>
            </w:pPr>
            <w:r w:rsidRPr="00026883">
              <w:rPr>
                <w:noProof/>
              </w:rPr>
              <w:t>Procentu izdevumi</w:t>
            </w:r>
          </w:p>
        </w:tc>
        <w:tc>
          <w:tcPr>
            <w:tcW w:w="754" w:type="dxa"/>
            <w:tcBorders>
              <w:top w:val="single" w:sz="4" w:space="0" w:color="auto"/>
              <w:left w:val="nil"/>
              <w:bottom w:val="single" w:sz="4" w:space="0" w:color="auto"/>
              <w:right w:val="single" w:sz="4" w:space="0" w:color="auto"/>
            </w:tcBorders>
            <w:vAlign w:val="bottom"/>
          </w:tcPr>
          <w:p w14:paraId="0C65436C"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23D82E53"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3775E073"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40305B64"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1A2EED56"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14:paraId="1553C633" w14:textId="77777777" w:rsidR="007043C5" w:rsidRPr="00026883" w:rsidRDefault="007043C5" w:rsidP="00DA2735">
            <w:pPr>
              <w:pStyle w:val="tabteksts"/>
              <w:tabs>
                <w:tab w:val="decimal" w:pos="436"/>
              </w:tabs>
            </w:pPr>
          </w:p>
        </w:tc>
      </w:tr>
      <w:tr w:rsidR="007043C5" w:rsidRPr="00026883" w14:paraId="236CD784"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4A10738B" w14:textId="77777777" w:rsidR="007043C5" w:rsidRPr="00026883" w:rsidRDefault="007043C5" w:rsidP="00DA2735">
            <w:pPr>
              <w:pStyle w:val="tabteksts"/>
              <w:rPr>
                <w:noProof/>
              </w:rPr>
            </w:pPr>
            <w:r w:rsidRPr="00026883">
              <w:rPr>
                <w:noProof/>
              </w:rPr>
              <w:t>Kopējie ieņēmumi</w:t>
            </w:r>
          </w:p>
        </w:tc>
        <w:tc>
          <w:tcPr>
            <w:tcW w:w="754" w:type="dxa"/>
            <w:tcBorders>
              <w:top w:val="single" w:sz="4" w:space="0" w:color="auto"/>
              <w:left w:val="nil"/>
              <w:bottom w:val="single" w:sz="4" w:space="0" w:color="auto"/>
              <w:right w:val="single" w:sz="4" w:space="0" w:color="auto"/>
            </w:tcBorders>
            <w:vAlign w:val="bottom"/>
          </w:tcPr>
          <w:p w14:paraId="742D6705"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0CD62E9E"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0FC72A5C"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66B0BF6C"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5AC6E53"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14:paraId="631122B1" w14:textId="77777777" w:rsidR="007043C5" w:rsidRPr="00026883" w:rsidRDefault="007043C5" w:rsidP="00DA2735">
            <w:pPr>
              <w:pStyle w:val="tabteksts"/>
              <w:tabs>
                <w:tab w:val="decimal" w:pos="436"/>
              </w:tabs>
            </w:pPr>
          </w:p>
        </w:tc>
      </w:tr>
      <w:tr w:rsidR="007043C5" w:rsidRPr="00026883" w14:paraId="533E15D0"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2194960E" w14:textId="77777777" w:rsidR="007043C5" w:rsidRPr="00026883" w:rsidRDefault="007043C5" w:rsidP="00DA2735">
            <w:pPr>
              <w:pStyle w:val="tabteksts"/>
              <w:rPr>
                <w:noProof/>
              </w:rPr>
            </w:pPr>
            <w:r w:rsidRPr="00026883">
              <w:rPr>
                <w:noProof/>
              </w:rPr>
              <w:t>t.sk.: īpašuma ieņēmumi</w:t>
            </w:r>
          </w:p>
        </w:tc>
        <w:tc>
          <w:tcPr>
            <w:tcW w:w="754" w:type="dxa"/>
            <w:tcBorders>
              <w:top w:val="single" w:sz="4" w:space="0" w:color="auto"/>
              <w:left w:val="nil"/>
              <w:bottom w:val="single" w:sz="4" w:space="0" w:color="auto"/>
              <w:right w:val="single" w:sz="4" w:space="0" w:color="auto"/>
            </w:tcBorders>
            <w:vAlign w:val="bottom"/>
          </w:tcPr>
          <w:p w14:paraId="5C4D6C47"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213FCDCA"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7C68ABD"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06C52BA9"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5528B24F"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14:paraId="154D5838" w14:textId="77777777" w:rsidR="007043C5" w:rsidRPr="00026883" w:rsidRDefault="007043C5" w:rsidP="00DA2735">
            <w:pPr>
              <w:pStyle w:val="tabteksts"/>
              <w:tabs>
                <w:tab w:val="decimal" w:pos="436"/>
              </w:tabs>
            </w:pPr>
          </w:p>
        </w:tc>
      </w:tr>
      <w:tr w:rsidR="007043C5" w:rsidRPr="00026883" w14:paraId="3075B752"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0FD7B29E" w14:textId="77777777" w:rsidR="007043C5" w:rsidRPr="00026883" w:rsidRDefault="007043C5" w:rsidP="00DA2735">
            <w:pPr>
              <w:pStyle w:val="tabteksts"/>
              <w:rPr>
                <w:noProof/>
              </w:rPr>
            </w:pPr>
            <w:r w:rsidRPr="00026883">
              <w:rPr>
                <w:noProof/>
              </w:rPr>
              <w:t>t.sk.: pensiju iemaksas</w:t>
            </w:r>
            <w:r w:rsidRPr="00026883">
              <w:rPr>
                <w:rStyle w:val="FootnoteReference"/>
                <w:noProof/>
              </w:rPr>
              <w:footnoteReference w:id="22"/>
            </w:r>
          </w:p>
        </w:tc>
        <w:tc>
          <w:tcPr>
            <w:tcW w:w="754" w:type="dxa"/>
            <w:tcBorders>
              <w:top w:val="single" w:sz="4" w:space="0" w:color="auto"/>
              <w:left w:val="nil"/>
              <w:bottom w:val="single" w:sz="4" w:space="0" w:color="auto"/>
              <w:right w:val="single" w:sz="4" w:space="0" w:color="auto"/>
            </w:tcBorders>
            <w:vAlign w:val="bottom"/>
          </w:tcPr>
          <w:p w14:paraId="60EC1A02" w14:textId="77777777" w:rsidR="007043C5" w:rsidRPr="00026883" w:rsidRDefault="007043C5" w:rsidP="00DA2735">
            <w:pPr>
              <w:pStyle w:val="tabteksts"/>
              <w:tabs>
                <w:tab w:val="decimal" w:pos="436"/>
              </w:tabs>
            </w:pPr>
            <w:r w:rsidRPr="00026883">
              <w:t>6,9</w:t>
            </w:r>
          </w:p>
        </w:tc>
        <w:tc>
          <w:tcPr>
            <w:tcW w:w="754" w:type="dxa"/>
            <w:tcBorders>
              <w:top w:val="single" w:sz="4" w:space="0" w:color="auto"/>
              <w:left w:val="single" w:sz="4" w:space="0" w:color="auto"/>
              <w:bottom w:val="single" w:sz="4" w:space="0" w:color="auto"/>
              <w:right w:val="single" w:sz="4" w:space="0" w:color="auto"/>
            </w:tcBorders>
            <w:vAlign w:val="bottom"/>
          </w:tcPr>
          <w:p w14:paraId="5CAEAAEC" w14:textId="77777777" w:rsidR="007043C5" w:rsidRPr="00026883" w:rsidRDefault="007043C5" w:rsidP="00DA2735">
            <w:pPr>
              <w:pStyle w:val="tabteksts"/>
              <w:tabs>
                <w:tab w:val="decimal" w:pos="436"/>
              </w:tabs>
            </w:pPr>
            <w:r w:rsidRPr="00026883">
              <w:t>8,9</w:t>
            </w:r>
          </w:p>
        </w:tc>
        <w:tc>
          <w:tcPr>
            <w:tcW w:w="754" w:type="dxa"/>
            <w:tcBorders>
              <w:top w:val="single" w:sz="4" w:space="0" w:color="auto"/>
              <w:left w:val="nil"/>
              <w:bottom w:val="single" w:sz="4" w:space="0" w:color="auto"/>
              <w:right w:val="single" w:sz="4" w:space="0" w:color="auto"/>
            </w:tcBorders>
            <w:vAlign w:val="bottom"/>
          </w:tcPr>
          <w:p w14:paraId="33E004AA" w14:textId="77777777" w:rsidR="007043C5" w:rsidRPr="00026883" w:rsidRDefault="007043C5" w:rsidP="00DA2735">
            <w:pPr>
              <w:pStyle w:val="tabteksts"/>
              <w:tabs>
                <w:tab w:val="decimal" w:pos="436"/>
              </w:tabs>
            </w:pPr>
            <w:r w:rsidRPr="00026883">
              <w:t>8,9</w:t>
            </w:r>
          </w:p>
        </w:tc>
        <w:tc>
          <w:tcPr>
            <w:tcW w:w="754" w:type="dxa"/>
            <w:tcBorders>
              <w:top w:val="single" w:sz="4" w:space="0" w:color="auto"/>
              <w:left w:val="nil"/>
              <w:bottom w:val="single" w:sz="4" w:space="0" w:color="auto"/>
              <w:right w:val="single" w:sz="4" w:space="0" w:color="auto"/>
            </w:tcBorders>
            <w:vAlign w:val="bottom"/>
          </w:tcPr>
          <w:p w14:paraId="341FBAEF" w14:textId="77777777" w:rsidR="007043C5" w:rsidRPr="00026883" w:rsidRDefault="007043C5" w:rsidP="00DA2735">
            <w:pPr>
              <w:pStyle w:val="tabteksts"/>
              <w:tabs>
                <w:tab w:val="decimal" w:pos="436"/>
              </w:tabs>
            </w:pPr>
            <w:r w:rsidRPr="00026883">
              <w:t>9,1</w:t>
            </w:r>
          </w:p>
        </w:tc>
        <w:tc>
          <w:tcPr>
            <w:tcW w:w="754" w:type="dxa"/>
            <w:tcBorders>
              <w:top w:val="single" w:sz="4" w:space="0" w:color="auto"/>
              <w:left w:val="nil"/>
              <w:bottom w:val="single" w:sz="4" w:space="0" w:color="auto"/>
              <w:right w:val="single" w:sz="4" w:space="0" w:color="auto"/>
            </w:tcBorders>
            <w:vAlign w:val="bottom"/>
          </w:tcPr>
          <w:p w14:paraId="4053401C" w14:textId="77777777" w:rsidR="007043C5" w:rsidRPr="00026883" w:rsidRDefault="007043C5" w:rsidP="00DA2735">
            <w:pPr>
              <w:pStyle w:val="tabteksts"/>
              <w:tabs>
                <w:tab w:val="decimal" w:pos="436"/>
              </w:tabs>
            </w:pPr>
            <w:r w:rsidRPr="00026883">
              <w:t>9,0</w:t>
            </w:r>
          </w:p>
        </w:tc>
        <w:tc>
          <w:tcPr>
            <w:tcW w:w="754" w:type="dxa"/>
            <w:tcBorders>
              <w:top w:val="single" w:sz="4" w:space="0" w:color="auto"/>
              <w:left w:val="single" w:sz="4" w:space="0" w:color="auto"/>
              <w:bottom w:val="single" w:sz="4" w:space="0" w:color="auto"/>
              <w:right w:val="double" w:sz="6" w:space="0" w:color="auto"/>
            </w:tcBorders>
            <w:vAlign w:val="bottom"/>
          </w:tcPr>
          <w:p w14:paraId="54CF517B" w14:textId="77777777" w:rsidR="007043C5" w:rsidRPr="00026883" w:rsidRDefault="007043C5" w:rsidP="00DA2735">
            <w:pPr>
              <w:pStyle w:val="tabteksts"/>
              <w:tabs>
                <w:tab w:val="decimal" w:pos="436"/>
              </w:tabs>
            </w:pPr>
            <w:r w:rsidRPr="00026883">
              <w:t>8,9</w:t>
            </w:r>
          </w:p>
        </w:tc>
      </w:tr>
      <w:tr w:rsidR="007043C5" w:rsidRPr="00026883" w14:paraId="5AD2D90C"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2F06A440" w14:textId="77777777" w:rsidR="007043C5" w:rsidRPr="00026883" w:rsidRDefault="007043C5" w:rsidP="00DA2735">
            <w:pPr>
              <w:pStyle w:val="tabteksts"/>
              <w:rPr>
                <w:noProof/>
              </w:rPr>
            </w:pPr>
            <w:r w:rsidRPr="00026883">
              <w:rPr>
                <w:noProof/>
              </w:rPr>
              <w:t>Pensiju rezerves fondu aktīvi</w:t>
            </w:r>
          </w:p>
        </w:tc>
        <w:tc>
          <w:tcPr>
            <w:tcW w:w="754" w:type="dxa"/>
            <w:tcBorders>
              <w:top w:val="single" w:sz="4" w:space="0" w:color="auto"/>
              <w:left w:val="nil"/>
              <w:bottom w:val="single" w:sz="4" w:space="0" w:color="auto"/>
              <w:right w:val="single" w:sz="4" w:space="0" w:color="auto"/>
            </w:tcBorders>
            <w:vAlign w:val="bottom"/>
          </w:tcPr>
          <w:p w14:paraId="2CD7EE76"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72E3FC15"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F4A9BF4"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5C4DAFE3"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B6185E9"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14:paraId="575B0B71" w14:textId="77777777" w:rsidR="007043C5" w:rsidRPr="00026883" w:rsidRDefault="007043C5" w:rsidP="00DA2735">
            <w:pPr>
              <w:pStyle w:val="tabteksts"/>
              <w:tabs>
                <w:tab w:val="decimal" w:pos="436"/>
              </w:tabs>
            </w:pPr>
          </w:p>
        </w:tc>
      </w:tr>
      <w:tr w:rsidR="007043C5" w:rsidRPr="00026883" w14:paraId="514141E3"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65DD89E2" w14:textId="77777777" w:rsidR="007043C5" w:rsidRPr="00026883" w:rsidRDefault="007043C5" w:rsidP="00DA2735">
            <w:pPr>
              <w:pStyle w:val="tabteksts"/>
              <w:rPr>
                <w:noProof/>
              </w:rPr>
            </w:pPr>
            <w:r w:rsidRPr="00026883">
              <w:rPr>
                <w:noProof/>
              </w:rPr>
              <w:t>t.sk. konsolidētie valsts pensiju fondu aktīvi (ne valdības saistības)</w:t>
            </w:r>
          </w:p>
        </w:tc>
        <w:tc>
          <w:tcPr>
            <w:tcW w:w="754" w:type="dxa"/>
            <w:tcBorders>
              <w:top w:val="single" w:sz="4" w:space="0" w:color="auto"/>
              <w:left w:val="nil"/>
              <w:bottom w:val="single" w:sz="4" w:space="0" w:color="auto"/>
              <w:right w:val="single" w:sz="4" w:space="0" w:color="auto"/>
            </w:tcBorders>
            <w:vAlign w:val="bottom"/>
          </w:tcPr>
          <w:p w14:paraId="7EFF8BD9"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2CA5017D"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5136E36A"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41BF2C87" w14:textId="77777777" w:rsidR="007043C5" w:rsidRPr="00026883"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5E1C1AC5" w14:textId="77777777" w:rsidR="007043C5" w:rsidRPr="00026883"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double" w:sz="6" w:space="0" w:color="auto"/>
            </w:tcBorders>
            <w:vAlign w:val="bottom"/>
          </w:tcPr>
          <w:p w14:paraId="773BEEB3" w14:textId="77777777" w:rsidR="007043C5" w:rsidRPr="00026883" w:rsidRDefault="007043C5" w:rsidP="00DA2735">
            <w:pPr>
              <w:pStyle w:val="tabteksts"/>
              <w:tabs>
                <w:tab w:val="decimal" w:pos="436"/>
              </w:tabs>
            </w:pPr>
          </w:p>
        </w:tc>
      </w:tr>
      <w:tr w:rsidR="007043C5" w:rsidRPr="00026883" w14:paraId="3358C790"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4F897ADB" w14:textId="77777777" w:rsidR="007043C5" w:rsidRPr="00026883" w:rsidRDefault="007043C5" w:rsidP="00DA2735">
            <w:pPr>
              <w:pStyle w:val="tabteksts"/>
              <w:rPr>
                <w:noProof/>
              </w:rPr>
            </w:pPr>
            <w:r w:rsidRPr="00026883">
              <w:rPr>
                <w:noProof/>
              </w:rPr>
              <w:t>Pensiju iemaksas valsts fondēto pensiju shēmā</w:t>
            </w:r>
          </w:p>
        </w:tc>
        <w:tc>
          <w:tcPr>
            <w:tcW w:w="754" w:type="dxa"/>
            <w:tcBorders>
              <w:top w:val="single" w:sz="4" w:space="0" w:color="auto"/>
              <w:left w:val="nil"/>
              <w:bottom w:val="single" w:sz="4" w:space="0" w:color="auto"/>
              <w:right w:val="single" w:sz="4" w:space="0" w:color="auto"/>
            </w:tcBorders>
            <w:vAlign w:val="bottom"/>
          </w:tcPr>
          <w:p w14:paraId="683AF1C8" w14:textId="77777777" w:rsidR="007043C5" w:rsidRPr="00026883" w:rsidRDefault="007043C5" w:rsidP="00DA2735">
            <w:pPr>
              <w:pStyle w:val="tabteksts"/>
              <w:tabs>
                <w:tab w:val="decimal" w:pos="436"/>
              </w:tabs>
            </w:pPr>
            <w:r w:rsidRPr="00026883">
              <w:t>0,5</w:t>
            </w:r>
          </w:p>
        </w:tc>
        <w:tc>
          <w:tcPr>
            <w:tcW w:w="754" w:type="dxa"/>
            <w:tcBorders>
              <w:top w:val="single" w:sz="4" w:space="0" w:color="auto"/>
              <w:left w:val="single" w:sz="4" w:space="0" w:color="auto"/>
              <w:bottom w:val="single" w:sz="4" w:space="0" w:color="auto"/>
              <w:right w:val="single" w:sz="4" w:space="0" w:color="auto"/>
            </w:tcBorders>
            <w:vAlign w:val="bottom"/>
          </w:tcPr>
          <w:p w14:paraId="385A77C6" w14:textId="77777777" w:rsidR="007043C5" w:rsidRPr="00026883" w:rsidRDefault="007043C5" w:rsidP="00DA2735">
            <w:pPr>
              <w:pStyle w:val="tabteksts"/>
              <w:tabs>
                <w:tab w:val="decimal" w:pos="436"/>
              </w:tabs>
            </w:pPr>
            <w:r w:rsidRPr="00026883">
              <w:t>1,6</w:t>
            </w:r>
          </w:p>
        </w:tc>
        <w:tc>
          <w:tcPr>
            <w:tcW w:w="754" w:type="dxa"/>
            <w:tcBorders>
              <w:top w:val="single" w:sz="4" w:space="0" w:color="auto"/>
              <w:left w:val="nil"/>
              <w:bottom w:val="single" w:sz="4" w:space="0" w:color="auto"/>
              <w:right w:val="single" w:sz="4" w:space="0" w:color="auto"/>
            </w:tcBorders>
            <w:vAlign w:val="bottom"/>
          </w:tcPr>
          <w:p w14:paraId="01B1B2E9" w14:textId="77777777" w:rsidR="007043C5" w:rsidRPr="00026883" w:rsidRDefault="007043C5" w:rsidP="00DA2735">
            <w:pPr>
              <w:pStyle w:val="tabteksts"/>
              <w:tabs>
                <w:tab w:val="decimal" w:pos="436"/>
              </w:tabs>
            </w:pPr>
            <w:r w:rsidRPr="00026883">
              <w:t>1,7</w:t>
            </w:r>
          </w:p>
        </w:tc>
        <w:tc>
          <w:tcPr>
            <w:tcW w:w="754" w:type="dxa"/>
            <w:tcBorders>
              <w:top w:val="single" w:sz="4" w:space="0" w:color="auto"/>
              <w:left w:val="nil"/>
              <w:bottom w:val="single" w:sz="4" w:space="0" w:color="auto"/>
              <w:right w:val="single" w:sz="4" w:space="0" w:color="auto"/>
            </w:tcBorders>
            <w:vAlign w:val="bottom"/>
          </w:tcPr>
          <w:p w14:paraId="19294F2B" w14:textId="77777777" w:rsidR="007043C5" w:rsidRPr="00026883" w:rsidRDefault="007043C5" w:rsidP="00DA2735">
            <w:pPr>
              <w:pStyle w:val="tabteksts"/>
              <w:tabs>
                <w:tab w:val="decimal" w:pos="436"/>
              </w:tabs>
            </w:pPr>
            <w:r w:rsidRPr="00026883">
              <w:t>1,7</w:t>
            </w:r>
          </w:p>
        </w:tc>
        <w:tc>
          <w:tcPr>
            <w:tcW w:w="754" w:type="dxa"/>
            <w:tcBorders>
              <w:top w:val="single" w:sz="4" w:space="0" w:color="auto"/>
              <w:left w:val="nil"/>
              <w:bottom w:val="single" w:sz="4" w:space="0" w:color="auto"/>
              <w:right w:val="single" w:sz="4" w:space="0" w:color="auto"/>
            </w:tcBorders>
            <w:vAlign w:val="bottom"/>
          </w:tcPr>
          <w:p w14:paraId="60CED2C7" w14:textId="77777777" w:rsidR="007043C5" w:rsidRPr="00026883" w:rsidRDefault="007043C5" w:rsidP="00DA2735">
            <w:pPr>
              <w:pStyle w:val="tabteksts"/>
              <w:tabs>
                <w:tab w:val="decimal" w:pos="436"/>
              </w:tabs>
            </w:pPr>
            <w:r w:rsidRPr="00026883">
              <w:t>1,7</w:t>
            </w:r>
          </w:p>
        </w:tc>
        <w:tc>
          <w:tcPr>
            <w:tcW w:w="754" w:type="dxa"/>
            <w:tcBorders>
              <w:top w:val="single" w:sz="4" w:space="0" w:color="auto"/>
              <w:left w:val="single" w:sz="4" w:space="0" w:color="auto"/>
              <w:bottom w:val="single" w:sz="4" w:space="0" w:color="auto"/>
              <w:right w:val="double" w:sz="6" w:space="0" w:color="auto"/>
            </w:tcBorders>
            <w:vAlign w:val="bottom"/>
          </w:tcPr>
          <w:p w14:paraId="797908F0" w14:textId="77777777" w:rsidR="007043C5" w:rsidRPr="00026883" w:rsidRDefault="007043C5" w:rsidP="00DA2735">
            <w:pPr>
              <w:pStyle w:val="tabteksts"/>
              <w:tabs>
                <w:tab w:val="decimal" w:pos="436"/>
              </w:tabs>
            </w:pPr>
            <w:r w:rsidRPr="00026883">
              <w:t>1,8</w:t>
            </w:r>
          </w:p>
        </w:tc>
      </w:tr>
      <w:tr w:rsidR="007043C5" w:rsidRPr="00026883" w14:paraId="02D9DB88" w14:textId="77777777" w:rsidTr="00DA2735">
        <w:trPr>
          <w:jc w:val="center"/>
        </w:trPr>
        <w:tc>
          <w:tcPr>
            <w:tcW w:w="3840" w:type="dxa"/>
            <w:tcBorders>
              <w:top w:val="single" w:sz="4" w:space="0" w:color="auto"/>
              <w:left w:val="double" w:sz="6" w:space="0" w:color="auto"/>
              <w:bottom w:val="double" w:sz="6" w:space="0" w:color="auto"/>
              <w:right w:val="double" w:sz="6" w:space="0" w:color="auto"/>
            </w:tcBorders>
            <w:vAlign w:val="bottom"/>
          </w:tcPr>
          <w:p w14:paraId="6FECBA33" w14:textId="77777777" w:rsidR="007043C5" w:rsidRPr="00026883" w:rsidRDefault="007043C5" w:rsidP="00DA2735">
            <w:pPr>
              <w:pStyle w:val="tabteksts"/>
              <w:rPr>
                <w:noProof/>
              </w:rPr>
            </w:pPr>
            <w:r w:rsidRPr="00026883">
              <w:rPr>
                <w:noProof/>
              </w:rPr>
              <w:t>Pensiju izdevumi no valsts fondēto pensiju shēmas</w:t>
            </w:r>
          </w:p>
        </w:tc>
        <w:tc>
          <w:tcPr>
            <w:tcW w:w="754" w:type="dxa"/>
            <w:tcBorders>
              <w:top w:val="single" w:sz="4" w:space="0" w:color="auto"/>
              <w:left w:val="nil"/>
              <w:bottom w:val="double" w:sz="6" w:space="0" w:color="auto"/>
              <w:right w:val="single" w:sz="4" w:space="0" w:color="auto"/>
            </w:tcBorders>
            <w:vAlign w:val="bottom"/>
          </w:tcPr>
          <w:p w14:paraId="67B01D07" w14:textId="77777777" w:rsidR="007043C5" w:rsidRPr="00026883" w:rsidRDefault="007043C5" w:rsidP="00DA2735">
            <w:pPr>
              <w:pStyle w:val="tabteksts"/>
              <w:tabs>
                <w:tab w:val="decimal" w:pos="423"/>
              </w:tabs>
            </w:pPr>
            <w:r w:rsidRPr="00026883">
              <w:t>0,0</w:t>
            </w:r>
          </w:p>
        </w:tc>
        <w:tc>
          <w:tcPr>
            <w:tcW w:w="754" w:type="dxa"/>
            <w:tcBorders>
              <w:top w:val="single" w:sz="4" w:space="0" w:color="auto"/>
              <w:left w:val="single" w:sz="4" w:space="0" w:color="auto"/>
              <w:bottom w:val="double" w:sz="6" w:space="0" w:color="auto"/>
              <w:right w:val="single" w:sz="4" w:space="0" w:color="auto"/>
            </w:tcBorders>
            <w:vAlign w:val="bottom"/>
          </w:tcPr>
          <w:p w14:paraId="6A5681F6" w14:textId="77777777" w:rsidR="007043C5" w:rsidRPr="00026883" w:rsidRDefault="007043C5" w:rsidP="00DA2735">
            <w:pPr>
              <w:pStyle w:val="tabteksts"/>
              <w:tabs>
                <w:tab w:val="decimal" w:pos="423"/>
              </w:tabs>
            </w:pPr>
            <w:r w:rsidRPr="00026883">
              <w:t>0,1</w:t>
            </w:r>
          </w:p>
        </w:tc>
        <w:tc>
          <w:tcPr>
            <w:tcW w:w="754" w:type="dxa"/>
            <w:tcBorders>
              <w:top w:val="single" w:sz="4" w:space="0" w:color="auto"/>
              <w:left w:val="nil"/>
              <w:bottom w:val="double" w:sz="6" w:space="0" w:color="auto"/>
              <w:right w:val="single" w:sz="4" w:space="0" w:color="auto"/>
            </w:tcBorders>
            <w:vAlign w:val="bottom"/>
          </w:tcPr>
          <w:p w14:paraId="13C4B434" w14:textId="77777777" w:rsidR="007043C5" w:rsidRPr="00026883" w:rsidRDefault="007043C5" w:rsidP="00DA2735">
            <w:pPr>
              <w:pStyle w:val="tabteksts"/>
              <w:tabs>
                <w:tab w:val="decimal" w:pos="423"/>
              </w:tabs>
            </w:pPr>
            <w:r w:rsidRPr="00026883">
              <w:t>0,3</w:t>
            </w:r>
          </w:p>
        </w:tc>
        <w:tc>
          <w:tcPr>
            <w:tcW w:w="754" w:type="dxa"/>
            <w:tcBorders>
              <w:top w:val="single" w:sz="4" w:space="0" w:color="auto"/>
              <w:left w:val="nil"/>
              <w:bottom w:val="double" w:sz="6" w:space="0" w:color="auto"/>
              <w:right w:val="single" w:sz="4" w:space="0" w:color="auto"/>
            </w:tcBorders>
            <w:vAlign w:val="bottom"/>
          </w:tcPr>
          <w:p w14:paraId="7C41EFB3" w14:textId="77777777" w:rsidR="007043C5" w:rsidRPr="00026883" w:rsidRDefault="007043C5" w:rsidP="00DA2735">
            <w:pPr>
              <w:pStyle w:val="tabteksts"/>
              <w:tabs>
                <w:tab w:val="decimal" w:pos="423"/>
              </w:tabs>
            </w:pPr>
            <w:r w:rsidRPr="00026883">
              <w:t>0,8</w:t>
            </w:r>
          </w:p>
        </w:tc>
        <w:tc>
          <w:tcPr>
            <w:tcW w:w="754" w:type="dxa"/>
            <w:tcBorders>
              <w:top w:val="single" w:sz="4" w:space="0" w:color="auto"/>
              <w:left w:val="nil"/>
              <w:bottom w:val="double" w:sz="6" w:space="0" w:color="auto"/>
              <w:right w:val="single" w:sz="4" w:space="0" w:color="auto"/>
            </w:tcBorders>
            <w:vAlign w:val="bottom"/>
          </w:tcPr>
          <w:p w14:paraId="0895AACE" w14:textId="77777777" w:rsidR="007043C5" w:rsidRPr="00026883" w:rsidRDefault="007043C5" w:rsidP="00DA2735">
            <w:pPr>
              <w:pStyle w:val="tabteksts"/>
              <w:tabs>
                <w:tab w:val="decimal" w:pos="423"/>
              </w:tabs>
            </w:pPr>
            <w:r w:rsidRPr="00026883">
              <w:t>1,8</w:t>
            </w:r>
          </w:p>
        </w:tc>
        <w:tc>
          <w:tcPr>
            <w:tcW w:w="754" w:type="dxa"/>
            <w:tcBorders>
              <w:top w:val="single" w:sz="4" w:space="0" w:color="auto"/>
              <w:left w:val="single" w:sz="4" w:space="0" w:color="auto"/>
              <w:bottom w:val="double" w:sz="6" w:space="0" w:color="auto"/>
              <w:right w:val="double" w:sz="6" w:space="0" w:color="auto"/>
            </w:tcBorders>
            <w:vAlign w:val="bottom"/>
          </w:tcPr>
          <w:p w14:paraId="70C64F37" w14:textId="77777777" w:rsidR="007043C5" w:rsidRPr="00026883" w:rsidRDefault="007043C5" w:rsidP="00DA2735">
            <w:pPr>
              <w:pStyle w:val="tabteksts"/>
              <w:tabs>
                <w:tab w:val="decimal" w:pos="423"/>
              </w:tabs>
            </w:pPr>
            <w:r w:rsidRPr="00026883">
              <w:t>2,9</w:t>
            </w:r>
          </w:p>
        </w:tc>
      </w:tr>
      <w:tr w:rsidR="007043C5" w:rsidRPr="00026883" w14:paraId="573A8870" w14:textId="77777777" w:rsidTr="00DA2735">
        <w:trPr>
          <w:jc w:val="center"/>
        </w:trPr>
        <w:tc>
          <w:tcPr>
            <w:tcW w:w="3840" w:type="dxa"/>
            <w:tcBorders>
              <w:top w:val="double" w:sz="6" w:space="0" w:color="auto"/>
              <w:left w:val="double" w:sz="6" w:space="0" w:color="auto"/>
              <w:bottom w:val="single" w:sz="4" w:space="0" w:color="auto"/>
              <w:right w:val="double" w:sz="6" w:space="0" w:color="auto"/>
            </w:tcBorders>
            <w:vAlign w:val="bottom"/>
          </w:tcPr>
          <w:p w14:paraId="7AC7AF45" w14:textId="77777777" w:rsidR="007043C5" w:rsidRPr="00026883" w:rsidRDefault="007043C5" w:rsidP="00DA2735">
            <w:pPr>
              <w:pStyle w:val="tabteksts"/>
              <w:rPr>
                <w:noProof/>
              </w:rPr>
            </w:pPr>
            <w:r w:rsidRPr="00026883">
              <w:rPr>
                <w:noProof/>
              </w:rPr>
              <w:t>Darba produktivitātes pieaugums (stundā)</w:t>
            </w:r>
          </w:p>
        </w:tc>
        <w:tc>
          <w:tcPr>
            <w:tcW w:w="754" w:type="dxa"/>
            <w:tcBorders>
              <w:top w:val="double" w:sz="6" w:space="0" w:color="auto"/>
              <w:left w:val="single" w:sz="4" w:space="0" w:color="auto"/>
              <w:bottom w:val="single" w:sz="4" w:space="0" w:color="auto"/>
              <w:right w:val="single" w:sz="4" w:space="0" w:color="auto"/>
            </w:tcBorders>
            <w:vAlign w:val="bottom"/>
          </w:tcPr>
          <w:p w14:paraId="599BD31E" w14:textId="77777777" w:rsidR="007043C5" w:rsidRPr="00026883" w:rsidRDefault="007043C5" w:rsidP="00DA2735">
            <w:pPr>
              <w:pStyle w:val="tabteksts"/>
              <w:tabs>
                <w:tab w:val="decimal" w:pos="436"/>
              </w:tabs>
            </w:pPr>
            <w:r w:rsidRPr="00026883">
              <w:t>5,4</w:t>
            </w:r>
          </w:p>
        </w:tc>
        <w:tc>
          <w:tcPr>
            <w:tcW w:w="754" w:type="dxa"/>
            <w:tcBorders>
              <w:top w:val="double" w:sz="6" w:space="0" w:color="auto"/>
              <w:left w:val="single" w:sz="4" w:space="0" w:color="auto"/>
              <w:bottom w:val="single" w:sz="4" w:space="0" w:color="auto"/>
              <w:right w:val="single" w:sz="4" w:space="0" w:color="auto"/>
            </w:tcBorders>
            <w:vAlign w:val="bottom"/>
          </w:tcPr>
          <w:p w14:paraId="49FF09C7" w14:textId="77777777" w:rsidR="007043C5" w:rsidRPr="00026883" w:rsidRDefault="007043C5" w:rsidP="00DA2735">
            <w:pPr>
              <w:pStyle w:val="tabteksts"/>
              <w:tabs>
                <w:tab w:val="decimal" w:pos="436"/>
              </w:tabs>
            </w:pPr>
            <w:r w:rsidRPr="00026883">
              <w:t>1,9</w:t>
            </w:r>
          </w:p>
        </w:tc>
        <w:tc>
          <w:tcPr>
            <w:tcW w:w="754" w:type="dxa"/>
            <w:tcBorders>
              <w:top w:val="double" w:sz="6" w:space="0" w:color="auto"/>
              <w:left w:val="single" w:sz="4" w:space="0" w:color="auto"/>
              <w:bottom w:val="single" w:sz="4" w:space="0" w:color="auto"/>
              <w:right w:val="single" w:sz="4" w:space="0" w:color="auto"/>
            </w:tcBorders>
            <w:vAlign w:val="bottom"/>
          </w:tcPr>
          <w:p w14:paraId="5826F600" w14:textId="77777777" w:rsidR="007043C5" w:rsidRPr="00026883" w:rsidRDefault="007043C5" w:rsidP="00DA2735">
            <w:pPr>
              <w:pStyle w:val="tabteksts"/>
              <w:tabs>
                <w:tab w:val="decimal" w:pos="436"/>
              </w:tabs>
            </w:pPr>
            <w:r w:rsidRPr="00026883">
              <w:t>2,3</w:t>
            </w:r>
          </w:p>
        </w:tc>
        <w:tc>
          <w:tcPr>
            <w:tcW w:w="754" w:type="dxa"/>
            <w:tcBorders>
              <w:top w:val="double" w:sz="6" w:space="0" w:color="auto"/>
              <w:left w:val="single" w:sz="4" w:space="0" w:color="auto"/>
              <w:bottom w:val="single" w:sz="4" w:space="0" w:color="auto"/>
              <w:right w:val="single" w:sz="4" w:space="0" w:color="auto"/>
            </w:tcBorders>
            <w:vAlign w:val="bottom"/>
          </w:tcPr>
          <w:p w14:paraId="69B84E9D" w14:textId="77777777" w:rsidR="007043C5" w:rsidRPr="00026883" w:rsidRDefault="007043C5" w:rsidP="00DA2735">
            <w:pPr>
              <w:pStyle w:val="tabteksts"/>
              <w:tabs>
                <w:tab w:val="decimal" w:pos="436"/>
              </w:tabs>
            </w:pPr>
            <w:r w:rsidRPr="00026883">
              <w:t>2,3</w:t>
            </w:r>
          </w:p>
        </w:tc>
        <w:tc>
          <w:tcPr>
            <w:tcW w:w="754" w:type="dxa"/>
            <w:tcBorders>
              <w:top w:val="double" w:sz="6" w:space="0" w:color="auto"/>
              <w:left w:val="single" w:sz="4" w:space="0" w:color="auto"/>
              <w:bottom w:val="single" w:sz="4" w:space="0" w:color="auto"/>
              <w:right w:val="single" w:sz="4" w:space="0" w:color="auto"/>
            </w:tcBorders>
            <w:vAlign w:val="bottom"/>
          </w:tcPr>
          <w:p w14:paraId="5EACDD76" w14:textId="77777777" w:rsidR="007043C5" w:rsidRPr="00026883" w:rsidRDefault="007043C5" w:rsidP="00DA2735">
            <w:pPr>
              <w:pStyle w:val="tabteksts"/>
              <w:tabs>
                <w:tab w:val="decimal" w:pos="436"/>
              </w:tabs>
            </w:pPr>
            <w:r w:rsidRPr="00026883">
              <w:t>1,9</w:t>
            </w:r>
          </w:p>
        </w:tc>
        <w:tc>
          <w:tcPr>
            <w:tcW w:w="754" w:type="dxa"/>
            <w:tcBorders>
              <w:top w:val="double" w:sz="6" w:space="0" w:color="auto"/>
              <w:left w:val="single" w:sz="4" w:space="0" w:color="auto"/>
              <w:bottom w:val="single" w:sz="4" w:space="0" w:color="auto"/>
              <w:right w:val="double" w:sz="6" w:space="0" w:color="auto"/>
            </w:tcBorders>
            <w:vAlign w:val="bottom"/>
          </w:tcPr>
          <w:p w14:paraId="28B8DE72" w14:textId="77777777" w:rsidR="007043C5" w:rsidRPr="00026883" w:rsidRDefault="007043C5" w:rsidP="00DA2735">
            <w:pPr>
              <w:pStyle w:val="tabteksts"/>
              <w:tabs>
                <w:tab w:val="decimal" w:pos="436"/>
              </w:tabs>
            </w:pPr>
            <w:r w:rsidRPr="00026883">
              <w:t>1,5</w:t>
            </w:r>
          </w:p>
        </w:tc>
      </w:tr>
      <w:tr w:rsidR="007043C5" w:rsidRPr="00026883" w14:paraId="452980C3"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7B912666" w14:textId="77777777" w:rsidR="007043C5" w:rsidRPr="00026883" w:rsidRDefault="007043C5" w:rsidP="00DA2735">
            <w:pPr>
              <w:pStyle w:val="tabteksts"/>
            </w:pPr>
            <w:r w:rsidRPr="00026883">
              <w:t>IKP pieaugums, salīdzināmās cenās</w:t>
            </w:r>
          </w:p>
        </w:tc>
        <w:tc>
          <w:tcPr>
            <w:tcW w:w="754" w:type="dxa"/>
            <w:tcBorders>
              <w:top w:val="single" w:sz="4" w:space="0" w:color="auto"/>
              <w:left w:val="single" w:sz="4" w:space="0" w:color="auto"/>
              <w:bottom w:val="single" w:sz="4" w:space="0" w:color="auto"/>
              <w:right w:val="single" w:sz="4" w:space="0" w:color="auto"/>
            </w:tcBorders>
            <w:vAlign w:val="bottom"/>
          </w:tcPr>
          <w:p w14:paraId="0A7AFE9C" w14:textId="77777777" w:rsidR="007043C5" w:rsidRPr="00026883" w:rsidRDefault="007043C5" w:rsidP="00DA2735">
            <w:pPr>
              <w:pStyle w:val="tabteksts"/>
              <w:tabs>
                <w:tab w:val="decimal" w:pos="436"/>
              </w:tabs>
            </w:pPr>
            <w:r w:rsidRPr="00026883">
              <w:t>-0,3</w:t>
            </w:r>
          </w:p>
        </w:tc>
        <w:tc>
          <w:tcPr>
            <w:tcW w:w="754" w:type="dxa"/>
            <w:tcBorders>
              <w:top w:val="single" w:sz="4" w:space="0" w:color="auto"/>
              <w:left w:val="single" w:sz="4" w:space="0" w:color="auto"/>
              <w:bottom w:val="single" w:sz="4" w:space="0" w:color="auto"/>
              <w:right w:val="single" w:sz="4" w:space="0" w:color="auto"/>
            </w:tcBorders>
            <w:vAlign w:val="bottom"/>
          </w:tcPr>
          <w:p w14:paraId="2B865B59" w14:textId="77777777" w:rsidR="007043C5" w:rsidRPr="00026883" w:rsidRDefault="007043C5" w:rsidP="00DA2735">
            <w:pPr>
              <w:pStyle w:val="tabteksts"/>
              <w:tabs>
                <w:tab w:val="decimal" w:pos="436"/>
              </w:tabs>
            </w:pPr>
            <w:r w:rsidRPr="00026883">
              <w:t>2,1</w:t>
            </w:r>
          </w:p>
        </w:tc>
        <w:tc>
          <w:tcPr>
            <w:tcW w:w="754" w:type="dxa"/>
            <w:tcBorders>
              <w:top w:val="single" w:sz="4" w:space="0" w:color="auto"/>
              <w:left w:val="single" w:sz="4" w:space="0" w:color="auto"/>
              <w:bottom w:val="single" w:sz="4" w:space="0" w:color="auto"/>
              <w:right w:val="single" w:sz="4" w:space="0" w:color="auto"/>
            </w:tcBorders>
            <w:vAlign w:val="bottom"/>
          </w:tcPr>
          <w:p w14:paraId="5C6B3368" w14:textId="77777777" w:rsidR="007043C5" w:rsidRPr="00026883" w:rsidRDefault="007043C5" w:rsidP="00DA2735">
            <w:pPr>
              <w:pStyle w:val="tabteksts"/>
              <w:tabs>
                <w:tab w:val="decimal" w:pos="436"/>
              </w:tabs>
            </w:pPr>
            <w:r w:rsidRPr="00026883">
              <w:t>2,1</w:t>
            </w:r>
          </w:p>
        </w:tc>
        <w:tc>
          <w:tcPr>
            <w:tcW w:w="754" w:type="dxa"/>
            <w:tcBorders>
              <w:top w:val="single" w:sz="4" w:space="0" w:color="auto"/>
              <w:left w:val="single" w:sz="4" w:space="0" w:color="auto"/>
              <w:bottom w:val="single" w:sz="4" w:space="0" w:color="auto"/>
              <w:right w:val="single" w:sz="4" w:space="0" w:color="auto"/>
            </w:tcBorders>
            <w:vAlign w:val="bottom"/>
          </w:tcPr>
          <w:p w14:paraId="17A000F7" w14:textId="77777777" w:rsidR="007043C5" w:rsidRPr="00026883" w:rsidRDefault="007043C5" w:rsidP="00DA2735">
            <w:pPr>
              <w:pStyle w:val="tabteksts"/>
              <w:tabs>
                <w:tab w:val="decimal" w:pos="436"/>
              </w:tabs>
            </w:pPr>
            <w:r w:rsidRPr="00026883">
              <w:t>1,4</w:t>
            </w:r>
          </w:p>
        </w:tc>
        <w:tc>
          <w:tcPr>
            <w:tcW w:w="754" w:type="dxa"/>
            <w:tcBorders>
              <w:top w:val="single" w:sz="4" w:space="0" w:color="auto"/>
              <w:left w:val="single" w:sz="4" w:space="0" w:color="auto"/>
              <w:bottom w:val="single" w:sz="4" w:space="0" w:color="auto"/>
              <w:right w:val="single" w:sz="4" w:space="0" w:color="auto"/>
            </w:tcBorders>
            <w:vAlign w:val="bottom"/>
          </w:tcPr>
          <w:p w14:paraId="7051B195" w14:textId="77777777" w:rsidR="007043C5" w:rsidRPr="00026883" w:rsidRDefault="007043C5" w:rsidP="00DA2735">
            <w:pPr>
              <w:pStyle w:val="tabteksts"/>
              <w:tabs>
                <w:tab w:val="decimal" w:pos="436"/>
              </w:tabs>
            </w:pPr>
            <w:r w:rsidRPr="00026883">
              <w:t>0,3</w:t>
            </w:r>
          </w:p>
        </w:tc>
        <w:tc>
          <w:tcPr>
            <w:tcW w:w="754" w:type="dxa"/>
            <w:tcBorders>
              <w:top w:val="single" w:sz="4" w:space="0" w:color="auto"/>
              <w:left w:val="single" w:sz="4" w:space="0" w:color="auto"/>
              <w:bottom w:val="single" w:sz="4" w:space="0" w:color="auto"/>
              <w:right w:val="double" w:sz="6" w:space="0" w:color="auto"/>
            </w:tcBorders>
            <w:vAlign w:val="bottom"/>
          </w:tcPr>
          <w:p w14:paraId="0916A7A1" w14:textId="77777777" w:rsidR="007043C5" w:rsidRPr="00026883" w:rsidRDefault="007043C5" w:rsidP="00DA2735">
            <w:pPr>
              <w:pStyle w:val="tabteksts"/>
              <w:tabs>
                <w:tab w:val="decimal" w:pos="436"/>
              </w:tabs>
            </w:pPr>
            <w:r w:rsidRPr="00026883">
              <w:t>0,5</w:t>
            </w:r>
          </w:p>
        </w:tc>
      </w:tr>
      <w:tr w:rsidR="007043C5" w:rsidRPr="00026883" w14:paraId="45D890E9"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643D984C" w14:textId="77777777" w:rsidR="007043C5" w:rsidRPr="00026883" w:rsidRDefault="007043C5" w:rsidP="00DA2735">
            <w:pPr>
              <w:pStyle w:val="tabteksts"/>
            </w:pPr>
            <w:r w:rsidRPr="00026883">
              <w:t>Līdzdalības līmenis, vīrieši (20-64)</w:t>
            </w:r>
          </w:p>
        </w:tc>
        <w:tc>
          <w:tcPr>
            <w:tcW w:w="754" w:type="dxa"/>
            <w:tcBorders>
              <w:top w:val="single" w:sz="4" w:space="0" w:color="auto"/>
              <w:left w:val="single" w:sz="4" w:space="0" w:color="auto"/>
              <w:bottom w:val="single" w:sz="4" w:space="0" w:color="auto"/>
              <w:right w:val="single" w:sz="4" w:space="0" w:color="auto"/>
            </w:tcBorders>
            <w:vAlign w:val="bottom"/>
          </w:tcPr>
          <w:p w14:paraId="2A08852F" w14:textId="77777777" w:rsidR="007043C5" w:rsidRPr="00026883" w:rsidRDefault="007043C5" w:rsidP="00DA2735">
            <w:pPr>
              <w:pStyle w:val="tabteksts"/>
              <w:tabs>
                <w:tab w:val="decimal" w:pos="436"/>
              </w:tabs>
            </w:pPr>
            <w:r w:rsidRPr="00026883">
              <w:t>83,2</w:t>
            </w:r>
          </w:p>
        </w:tc>
        <w:tc>
          <w:tcPr>
            <w:tcW w:w="754" w:type="dxa"/>
            <w:tcBorders>
              <w:top w:val="single" w:sz="4" w:space="0" w:color="auto"/>
              <w:left w:val="single" w:sz="4" w:space="0" w:color="auto"/>
              <w:bottom w:val="single" w:sz="4" w:space="0" w:color="auto"/>
              <w:right w:val="single" w:sz="4" w:space="0" w:color="auto"/>
            </w:tcBorders>
            <w:vAlign w:val="bottom"/>
          </w:tcPr>
          <w:p w14:paraId="23EA334B" w14:textId="77777777" w:rsidR="007043C5" w:rsidRPr="00026883" w:rsidRDefault="007043C5" w:rsidP="00DA2735">
            <w:pPr>
              <w:pStyle w:val="tabteksts"/>
              <w:tabs>
                <w:tab w:val="decimal" w:pos="436"/>
              </w:tabs>
            </w:pPr>
            <w:r w:rsidRPr="00026883">
              <w:t>86,2</w:t>
            </w:r>
          </w:p>
        </w:tc>
        <w:tc>
          <w:tcPr>
            <w:tcW w:w="754" w:type="dxa"/>
            <w:tcBorders>
              <w:top w:val="single" w:sz="4" w:space="0" w:color="auto"/>
              <w:left w:val="single" w:sz="4" w:space="0" w:color="auto"/>
              <w:bottom w:val="single" w:sz="4" w:space="0" w:color="auto"/>
              <w:right w:val="single" w:sz="4" w:space="0" w:color="auto"/>
            </w:tcBorders>
            <w:vAlign w:val="bottom"/>
          </w:tcPr>
          <w:p w14:paraId="6ABE8834" w14:textId="77777777" w:rsidR="007043C5" w:rsidRPr="00026883" w:rsidRDefault="007043C5" w:rsidP="00DA2735">
            <w:pPr>
              <w:pStyle w:val="tabteksts"/>
              <w:tabs>
                <w:tab w:val="decimal" w:pos="436"/>
              </w:tabs>
            </w:pPr>
            <w:r w:rsidRPr="00026883">
              <w:t>87,1</w:t>
            </w:r>
          </w:p>
        </w:tc>
        <w:tc>
          <w:tcPr>
            <w:tcW w:w="754" w:type="dxa"/>
            <w:tcBorders>
              <w:top w:val="single" w:sz="4" w:space="0" w:color="auto"/>
              <w:left w:val="single" w:sz="4" w:space="0" w:color="auto"/>
              <w:bottom w:val="single" w:sz="4" w:space="0" w:color="auto"/>
              <w:right w:val="single" w:sz="4" w:space="0" w:color="auto"/>
            </w:tcBorders>
            <w:vAlign w:val="bottom"/>
          </w:tcPr>
          <w:p w14:paraId="2A7C296E" w14:textId="77777777" w:rsidR="007043C5" w:rsidRPr="00026883" w:rsidRDefault="007043C5" w:rsidP="00DA2735">
            <w:pPr>
              <w:pStyle w:val="tabteksts"/>
              <w:tabs>
                <w:tab w:val="decimal" w:pos="436"/>
              </w:tabs>
            </w:pPr>
            <w:r w:rsidRPr="00026883">
              <w:t>86,9</w:t>
            </w:r>
          </w:p>
        </w:tc>
        <w:tc>
          <w:tcPr>
            <w:tcW w:w="754" w:type="dxa"/>
            <w:tcBorders>
              <w:top w:val="single" w:sz="4" w:space="0" w:color="auto"/>
              <w:left w:val="single" w:sz="4" w:space="0" w:color="auto"/>
              <w:bottom w:val="single" w:sz="4" w:space="0" w:color="auto"/>
              <w:right w:val="single" w:sz="4" w:space="0" w:color="auto"/>
            </w:tcBorders>
            <w:vAlign w:val="bottom"/>
          </w:tcPr>
          <w:p w14:paraId="784E2212" w14:textId="77777777" w:rsidR="007043C5" w:rsidRPr="00026883" w:rsidRDefault="007043C5" w:rsidP="00DA2735">
            <w:pPr>
              <w:pStyle w:val="tabteksts"/>
              <w:tabs>
                <w:tab w:val="decimal" w:pos="436"/>
              </w:tabs>
            </w:pPr>
            <w:r w:rsidRPr="00026883">
              <w:t>85,6</w:t>
            </w:r>
          </w:p>
        </w:tc>
        <w:tc>
          <w:tcPr>
            <w:tcW w:w="754" w:type="dxa"/>
            <w:tcBorders>
              <w:top w:val="single" w:sz="4" w:space="0" w:color="auto"/>
              <w:left w:val="single" w:sz="4" w:space="0" w:color="auto"/>
              <w:bottom w:val="single" w:sz="4" w:space="0" w:color="auto"/>
              <w:right w:val="double" w:sz="6" w:space="0" w:color="auto"/>
            </w:tcBorders>
            <w:vAlign w:val="bottom"/>
          </w:tcPr>
          <w:p w14:paraId="687E06D2" w14:textId="77777777" w:rsidR="007043C5" w:rsidRPr="00026883" w:rsidRDefault="007043C5" w:rsidP="00DA2735">
            <w:pPr>
              <w:pStyle w:val="tabteksts"/>
              <w:tabs>
                <w:tab w:val="decimal" w:pos="436"/>
              </w:tabs>
            </w:pPr>
            <w:r w:rsidRPr="00026883">
              <w:t>87,2</w:t>
            </w:r>
          </w:p>
        </w:tc>
      </w:tr>
      <w:tr w:rsidR="007043C5" w:rsidRPr="00026883" w14:paraId="631143E4"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203C26B2" w14:textId="77777777" w:rsidR="007043C5" w:rsidRPr="00026883" w:rsidRDefault="007043C5" w:rsidP="00DA2735">
            <w:pPr>
              <w:pStyle w:val="tabteksts"/>
            </w:pPr>
            <w:r w:rsidRPr="00026883">
              <w:t>Līdzdalības līmenis, sievietes (20-64)</w:t>
            </w:r>
          </w:p>
        </w:tc>
        <w:tc>
          <w:tcPr>
            <w:tcW w:w="754" w:type="dxa"/>
            <w:tcBorders>
              <w:top w:val="single" w:sz="4" w:space="0" w:color="auto"/>
              <w:left w:val="single" w:sz="4" w:space="0" w:color="auto"/>
              <w:bottom w:val="single" w:sz="4" w:space="0" w:color="auto"/>
              <w:right w:val="single" w:sz="4" w:space="0" w:color="auto"/>
            </w:tcBorders>
            <w:vAlign w:val="bottom"/>
          </w:tcPr>
          <w:p w14:paraId="3EA52B4B" w14:textId="77777777" w:rsidR="007043C5" w:rsidRPr="00026883" w:rsidRDefault="007043C5" w:rsidP="00DA2735">
            <w:pPr>
              <w:pStyle w:val="tabteksts"/>
              <w:tabs>
                <w:tab w:val="decimal" w:pos="436"/>
              </w:tabs>
            </w:pPr>
            <w:r w:rsidRPr="00026883">
              <w:t>76,7</w:t>
            </w:r>
          </w:p>
        </w:tc>
        <w:tc>
          <w:tcPr>
            <w:tcW w:w="754" w:type="dxa"/>
            <w:tcBorders>
              <w:top w:val="single" w:sz="4" w:space="0" w:color="auto"/>
              <w:left w:val="single" w:sz="4" w:space="0" w:color="auto"/>
              <w:bottom w:val="single" w:sz="4" w:space="0" w:color="auto"/>
              <w:right w:val="single" w:sz="4" w:space="0" w:color="auto"/>
            </w:tcBorders>
            <w:vAlign w:val="bottom"/>
          </w:tcPr>
          <w:p w14:paraId="617AB1AA" w14:textId="77777777" w:rsidR="007043C5" w:rsidRPr="00026883" w:rsidRDefault="007043C5" w:rsidP="00DA2735">
            <w:pPr>
              <w:pStyle w:val="tabteksts"/>
              <w:tabs>
                <w:tab w:val="decimal" w:pos="436"/>
              </w:tabs>
            </w:pPr>
            <w:r w:rsidRPr="00026883">
              <w:t>80,3</w:t>
            </w:r>
          </w:p>
        </w:tc>
        <w:tc>
          <w:tcPr>
            <w:tcW w:w="754" w:type="dxa"/>
            <w:tcBorders>
              <w:top w:val="single" w:sz="4" w:space="0" w:color="auto"/>
              <w:left w:val="single" w:sz="4" w:space="0" w:color="auto"/>
              <w:bottom w:val="single" w:sz="4" w:space="0" w:color="auto"/>
              <w:right w:val="single" w:sz="4" w:space="0" w:color="auto"/>
            </w:tcBorders>
            <w:vAlign w:val="bottom"/>
          </w:tcPr>
          <w:p w14:paraId="3AFEA34B" w14:textId="77777777" w:rsidR="007043C5" w:rsidRPr="00026883" w:rsidRDefault="007043C5" w:rsidP="00DA2735">
            <w:pPr>
              <w:pStyle w:val="tabteksts"/>
              <w:tabs>
                <w:tab w:val="decimal" w:pos="436"/>
              </w:tabs>
            </w:pPr>
            <w:r w:rsidRPr="00026883">
              <w:t>82,3</w:t>
            </w:r>
          </w:p>
        </w:tc>
        <w:tc>
          <w:tcPr>
            <w:tcW w:w="754" w:type="dxa"/>
            <w:tcBorders>
              <w:top w:val="single" w:sz="4" w:space="0" w:color="auto"/>
              <w:left w:val="single" w:sz="4" w:space="0" w:color="auto"/>
              <w:bottom w:val="single" w:sz="4" w:space="0" w:color="auto"/>
              <w:right w:val="single" w:sz="4" w:space="0" w:color="auto"/>
            </w:tcBorders>
            <w:vAlign w:val="bottom"/>
          </w:tcPr>
          <w:p w14:paraId="55CB5A99" w14:textId="77777777" w:rsidR="007043C5" w:rsidRPr="00026883" w:rsidRDefault="007043C5" w:rsidP="00DA2735">
            <w:pPr>
              <w:pStyle w:val="tabteksts"/>
              <w:tabs>
                <w:tab w:val="decimal" w:pos="436"/>
              </w:tabs>
            </w:pPr>
            <w:r w:rsidRPr="00026883">
              <w:t>82,5</w:t>
            </w:r>
          </w:p>
        </w:tc>
        <w:tc>
          <w:tcPr>
            <w:tcW w:w="754" w:type="dxa"/>
            <w:tcBorders>
              <w:top w:val="single" w:sz="4" w:space="0" w:color="auto"/>
              <w:left w:val="single" w:sz="4" w:space="0" w:color="auto"/>
              <w:bottom w:val="single" w:sz="4" w:space="0" w:color="auto"/>
              <w:right w:val="single" w:sz="4" w:space="0" w:color="auto"/>
            </w:tcBorders>
            <w:vAlign w:val="bottom"/>
          </w:tcPr>
          <w:p w14:paraId="755F7E10" w14:textId="77777777" w:rsidR="007043C5" w:rsidRPr="00026883" w:rsidRDefault="007043C5" w:rsidP="00DA2735">
            <w:pPr>
              <w:pStyle w:val="tabteksts"/>
              <w:tabs>
                <w:tab w:val="decimal" w:pos="436"/>
              </w:tabs>
            </w:pPr>
            <w:r w:rsidRPr="00026883">
              <w:t>81,9</w:t>
            </w:r>
          </w:p>
        </w:tc>
        <w:tc>
          <w:tcPr>
            <w:tcW w:w="754" w:type="dxa"/>
            <w:tcBorders>
              <w:top w:val="single" w:sz="4" w:space="0" w:color="auto"/>
              <w:left w:val="single" w:sz="4" w:space="0" w:color="auto"/>
              <w:bottom w:val="single" w:sz="4" w:space="0" w:color="auto"/>
              <w:right w:val="double" w:sz="6" w:space="0" w:color="auto"/>
            </w:tcBorders>
            <w:vAlign w:val="bottom"/>
          </w:tcPr>
          <w:p w14:paraId="6B742DE3" w14:textId="77777777" w:rsidR="007043C5" w:rsidRPr="00026883" w:rsidRDefault="007043C5" w:rsidP="00DA2735">
            <w:pPr>
              <w:pStyle w:val="tabteksts"/>
              <w:tabs>
                <w:tab w:val="decimal" w:pos="436"/>
              </w:tabs>
            </w:pPr>
            <w:r w:rsidRPr="00026883">
              <w:t>83,7</w:t>
            </w:r>
          </w:p>
        </w:tc>
      </w:tr>
      <w:tr w:rsidR="007043C5" w:rsidRPr="00026883" w14:paraId="3D4DAECF"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2866675C" w14:textId="77777777" w:rsidR="007043C5" w:rsidRPr="00026883" w:rsidRDefault="007043C5" w:rsidP="00DA2735">
            <w:pPr>
              <w:pStyle w:val="tabteksts"/>
            </w:pPr>
            <w:r w:rsidRPr="00026883">
              <w:t>Līdzdalības līmenis, kopā (20-64)</w:t>
            </w:r>
          </w:p>
        </w:tc>
        <w:tc>
          <w:tcPr>
            <w:tcW w:w="754" w:type="dxa"/>
            <w:tcBorders>
              <w:top w:val="single" w:sz="4" w:space="0" w:color="auto"/>
              <w:left w:val="single" w:sz="4" w:space="0" w:color="auto"/>
              <w:bottom w:val="single" w:sz="4" w:space="0" w:color="auto"/>
              <w:right w:val="single" w:sz="4" w:space="0" w:color="auto"/>
            </w:tcBorders>
            <w:vAlign w:val="bottom"/>
          </w:tcPr>
          <w:p w14:paraId="7B97EC9D" w14:textId="77777777" w:rsidR="007043C5" w:rsidRPr="00026883" w:rsidRDefault="007043C5" w:rsidP="00DA2735">
            <w:pPr>
              <w:pStyle w:val="tabteksts"/>
              <w:tabs>
                <w:tab w:val="decimal" w:pos="436"/>
              </w:tabs>
            </w:pPr>
            <w:r w:rsidRPr="00026883">
              <w:t>79,9</w:t>
            </w:r>
          </w:p>
        </w:tc>
        <w:tc>
          <w:tcPr>
            <w:tcW w:w="754" w:type="dxa"/>
            <w:tcBorders>
              <w:top w:val="single" w:sz="4" w:space="0" w:color="auto"/>
              <w:left w:val="single" w:sz="4" w:space="0" w:color="auto"/>
              <w:bottom w:val="single" w:sz="4" w:space="0" w:color="auto"/>
              <w:right w:val="single" w:sz="4" w:space="0" w:color="auto"/>
            </w:tcBorders>
            <w:vAlign w:val="bottom"/>
          </w:tcPr>
          <w:p w14:paraId="0E5D4C15" w14:textId="77777777" w:rsidR="007043C5" w:rsidRPr="00026883" w:rsidRDefault="007043C5" w:rsidP="00DA2735">
            <w:pPr>
              <w:pStyle w:val="tabteksts"/>
              <w:tabs>
                <w:tab w:val="decimal" w:pos="436"/>
              </w:tabs>
            </w:pPr>
            <w:r w:rsidRPr="00026883">
              <w:t>83,2</w:t>
            </w:r>
          </w:p>
        </w:tc>
        <w:tc>
          <w:tcPr>
            <w:tcW w:w="754" w:type="dxa"/>
            <w:tcBorders>
              <w:top w:val="single" w:sz="4" w:space="0" w:color="auto"/>
              <w:left w:val="single" w:sz="4" w:space="0" w:color="auto"/>
              <w:bottom w:val="single" w:sz="4" w:space="0" w:color="auto"/>
              <w:right w:val="single" w:sz="4" w:space="0" w:color="auto"/>
            </w:tcBorders>
            <w:vAlign w:val="bottom"/>
          </w:tcPr>
          <w:p w14:paraId="2C3C7DA6" w14:textId="77777777" w:rsidR="007043C5" w:rsidRPr="00026883" w:rsidRDefault="007043C5" w:rsidP="00DA2735">
            <w:pPr>
              <w:pStyle w:val="tabteksts"/>
              <w:tabs>
                <w:tab w:val="decimal" w:pos="436"/>
              </w:tabs>
            </w:pPr>
            <w:r w:rsidRPr="00026883">
              <w:t>84,7</w:t>
            </w:r>
          </w:p>
        </w:tc>
        <w:tc>
          <w:tcPr>
            <w:tcW w:w="754" w:type="dxa"/>
            <w:tcBorders>
              <w:top w:val="single" w:sz="4" w:space="0" w:color="auto"/>
              <w:left w:val="single" w:sz="4" w:space="0" w:color="auto"/>
              <w:bottom w:val="single" w:sz="4" w:space="0" w:color="auto"/>
              <w:right w:val="single" w:sz="4" w:space="0" w:color="auto"/>
            </w:tcBorders>
            <w:vAlign w:val="bottom"/>
          </w:tcPr>
          <w:p w14:paraId="27AD0FBD" w14:textId="77777777" w:rsidR="007043C5" w:rsidRPr="00026883" w:rsidRDefault="007043C5" w:rsidP="00DA2735">
            <w:pPr>
              <w:pStyle w:val="tabteksts"/>
              <w:tabs>
                <w:tab w:val="decimal" w:pos="436"/>
              </w:tabs>
            </w:pPr>
            <w:r w:rsidRPr="00026883">
              <w:t>84,7</w:t>
            </w:r>
          </w:p>
        </w:tc>
        <w:tc>
          <w:tcPr>
            <w:tcW w:w="754" w:type="dxa"/>
            <w:tcBorders>
              <w:top w:val="single" w:sz="4" w:space="0" w:color="auto"/>
              <w:left w:val="single" w:sz="4" w:space="0" w:color="auto"/>
              <w:bottom w:val="single" w:sz="4" w:space="0" w:color="auto"/>
              <w:right w:val="single" w:sz="4" w:space="0" w:color="auto"/>
            </w:tcBorders>
            <w:vAlign w:val="bottom"/>
          </w:tcPr>
          <w:p w14:paraId="3541959C" w14:textId="77777777" w:rsidR="007043C5" w:rsidRPr="00026883" w:rsidRDefault="007043C5" w:rsidP="00DA2735">
            <w:pPr>
              <w:pStyle w:val="tabteksts"/>
              <w:tabs>
                <w:tab w:val="decimal" w:pos="436"/>
              </w:tabs>
            </w:pPr>
            <w:r w:rsidRPr="00026883">
              <w:t>83,8</w:t>
            </w:r>
          </w:p>
        </w:tc>
        <w:tc>
          <w:tcPr>
            <w:tcW w:w="754" w:type="dxa"/>
            <w:tcBorders>
              <w:top w:val="single" w:sz="4" w:space="0" w:color="auto"/>
              <w:left w:val="single" w:sz="4" w:space="0" w:color="auto"/>
              <w:bottom w:val="single" w:sz="4" w:space="0" w:color="auto"/>
              <w:right w:val="double" w:sz="6" w:space="0" w:color="auto"/>
            </w:tcBorders>
            <w:vAlign w:val="bottom"/>
          </w:tcPr>
          <w:p w14:paraId="3015543F" w14:textId="77777777" w:rsidR="007043C5" w:rsidRPr="00026883" w:rsidRDefault="007043C5" w:rsidP="00DA2735">
            <w:pPr>
              <w:pStyle w:val="tabteksts"/>
              <w:tabs>
                <w:tab w:val="decimal" w:pos="436"/>
              </w:tabs>
            </w:pPr>
            <w:r w:rsidRPr="00026883">
              <w:t>85,5</w:t>
            </w:r>
          </w:p>
        </w:tc>
      </w:tr>
      <w:tr w:rsidR="007043C5" w:rsidRPr="00026883" w14:paraId="7FC6A1BA" w14:textId="77777777" w:rsidTr="00DA2735">
        <w:trPr>
          <w:jc w:val="center"/>
        </w:trPr>
        <w:tc>
          <w:tcPr>
            <w:tcW w:w="3840" w:type="dxa"/>
            <w:tcBorders>
              <w:top w:val="single" w:sz="4" w:space="0" w:color="auto"/>
              <w:left w:val="double" w:sz="6" w:space="0" w:color="auto"/>
              <w:bottom w:val="single" w:sz="4" w:space="0" w:color="auto"/>
              <w:right w:val="double" w:sz="6" w:space="0" w:color="auto"/>
            </w:tcBorders>
            <w:vAlign w:val="bottom"/>
          </w:tcPr>
          <w:p w14:paraId="6837FE55" w14:textId="77777777" w:rsidR="007043C5" w:rsidRPr="00026883" w:rsidRDefault="007043C5" w:rsidP="00DA2735">
            <w:pPr>
              <w:pStyle w:val="tabteksts"/>
            </w:pPr>
            <w:r w:rsidRPr="00026883">
              <w:t>Bezdarba līmenis (20-64)</w:t>
            </w:r>
          </w:p>
        </w:tc>
        <w:tc>
          <w:tcPr>
            <w:tcW w:w="754" w:type="dxa"/>
            <w:tcBorders>
              <w:top w:val="single" w:sz="4" w:space="0" w:color="auto"/>
              <w:left w:val="single" w:sz="4" w:space="0" w:color="auto"/>
              <w:bottom w:val="single" w:sz="4" w:space="0" w:color="auto"/>
              <w:right w:val="single" w:sz="4" w:space="0" w:color="auto"/>
            </w:tcBorders>
            <w:vAlign w:val="bottom"/>
          </w:tcPr>
          <w:p w14:paraId="4724F97E" w14:textId="77777777" w:rsidR="007043C5" w:rsidRPr="00026883" w:rsidRDefault="007043C5" w:rsidP="00DA2735">
            <w:pPr>
              <w:pStyle w:val="tabteksts"/>
              <w:tabs>
                <w:tab w:val="decimal" w:pos="436"/>
              </w:tabs>
            </w:pPr>
            <w:r w:rsidRPr="00026883">
              <w:t>18,4</w:t>
            </w:r>
          </w:p>
        </w:tc>
        <w:tc>
          <w:tcPr>
            <w:tcW w:w="754" w:type="dxa"/>
            <w:tcBorders>
              <w:top w:val="single" w:sz="4" w:space="0" w:color="auto"/>
              <w:left w:val="single" w:sz="4" w:space="0" w:color="auto"/>
              <w:bottom w:val="single" w:sz="4" w:space="0" w:color="auto"/>
              <w:right w:val="single" w:sz="4" w:space="0" w:color="auto"/>
            </w:tcBorders>
            <w:vAlign w:val="bottom"/>
          </w:tcPr>
          <w:p w14:paraId="70841EDA" w14:textId="77777777" w:rsidR="007043C5" w:rsidRPr="00026883" w:rsidRDefault="007043C5" w:rsidP="00DA2735">
            <w:pPr>
              <w:pStyle w:val="tabteksts"/>
              <w:tabs>
                <w:tab w:val="decimal" w:pos="436"/>
              </w:tabs>
            </w:pPr>
            <w:r w:rsidRPr="00026883">
              <w:t>18,0</w:t>
            </w:r>
          </w:p>
        </w:tc>
        <w:tc>
          <w:tcPr>
            <w:tcW w:w="754" w:type="dxa"/>
            <w:tcBorders>
              <w:top w:val="single" w:sz="4" w:space="0" w:color="auto"/>
              <w:left w:val="single" w:sz="4" w:space="0" w:color="auto"/>
              <w:bottom w:val="single" w:sz="4" w:space="0" w:color="auto"/>
              <w:right w:val="single" w:sz="4" w:space="0" w:color="auto"/>
            </w:tcBorders>
            <w:vAlign w:val="bottom"/>
          </w:tcPr>
          <w:p w14:paraId="17A0875C" w14:textId="77777777" w:rsidR="007043C5" w:rsidRPr="00026883" w:rsidRDefault="007043C5" w:rsidP="00DA2735">
            <w:pPr>
              <w:pStyle w:val="tabteksts"/>
              <w:tabs>
                <w:tab w:val="decimal" w:pos="436"/>
              </w:tabs>
            </w:pPr>
            <w:r w:rsidRPr="00026883">
              <w:t>8,6</w:t>
            </w:r>
          </w:p>
        </w:tc>
        <w:tc>
          <w:tcPr>
            <w:tcW w:w="754" w:type="dxa"/>
            <w:tcBorders>
              <w:top w:val="single" w:sz="4" w:space="0" w:color="auto"/>
              <w:left w:val="single" w:sz="4" w:space="0" w:color="auto"/>
              <w:bottom w:val="single" w:sz="4" w:space="0" w:color="auto"/>
              <w:right w:val="single" w:sz="4" w:space="0" w:color="auto"/>
            </w:tcBorders>
            <w:vAlign w:val="bottom"/>
          </w:tcPr>
          <w:p w14:paraId="04759923" w14:textId="77777777" w:rsidR="007043C5" w:rsidRPr="00026883" w:rsidRDefault="007043C5" w:rsidP="00DA2735">
            <w:pPr>
              <w:pStyle w:val="tabteksts"/>
              <w:tabs>
                <w:tab w:val="decimal" w:pos="436"/>
              </w:tabs>
            </w:pPr>
            <w:r w:rsidRPr="00026883">
              <w:t>7,5</w:t>
            </w:r>
          </w:p>
        </w:tc>
        <w:tc>
          <w:tcPr>
            <w:tcW w:w="754" w:type="dxa"/>
            <w:tcBorders>
              <w:top w:val="single" w:sz="4" w:space="0" w:color="auto"/>
              <w:left w:val="single" w:sz="4" w:space="0" w:color="auto"/>
              <w:bottom w:val="single" w:sz="4" w:space="0" w:color="auto"/>
              <w:right w:val="single" w:sz="4" w:space="0" w:color="auto"/>
            </w:tcBorders>
            <w:vAlign w:val="bottom"/>
          </w:tcPr>
          <w:p w14:paraId="2E80767C" w14:textId="77777777" w:rsidR="007043C5" w:rsidRPr="00026883" w:rsidRDefault="007043C5" w:rsidP="00DA2735">
            <w:pPr>
              <w:pStyle w:val="tabteksts"/>
              <w:tabs>
                <w:tab w:val="decimal" w:pos="436"/>
              </w:tabs>
            </w:pPr>
            <w:r w:rsidRPr="00026883">
              <w:t>7,2</w:t>
            </w:r>
          </w:p>
        </w:tc>
        <w:tc>
          <w:tcPr>
            <w:tcW w:w="754" w:type="dxa"/>
            <w:tcBorders>
              <w:top w:val="single" w:sz="4" w:space="0" w:color="auto"/>
              <w:left w:val="single" w:sz="4" w:space="0" w:color="auto"/>
              <w:bottom w:val="single" w:sz="4" w:space="0" w:color="auto"/>
              <w:right w:val="double" w:sz="6" w:space="0" w:color="auto"/>
            </w:tcBorders>
            <w:vAlign w:val="bottom"/>
          </w:tcPr>
          <w:p w14:paraId="114E3151" w14:textId="77777777" w:rsidR="007043C5" w:rsidRPr="00026883" w:rsidRDefault="007043C5" w:rsidP="00DA2735">
            <w:pPr>
              <w:pStyle w:val="tabteksts"/>
              <w:tabs>
                <w:tab w:val="decimal" w:pos="436"/>
              </w:tabs>
            </w:pPr>
            <w:r w:rsidRPr="00026883">
              <w:t>7,1</w:t>
            </w:r>
          </w:p>
        </w:tc>
      </w:tr>
      <w:tr w:rsidR="007043C5" w:rsidRPr="00E604BB" w14:paraId="0402BF01" w14:textId="77777777" w:rsidTr="00DA2735">
        <w:trPr>
          <w:jc w:val="center"/>
        </w:trPr>
        <w:tc>
          <w:tcPr>
            <w:tcW w:w="3840" w:type="dxa"/>
            <w:tcBorders>
              <w:top w:val="single" w:sz="4" w:space="0" w:color="auto"/>
              <w:left w:val="double" w:sz="6" w:space="0" w:color="auto"/>
              <w:bottom w:val="double" w:sz="6" w:space="0" w:color="auto"/>
              <w:right w:val="double" w:sz="6" w:space="0" w:color="auto"/>
            </w:tcBorders>
            <w:vAlign w:val="bottom"/>
          </w:tcPr>
          <w:p w14:paraId="02374A58" w14:textId="77777777" w:rsidR="007043C5" w:rsidRPr="00026883" w:rsidRDefault="007043C5" w:rsidP="00DA2735">
            <w:pPr>
              <w:pStyle w:val="tabteksts"/>
            </w:pPr>
            <w:r w:rsidRPr="00026883">
              <w:t>Iedzīvotāji 65+ no kopējā iedzīvotāju skaita, %</w:t>
            </w:r>
          </w:p>
        </w:tc>
        <w:tc>
          <w:tcPr>
            <w:tcW w:w="754" w:type="dxa"/>
            <w:tcBorders>
              <w:top w:val="single" w:sz="4" w:space="0" w:color="auto"/>
              <w:left w:val="single" w:sz="4" w:space="0" w:color="auto"/>
              <w:bottom w:val="double" w:sz="6" w:space="0" w:color="auto"/>
              <w:right w:val="single" w:sz="4" w:space="0" w:color="auto"/>
            </w:tcBorders>
            <w:vAlign w:val="bottom"/>
          </w:tcPr>
          <w:p w14:paraId="1E2BC97E" w14:textId="77777777" w:rsidR="007043C5" w:rsidRPr="00026883" w:rsidRDefault="007043C5" w:rsidP="00DA2735">
            <w:pPr>
              <w:pStyle w:val="tabteksts"/>
              <w:tabs>
                <w:tab w:val="decimal" w:pos="436"/>
              </w:tabs>
            </w:pPr>
            <w:r w:rsidRPr="00026883">
              <w:t>17,3</w:t>
            </w:r>
          </w:p>
        </w:tc>
        <w:tc>
          <w:tcPr>
            <w:tcW w:w="754" w:type="dxa"/>
            <w:tcBorders>
              <w:top w:val="single" w:sz="4" w:space="0" w:color="auto"/>
              <w:left w:val="single" w:sz="4" w:space="0" w:color="auto"/>
              <w:bottom w:val="double" w:sz="6" w:space="0" w:color="auto"/>
              <w:right w:val="single" w:sz="4" w:space="0" w:color="auto"/>
            </w:tcBorders>
            <w:vAlign w:val="bottom"/>
          </w:tcPr>
          <w:p w14:paraId="10DDB11C" w14:textId="77777777" w:rsidR="007043C5" w:rsidRPr="00026883" w:rsidRDefault="007043C5" w:rsidP="00DA2735">
            <w:pPr>
              <w:pStyle w:val="tabteksts"/>
              <w:tabs>
                <w:tab w:val="decimal" w:pos="436"/>
              </w:tabs>
            </w:pPr>
            <w:r w:rsidRPr="00026883">
              <w:t>19,2</w:t>
            </w:r>
          </w:p>
        </w:tc>
        <w:tc>
          <w:tcPr>
            <w:tcW w:w="754" w:type="dxa"/>
            <w:tcBorders>
              <w:top w:val="single" w:sz="4" w:space="0" w:color="auto"/>
              <w:left w:val="single" w:sz="4" w:space="0" w:color="auto"/>
              <w:bottom w:val="double" w:sz="6" w:space="0" w:color="auto"/>
              <w:right w:val="single" w:sz="4" w:space="0" w:color="auto"/>
            </w:tcBorders>
            <w:vAlign w:val="bottom"/>
          </w:tcPr>
          <w:p w14:paraId="23E02A7C" w14:textId="77777777" w:rsidR="007043C5" w:rsidRPr="00026883" w:rsidRDefault="007043C5" w:rsidP="00DA2735">
            <w:pPr>
              <w:pStyle w:val="tabteksts"/>
              <w:tabs>
                <w:tab w:val="decimal" w:pos="436"/>
              </w:tabs>
            </w:pPr>
            <w:r w:rsidRPr="00026883">
              <w:t>23,2</w:t>
            </w:r>
          </w:p>
        </w:tc>
        <w:tc>
          <w:tcPr>
            <w:tcW w:w="754" w:type="dxa"/>
            <w:tcBorders>
              <w:top w:val="single" w:sz="4" w:space="0" w:color="auto"/>
              <w:left w:val="single" w:sz="4" w:space="0" w:color="auto"/>
              <w:bottom w:val="double" w:sz="6" w:space="0" w:color="auto"/>
              <w:right w:val="single" w:sz="4" w:space="0" w:color="auto"/>
            </w:tcBorders>
            <w:vAlign w:val="bottom"/>
          </w:tcPr>
          <w:p w14:paraId="69CA8A12" w14:textId="77777777" w:rsidR="007043C5" w:rsidRPr="00026883" w:rsidRDefault="007043C5" w:rsidP="00DA2735">
            <w:pPr>
              <w:pStyle w:val="tabteksts"/>
              <w:tabs>
                <w:tab w:val="decimal" w:pos="436"/>
              </w:tabs>
            </w:pPr>
            <w:r w:rsidRPr="00026883">
              <w:t>26,8</w:t>
            </w:r>
          </w:p>
        </w:tc>
        <w:tc>
          <w:tcPr>
            <w:tcW w:w="754" w:type="dxa"/>
            <w:tcBorders>
              <w:top w:val="single" w:sz="4" w:space="0" w:color="auto"/>
              <w:left w:val="single" w:sz="4" w:space="0" w:color="auto"/>
              <w:bottom w:val="double" w:sz="6" w:space="0" w:color="auto"/>
              <w:right w:val="single" w:sz="4" w:space="0" w:color="auto"/>
            </w:tcBorders>
            <w:vAlign w:val="bottom"/>
          </w:tcPr>
          <w:p w14:paraId="1A1FC921" w14:textId="77777777" w:rsidR="007043C5" w:rsidRPr="00026883" w:rsidRDefault="007043C5" w:rsidP="00DA2735">
            <w:pPr>
              <w:pStyle w:val="tabteksts"/>
              <w:tabs>
                <w:tab w:val="decimal" w:pos="436"/>
              </w:tabs>
            </w:pPr>
            <w:r w:rsidRPr="00026883">
              <w:t>31,2</w:t>
            </w:r>
          </w:p>
        </w:tc>
        <w:tc>
          <w:tcPr>
            <w:tcW w:w="754" w:type="dxa"/>
            <w:tcBorders>
              <w:top w:val="single" w:sz="4" w:space="0" w:color="auto"/>
              <w:left w:val="single" w:sz="4" w:space="0" w:color="auto"/>
              <w:bottom w:val="double" w:sz="6" w:space="0" w:color="auto"/>
              <w:right w:val="double" w:sz="6" w:space="0" w:color="auto"/>
            </w:tcBorders>
            <w:vAlign w:val="bottom"/>
          </w:tcPr>
          <w:p w14:paraId="5073C2BD" w14:textId="77777777" w:rsidR="007043C5" w:rsidRPr="00026883" w:rsidRDefault="007043C5" w:rsidP="00DA2735">
            <w:pPr>
              <w:pStyle w:val="tabteksts"/>
              <w:tabs>
                <w:tab w:val="decimal" w:pos="436"/>
              </w:tabs>
            </w:pPr>
            <w:r w:rsidRPr="00026883">
              <w:t>35,6</w:t>
            </w:r>
          </w:p>
        </w:tc>
      </w:tr>
    </w:tbl>
    <w:p w14:paraId="786643E1" w14:textId="77777777" w:rsidR="007043C5" w:rsidRDefault="007043C5" w:rsidP="007043C5">
      <w:pPr>
        <w:rPr>
          <w:szCs w:val="24"/>
        </w:rPr>
      </w:pPr>
    </w:p>
    <w:p w14:paraId="064709A0" w14:textId="2C98B3B8" w:rsidR="007043C5" w:rsidRDefault="007043C5" w:rsidP="007043C5">
      <w:pPr>
        <w:rPr>
          <w:szCs w:val="24"/>
        </w:rPr>
      </w:pPr>
      <w:r w:rsidRPr="00B73EE2">
        <w:rPr>
          <w:szCs w:val="24"/>
        </w:rPr>
        <w:t>Saskaņā ar AWG</w:t>
      </w:r>
      <w:r>
        <w:rPr>
          <w:szCs w:val="24"/>
        </w:rPr>
        <w:t xml:space="preserve"> </w:t>
      </w:r>
      <w:r w:rsidRPr="00B73EE2">
        <w:rPr>
          <w:szCs w:val="24"/>
        </w:rPr>
        <w:t>jaunākajām prognoz</w:t>
      </w:r>
      <w:r>
        <w:rPr>
          <w:szCs w:val="24"/>
        </w:rPr>
        <w:t xml:space="preserve">ēm ar sabiedrības novecošanos saistītie publiskā sektora </w:t>
      </w:r>
      <w:r w:rsidRPr="00026883">
        <w:rPr>
          <w:szCs w:val="24"/>
        </w:rPr>
        <w:t>izdevumi</w:t>
      </w:r>
      <w:r w:rsidRPr="00B73EE2">
        <w:rPr>
          <w:b/>
          <w:szCs w:val="24"/>
        </w:rPr>
        <w:t xml:space="preserve"> </w:t>
      </w:r>
      <w:r>
        <w:rPr>
          <w:szCs w:val="24"/>
        </w:rPr>
        <w:t xml:space="preserve">2060. gadā </w:t>
      </w:r>
      <w:r w:rsidRPr="00B73EE2">
        <w:rPr>
          <w:szCs w:val="24"/>
        </w:rPr>
        <w:t>salīdzinājumā ar 20</w:t>
      </w:r>
      <w:r>
        <w:rPr>
          <w:szCs w:val="24"/>
        </w:rPr>
        <w:t>10</w:t>
      </w:r>
      <w:r w:rsidRPr="00B73EE2">
        <w:rPr>
          <w:szCs w:val="24"/>
        </w:rPr>
        <w:t>.</w:t>
      </w:r>
      <w:r>
        <w:rPr>
          <w:szCs w:val="24"/>
        </w:rPr>
        <w:t> gadu</w:t>
      </w:r>
      <w:r w:rsidRPr="00B73EE2">
        <w:rPr>
          <w:szCs w:val="24"/>
        </w:rPr>
        <w:t xml:space="preserve"> </w:t>
      </w:r>
      <w:r>
        <w:rPr>
          <w:szCs w:val="24"/>
        </w:rPr>
        <w:t>samazināsies par 3,4 procentu punktiem, sasniedzot 15,1% no IKP</w:t>
      </w:r>
      <w:r w:rsidRPr="00B73EE2">
        <w:rPr>
          <w:szCs w:val="24"/>
        </w:rPr>
        <w:t xml:space="preserve">. </w:t>
      </w:r>
      <w:r>
        <w:rPr>
          <w:szCs w:val="24"/>
        </w:rPr>
        <w:t xml:space="preserve">Samazinājumu pamatā noteiks prognozētais </w:t>
      </w:r>
      <w:r w:rsidRPr="00B73EE2">
        <w:rPr>
          <w:szCs w:val="24"/>
        </w:rPr>
        <w:t xml:space="preserve">izdevumu </w:t>
      </w:r>
      <w:r>
        <w:rPr>
          <w:szCs w:val="24"/>
        </w:rPr>
        <w:t>kritums pensijām</w:t>
      </w:r>
      <w:r w:rsidRPr="00B73EE2">
        <w:rPr>
          <w:szCs w:val="24"/>
        </w:rPr>
        <w:t xml:space="preserve"> (par </w:t>
      </w:r>
      <w:r>
        <w:rPr>
          <w:szCs w:val="24"/>
        </w:rPr>
        <w:t>3,7 procentu punktiem</w:t>
      </w:r>
      <w:r w:rsidRPr="00B73EE2">
        <w:rPr>
          <w:szCs w:val="24"/>
        </w:rPr>
        <w:t>)</w:t>
      </w:r>
      <w:r>
        <w:rPr>
          <w:szCs w:val="24"/>
        </w:rPr>
        <w:t xml:space="preserve">. </w:t>
      </w:r>
    </w:p>
    <w:p w14:paraId="6E48EE67" w14:textId="77777777" w:rsidR="007043C5" w:rsidRDefault="007043C5" w:rsidP="007043C5">
      <w:pPr>
        <w:rPr>
          <w:szCs w:val="24"/>
        </w:rPr>
      </w:pPr>
      <w:r w:rsidRPr="007A5EBB">
        <w:rPr>
          <w:szCs w:val="24"/>
        </w:rPr>
        <w:lastRenderedPageBreak/>
        <w:t>Saskaņā ar prognozēm, 2060. gadā salīdzinot ar 2010. gadu, izdevumi pensijām samazināsies par 3,</w:t>
      </w:r>
      <w:r>
        <w:rPr>
          <w:szCs w:val="24"/>
        </w:rPr>
        <w:t>7 procentu punktiem, sasniedzot 6,0</w:t>
      </w:r>
      <w:r w:rsidRPr="007A5EBB">
        <w:rPr>
          <w:szCs w:val="24"/>
        </w:rPr>
        <w:t>% no IKP</w:t>
      </w:r>
      <w:r>
        <w:rPr>
          <w:szCs w:val="24"/>
        </w:rPr>
        <w:t xml:space="preserve">. Samazinājumu </w:t>
      </w:r>
      <w:r w:rsidRPr="007A5EBB">
        <w:rPr>
          <w:szCs w:val="24"/>
        </w:rPr>
        <w:t>noteiks mazāks pensiju izdevumu īpatsvars iekšzemes kopproduktā 2060. gadā. Pensiju izdevumi nominālajā izteiksmē turpinās pieaugt. Tomēr prognozētais pensiju izdevumu pieauguma temps nominālajā izteiksmē būs mērens, kas izskaidrojams ar pēdējā laikā veiktajām izmaiņām Latvijas pensiju sistēmā</w:t>
      </w:r>
      <w:r>
        <w:rPr>
          <w:szCs w:val="24"/>
        </w:rPr>
        <w:t xml:space="preserve"> (atceltas pensiju piemaksas no jauna piešķirtajām pensijām</w:t>
      </w:r>
      <w:r w:rsidRPr="0063367F">
        <w:rPr>
          <w:szCs w:val="24"/>
        </w:rPr>
        <w:t xml:space="preserve">, </w:t>
      </w:r>
      <w:r>
        <w:rPr>
          <w:szCs w:val="24"/>
        </w:rPr>
        <w:t>uz laiku apturēta pensiju indeksācija u.c.)</w:t>
      </w:r>
      <w:r w:rsidRPr="007A5EBB">
        <w:rPr>
          <w:szCs w:val="24"/>
        </w:rPr>
        <w:t>, kā arī ilgtermiņā prognozēto pensiju izdevumu pieaugumu no valsts fondēto pensiju shēmas. Samazinājums tiek prognozēts arī izdevumiem izglītībai (par 0,</w:t>
      </w:r>
      <w:r>
        <w:rPr>
          <w:szCs w:val="24"/>
        </w:rPr>
        <w:t>7 procentu punktiem</w:t>
      </w:r>
      <w:r w:rsidRPr="007A5EBB">
        <w:rPr>
          <w:szCs w:val="24"/>
        </w:rPr>
        <w:t>), ko pamatā noteiks ilgtermiņa demogrāfiskās tendences.</w:t>
      </w:r>
    </w:p>
    <w:p w14:paraId="7EEED6DB" w14:textId="77777777" w:rsidR="007043C5" w:rsidRDefault="007043C5" w:rsidP="007043C5">
      <w:pPr>
        <w:rPr>
          <w:szCs w:val="24"/>
        </w:rPr>
      </w:pPr>
      <w:r>
        <w:rPr>
          <w:szCs w:val="24"/>
        </w:rPr>
        <w:t xml:space="preserve">Tiek prognozēts, ka 2060. gadā salīdzinot ar 2010. gadu izdevumi veselības aprūpei pieaugs par 0,7% procentu punktiem, sasniedzot 4,4% no IKP, savukārt </w:t>
      </w:r>
      <w:r w:rsidRPr="00BF0383">
        <w:rPr>
          <w:szCs w:val="24"/>
        </w:rPr>
        <w:t>izdevumi ilgstošai aprūpei</w:t>
      </w:r>
      <w:r>
        <w:rPr>
          <w:szCs w:val="24"/>
        </w:rPr>
        <w:t xml:space="preserve"> pieaugs par 0,3 procentu punktiem, sasniedzot 1,0% no IKP. Tas ir skaidrojams ar to, ka veselības un ilgstošās aprūpes pakalpojumi pamatā ir attiecināmi </w:t>
      </w:r>
      <w:r w:rsidRPr="00BE69A8">
        <w:rPr>
          <w:szCs w:val="24"/>
        </w:rPr>
        <w:t>uz vec</w:t>
      </w:r>
      <w:r>
        <w:rPr>
          <w:szCs w:val="24"/>
        </w:rPr>
        <w:t>āka gadagājuma</w:t>
      </w:r>
      <w:r w:rsidRPr="00BE69A8">
        <w:rPr>
          <w:szCs w:val="24"/>
        </w:rPr>
        <w:t xml:space="preserve"> cilvēkiem</w:t>
      </w:r>
      <w:r>
        <w:rPr>
          <w:szCs w:val="24"/>
        </w:rPr>
        <w:t xml:space="preserve">, kuru īpatsvars ilgtermiņā palielināsies. Gan veselības, </w:t>
      </w:r>
      <w:r w:rsidRPr="002F75C0">
        <w:rPr>
          <w:szCs w:val="24"/>
        </w:rPr>
        <w:t xml:space="preserve">gan </w:t>
      </w:r>
      <w:r w:rsidRPr="00BF0383">
        <w:rPr>
          <w:szCs w:val="24"/>
        </w:rPr>
        <w:t>ilgstošās</w:t>
      </w:r>
      <w:r>
        <w:rPr>
          <w:szCs w:val="24"/>
        </w:rPr>
        <w:t xml:space="preserve"> aprūpes izdevumus līdz ar demogrāfiskajām izmaiņām būtiski var ietekmēt tehnoloģiskais progress un tautsaimniecības attīstība. Līdz ar to ir svarīgas reformas, kas ir vērstas uz veselības aprūpes sistēmas, tai skaitā finansēšanas mehānisma optimizāciju. Jāmin, ka ilgstošās aprūpes izdevumu īpatsvars kopējos ar sabiedrības novecošanos saistītajos izdevumos ir neliels (4% 2010. gadā).</w:t>
      </w:r>
    </w:p>
    <w:p w14:paraId="2BB59010" w14:textId="77777777" w:rsidR="007043C5" w:rsidRDefault="007043C5" w:rsidP="007043C5">
      <w:pPr>
        <w:rPr>
          <w:szCs w:val="24"/>
        </w:rPr>
      </w:pPr>
      <w:r>
        <w:rPr>
          <w:szCs w:val="24"/>
        </w:rPr>
        <w:t>Ilgtermiņa prognozēs par bāzes gadu tika izmantots 2010. gads, kas, ņemot vērā 2008.-2009. gada ekonomikas un finanšu krīzes sekas, arī ietekmēja ilgtermiņa prognožu iznākumu. Salīdzinot ar 2009. gadā izstrādātajām ilgtermiņa prognozēm, tendences izdevumos ir līdzīgas.</w:t>
      </w:r>
    </w:p>
    <w:p w14:paraId="6F647D11" w14:textId="77777777" w:rsidR="007043C5" w:rsidRPr="00BB111B" w:rsidRDefault="007043C5" w:rsidP="007043C5">
      <w:pPr>
        <w:rPr>
          <w:szCs w:val="24"/>
        </w:rPr>
      </w:pPr>
      <w:r w:rsidRPr="00505EA0">
        <w:rPr>
          <w:szCs w:val="24"/>
        </w:rPr>
        <w:t>2012.</w:t>
      </w:r>
      <w:r w:rsidRPr="00910CEF">
        <w:rPr>
          <w:szCs w:val="24"/>
        </w:rPr>
        <w:t> gadā Latvijas pensiju sistēmā tika veiktas (apst</w:t>
      </w:r>
      <w:r w:rsidRPr="00BB111B">
        <w:rPr>
          <w:szCs w:val="24"/>
        </w:rPr>
        <w:t>iprinātas Saeimā) šādas izmaiņas:</w:t>
      </w:r>
    </w:p>
    <w:p w14:paraId="7D1EEB69" w14:textId="77777777" w:rsidR="007043C5" w:rsidRPr="00EF38FE" w:rsidRDefault="007043C5" w:rsidP="007043C5">
      <w:pPr>
        <w:pStyle w:val="ListParagraph"/>
        <w:numPr>
          <w:ilvl w:val="0"/>
          <w:numId w:val="12"/>
        </w:numPr>
        <w:spacing w:after="120" w:line="240" w:lineRule="auto"/>
        <w:jc w:val="both"/>
        <w:rPr>
          <w:rFonts w:ascii="Times New Roman" w:hAnsi="Times New Roman"/>
          <w:sz w:val="24"/>
          <w:szCs w:val="24"/>
        </w:rPr>
      </w:pPr>
      <w:r w:rsidRPr="00EF38FE">
        <w:rPr>
          <w:rFonts w:ascii="Times New Roman" w:hAnsi="Times New Roman"/>
          <w:sz w:val="24"/>
          <w:szCs w:val="24"/>
        </w:rPr>
        <w:t>pensionēšanās vecuma pakāpeniska celšana sākot ar 2014.gadu pa 3 mēnešiem katru gadu līdz 2025. gadā tiek sasniegti 65 gadi.</w:t>
      </w:r>
    </w:p>
    <w:p w14:paraId="263A0D43" w14:textId="77777777" w:rsidR="007043C5" w:rsidRPr="00EF38FE" w:rsidRDefault="007043C5" w:rsidP="007043C5">
      <w:pPr>
        <w:pStyle w:val="ListParagraph"/>
        <w:numPr>
          <w:ilvl w:val="0"/>
          <w:numId w:val="12"/>
        </w:numPr>
        <w:spacing w:after="120" w:line="240" w:lineRule="auto"/>
        <w:jc w:val="both"/>
        <w:rPr>
          <w:rFonts w:ascii="Times New Roman" w:hAnsi="Times New Roman"/>
          <w:sz w:val="24"/>
          <w:szCs w:val="24"/>
        </w:rPr>
      </w:pPr>
      <w:r w:rsidRPr="00EF38FE">
        <w:rPr>
          <w:rFonts w:ascii="Times New Roman" w:hAnsi="Times New Roman"/>
          <w:sz w:val="24"/>
          <w:szCs w:val="24"/>
        </w:rPr>
        <w:t xml:space="preserve">iespēja priekšlaicīgi pensionēties 2 gadus pirms normālā pensionēšanās vecuma, ja apdrošināšanas stāžs ir vismaz 30 gadi. </w:t>
      </w:r>
    </w:p>
    <w:p w14:paraId="1C1B8F65" w14:textId="77777777" w:rsidR="007043C5" w:rsidRPr="00EF38FE" w:rsidRDefault="007043C5" w:rsidP="007043C5">
      <w:pPr>
        <w:pStyle w:val="ListParagraph"/>
        <w:numPr>
          <w:ilvl w:val="0"/>
          <w:numId w:val="12"/>
        </w:numPr>
        <w:spacing w:after="120" w:line="240" w:lineRule="auto"/>
        <w:jc w:val="both"/>
        <w:rPr>
          <w:rFonts w:ascii="Times New Roman" w:hAnsi="Times New Roman"/>
          <w:sz w:val="24"/>
          <w:szCs w:val="24"/>
        </w:rPr>
      </w:pPr>
      <w:r w:rsidRPr="00EF38FE">
        <w:rPr>
          <w:rFonts w:ascii="Times New Roman" w:hAnsi="Times New Roman"/>
          <w:sz w:val="24"/>
          <w:szCs w:val="24"/>
        </w:rPr>
        <w:t>minimālā apdrošināšanas stāža paaugstināšana līdz 15 gadiem sākot ar 2014. gadu un līdz 20 gadiem sākot ar 2025. gadu.</w:t>
      </w:r>
    </w:p>
    <w:p w14:paraId="6858D72D" w14:textId="77777777" w:rsidR="007043C5" w:rsidRPr="00EF38FE" w:rsidRDefault="007043C5" w:rsidP="007043C5">
      <w:pPr>
        <w:pStyle w:val="ListParagraph"/>
        <w:numPr>
          <w:ilvl w:val="0"/>
          <w:numId w:val="12"/>
        </w:numPr>
        <w:spacing w:after="120" w:line="240" w:lineRule="auto"/>
        <w:jc w:val="both"/>
        <w:rPr>
          <w:rFonts w:ascii="Times New Roman" w:hAnsi="Times New Roman"/>
          <w:sz w:val="24"/>
          <w:szCs w:val="24"/>
        </w:rPr>
      </w:pPr>
      <w:r w:rsidRPr="00EF38FE">
        <w:rPr>
          <w:rFonts w:ascii="Times New Roman" w:hAnsi="Times New Roman"/>
          <w:sz w:val="24"/>
          <w:szCs w:val="24"/>
        </w:rPr>
        <w:t>pakāpeniska iemaksu likmes paaugstināšana pensiju sistēmas 2. līmenī, t.i. 2012. gadā 2%, 2013.-2014. gadā 4%, 2015. gadā 5% un 2016. gadā 6%.</w:t>
      </w:r>
    </w:p>
    <w:p w14:paraId="3343D01C" w14:textId="77777777" w:rsidR="007043C5" w:rsidRPr="00BF3425" w:rsidRDefault="007043C5" w:rsidP="007043C5">
      <w:pPr>
        <w:rPr>
          <w:szCs w:val="24"/>
        </w:rPr>
      </w:pPr>
      <w:r>
        <w:rPr>
          <w:szCs w:val="24"/>
        </w:rPr>
        <w:t xml:space="preserve">2013. gada sākumā Labklājības ministrija izstrādāja jaunas ilgtermiņa pensiju izdevumu prognozes, ņemot vērā visas augstāk minētās izmaiņas. </w:t>
      </w:r>
      <w:r w:rsidR="009E5C1A" w:rsidRPr="009E5C1A">
        <w:rPr>
          <w:szCs w:val="24"/>
        </w:rPr>
        <w:t>Saskaņā ar šīm prognozēm publiskā sektora izdevumi pensijām būs zemāki līdz 2050. gadam, salīdzinot ar prognozēm, kas tika publicētas 2012. gada Novecošanās ziņojumā.</w:t>
      </w:r>
      <w:r w:rsidRPr="00BF3425">
        <w:rPr>
          <w:szCs w:val="24"/>
        </w:rPr>
        <w:t xml:space="preserve"> To pamatā nosaka līdzdalības darba tirgū pieaugums, kas izskaidrojams ar pensionēšanas vecuma pakāpenisku kāpumu</w:t>
      </w:r>
      <w:r>
        <w:rPr>
          <w:szCs w:val="24"/>
        </w:rPr>
        <w:t>. Tā rezultātā arī prognozētais IKP ir nedaudz lielāks</w:t>
      </w:r>
      <w:r w:rsidRPr="00BF3425">
        <w:rPr>
          <w:szCs w:val="24"/>
        </w:rPr>
        <w:t xml:space="preserve">, </w:t>
      </w:r>
      <w:r>
        <w:rPr>
          <w:szCs w:val="24"/>
        </w:rPr>
        <w:t xml:space="preserve">salīdzinot ar 2012. gada Novecošanās ziņojumā izmantoto. Tādēļ veselības aprūpes izdevumu, ilgstošās aprūpes izdevumu un izglītības izdevumu līmenis ir arī nedaudz mainījies. </w:t>
      </w:r>
    </w:p>
    <w:p w14:paraId="4B939830" w14:textId="77777777" w:rsidR="007043C5" w:rsidRPr="0063367F" w:rsidRDefault="007043C5" w:rsidP="007043C5">
      <w:pPr>
        <w:rPr>
          <w:szCs w:val="24"/>
        </w:rPr>
      </w:pPr>
      <w:r w:rsidRPr="0063367F">
        <w:rPr>
          <w:szCs w:val="24"/>
        </w:rPr>
        <w:t xml:space="preserve">Vērtējot </w:t>
      </w:r>
      <w:r>
        <w:rPr>
          <w:szCs w:val="24"/>
        </w:rPr>
        <w:t xml:space="preserve">publiskā sektora </w:t>
      </w:r>
      <w:r w:rsidRPr="0063367F">
        <w:rPr>
          <w:szCs w:val="24"/>
        </w:rPr>
        <w:t xml:space="preserve">izdevumus, </w:t>
      </w:r>
      <w:r>
        <w:rPr>
          <w:szCs w:val="24"/>
        </w:rPr>
        <w:t xml:space="preserve">kas ir </w:t>
      </w:r>
      <w:r w:rsidRPr="0063367F">
        <w:rPr>
          <w:szCs w:val="24"/>
        </w:rPr>
        <w:t>saistīt</w:t>
      </w:r>
      <w:r>
        <w:rPr>
          <w:szCs w:val="24"/>
        </w:rPr>
        <w:t xml:space="preserve">i </w:t>
      </w:r>
      <w:r w:rsidRPr="0063367F">
        <w:rPr>
          <w:szCs w:val="24"/>
        </w:rPr>
        <w:t>ar sabiedrības novecošanos, ir jāņem vērā samērā liela pieņēmumu nenoteiktība. Atsevišķu faktoru ietekmē</w:t>
      </w:r>
      <w:r>
        <w:rPr>
          <w:szCs w:val="24"/>
        </w:rPr>
        <w:t>,</w:t>
      </w:r>
      <w:r w:rsidRPr="0063367F">
        <w:rPr>
          <w:szCs w:val="24"/>
        </w:rPr>
        <w:t xml:space="preserve"> īpaši veselības un ilg</w:t>
      </w:r>
      <w:r>
        <w:rPr>
          <w:szCs w:val="24"/>
        </w:rPr>
        <w:t xml:space="preserve">stošās </w:t>
      </w:r>
      <w:r w:rsidRPr="0063367F">
        <w:rPr>
          <w:szCs w:val="24"/>
        </w:rPr>
        <w:t xml:space="preserve">aprūpes </w:t>
      </w:r>
      <w:r>
        <w:rPr>
          <w:szCs w:val="24"/>
        </w:rPr>
        <w:t>nozarēs,</w:t>
      </w:r>
      <w:r w:rsidRPr="0063367F">
        <w:rPr>
          <w:szCs w:val="24"/>
        </w:rPr>
        <w:t xml:space="preserve"> kopējo izdevumu apjoms </w:t>
      </w:r>
      <w:r>
        <w:rPr>
          <w:szCs w:val="24"/>
        </w:rPr>
        <w:t xml:space="preserve">ilgtermiņā </w:t>
      </w:r>
      <w:r w:rsidRPr="0063367F">
        <w:rPr>
          <w:szCs w:val="24"/>
        </w:rPr>
        <w:t xml:space="preserve">varētu pieaugt </w:t>
      </w:r>
      <w:r>
        <w:rPr>
          <w:szCs w:val="24"/>
        </w:rPr>
        <w:t>no 3 līdz 4 procentu punktiem</w:t>
      </w:r>
      <w:r w:rsidRPr="0063367F">
        <w:rPr>
          <w:szCs w:val="24"/>
        </w:rPr>
        <w:t xml:space="preserve">. </w:t>
      </w:r>
    </w:p>
    <w:p w14:paraId="7842575B" w14:textId="77777777" w:rsidR="00163B37" w:rsidRPr="004C797A" w:rsidRDefault="007043C5" w:rsidP="004C797A">
      <w:pPr>
        <w:rPr>
          <w:bCs/>
          <w:szCs w:val="24"/>
        </w:rPr>
      </w:pPr>
      <w:r w:rsidRPr="00B456DD">
        <w:rPr>
          <w:szCs w:val="24"/>
        </w:rPr>
        <w:t xml:space="preserve">Saskaņā ar </w:t>
      </w:r>
      <w:r w:rsidR="00BB0D91">
        <w:rPr>
          <w:szCs w:val="24"/>
        </w:rPr>
        <w:t>EK</w:t>
      </w:r>
      <w:r w:rsidRPr="00B456DD">
        <w:rPr>
          <w:szCs w:val="24"/>
        </w:rPr>
        <w:t xml:space="preserve"> 201</w:t>
      </w:r>
      <w:r>
        <w:rPr>
          <w:szCs w:val="24"/>
        </w:rPr>
        <w:t>2</w:t>
      </w:r>
      <w:r w:rsidRPr="00B456DD">
        <w:rPr>
          <w:szCs w:val="24"/>
        </w:rPr>
        <w:t>.</w:t>
      </w:r>
      <w:r>
        <w:rPr>
          <w:szCs w:val="24"/>
        </w:rPr>
        <w:t> gada Fiskālās ilgtspējas ziņojumu</w:t>
      </w:r>
      <w:r w:rsidRPr="00B456DD">
        <w:rPr>
          <w:szCs w:val="24"/>
        </w:rPr>
        <w:t xml:space="preserve"> Latvija ir </w:t>
      </w:r>
      <w:r>
        <w:rPr>
          <w:szCs w:val="24"/>
        </w:rPr>
        <w:t xml:space="preserve">novērtēta kā valsts </w:t>
      </w:r>
      <w:r w:rsidRPr="00B456DD">
        <w:rPr>
          <w:szCs w:val="24"/>
        </w:rPr>
        <w:t xml:space="preserve">ar </w:t>
      </w:r>
      <w:r>
        <w:rPr>
          <w:szCs w:val="24"/>
        </w:rPr>
        <w:t xml:space="preserve">zemu </w:t>
      </w:r>
      <w:r w:rsidRPr="00B456DD">
        <w:rPr>
          <w:szCs w:val="24"/>
        </w:rPr>
        <w:t>risku attiecī</w:t>
      </w:r>
      <w:r>
        <w:rPr>
          <w:szCs w:val="24"/>
        </w:rPr>
        <w:t xml:space="preserve">bā uz publisko finanšu ilgtspēju. </w:t>
      </w:r>
      <w:r w:rsidRPr="00B456DD">
        <w:rPr>
          <w:szCs w:val="24"/>
        </w:rPr>
        <w:t xml:space="preserve">Jāatzīmē, ka </w:t>
      </w:r>
      <w:r>
        <w:rPr>
          <w:bCs/>
          <w:szCs w:val="24"/>
        </w:rPr>
        <w:t>2009. </w:t>
      </w:r>
      <w:r w:rsidRPr="00B456DD">
        <w:rPr>
          <w:bCs/>
          <w:szCs w:val="24"/>
        </w:rPr>
        <w:t xml:space="preserve">gada Ilgtspējas ziņojumā Latvija bija ierindota pie valstīm ar augstu risku attiecībā uz publisko finanšu </w:t>
      </w:r>
      <w:r w:rsidRPr="00B456DD">
        <w:rPr>
          <w:bCs/>
          <w:szCs w:val="24"/>
        </w:rPr>
        <w:lastRenderedPageBreak/>
        <w:t>ilgtspēju, galvenokārt sākotnējās budžeta pozīcijas dēļ, kura ir</w:t>
      </w:r>
      <w:r>
        <w:rPr>
          <w:bCs/>
          <w:szCs w:val="24"/>
        </w:rPr>
        <w:t xml:space="preserve"> ievērojami uzlabota pēdējo</w:t>
      </w:r>
      <w:r w:rsidRPr="00B456DD">
        <w:rPr>
          <w:bCs/>
          <w:szCs w:val="24"/>
        </w:rPr>
        <w:t xml:space="preserve"> gadu laikā. </w:t>
      </w:r>
    </w:p>
    <w:p w14:paraId="241E29CF" w14:textId="77777777" w:rsidR="005A06FA" w:rsidRPr="00905DA5" w:rsidRDefault="00E85A8F" w:rsidP="00163B37">
      <w:pPr>
        <w:pStyle w:val="Heading3"/>
        <w:ind w:firstLine="0"/>
        <w:rPr>
          <w:rFonts w:ascii="Times New Roman" w:hAnsi="Times New Roman"/>
          <w:sz w:val="32"/>
          <w:szCs w:val="32"/>
        </w:rPr>
      </w:pPr>
      <w:bookmarkStart w:id="67" w:name="_Toc313631322"/>
      <w:bookmarkStart w:id="68" w:name="_Toc322679621"/>
      <w:bookmarkStart w:id="69" w:name="_Toc354671236"/>
      <w:bookmarkStart w:id="70" w:name="_Toc284924065"/>
      <w:r w:rsidRPr="00905DA5">
        <w:rPr>
          <w:rFonts w:ascii="Times New Roman" w:hAnsi="Times New Roman"/>
          <w:sz w:val="32"/>
          <w:szCs w:val="32"/>
        </w:rPr>
        <w:t xml:space="preserve">8.2. </w:t>
      </w:r>
      <w:r w:rsidR="005A06FA" w:rsidRPr="00905DA5">
        <w:rPr>
          <w:rFonts w:ascii="Times New Roman" w:hAnsi="Times New Roman"/>
          <w:sz w:val="32"/>
          <w:szCs w:val="32"/>
        </w:rPr>
        <w:t>Valsts sniegtie galvojumi</w:t>
      </w:r>
      <w:bookmarkEnd w:id="67"/>
      <w:bookmarkEnd w:id="68"/>
      <w:bookmarkEnd w:id="69"/>
    </w:p>
    <w:p w14:paraId="3436A578" w14:textId="77777777" w:rsidR="00505EA0" w:rsidRPr="00BB111B" w:rsidRDefault="00505EA0" w:rsidP="00505EA0">
      <w:pPr>
        <w:ind w:firstLine="720"/>
        <w:rPr>
          <w:szCs w:val="24"/>
        </w:rPr>
      </w:pPr>
      <w:r w:rsidRPr="00505EA0">
        <w:rPr>
          <w:szCs w:val="24"/>
        </w:rPr>
        <w:t>Likums par budžetu un finanšu vadību nosaka, ka tikai finanšu ministram ir tiesības valsts vārdā gadskārtējā valsts budžeta likuma ietvaros sniegt galvojumus, kas uzliek saistības valsts līdzekļiem valsts investīciju projektu un komercdarbības atbalsta programmu īstenošanai, kā arī studiju un studējošo kredit</w:t>
      </w:r>
      <w:r w:rsidRPr="00910CEF">
        <w:rPr>
          <w:szCs w:val="24"/>
        </w:rPr>
        <w:t>ēšanai.</w:t>
      </w:r>
    </w:p>
    <w:p w14:paraId="2F76BA12" w14:textId="2E6F35BD" w:rsidR="00505EA0" w:rsidRPr="00910CEF" w:rsidRDefault="00505EA0" w:rsidP="00505EA0">
      <w:pPr>
        <w:ind w:firstLine="720"/>
        <w:rPr>
          <w:szCs w:val="24"/>
        </w:rPr>
      </w:pPr>
      <w:r w:rsidRPr="00805511">
        <w:rPr>
          <w:szCs w:val="24"/>
        </w:rPr>
        <w:t xml:space="preserve">Valsts galvojumu sniegšanas procesa caurspīdīgumu nodrošina </w:t>
      </w:r>
      <w:r w:rsidR="00862D21">
        <w:rPr>
          <w:szCs w:val="24"/>
        </w:rPr>
        <w:t>MK</w:t>
      </w:r>
      <w:r w:rsidRPr="00862D21">
        <w:rPr>
          <w:szCs w:val="24"/>
        </w:rPr>
        <w:t xml:space="preserve"> noteikumi, nosakot, ka potenciālie valsts vārdā sniedzamo galvojumu saņēmēji un viņu realizējamie projekti tiek izvērtēti pēc vienotiem kritērijiem pirms galvojumu iekļau</w:t>
      </w:r>
      <w:r w:rsidRPr="00910CEF">
        <w:rPr>
          <w:szCs w:val="24"/>
        </w:rPr>
        <w:t xml:space="preserve">šanas gadskārtējā valsts budžeta likumā. Izvērtēšanu veic nozares ministrija un </w:t>
      </w:r>
      <w:r w:rsidR="00F27493">
        <w:rPr>
          <w:szCs w:val="24"/>
        </w:rPr>
        <w:t>FM</w:t>
      </w:r>
      <w:r w:rsidRPr="00910CEF">
        <w:rPr>
          <w:szCs w:val="24"/>
        </w:rPr>
        <w:t xml:space="preserve">. </w:t>
      </w:r>
      <w:r w:rsidR="00F27493">
        <w:rPr>
          <w:szCs w:val="24"/>
        </w:rPr>
        <w:t>FM</w:t>
      </w:r>
      <w:r w:rsidRPr="00910CEF">
        <w:rPr>
          <w:szCs w:val="24"/>
        </w:rPr>
        <w:t xml:space="preserve"> ieteikto konkrētajā gadā sniedzamo galvojumu sarakstu apstiprina </w:t>
      </w:r>
      <w:r w:rsidR="00862D21">
        <w:rPr>
          <w:szCs w:val="24"/>
        </w:rPr>
        <w:t>MK</w:t>
      </w:r>
      <w:r w:rsidRPr="00862D21">
        <w:rPr>
          <w:szCs w:val="24"/>
        </w:rPr>
        <w:t xml:space="preserve">, iekļaujot to gadskārtējā valsts budžeta likumprojektā. </w:t>
      </w:r>
    </w:p>
    <w:p w14:paraId="78CD1755" w14:textId="77777777" w:rsidR="00505EA0" w:rsidRPr="00EF38FE" w:rsidRDefault="00505EA0" w:rsidP="00505EA0">
      <w:pPr>
        <w:pStyle w:val="BodyText3"/>
        <w:ind w:firstLine="720"/>
        <w:rPr>
          <w:sz w:val="24"/>
          <w:szCs w:val="24"/>
        </w:rPr>
      </w:pPr>
      <w:r w:rsidRPr="00EF38FE">
        <w:rPr>
          <w:sz w:val="24"/>
          <w:szCs w:val="24"/>
        </w:rPr>
        <w:t>Valsts galvojumu risku vadība tiek nodrošināta, pirms galvojuma sniegšanas veicot sniedzamo galvojumu biznesa plānu, projekta realizētāja kredītspējas, īstenojamā projekta riskiem, galvojuma nodrošinājumu izvērtēšanu un finanšu ministram pieņemot lēmumu par galvojuma izsniegšanu un piemērojamās riska procentu likmes apmēru. Pēc galvojuma sniegšanas tiek veikta tā uzraudzība, analizējot aizņēmēja regulāri sniegtos finanšu pārskatus, izvērtējot galvotā aizņēmuma atmaksas iespējamību un atbilstoši veicot uzkrājumus.</w:t>
      </w:r>
    </w:p>
    <w:p w14:paraId="6F050D10" w14:textId="77777777" w:rsidR="00505EA0" w:rsidRPr="00805511" w:rsidRDefault="00505EA0" w:rsidP="00505EA0">
      <w:pPr>
        <w:ind w:right="28" w:firstLine="720"/>
        <w:rPr>
          <w:szCs w:val="24"/>
        </w:rPr>
      </w:pPr>
      <w:r w:rsidRPr="00505EA0">
        <w:rPr>
          <w:szCs w:val="24"/>
        </w:rPr>
        <w:t xml:space="preserve">2012.gadā izsniegti likumā „Par valsts budžetu 2012.gadam” paredzētie valsts galvojumi par studiju un studējošo saistībām par kopējo summu 11,1 </w:t>
      </w:r>
      <w:proofErr w:type="spellStart"/>
      <w:r w:rsidRPr="00505EA0">
        <w:rPr>
          <w:szCs w:val="24"/>
        </w:rPr>
        <w:t>milj.latu</w:t>
      </w:r>
      <w:proofErr w:type="spellEnd"/>
      <w:r w:rsidRPr="00505EA0">
        <w:rPr>
          <w:szCs w:val="24"/>
        </w:rPr>
        <w:t>, kā arī sniegti valsts galvojumi par VAS „Latvijas Hipotēku un zemes banka” aizņēmumu no Ei</w:t>
      </w:r>
      <w:r w:rsidRPr="00910CEF">
        <w:rPr>
          <w:szCs w:val="24"/>
        </w:rPr>
        <w:t xml:space="preserve">ropas Investīciju bankas 70,3 </w:t>
      </w:r>
      <w:proofErr w:type="spellStart"/>
      <w:r w:rsidRPr="00910CEF">
        <w:rPr>
          <w:szCs w:val="24"/>
        </w:rPr>
        <w:t>milj.latu</w:t>
      </w:r>
      <w:proofErr w:type="spellEnd"/>
      <w:r w:rsidRPr="00910CEF">
        <w:rPr>
          <w:szCs w:val="24"/>
        </w:rPr>
        <w:t xml:space="preserve"> apmērā uzņēmumu konkurētspējas uzlabošanas atbalsta programmas realizācijai un </w:t>
      </w:r>
      <w:proofErr w:type="spellStart"/>
      <w:r w:rsidRPr="00910CEF">
        <w:rPr>
          <w:szCs w:val="24"/>
        </w:rPr>
        <w:t>Kreditanstalt</w:t>
      </w:r>
      <w:proofErr w:type="spellEnd"/>
      <w:r w:rsidRPr="00910CEF">
        <w:rPr>
          <w:szCs w:val="24"/>
        </w:rPr>
        <w:t xml:space="preserve"> </w:t>
      </w:r>
      <w:proofErr w:type="spellStart"/>
      <w:r w:rsidRPr="00910CEF">
        <w:rPr>
          <w:szCs w:val="24"/>
        </w:rPr>
        <w:t>für</w:t>
      </w:r>
      <w:proofErr w:type="spellEnd"/>
      <w:r w:rsidRPr="00910CEF">
        <w:rPr>
          <w:szCs w:val="24"/>
        </w:rPr>
        <w:t xml:space="preserve"> </w:t>
      </w:r>
      <w:proofErr w:type="spellStart"/>
      <w:r w:rsidRPr="00910CEF">
        <w:rPr>
          <w:szCs w:val="24"/>
        </w:rPr>
        <w:t>Wiederaufbau</w:t>
      </w:r>
      <w:proofErr w:type="spellEnd"/>
      <w:r w:rsidRPr="00910CEF">
        <w:rPr>
          <w:szCs w:val="24"/>
        </w:rPr>
        <w:t xml:space="preserve"> (</w:t>
      </w:r>
      <w:proofErr w:type="spellStart"/>
      <w:r w:rsidRPr="00910CEF">
        <w:rPr>
          <w:szCs w:val="24"/>
        </w:rPr>
        <w:t>KfW</w:t>
      </w:r>
      <w:proofErr w:type="spellEnd"/>
      <w:r w:rsidRPr="00910CEF">
        <w:rPr>
          <w:szCs w:val="24"/>
        </w:rPr>
        <w:t xml:space="preserve">) par VAS „Latvijas Hipotēku un zemes banka” saistībām 12,3 </w:t>
      </w:r>
      <w:proofErr w:type="spellStart"/>
      <w:r w:rsidRPr="00910CEF">
        <w:rPr>
          <w:szCs w:val="24"/>
        </w:rPr>
        <w:t>milj.latu</w:t>
      </w:r>
      <w:proofErr w:type="spellEnd"/>
      <w:r w:rsidRPr="00910CEF">
        <w:rPr>
          <w:szCs w:val="24"/>
        </w:rPr>
        <w:t>.</w:t>
      </w:r>
    </w:p>
    <w:p w14:paraId="2FD32250" w14:textId="77777777" w:rsidR="00505EA0" w:rsidRPr="00505EA0" w:rsidRDefault="00505EA0" w:rsidP="00505EA0">
      <w:pPr>
        <w:ind w:firstLine="720"/>
        <w:rPr>
          <w:szCs w:val="24"/>
        </w:rPr>
      </w:pPr>
      <w:r w:rsidRPr="006F125F">
        <w:rPr>
          <w:szCs w:val="24"/>
        </w:rPr>
        <w:t xml:space="preserve">Valsts galvoto aizdevumu atlikums uz 2012.gada beigām bija 532 </w:t>
      </w:r>
      <w:proofErr w:type="spellStart"/>
      <w:r w:rsidRPr="006F125F">
        <w:rPr>
          <w:szCs w:val="24"/>
        </w:rPr>
        <w:t>milj.latu</w:t>
      </w:r>
      <w:proofErr w:type="spellEnd"/>
      <w:r w:rsidRPr="006F125F">
        <w:rPr>
          <w:szCs w:val="24"/>
        </w:rPr>
        <w:t xml:space="preserve">, kas salīdzinājumā ar valsts galvoto aizdevumu atlikumu uz 2011.gada beigām ir palielinājies par 34 </w:t>
      </w:r>
      <w:proofErr w:type="spellStart"/>
      <w:r w:rsidRPr="006F125F">
        <w:rPr>
          <w:szCs w:val="24"/>
        </w:rPr>
        <w:t>milj.latu</w:t>
      </w:r>
      <w:proofErr w:type="spellEnd"/>
      <w:r w:rsidRPr="006F125F">
        <w:rPr>
          <w:szCs w:val="24"/>
        </w:rPr>
        <w:t xml:space="preserve">  (</w:t>
      </w:r>
      <w:proofErr w:type="spellStart"/>
      <w:r w:rsidRPr="006F125F">
        <w:rPr>
          <w:szCs w:val="24"/>
        </w:rPr>
        <w:t>sk</w:t>
      </w:r>
      <w:proofErr w:type="spellEnd"/>
      <w:r w:rsidRPr="006F125F">
        <w:rPr>
          <w:szCs w:val="24"/>
        </w:rPr>
        <w:t xml:space="preserve">. </w:t>
      </w:r>
      <w:r>
        <w:rPr>
          <w:szCs w:val="24"/>
        </w:rPr>
        <w:t>8.3</w:t>
      </w:r>
      <w:r w:rsidRPr="00505EA0">
        <w:rPr>
          <w:szCs w:val="24"/>
        </w:rPr>
        <w:t>.attēlu).</w:t>
      </w:r>
    </w:p>
    <w:p w14:paraId="51D82882" w14:textId="77777777" w:rsidR="00505EA0" w:rsidRDefault="00505EA0" w:rsidP="00505EA0">
      <w:pPr>
        <w:jc w:val="center"/>
        <w:rPr>
          <w:bCs/>
          <w:highlight w:val="yellow"/>
        </w:rPr>
      </w:pPr>
    </w:p>
    <w:p w14:paraId="6C96EE12" w14:textId="77777777" w:rsidR="00505EA0" w:rsidRDefault="00505EA0" w:rsidP="00505EA0">
      <w:pPr>
        <w:jc w:val="center"/>
        <w:rPr>
          <w:bCs/>
          <w:highlight w:val="yellow"/>
        </w:rPr>
      </w:pPr>
      <w:r>
        <w:rPr>
          <w:noProof/>
          <w:lang w:eastAsia="lv-LV"/>
        </w:rPr>
        <w:drawing>
          <wp:inline distT="0" distB="0" distL="0" distR="0" wp14:anchorId="2805EEE8" wp14:editId="06AAFDA5">
            <wp:extent cx="2997835" cy="25520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7835" cy="2552065"/>
                    </a:xfrm>
                    <a:prstGeom prst="rect">
                      <a:avLst/>
                    </a:prstGeom>
                    <a:noFill/>
                    <a:ln>
                      <a:noFill/>
                    </a:ln>
                  </pic:spPr>
                </pic:pic>
              </a:graphicData>
            </a:graphic>
          </wp:inline>
        </w:drawing>
      </w:r>
    </w:p>
    <w:p w14:paraId="7538297D" w14:textId="77777777" w:rsidR="00505EA0" w:rsidRPr="00EF38FE" w:rsidRDefault="00505EA0" w:rsidP="00505EA0">
      <w:pPr>
        <w:jc w:val="center"/>
        <w:rPr>
          <w:bCs/>
          <w:color w:val="FF0000"/>
        </w:rPr>
      </w:pPr>
      <w:r w:rsidRPr="00EF38FE">
        <w:rPr>
          <w:bCs/>
        </w:rPr>
        <w:t>8.3.attēls. Valsts galvoto aizdevumu atlikums uz attiecīgā gada beigām (milj. LVL)</w:t>
      </w:r>
    </w:p>
    <w:p w14:paraId="069C917B" w14:textId="77777777" w:rsidR="00505EA0" w:rsidRDefault="00505EA0" w:rsidP="00505EA0">
      <w:pPr>
        <w:pStyle w:val="BodyText"/>
      </w:pPr>
    </w:p>
    <w:p w14:paraId="3F85D2E8" w14:textId="77777777" w:rsidR="00505EA0" w:rsidRDefault="00505EA0" w:rsidP="00505EA0">
      <w:pPr>
        <w:pStyle w:val="BodyText"/>
      </w:pPr>
      <w:r w:rsidRPr="0060230F">
        <w:rPr>
          <w:lang w:val="lv-LV"/>
        </w:rPr>
        <w:lastRenderedPageBreak/>
        <w:t>8.4</w:t>
      </w:r>
      <w:r>
        <w:t>.attēlā tiek atspoguļots sniegto valsts galvoto aizdevumu izlietojums pa nozarēm.</w:t>
      </w:r>
    </w:p>
    <w:p w14:paraId="0BF8E31B" w14:textId="77777777" w:rsidR="00505EA0" w:rsidRDefault="00505EA0" w:rsidP="00505EA0">
      <w:pPr>
        <w:pStyle w:val="BodyText"/>
        <w:rPr>
          <w:b/>
          <w:highlight w:val="yellow"/>
        </w:rPr>
      </w:pPr>
      <w:r w:rsidRPr="001B47DC">
        <w:rPr>
          <w:b/>
          <w:noProof/>
          <w:lang w:val="lv-LV" w:eastAsia="lv-LV"/>
        </w:rPr>
        <w:drawing>
          <wp:inline distT="0" distB="0" distL="0" distR="0" wp14:anchorId="68D161BB" wp14:editId="439F2504">
            <wp:extent cx="3455582" cy="24242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56782" cy="2425065"/>
                    </a:xfrm>
                    <a:prstGeom prst="rect">
                      <a:avLst/>
                    </a:prstGeom>
                    <a:noFill/>
                    <a:ln>
                      <a:noFill/>
                    </a:ln>
                  </pic:spPr>
                </pic:pic>
              </a:graphicData>
            </a:graphic>
          </wp:inline>
        </w:drawing>
      </w:r>
    </w:p>
    <w:p w14:paraId="662D2799" w14:textId="77777777" w:rsidR="00505EA0" w:rsidRPr="00EF38FE" w:rsidRDefault="00505EA0" w:rsidP="00EF38FE">
      <w:pPr>
        <w:pStyle w:val="BodyText"/>
        <w:spacing w:before="120"/>
        <w:jc w:val="center"/>
        <w:rPr>
          <w:bCs/>
        </w:rPr>
      </w:pPr>
      <w:r w:rsidRPr="0060230F">
        <w:rPr>
          <w:lang w:val="lv-LV"/>
        </w:rPr>
        <w:t>8.4</w:t>
      </w:r>
      <w:r w:rsidRPr="00EF38FE">
        <w:rPr>
          <w:bCs/>
        </w:rPr>
        <w:t>.attēls. Valsts galvoto aizdevumu izlietojums pa nozarēm uz 2012.gada beigām (%)</w:t>
      </w:r>
    </w:p>
    <w:tbl>
      <w:tblPr>
        <w:tblW w:w="0" w:type="auto"/>
        <w:tblLook w:val="04A0" w:firstRow="1" w:lastRow="0" w:firstColumn="1" w:lastColumn="0" w:noHBand="0" w:noVBand="1"/>
      </w:tblPr>
      <w:tblGrid>
        <w:gridCol w:w="9189"/>
      </w:tblGrid>
      <w:tr w:rsidR="00505EA0" w14:paraId="6FF5FE9E" w14:textId="77777777" w:rsidTr="00505EA0">
        <w:tc>
          <w:tcPr>
            <w:tcW w:w="9189" w:type="dxa"/>
          </w:tcPr>
          <w:p w14:paraId="6D54F989" w14:textId="77777777" w:rsidR="00505EA0" w:rsidRPr="0060230F" w:rsidRDefault="00505EA0" w:rsidP="001F23F6">
            <w:pPr>
              <w:pStyle w:val="BodyText"/>
              <w:spacing w:line="276" w:lineRule="auto"/>
              <w:ind w:firstLine="0"/>
              <w:jc w:val="left"/>
              <w:rPr>
                <w:i/>
                <w:sz w:val="20"/>
                <w:highlight w:val="yellow"/>
                <w:lang w:val="lv-LV"/>
              </w:rPr>
            </w:pPr>
          </w:p>
        </w:tc>
      </w:tr>
    </w:tbl>
    <w:p w14:paraId="4B35EB5C" w14:textId="77777777" w:rsidR="00505EA0" w:rsidRDefault="00505EA0" w:rsidP="00505EA0">
      <w:pPr>
        <w:ind w:firstLine="720"/>
      </w:pPr>
      <w:r>
        <w:t xml:space="preserve">Izvērtējot pašreizējo informāciju par aizņēmēju finansiālo stāvokli, līdzšinējo </w:t>
      </w:r>
      <w:proofErr w:type="spellStart"/>
      <w:r>
        <w:t>kredītvēsturi</w:t>
      </w:r>
      <w:proofErr w:type="spellEnd"/>
      <w:r>
        <w:t xml:space="preserve">, nodrošinājuma likviditāti un apjomu, kā arī citu pieejamo informāciju, kā relatīvi riskantāki novērtēti galvojumi 19 aizņēmējiem (lielāko daļu veido slimnīcām un finanšu sektora atbalstam izsniegtie galvotie aizdevumi). Minētajiem aizņēmējiem galvoto aizņēmumu neatmaksātais atlikums 2012.gada 31.decembrī veidoja 68,7% no kopējā galvoto aizdevumu neatmaksātā atlikuma jeb 365,5 </w:t>
      </w:r>
      <w:proofErr w:type="spellStart"/>
      <w:r>
        <w:t>milj.latu</w:t>
      </w:r>
      <w:proofErr w:type="spellEnd"/>
      <w:r>
        <w:t>. Ņemot vērā šos apstākļus, pastāv varbūtība, ka relatīvi riskanto valsts galvoto aizdevumu saistības vai to daļa varētu netikt izpildītas noteiktajā termiņā. Likumā „Par valsts budžetu 2013.gadam” valdības rīcības pieļaujamās robežas, lai segtu izdevumus, kas var rasties, pildot uz valsts budžetu attiecināmās valsts galvotā parāda saistības 2013.gadā, ir noteiktas 103,4 milj. latu apmērā (~0,6 % no IKP).</w:t>
      </w:r>
    </w:p>
    <w:p w14:paraId="6E92FAEA" w14:textId="77777777" w:rsidR="000C03FB" w:rsidRDefault="000C03FB" w:rsidP="00505EA0">
      <w:pPr>
        <w:ind w:firstLine="0"/>
        <w:rPr>
          <w:bCs/>
          <w:highlight w:val="yellow"/>
        </w:rPr>
      </w:pPr>
    </w:p>
    <w:p w14:paraId="17B0E2B0" w14:textId="77777777" w:rsidR="00316611" w:rsidRPr="00904AF3" w:rsidRDefault="00283B8B" w:rsidP="00904AF3">
      <w:pPr>
        <w:pStyle w:val="PIRMAIS"/>
      </w:pPr>
      <w:bookmarkStart w:id="71" w:name="_Toc284924067"/>
      <w:bookmarkStart w:id="72" w:name="_Toc354671237"/>
      <w:bookmarkEnd w:id="70"/>
      <w:r w:rsidRPr="00904AF3">
        <w:lastRenderedPageBreak/>
        <w:t>9</w:t>
      </w:r>
      <w:r w:rsidR="00316611" w:rsidRPr="00904AF3">
        <w:t xml:space="preserve">.1. Valsts </w:t>
      </w:r>
      <w:bookmarkEnd w:id="71"/>
      <w:r w:rsidR="00A652BA">
        <w:t>finanšu institucionālās iezīmes</w:t>
      </w:r>
      <w:bookmarkEnd w:id="72"/>
    </w:p>
    <w:p w14:paraId="77F54131" w14:textId="77777777" w:rsidR="007E0A0D" w:rsidRPr="00A652BA" w:rsidRDefault="00A652BA" w:rsidP="00A652BA">
      <w:pPr>
        <w:pStyle w:val="otrais"/>
        <w:rPr>
          <w:szCs w:val="32"/>
        </w:rPr>
      </w:pPr>
      <w:bookmarkStart w:id="73" w:name="_Toc354671238"/>
      <w:r w:rsidRPr="00A652BA">
        <w:rPr>
          <w:szCs w:val="32"/>
        </w:rPr>
        <w:t>9.1. Valsts budžeta noteikumu ieviešana</w:t>
      </w:r>
      <w:bookmarkEnd w:id="73"/>
    </w:p>
    <w:p w14:paraId="16D2EB0A" w14:textId="77777777" w:rsidR="005A28AF" w:rsidRPr="007E0A0D" w:rsidRDefault="005A28AF" w:rsidP="007E0A0D">
      <w:pPr>
        <w:rPr>
          <w:color w:val="000000"/>
          <w:szCs w:val="24"/>
        </w:rPr>
      </w:pPr>
      <w:r w:rsidRPr="007E0A0D">
        <w:rPr>
          <w:color w:val="000000"/>
          <w:szCs w:val="24"/>
        </w:rPr>
        <w:t xml:space="preserve">2013.gada 31. janvārī Saeima 3. lasījumā pieņēma </w:t>
      </w:r>
      <w:r w:rsidR="001F23F6">
        <w:rPr>
          <w:color w:val="000000"/>
          <w:szCs w:val="24"/>
        </w:rPr>
        <w:t>FDL</w:t>
      </w:r>
      <w:r w:rsidRPr="007E0A0D">
        <w:rPr>
          <w:color w:val="000000"/>
          <w:szCs w:val="24"/>
        </w:rPr>
        <w:t xml:space="preserve">, kas stājās spēkā 2013.gada 6.martā. Tādējādi tiks nodrošināts, ka sākot ar 2014. – 2016. gada plānošanas periodu, </w:t>
      </w:r>
      <w:r w:rsidR="00F27493" w:rsidRPr="00C516D5">
        <w:t xml:space="preserve">Ietvara likums </w:t>
      </w:r>
      <w:r w:rsidRPr="007E0A0D">
        <w:rPr>
          <w:color w:val="000000"/>
          <w:szCs w:val="24"/>
        </w:rPr>
        <w:t>un gadskārtējais valsts budžeta likums 2014.gadam tiks izstrādāts atbilstoši FDL nosacījumiem, t.sk. pārejas periodā paredzētos izņēmuma gadījumus.</w:t>
      </w:r>
    </w:p>
    <w:p w14:paraId="348FAA63" w14:textId="77777777" w:rsidR="005A28AF" w:rsidRPr="007E0A0D" w:rsidRDefault="005A28AF" w:rsidP="007E0A0D">
      <w:pPr>
        <w:rPr>
          <w:color w:val="000000"/>
          <w:szCs w:val="24"/>
        </w:rPr>
      </w:pPr>
      <w:r w:rsidRPr="007E0A0D">
        <w:rPr>
          <w:color w:val="000000"/>
          <w:szCs w:val="24"/>
        </w:rPr>
        <w:t xml:space="preserve">FDL tika izstrādāts laika posmā no 2010. gada jūnija un pamatā tika veidots cieši sadarbojoties ar SVF un EK ekspertiem, kā arī ņemot vērā jaunos Eiropas Savienības fiskālās disciplīnas nosacījumus, kas ir ietverti Līgumā par stabilitāti, koordināciju un pārvaldību ekonomiskajā un monetārajā savienībā, ko Latvija ratificēja 2012.gada jūnijā. FDL ir definēti būtiskākie fiskālās politikas principi un fiskālie nosacījumi atbildīgas un pārdomātas fiskālās politikas realizēšanai. Tā pamatā ir nosacījums par ekonomiskajā ciklā sabalansētu vispārējās valdības budžetu un kā galvenais instruments fiskālās disciplīnas ievērošanā ir paredzēts vidēja termiņa budžeta ietvara likums, ko sagatavo turpmāko trīs gadu periodam.  </w:t>
      </w:r>
    </w:p>
    <w:p w14:paraId="068863F2" w14:textId="77777777" w:rsidR="005A28AF" w:rsidRPr="00EC2DF4" w:rsidRDefault="005A28AF" w:rsidP="007E0A0D">
      <w:pPr>
        <w:pStyle w:val="NoSpacing"/>
      </w:pPr>
      <w:r w:rsidRPr="00EC2DF4">
        <w:t>FDL balstā</w:t>
      </w:r>
      <w:r>
        <w:t>s</w:t>
      </w:r>
      <w:r w:rsidRPr="00EC2DF4">
        <w:t xml:space="preserve"> uz 3 skaitliskajiem fiskālajiem nosacījumiem:</w:t>
      </w:r>
    </w:p>
    <w:p w14:paraId="396EF56F" w14:textId="77777777" w:rsidR="005A28AF" w:rsidRPr="005A28AF" w:rsidRDefault="005A28AF" w:rsidP="005A28AF">
      <w:pPr>
        <w:pStyle w:val="ListParagraph"/>
        <w:numPr>
          <w:ilvl w:val="0"/>
          <w:numId w:val="19"/>
        </w:numPr>
        <w:spacing w:after="0" w:line="240" w:lineRule="auto"/>
        <w:jc w:val="both"/>
        <w:rPr>
          <w:rFonts w:ascii="Times New Roman" w:hAnsi="Times New Roman"/>
          <w:color w:val="000000"/>
          <w:sz w:val="24"/>
          <w:szCs w:val="24"/>
        </w:rPr>
      </w:pPr>
      <w:r w:rsidRPr="003D3C98">
        <w:rPr>
          <w:rFonts w:ascii="Times New Roman" w:hAnsi="Times New Roman"/>
          <w:b/>
          <w:color w:val="000000"/>
          <w:sz w:val="24"/>
          <w:szCs w:val="24"/>
        </w:rPr>
        <w:t>Bilances nosacījums.</w:t>
      </w:r>
      <w:r w:rsidRPr="003D3C98">
        <w:rPr>
          <w:rFonts w:ascii="Times New Roman" w:hAnsi="Times New Roman"/>
          <w:color w:val="000000"/>
          <w:sz w:val="24"/>
          <w:szCs w:val="24"/>
        </w:rPr>
        <w:t xml:space="preserve"> FDL paredz sabalansētu budžetu strukturālajā izteiksmē, nosakot, ka strukturālā bilance nedrīkst būt </w:t>
      </w:r>
      <w:r w:rsidRPr="0060230F">
        <w:rPr>
          <w:rFonts w:ascii="Times New Roman" w:hAnsi="Times New Roman"/>
          <w:color w:val="000000"/>
          <w:sz w:val="24"/>
          <w:lang w:val="lv-LV"/>
        </w:rPr>
        <w:t>mazāka</w:t>
      </w:r>
      <w:r w:rsidRPr="003D3C98">
        <w:rPr>
          <w:rFonts w:ascii="Times New Roman" w:hAnsi="Times New Roman"/>
          <w:color w:val="000000"/>
          <w:sz w:val="24"/>
          <w:szCs w:val="24"/>
        </w:rPr>
        <w:t xml:space="preserve"> par </w:t>
      </w:r>
      <w:r w:rsidRPr="0060230F">
        <w:rPr>
          <w:rFonts w:ascii="Times New Roman" w:hAnsi="Times New Roman"/>
          <w:color w:val="000000"/>
          <w:sz w:val="24"/>
          <w:lang w:val="lv-LV"/>
        </w:rPr>
        <w:t>-</w:t>
      </w:r>
      <w:r w:rsidRPr="003D3C98">
        <w:rPr>
          <w:rFonts w:ascii="Times New Roman" w:hAnsi="Times New Roman"/>
          <w:color w:val="000000"/>
          <w:sz w:val="24"/>
          <w:szCs w:val="24"/>
        </w:rPr>
        <w:t>0</w:t>
      </w:r>
      <w:r w:rsidRPr="0060230F">
        <w:rPr>
          <w:rFonts w:ascii="Times New Roman" w:hAnsi="Times New Roman"/>
          <w:color w:val="000000"/>
          <w:sz w:val="24"/>
          <w:lang w:val="lv-LV"/>
        </w:rPr>
        <w:t>,5% no IKP</w:t>
      </w:r>
      <w:r>
        <w:rPr>
          <w:rFonts w:ascii="Times New Roman" w:hAnsi="Times New Roman"/>
          <w:color w:val="000000"/>
          <w:sz w:val="24"/>
          <w:szCs w:val="24"/>
        </w:rPr>
        <w:t>. FDL p</w:t>
      </w:r>
      <w:r w:rsidRPr="0060230F">
        <w:rPr>
          <w:rFonts w:ascii="Times New Roman" w:hAnsi="Times New Roman"/>
          <w:color w:val="000000"/>
          <w:sz w:val="24"/>
          <w:lang w:val="lv-LV"/>
        </w:rPr>
        <w:t>ārejas noteikumi paredz, ka šo nosacījumu sāk piemērot, kad iepriekšējā gada plānotā strukturālā bilance ir lielāka par -1,0% no IKP, bet līdz šī nosacījuma izpildei strukturālā bilance tiek plānota augstāka par 0,5% no IKP nekā iepriekšējā gadā.</w:t>
      </w:r>
    </w:p>
    <w:p w14:paraId="70CA77D7" w14:textId="77777777" w:rsidR="005A28AF" w:rsidRPr="003D3C98" w:rsidRDefault="005A28AF" w:rsidP="005A28AF">
      <w:pPr>
        <w:pStyle w:val="ListParagraph"/>
        <w:numPr>
          <w:ilvl w:val="0"/>
          <w:numId w:val="19"/>
        </w:numPr>
        <w:spacing w:after="0" w:line="240" w:lineRule="auto"/>
        <w:jc w:val="both"/>
        <w:rPr>
          <w:rFonts w:ascii="Times New Roman" w:hAnsi="Times New Roman"/>
          <w:color w:val="000000"/>
          <w:sz w:val="24"/>
          <w:szCs w:val="24"/>
        </w:rPr>
      </w:pPr>
      <w:r w:rsidRPr="003D3C98">
        <w:rPr>
          <w:rFonts w:ascii="Times New Roman" w:hAnsi="Times New Roman"/>
          <w:b/>
          <w:color w:val="000000"/>
          <w:sz w:val="24"/>
          <w:szCs w:val="24"/>
        </w:rPr>
        <w:t>Izdevumu pieauguma tempa nosacījums.</w:t>
      </w:r>
      <w:r w:rsidRPr="003D3C98">
        <w:rPr>
          <w:rFonts w:ascii="Times New Roman" w:hAnsi="Times New Roman"/>
          <w:color w:val="000000"/>
          <w:sz w:val="24"/>
          <w:szCs w:val="24"/>
        </w:rPr>
        <w:t xml:space="preserve"> FDL paredz, ka papildus tam, ka tiek ierobežots strukturālais deficīts, tiek noteikts arī, ka izdevumi, izslēdzot IKP </w:t>
      </w:r>
      <w:proofErr w:type="spellStart"/>
      <w:r w:rsidRPr="003D3C98">
        <w:rPr>
          <w:rFonts w:ascii="Times New Roman" w:hAnsi="Times New Roman"/>
          <w:color w:val="000000"/>
          <w:sz w:val="24"/>
          <w:szCs w:val="24"/>
        </w:rPr>
        <w:t>deflatoru</w:t>
      </w:r>
      <w:proofErr w:type="spellEnd"/>
      <w:r w:rsidRPr="003D3C98">
        <w:rPr>
          <w:rFonts w:ascii="Times New Roman" w:hAnsi="Times New Roman"/>
          <w:color w:val="000000"/>
          <w:sz w:val="24"/>
          <w:szCs w:val="24"/>
        </w:rPr>
        <w:t xml:space="preserve"> (inflāciju), nedrīkst augt ātrāk kā potenciālā IKP pieaugums. Šim nosacījuma ir paredzēti izņēmumi saskaņā ar Padomes Regulas Nr. 1175/2011, ar ko groza Padomes Regulu Nr. 1466/97 par budžeta stāvokļa uzraudzības un ekonomikas politikas uzraudzības un koordinācijas stiprināšanu, 9. pantā noteiktajām atkāpēm. </w:t>
      </w:r>
    </w:p>
    <w:p w14:paraId="22646F1D" w14:textId="77777777" w:rsidR="005A28AF" w:rsidRPr="0041490A" w:rsidRDefault="005A28AF" w:rsidP="005A28AF">
      <w:pPr>
        <w:pStyle w:val="ListParagraph"/>
        <w:numPr>
          <w:ilvl w:val="0"/>
          <w:numId w:val="19"/>
        </w:numPr>
        <w:spacing w:after="120" w:line="240" w:lineRule="auto"/>
        <w:jc w:val="both"/>
        <w:rPr>
          <w:rFonts w:ascii="Times New Roman" w:hAnsi="Times New Roman"/>
          <w:color w:val="000000"/>
          <w:sz w:val="24"/>
          <w:szCs w:val="24"/>
        </w:rPr>
      </w:pPr>
      <w:r w:rsidRPr="003D3C98">
        <w:rPr>
          <w:rFonts w:ascii="Times New Roman" w:hAnsi="Times New Roman"/>
          <w:b/>
          <w:color w:val="000000"/>
          <w:sz w:val="24"/>
          <w:szCs w:val="24"/>
        </w:rPr>
        <w:t>Valsts budžeta izdevumu sliekšņu noteikšana vidējā termiņā.</w:t>
      </w:r>
      <w:r w:rsidRPr="003D3C98">
        <w:rPr>
          <w:rFonts w:ascii="Times New Roman" w:hAnsi="Times New Roman"/>
          <w:color w:val="000000"/>
          <w:sz w:val="24"/>
          <w:szCs w:val="24"/>
        </w:rPr>
        <w:t xml:space="preserve"> FDL dod sākotnējos fiskālos rādītājus, saskaņā ar kuriem tiek izstrādāts Ietvara likums. Šajā likumā viens no būtiskākajiem rādītājiem ir valsts izdevumu sliekšņi turpmākajiem 3 gadiem. FDL nosaka, ka kā standarta nosacījums darbojas šo izdevumu sliekšņu stabilitātes nosacījums – Ietvara likuma pirmā un otrā gada izdevumu sliekšņi tiek pārmantoti no iepriekšējā Ietvara likuma otrā un trešā gada izdevumu sliekšņiem. Kā atkāpe no minētā nosacījuma - izdevumu sliekšņi netiek pārmantoti, ja sliekšņu lielums saskaņā ar atjaunotajām makroekonomiskajām prognozēm atšķiras no pārmantotajiem sliekšņiem vairāk kā par </w:t>
      </w:r>
      <w:r w:rsidRPr="0060230F">
        <w:rPr>
          <w:rFonts w:ascii="Times New Roman" w:hAnsi="Times New Roman"/>
          <w:color w:val="000000"/>
          <w:sz w:val="24"/>
          <w:lang w:val="lv-LV"/>
        </w:rPr>
        <w:t>0,1</w:t>
      </w:r>
      <w:r w:rsidRPr="003D3C98">
        <w:rPr>
          <w:rFonts w:ascii="Times New Roman" w:hAnsi="Times New Roman"/>
          <w:color w:val="000000"/>
          <w:sz w:val="24"/>
          <w:szCs w:val="24"/>
        </w:rPr>
        <w:t> % no IKP.</w:t>
      </w:r>
    </w:p>
    <w:p w14:paraId="020776B1" w14:textId="77777777" w:rsidR="002F656C" w:rsidRDefault="005A28AF" w:rsidP="005A28AF">
      <w:pPr>
        <w:rPr>
          <w:color w:val="000000"/>
          <w:szCs w:val="24"/>
        </w:rPr>
      </w:pPr>
      <w:r>
        <w:rPr>
          <w:color w:val="000000"/>
          <w:szCs w:val="24"/>
        </w:rPr>
        <w:t>FDL</w:t>
      </w:r>
      <w:r w:rsidRPr="00EC2DF4">
        <w:rPr>
          <w:color w:val="000000"/>
          <w:szCs w:val="24"/>
        </w:rPr>
        <w:t xml:space="preserve"> nosaka arī virkni izņēmumus izd</w:t>
      </w:r>
      <w:r>
        <w:rPr>
          <w:color w:val="000000"/>
          <w:szCs w:val="24"/>
        </w:rPr>
        <w:t>evumu sliekšņu nosacījumam (</w:t>
      </w:r>
      <w:r w:rsidRPr="00EC2DF4">
        <w:rPr>
          <w:color w:val="000000"/>
          <w:szCs w:val="24"/>
        </w:rPr>
        <w:t xml:space="preserve">ārvalstu finanšu palīdzība, ieņēmumi no maksas pakalpojumiem un citiem pašu ieņēmumiem </w:t>
      </w:r>
      <w:proofErr w:type="spellStart"/>
      <w:r w:rsidRPr="00EC2DF4">
        <w:rPr>
          <w:color w:val="000000"/>
          <w:szCs w:val="24"/>
        </w:rPr>
        <w:t>u.c</w:t>
      </w:r>
      <w:proofErr w:type="spellEnd"/>
      <w:r w:rsidRPr="00EC2DF4">
        <w:rPr>
          <w:color w:val="000000"/>
          <w:szCs w:val="24"/>
        </w:rPr>
        <w:t xml:space="preserve">). </w:t>
      </w:r>
    </w:p>
    <w:p w14:paraId="73611EE4" w14:textId="77777777" w:rsidR="005A28AF" w:rsidRDefault="005A28AF" w:rsidP="005A28AF">
      <w:pPr>
        <w:rPr>
          <w:color w:val="000000"/>
          <w:szCs w:val="24"/>
        </w:rPr>
      </w:pPr>
      <w:r w:rsidRPr="00EC2DF4">
        <w:rPr>
          <w:color w:val="000000"/>
          <w:szCs w:val="24"/>
        </w:rPr>
        <w:t xml:space="preserve">Tāpat, paredzēts izdevumu izlīdzināšanas mehānisms, kas novērš </w:t>
      </w:r>
      <w:r w:rsidR="002F656C" w:rsidRPr="00EC2DF4">
        <w:rPr>
          <w:color w:val="000000"/>
          <w:szCs w:val="24"/>
        </w:rPr>
        <w:t xml:space="preserve">valsts parāda apkalpošanas izdevumu </w:t>
      </w:r>
      <w:r w:rsidR="002F656C">
        <w:rPr>
          <w:color w:val="000000"/>
          <w:szCs w:val="24"/>
        </w:rPr>
        <w:t xml:space="preserve">un </w:t>
      </w:r>
      <w:r w:rsidRPr="00EC2DF4">
        <w:rPr>
          <w:color w:val="000000"/>
          <w:szCs w:val="24"/>
        </w:rPr>
        <w:t>ES struktūrfondu</w:t>
      </w:r>
      <w:r>
        <w:rPr>
          <w:color w:val="000000"/>
          <w:szCs w:val="24"/>
        </w:rPr>
        <w:t xml:space="preserve">, Kohēzijas fonda, kopējās </w:t>
      </w:r>
      <w:r w:rsidRPr="00957B1E">
        <w:rPr>
          <w:color w:val="000000"/>
          <w:szCs w:val="24"/>
        </w:rPr>
        <w:t>lauksaimniecības politikas un kopējās zivsaimniecības politikas izdevum</w:t>
      </w:r>
      <w:r w:rsidR="002F656C">
        <w:rPr>
          <w:color w:val="000000"/>
          <w:szCs w:val="24"/>
        </w:rPr>
        <w:t>u</w:t>
      </w:r>
      <w:r w:rsidRPr="00EC2DF4">
        <w:rPr>
          <w:color w:val="000000"/>
          <w:szCs w:val="24"/>
        </w:rPr>
        <w:t xml:space="preserve"> svārstību ietekmi uz citiem valsts budžeta izdevumiem.</w:t>
      </w:r>
      <w:r>
        <w:rPr>
          <w:color w:val="000000"/>
          <w:szCs w:val="24"/>
        </w:rPr>
        <w:t xml:space="preserve"> FDL pārejas noteikumi paredz, ka no 2017. gada sāk piemērot izlīdzināšanas mehānismu valsts parāda apkalpošanas izdevumiem, bet no 2016. gada izlīdzināšanas mehānismu sāk piemērot ES struktūrfondu izdevumiem, attiecīgi sākoties jaunam plānošanas periodam.</w:t>
      </w:r>
      <w:r w:rsidRPr="003C778C">
        <w:rPr>
          <w:color w:val="000000"/>
          <w:szCs w:val="24"/>
        </w:rPr>
        <w:t xml:space="preserve"> </w:t>
      </w:r>
    </w:p>
    <w:p w14:paraId="6FEB12AE" w14:textId="77777777" w:rsidR="005A28AF" w:rsidRDefault="005A28AF" w:rsidP="005A28AF">
      <w:pPr>
        <w:rPr>
          <w:color w:val="000000"/>
          <w:szCs w:val="24"/>
        </w:rPr>
      </w:pPr>
      <w:r>
        <w:rPr>
          <w:color w:val="000000"/>
          <w:szCs w:val="24"/>
        </w:rPr>
        <w:lastRenderedPageBreak/>
        <w:t>Lai nodrošinātu fiskālo rādītāju stabilitāti vidējā termiņā neatkarīgi no ārējo faktoru izraisītām izmaiņām, kā arī mazināt ārējo faktoru izraisīto izmaiņu ietekmi uz fiskālajiem rādītājiem katrā ietvara likuma perioda gadā, v</w:t>
      </w:r>
      <w:r w:rsidRPr="00EC2DF4">
        <w:rPr>
          <w:color w:val="000000"/>
          <w:szCs w:val="24"/>
        </w:rPr>
        <w:t>idēja termiņa budžeta ietvara likumam tik</w:t>
      </w:r>
      <w:r>
        <w:rPr>
          <w:color w:val="000000"/>
          <w:szCs w:val="24"/>
        </w:rPr>
        <w:t>s</w:t>
      </w:r>
      <w:r w:rsidRPr="00EC2DF4">
        <w:rPr>
          <w:color w:val="000000"/>
          <w:szCs w:val="24"/>
        </w:rPr>
        <w:t xml:space="preserve"> pievienota fiskālo risku deklarācija</w:t>
      </w:r>
      <w:r>
        <w:rPr>
          <w:color w:val="000000"/>
          <w:szCs w:val="24"/>
        </w:rPr>
        <w:t>. Risku deklarācijā</w:t>
      </w:r>
      <w:r w:rsidRPr="00EC2DF4">
        <w:rPr>
          <w:color w:val="000000"/>
          <w:szCs w:val="24"/>
        </w:rPr>
        <w:t xml:space="preserve"> t</w:t>
      </w:r>
      <w:r>
        <w:rPr>
          <w:color w:val="000000"/>
          <w:szCs w:val="24"/>
        </w:rPr>
        <w:t>i</w:t>
      </w:r>
      <w:r w:rsidRPr="00EC2DF4">
        <w:rPr>
          <w:color w:val="000000"/>
          <w:szCs w:val="24"/>
        </w:rPr>
        <w:t>k</w:t>
      </w:r>
      <w:r>
        <w:rPr>
          <w:color w:val="000000"/>
          <w:szCs w:val="24"/>
        </w:rPr>
        <w:t>s</w:t>
      </w:r>
      <w:r w:rsidRPr="00EC2DF4">
        <w:rPr>
          <w:color w:val="000000"/>
          <w:szCs w:val="24"/>
        </w:rPr>
        <w:t xml:space="preserve"> identificēti fiskālie riski, tos iedalot kvantificējamos un nekvantificējamos riskos. Kvantifi</w:t>
      </w:r>
      <w:r>
        <w:rPr>
          <w:color w:val="000000"/>
          <w:szCs w:val="24"/>
        </w:rPr>
        <w:t>cējamiem fiskālajiem riskiem tiks</w:t>
      </w:r>
      <w:r w:rsidRPr="00EC2DF4">
        <w:rPr>
          <w:color w:val="000000"/>
          <w:szCs w:val="24"/>
        </w:rPr>
        <w:t xml:space="preserve"> noteikta iestāšanas varbūtība un fiskālā ietekme. Atbilstoši tam </w:t>
      </w:r>
      <w:r>
        <w:rPr>
          <w:color w:val="000000"/>
          <w:szCs w:val="24"/>
        </w:rPr>
        <w:t>tiks</w:t>
      </w:r>
      <w:r w:rsidRPr="00EC2DF4">
        <w:rPr>
          <w:color w:val="000000"/>
          <w:szCs w:val="24"/>
        </w:rPr>
        <w:t xml:space="preserve"> aprēķināta fiskālā nodrošinājuma rezerve, kas nevar būt </w:t>
      </w:r>
      <w:r>
        <w:rPr>
          <w:color w:val="000000"/>
          <w:szCs w:val="24"/>
        </w:rPr>
        <w:t>mazāka</w:t>
      </w:r>
      <w:r w:rsidRPr="00EC2DF4">
        <w:rPr>
          <w:color w:val="000000"/>
          <w:szCs w:val="24"/>
        </w:rPr>
        <w:t xml:space="preserve"> par 0,1</w:t>
      </w:r>
      <w:r>
        <w:rPr>
          <w:color w:val="000000"/>
          <w:szCs w:val="24"/>
        </w:rPr>
        <w:t xml:space="preserve"> </w:t>
      </w:r>
      <w:r w:rsidRPr="00EC2DF4">
        <w:rPr>
          <w:color w:val="000000"/>
          <w:szCs w:val="24"/>
        </w:rPr>
        <w:t>% no IKP un kura tik</w:t>
      </w:r>
      <w:r>
        <w:rPr>
          <w:color w:val="000000"/>
          <w:szCs w:val="24"/>
        </w:rPr>
        <w:t>s</w:t>
      </w:r>
      <w:r w:rsidRPr="00EC2DF4">
        <w:rPr>
          <w:color w:val="000000"/>
          <w:szCs w:val="24"/>
        </w:rPr>
        <w:t xml:space="preserve"> atstāta rezervē, nosakot valsts budžeta izdevumu slieksni.</w:t>
      </w:r>
      <w:r>
        <w:rPr>
          <w:color w:val="000000"/>
          <w:szCs w:val="24"/>
        </w:rPr>
        <w:t xml:space="preserve"> Nepieciešamības gadījumā</w:t>
      </w:r>
      <w:r w:rsidRPr="00735871">
        <w:rPr>
          <w:color w:val="000000"/>
          <w:szCs w:val="24"/>
        </w:rPr>
        <w:t>, lai kompensētu fiskālo risku deklarācijā iekļauto nekvantificējamo fiskālo risku un neiekļauto fiskālo risku izraisītos izdevumus</w:t>
      </w:r>
      <w:r>
        <w:rPr>
          <w:color w:val="000000"/>
          <w:szCs w:val="24"/>
        </w:rPr>
        <w:t xml:space="preserve"> un</w:t>
      </w:r>
      <w:r w:rsidRPr="00735871">
        <w:rPr>
          <w:color w:val="000000"/>
          <w:szCs w:val="24"/>
        </w:rPr>
        <w:t xml:space="preserve"> ja to visu kopapjoms pārsniedz 0,1 pr</w:t>
      </w:r>
      <w:r>
        <w:rPr>
          <w:color w:val="000000"/>
          <w:szCs w:val="24"/>
        </w:rPr>
        <w:t xml:space="preserve">ocentu no iekšzemes kopprodukta, </w:t>
      </w:r>
      <w:r w:rsidR="005342B6">
        <w:rPr>
          <w:color w:val="000000"/>
          <w:szCs w:val="24"/>
        </w:rPr>
        <w:t>MK</w:t>
      </w:r>
      <w:r w:rsidRPr="00735871">
        <w:rPr>
          <w:color w:val="000000"/>
          <w:szCs w:val="24"/>
        </w:rPr>
        <w:t xml:space="preserve"> izstrādā priekšlikumus izdevumu samazināšanai citās izdevumu pozīcijās vai ieņēmumu palielināšanai</w:t>
      </w:r>
      <w:r>
        <w:rPr>
          <w:color w:val="000000"/>
          <w:szCs w:val="24"/>
        </w:rPr>
        <w:t>. FDL pārejas noteikumi paredz pietiekošu laiku, lai ieviestu fiskālo risku vadību, līdz ar to fiskālo risku deklarācija netiek pievienota 2014.</w:t>
      </w:r>
      <w:r w:rsidR="003E52AE">
        <w:rPr>
          <w:color w:val="000000"/>
          <w:szCs w:val="24"/>
        </w:rPr>
        <w:t>-</w:t>
      </w:r>
      <w:r>
        <w:rPr>
          <w:color w:val="000000"/>
          <w:szCs w:val="24"/>
        </w:rPr>
        <w:t>2016. gada ietvara likuma projektam.</w:t>
      </w:r>
    </w:p>
    <w:p w14:paraId="283885BD" w14:textId="77777777" w:rsidR="005A28AF" w:rsidRDefault="005A28AF" w:rsidP="005A28AF">
      <w:pPr>
        <w:rPr>
          <w:color w:val="000000"/>
          <w:szCs w:val="24"/>
        </w:rPr>
      </w:pPr>
      <w:r>
        <w:rPr>
          <w:color w:val="000000"/>
          <w:szCs w:val="24"/>
        </w:rPr>
        <w:t xml:space="preserve">Tāpat </w:t>
      </w:r>
      <w:r w:rsidRPr="00EC2DF4">
        <w:rPr>
          <w:color w:val="000000"/>
          <w:szCs w:val="24"/>
        </w:rPr>
        <w:t xml:space="preserve">FDL paredz automātisko </w:t>
      </w:r>
      <w:proofErr w:type="spellStart"/>
      <w:r w:rsidRPr="00EC2DF4">
        <w:rPr>
          <w:color w:val="000000"/>
          <w:szCs w:val="24"/>
        </w:rPr>
        <w:t>ex-post</w:t>
      </w:r>
      <w:proofErr w:type="spellEnd"/>
      <w:r w:rsidRPr="00EC2DF4">
        <w:rPr>
          <w:color w:val="000000"/>
          <w:szCs w:val="24"/>
        </w:rPr>
        <w:t xml:space="preserve"> korekcijas mehānismu</w:t>
      </w:r>
      <w:r>
        <w:rPr>
          <w:color w:val="000000"/>
          <w:szCs w:val="24"/>
        </w:rPr>
        <w:t xml:space="preserve">, </w:t>
      </w:r>
      <w:proofErr w:type="spellStart"/>
      <w:r>
        <w:rPr>
          <w:color w:val="000000"/>
          <w:szCs w:val="24"/>
        </w:rPr>
        <w:t>t.i</w:t>
      </w:r>
      <w:proofErr w:type="spellEnd"/>
      <w:r>
        <w:rPr>
          <w:color w:val="000000"/>
          <w:szCs w:val="24"/>
        </w:rPr>
        <w:t>. minimālās plānojamās vispārējās valdības budžeta strukturālās bilances koriģēšanu, lai nodrošinātu to, ka iepriekšējo gadu faktiskās novirzes no bilances nosacījuma neietekmē budžeta sabalansētību</w:t>
      </w:r>
      <w:r w:rsidRPr="00EC2DF4">
        <w:rPr>
          <w:color w:val="000000"/>
          <w:szCs w:val="24"/>
        </w:rPr>
        <w:t xml:space="preserve">. Ja budžeta izpildes gaitā strukturālā bilance pasliktinās pret plānoto vairāk kā par noteiktu lielumu, turpmākajos gados tiek noteikta korekcija, kas šo novirzi novērš. </w:t>
      </w:r>
      <w:r w:rsidRPr="00CE6F9B">
        <w:rPr>
          <w:color w:val="000000"/>
          <w:szCs w:val="24"/>
        </w:rPr>
        <w:t>Koriģēšanas mehānisms ir bāzēts uz Šveices un Vācijas piemēra.</w:t>
      </w:r>
    </w:p>
    <w:p w14:paraId="1B6F6620" w14:textId="77777777" w:rsidR="005A28AF" w:rsidRPr="00957B1E" w:rsidRDefault="005A28AF" w:rsidP="005A28AF">
      <w:pPr>
        <w:rPr>
          <w:color w:val="000000"/>
          <w:szCs w:val="24"/>
        </w:rPr>
      </w:pPr>
      <w:r w:rsidRPr="00957B1E">
        <w:rPr>
          <w:color w:val="000000"/>
          <w:szCs w:val="24"/>
        </w:rPr>
        <w:t>Valsts pamatbudžeta faktisko ieņēmumu pārsniegums pār faktiskajiem izdevumiem tiek ieskaitīts ilgtermiņa stabilizācijas rezervē vai novirzīts val</w:t>
      </w:r>
      <w:r>
        <w:rPr>
          <w:color w:val="000000"/>
          <w:szCs w:val="24"/>
        </w:rPr>
        <w:t xml:space="preserve">sts parāda dzēšanai atbilstoši </w:t>
      </w:r>
      <w:r w:rsidR="005342B6">
        <w:rPr>
          <w:color w:val="000000"/>
          <w:szCs w:val="24"/>
        </w:rPr>
        <w:t>MK</w:t>
      </w:r>
      <w:r>
        <w:rPr>
          <w:color w:val="000000"/>
          <w:szCs w:val="24"/>
        </w:rPr>
        <w:t xml:space="preserve"> lēmumam.</w:t>
      </w:r>
    </w:p>
    <w:p w14:paraId="1BAD9186" w14:textId="2DA7ACE5" w:rsidR="005A28AF" w:rsidRDefault="005A28AF" w:rsidP="005A28AF">
      <w:pPr>
        <w:rPr>
          <w:color w:val="000000"/>
          <w:szCs w:val="24"/>
        </w:rPr>
      </w:pPr>
      <w:r>
        <w:rPr>
          <w:color w:val="000000"/>
          <w:szCs w:val="24"/>
        </w:rPr>
        <w:t xml:space="preserve">FDL paredz arī </w:t>
      </w:r>
      <w:r w:rsidR="00505F15">
        <w:rPr>
          <w:color w:val="000000"/>
          <w:szCs w:val="24"/>
        </w:rPr>
        <w:t>Padome</w:t>
      </w:r>
      <w:r w:rsidR="00C516D5">
        <w:rPr>
          <w:color w:val="000000"/>
          <w:szCs w:val="24"/>
        </w:rPr>
        <w:t>s</w:t>
      </w:r>
      <w:r w:rsidR="00505F15">
        <w:rPr>
          <w:color w:val="000000"/>
          <w:szCs w:val="24"/>
        </w:rPr>
        <w:t xml:space="preserve"> </w:t>
      </w:r>
      <w:r w:rsidRPr="00EC2DF4">
        <w:rPr>
          <w:color w:val="000000"/>
          <w:szCs w:val="24"/>
        </w:rPr>
        <w:t>izveidošanu ar mērķi nodrošināt neatkarīgu fiskālās disciplīnas nosacījumu ievērošanas uzraudzību</w:t>
      </w:r>
      <w:r>
        <w:rPr>
          <w:color w:val="000000"/>
          <w:szCs w:val="24"/>
        </w:rPr>
        <w:t>, kura savu darbu uzsāk no 2014. gada</w:t>
      </w:r>
      <w:r w:rsidRPr="00505F15">
        <w:rPr>
          <w:color w:val="000000"/>
          <w:szCs w:val="24"/>
        </w:rPr>
        <w:t xml:space="preserve">. </w:t>
      </w:r>
      <w:r w:rsidRPr="00C516D5">
        <w:rPr>
          <w:color w:val="000000"/>
        </w:rPr>
        <w:t xml:space="preserve"> </w:t>
      </w:r>
      <w:r w:rsidR="003E52AE" w:rsidRPr="00505F15">
        <w:rPr>
          <w:color w:val="000000"/>
          <w:szCs w:val="24"/>
        </w:rPr>
        <w:t>(d</w:t>
      </w:r>
      <w:r w:rsidRPr="00505F15">
        <w:rPr>
          <w:color w:val="000000"/>
          <w:szCs w:val="24"/>
        </w:rPr>
        <w:t>etalizētāks</w:t>
      </w:r>
      <w:r w:rsidRPr="003E52AE">
        <w:rPr>
          <w:color w:val="000000"/>
          <w:szCs w:val="24"/>
        </w:rPr>
        <w:t xml:space="preserve"> izklāsts ir 9.4. daļā)</w:t>
      </w:r>
    </w:p>
    <w:p w14:paraId="6CB4887C" w14:textId="77777777" w:rsidR="00F667BA" w:rsidRPr="005A28AF" w:rsidRDefault="005A28AF" w:rsidP="005A28AF">
      <w:r w:rsidRPr="00752145">
        <w:rPr>
          <w:color w:val="000000"/>
          <w:szCs w:val="24"/>
        </w:rPr>
        <w:t>FDL mērķis ir nodrošināt šīs sistēmiski jaunās pieejas fiskālās politikas veidošanā un disciplīnas ievērošanā ilglaicīgu pastāvēšanu, tai netiekot regulāri mainītai.</w:t>
      </w:r>
      <w:r w:rsidRPr="00752145">
        <w:t xml:space="preserve"> </w:t>
      </w:r>
      <w:r w:rsidRPr="00372D8A">
        <w:t xml:space="preserve">Ir arī sagatavoti grozījumi </w:t>
      </w:r>
      <w:r w:rsidRPr="00372D8A">
        <w:rPr>
          <w:i/>
        </w:rPr>
        <w:t>Satversmē</w:t>
      </w:r>
      <w:r w:rsidRPr="00372D8A">
        <w:t>, kas Saeimā tika iesniegti 2011.gada 6.decembrī un tos turpina skatīt Saeimas komisijās.</w:t>
      </w:r>
      <w:r w:rsidRPr="00372D8A">
        <w:rPr>
          <w:color w:val="000000"/>
          <w:szCs w:val="24"/>
        </w:rPr>
        <w:t xml:space="preserve"> Tomēr jāņem vērā arī tas, ka Satversmes grozījumu veikšanai ir nepieciešams būtisks Parlamentā pārstāvēto deputātu balsu vairākums, tādēļ izmaiņu panākšana valsts pamatlikumā prasa plašu politisku vienprātību</w:t>
      </w:r>
      <w:r w:rsidRPr="00372D8A">
        <w:rPr>
          <w:i/>
          <w:color w:val="000000"/>
          <w:szCs w:val="24"/>
        </w:rPr>
        <w:t>.</w:t>
      </w:r>
    </w:p>
    <w:p w14:paraId="64E4EFD6" w14:textId="77777777" w:rsidR="00A6537C" w:rsidRDefault="00A6537C" w:rsidP="002D62B9">
      <w:pPr>
        <w:pStyle w:val="otrais"/>
        <w:rPr>
          <w:szCs w:val="32"/>
        </w:rPr>
      </w:pPr>
      <w:bookmarkStart w:id="74" w:name="_Toc354671239"/>
      <w:bookmarkStart w:id="75" w:name="_Toc284924068"/>
      <w:bookmarkStart w:id="76" w:name="_Toc155751092"/>
      <w:r>
        <w:rPr>
          <w:szCs w:val="32"/>
        </w:rPr>
        <w:t xml:space="preserve">9.2. </w:t>
      </w:r>
      <w:r w:rsidRPr="00A45BB1">
        <w:rPr>
          <w:szCs w:val="32"/>
        </w:rPr>
        <w:t>Vidējā termiņa budžeta plānošana</w:t>
      </w:r>
      <w:bookmarkEnd w:id="74"/>
    </w:p>
    <w:p w14:paraId="3DD1C912" w14:textId="77777777" w:rsidR="00A6537C" w:rsidRPr="00315A03" w:rsidRDefault="00A6537C" w:rsidP="00A6537C">
      <w:pPr>
        <w:pStyle w:val="NoSpacing"/>
        <w:rPr>
          <w:color w:val="000000" w:themeColor="text1"/>
        </w:rPr>
      </w:pPr>
      <w:r w:rsidRPr="00315A03">
        <w:rPr>
          <w:color w:val="000000" w:themeColor="text1"/>
        </w:rPr>
        <w:t>Atbilstoši LBFV vidēja termiņa valsts budžeta plānošana — process, kurā tiek noteikti pieejamie resursi vidējam termiņam un nodrošināta šo resursu izlietošana atbilstoši valdības noteiktajām prioritātēm. Vidējs termiņš — triju gadu periods, ko veido saimnieciskais gads, kuram plāno valsts budžetu, un tam sekojošie divi saimnieciskie gadi.</w:t>
      </w:r>
    </w:p>
    <w:p w14:paraId="341B99B2" w14:textId="64227A5D" w:rsidR="00A6537C" w:rsidRDefault="00A6537C" w:rsidP="00A6537C">
      <w:r w:rsidRPr="001C4AA7">
        <w:t xml:space="preserve">Sākot ar 2007.gadu tiek gatavots </w:t>
      </w:r>
      <w:r w:rsidR="0023518A">
        <w:t>Ietvars</w:t>
      </w:r>
      <w:r w:rsidRPr="001C4AA7">
        <w:t xml:space="preserve"> nākamajiem tri</w:t>
      </w:r>
      <w:r>
        <w:t>m</w:t>
      </w:r>
      <w:r w:rsidRPr="001C4AA7">
        <w:t xml:space="preserve"> saimnieciskajiem gadiem, kurā tiek norādīta vidēja termiņa valsts makroekonomiskās situācijas analīze, valdības fiskālās politikas mērķi vidējam termiņam, valsts budžeta ieņēmumu prognozes un maksimāli pieļaujamo valsts budžeta kopējo izdevumu apjoms katrai ministrijai un citām centrālajām valsts iestādēm vidējam termiņam. Ietvaram nebija juridiski saistošs raksturs, tas tikai indikatīvi norādīja maksimāli pieļaujamo valsts budžeta kopējo izdevumu apjomu vidējam termiņam.</w:t>
      </w:r>
      <w:r>
        <w:t xml:space="preserve"> Sākot a</w:t>
      </w:r>
      <w:r w:rsidRPr="001C4AA7">
        <w:t>r 2012.gada 1.janvāri Ietvaru, ko kopš 2007.gada apstiprin</w:t>
      </w:r>
      <w:r>
        <w:t>āja</w:t>
      </w:r>
      <w:r w:rsidRPr="001C4AA7">
        <w:t xml:space="preserve"> MK, sāk izstrādāt </w:t>
      </w:r>
      <w:r>
        <w:t xml:space="preserve">likuma formā kā </w:t>
      </w:r>
      <w:r w:rsidR="00F27493">
        <w:t>Ietvara likumu</w:t>
      </w:r>
      <w:r>
        <w:t xml:space="preserve"> un to</w:t>
      </w:r>
      <w:r w:rsidRPr="001C4AA7">
        <w:t xml:space="preserve"> apstiprina Saeima</w:t>
      </w:r>
      <w:r>
        <w:t>.</w:t>
      </w:r>
      <w:r w:rsidRPr="001C4AA7">
        <w:t xml:space="preserve"> </w:t>
      </w:r>
      <w:r>
        <w:t>T</w:t>
      </w:r>
      <w:r w:rsidRPr="001C4AA7">
        <w:t xml:space="preserve">ādējādi </w:t>
      </w:r>
      <w:r>
        <w:t xml:space="preserve">tiek </w:t>
      </w:r>
      <w:r w:rsidRPr="001C4AA7">
        <w:t>nodrošin</w:t>
      </w:r>
      <w:r>
        <w:t>āts</w:t>
      </w:r>
      <w:r w:rsidRPr="001C4AA7">
        <w:t xml:space="preserve">, ka Ietvara likumā iekļautajiem sasniedzamajiem finanšu rādītājiem ir juridiski saistošs spēks </w:t>
      </w:r>
      <w:r w:rsidRPr="001C4AA7">
        <w:lastRenderedPageBreak/>
        <w:t>un uz tiem ir jābalstās gadskārtējā valsts budžeta likuma izstrādāšanā</w:t>
      </w:r>
      <w:r>
        <w:t xml:space="preserve">, kā arī turpmāko Ietvara likumu izstrādāšanā. Ietvara likumu izstrādā katru gadu, nākamo triju gadu periodam, pie tam </w:t>
      </w:r>
      <w:r w:rsidRPr="000F1EF5">
        <w:t>katra nākamā Ietvara likuma perioda pirmajam un otrajam gadam tiek izmantoti iepriekšējā Ietvara likumā noteiktie rādītāji, savukārt trešajā gadā plānotie rādītāji ir jauni.</w:t>
      </w:r>
      <w:r w:rsidRPr="00A56F2A">
        <w:t xml:space="preserve"> </w:t>
      </w:r>
    </w:p>
    <w:p w14:paraId="21E4198F" w14:textId="77777777" w:rsidR="00A6537C" w:rsidRDefault="00A6537C" w:rsidP="00A6537C">
      <w:r>
        <w:t xml:space="preserve">Ietvara likums tiek sasaistīts ar attīstības plānošanas dokumentiem, tādējādi nodrošinot pieejamo resursu sasaisti ar valdības politikas prioritātēm vidējā termiņā, un tas pakļaujas FDL noteiktajiem fiskālajiem nosacījumiem, nodrošinot pārredzamu un atbildīgu fiskālo politiku. Ietvara likuma darbības perioda pirmais gads tiek detalizēti izvērsts gadskārtējā valsts budžeta likumā. </w:t>
      </w:r>
      <w:r w:rsidRPr="00D73678">
        <w:t xml:space="preserve">Saskaņā ar LBFV </w:t>
      </w:r>
      <w:r w:rsidRPr="005775CF">
        <w:t>Ietvara likumā katram likuma perioda gadam tiek norādīt</w:t>
      </w:r>
      <w:r>
        <w:t>i</w:t>
      </w:r>
      <w:r w:rsidRPr="005775CF">
        <w:t xml:space="preserve"> vidēja termiņa budžeta mērķi un nacionālajā attīstības plānā noteiktie prioritārie attīstības virzieni</w:t>
      </w:r>
      <w:r>
        <w:t xml:space="preserve">, </w:t>
      </w:r>
      <w:r w:rsidRPr="00512EDB">
        <w:t>valdības fiskālās politikas mērķu formulējums</w:t>
      </w:r>
      <w:r>
        <w:t>,</w:t>
      </w:r>
      <w:r w:rsidRPr="00512EDB">
        <w:t xml:space="preserve"> maksimāli pieļaujamais valsts budžeta izdevumu kopapjoms</w:t>
      </w:r>
      <w:r>
        <w:t xml:space="preserve"> (arī izdevumu kopapjoms katram budžeta resoram)</w:t>
      </w:r>
      <w:r w:rsidRPr="005775CF">
        <w:t xml:space="preserve">, </w:t>
      </w:r>
      <w:r w:rsidRPr="00512EDB">
        <w:t>iekšzemes kopprodukt</w:t>
      </w:r>
      <w:r>
        <w:t>a</w:t>
      </w:r>
      <w:r w:rsidRPr="00512EDB">
        <w:t xml:space="preserve"> prognozes, valsts budžeta ieņēmumu prognozes, valsts budžeta finansiālās bilances apjoms</w:t>
      </w:r>
      <w:r w:rsidRPr="005775CF">
        <w:t xml:space="preserve"> (maksimālais deficīta līmenis un vai minimāl</w:t>
      </w:r>
      <w:r>
        <w:t>ais</w:t>
      </w:r>
      <w:r w:rsidRPr="005775CF">
        <w:t xml:space="preserve"> pārpalikuma līmeni</w:t>
      </w:r>
      <w:r>
        <w:t>s</w:t>
      </w:r>
      <w:r w:rsidRPr="005775CF">
        <w:t xml:space="preserve">), </w:t>
      </w:r>
      <w:r>
        <w:t xml:space="preserve">savukārt saskaņā ar FDL ir norādāmi vēl citi rādītāji. Piemēram, sākot ar 2016.gadu paredzēts Ietvara likuma saturu papildināt ar fiskālā nodrošinājuma rezervi, kuras mērķis </w:t>
      </w:r>
      <w:r w:rsidRPr="00162435">
        <w:t xml:space="preserve">ir nodrošināt </w:t>
      </w:r>
      <w:r>
        <w:t>I</w:t>
      </w:r>
      <w:r w:rsidRPr="00162435">
        <w:t>etvara likumā attiecīgajam gadam noteikto vispārējās valdības budžeta bilances plānoto līmeni nelielu makroekonomisko svārstību gadījumā un fiskālo risku deklarācijā iekļauto kvantificējamo fiskālo risku izraisīto izdevumu segšanas gadījumā.</w:t>
      </w:r>
    </w:p>
    <w:p w14:paraId="46B538E6" w14:textId="19675415" w:rsidR="00A6537C" w:rsidRDefault="00A6537C" w:rsidP="004A6332">
      <w:pPr>
        <w:pStyle w:val="NoSpacing"/>
        <w:spacing w:after="120"/>
      </w:pPr>
      <w:r>
        <w:t>Jautājumā par vidēja termiņa mērķiem un iniciatīvām LBFV ir noteikts, ka m</w:t>
      </w:r>
      <w:r w:rsidRPr="002957EB">
        <w:t xml:space="preserve">inistrijas un citas centrālās valsts iestādes iesniedz priekšlikumus </w:t>
      </w:r>
      <w:r w:rsidR="0023518A">
        <w:t>JPI</w:t>
      </w:r>
      <w:r w:rsidRPr="002957EB">
        <w:t xml:space="preserve"> tad, ja attiecīgajos nākamajos saimnieciskajos gados atbilstoši aktuālākajām makroekonomiskās attīstības prognozēm būs pieejami līdzekļi </w:t>
      </w:r>
      <w:r>
        <w:t xml:space="preserve">JPI </w:t>
      </w:r>
      <w:r w:rsidRPr="002957EB">
        <w:t xml:space="preserve">finansēšanai. Priekšlikumus </w:t>
      </w:r>
      <w:r>
        <w:t>JPI</w:t>
      </w:r>
      <w:r w:rsidRPr="002957EB">
        <w:t xml:space="preserve"> iesniedz vidēja termiņa budžeta ietvara likuma projekta un gadskārtējā valsts budžeta likuma projekta izstrādes un iesniegšanas grafikā noteiktajā termiņā.</w:t>
      </w:r>
      <w:r>
        <w:t xml:space="preserve"> </w:t>
      </w:r>
      <w:r w:rsidR="00C406C8">
        <w:t>M</w:t>
      </w:r>
      <w:r w:rsidRPr="001C4AA7">
        <w:t xml:space="preserve">inistrijas un citas centrālās valsts iestādes sagatavo </w:t>
      </w:r>
      <w:r>
        <w:t>JPI</w:t>
      </w:r>
      <w:r w:rsidRPr="001C4AA7">
        <w:t xml:space="preserve">, pamatojoties uz nacionālajā attīstības plānā un valsts aizsardzības koncepcijā noteiktajām prioritātēm un mērķiem. </w:t>
      </w:r>
      <w:r>
        <w:t xml:space="preserve">Jaunie grozījumi paredz, ka MK var noteikt, ka ministrijas un citas centrālās valsts iestādes, sagatavojot JPI, pamatojas arī uz citos attīstības plānošanas dokumentos noteiktajām prioritātēm un mērķiem, tostarp ņemot vērā nepieciešamību veikt budžeta iestāžu kapacitātes (administratīvas spējas) stiprināšanas pasākumus. </w:t>
      </w:r>
      <w:r w:rsidRPr="001C4AA7">
        <w:t xml:space="preserve">Tādējādi valsts finanšu plānošana </w:t>
      </w:r>
      <w:r>
        <w:t xml:space="preserve">tiek </w:t>
      </w:r>
      <w:r w:rsidRPr="00026B4D">
        <w:t xml:space="preserve">nodrošināta </w:t>
      </w:r>
      <w:r w:rsidRPr="001C4AA7">
        <w:t>atbilstoši vidējam termiņam izvirzītajiem attīstības virzieniem un prioritātēm.</w:t>
      </w:r>
    </w:p>
    <w:p w14:paraId="3154A101" w14:textId="77777777" w:rsidR="00A6537C" w:rsidRDefault="00A6537C" w:rsidP="004A6332">
      <w:pPr>
        <w:pStyle w:val="NoSpacing"/>
        <w:spacing w:after="120"/>
      </w:pPr>
      <w:r>
        <w:t xml:space="preserve"> </w:t>
      </w:r>
      <w:r w:rsidRPr="00E8108F">
        <w:t xml:space="preserve">Atbilstoši </w:t>
      </w:r>
      <w:r>
        <w:t>normatīvajos aktos noteiktajam,</w:t>
      </w:r>
      <w:r w:rsidRPr="00E8108F">
        <w:t xml:space="preserve"> vidēja termiņa budžeta Ietvara likuma paskaidrojumi vidēja termiņa periodam ietver makroekonomiskās situācijas analīzi un attīstības scenāriju, valdības fiskālās politikas mērķu sasniegšanai īstenojamo pasākumu izklāstu, nodokļu un nenodokļu ieņēmumu prognožu aprakstu, valdības parāda vidēja termiņa attīstības tendences.</w:t>
      </w:r>
    </w:p>
    <w:p w14:paraId="16B167DA" w14:textId="2473343C" w:rsidR="00A6537C" w:rsidRDefault="00A6537C" w:rsidP="00A6537C">
      <w:pPr>
        <w:pStyle w:val="NoSpacing"/>
        <w:rPr>
          <w:szCs w:val="24"/>
        </w:rPr>
      </w:pPr>
      <w:r>
        <w:t>P</w:t>
      </w:r>
      <w:r w:rsidRPr="0095105E">
        <w:t xml:space="preserve">irmais </w:t>
      </w:r>
      <w:r>
        <w:t>I</w:t>
      </w:r>
      <w:r w:rsidRPr="0095105E">
        <w:t xml:space="preserve">etvara likums tika izstrādāts 2013. – 2015.gadu periodam, </w:t>
      </w:r>
      <w:r>
        <w:t>un</w:t>
      </w:r>
      <w:r w:rsidRPr="0095105E">
        <w:t xml:space="preserve"> Saeimā to apstiprināja 2012.gada nogalē. LBFV </w:t>
      </w:r>
      <w:r>
        <w:t>noteiktais paredz, ka</w:t>
      </w:r>
      <w:r w:rsidRPr="0095105E">
        <w:t xml:space="preserve"> MK </w:t>
      </w:r>
      <w:r>
        <w:t>I</w:t>
      </w:r>
      <w:r w:rsidRPr="0095105E">
        <w:t>etvara likuma projektu trim turpmākajiem gadiem iesniedz Saeim</w:t>
      </w:r>
      <w:r>
        <w:t xml:space="preserve">ai līdz kārtējā gada 15.maijam, bet tā kā ar 2013.gada 31.janvāri </w:t>
      </w:r>
      <w:r>
        <w:rPr>
          <w:szCs w:val="24"/>
        </w:rPr>
        <w:t xml:space="preserve">ir pieņemts un </w:t>
      </w:r>
      <w:r w:rsidR="0071769F">
        <w:rPr>
          <w:szCs w:val="24"/>
        </w:rPr>
        <w:t>6</w:t>
      </w:r>
      <w:r>
        <w:rPr>
          <w:szCs w:val="24"/>
        </w:rPr>
        <w:t xml:space="preserve">. </w:t>
      </w:r>
      <w:r w:rsidR="0071769F">
        <w:rPr>
          <w:szCs w:val="24"/>
        </w:rPr>
        <w:t>martā</w:t>
      </w:r>
      <w:r>
        <w:rPr>
          <w:szCs w:val="24"/>
        </w:rPr>
        <w:t xml:space="preserve"> stājies spēkā jaunais FDL un ir jānodrošina tajā noteikto normu </w:t>
      </w:r>
      <w:r w:rsidRPr="001F21AB">
        <w:rPr>
          <w:szCs w:val="24"/>
        </w:rPr>
        <w:t>pilnvērtīg</w:t>
      </w:r>
      <w:r>
        <w:rPr>
          <w:szCs w:val="24"/>
        </w:rPr>
        <w:t>a</w:t>
      </w:r>
      <w:r w:rsidRPr="001F21AB">
        <w:rPr>
          <w:szCs w:val="24"/>
        </w:rPr>
        <w:t xml:space="preserve"> un pakāpenisk</w:t>
      </w:r>
      <w:r>
        <w:rPr>
          <w:szCs w:val="24"/>
        </w:rPr>
        <w:t>a</w:t>
      </w:r>
      <w:r w:rsidRPr="001F21AB">
        <w:rPr>
          <w:szCs w:val="24"/>
        </w:rPr>
        <w:t xml:space="preserve"> ieviešan</w:t>
      </w:r>
      <w:r>
        <w:rPr>
          <w:szCs w:val="24"/>
        </w:rPr>
        <w:t>a</w:t>
      </w:r>
      <w:r w:rsidRPr="001F21AB">
        <w:rPr>
          <w:szCs w:val="24"/>
        </w:rPr>
        <w:t xml:space="preserve">, </w:t>
      </w:r>
      <w:r>
        <w:rPr>
          <w:szCs w:val="24"/>
        </w:rPr>
        <w:t xml:space="preserve">jaunajos LBFV grozījumos ir </w:t>
      </w:r>
      <w:r w:rsidRPr="001F21AB">
        <w:rPr>
          <w:szCs w:val="24"/>
        </w:rPr>
        <w:t>paredz</w:t>
      </w:r>
      <w:r>
        <w:rPr>
          <w:szCs w:val="24"/>
        </w:rPr>
        <w:t>ēti</w:t>
      </w:r>
      <w:r w:rsidRPr="001F21AB">
        <w:rPr>
          <w:szCs w:val="24"/>
        </w:rPr>
        <w:t xml:space="preserve"> pārejas noteikum</w:t>
      </w:r>
      <w:r>
        <w:rPr>
          <w:szCs w:val="24"/>
        </w:rPr>
        <w:t>i</w:t>
      </w:r>
      <w:r w:rsidRPr="001F21AB">
        <w:rPr>
          <w:szCs w:val="24"/>
        </w:rPr>
        <w:t xml:space="preserve"> attiecībā uz 2013.gadu (F</w:t>
      </w:r>
      <w:r w:rsidR="008119DB">
        <w:rPr>
          <w:szCs w:val="24"/>
        </w:rPr>
        <w:t xml:space="preserve">DL pieņemšanas gads), 2014.gadu un 2015.gadu, </w:t>
      </w:r>
      <w:r w:rsidRPr="001F21AB">
        <w:rPr>
          <w:szCs w:val="24"/>
        </w:rPr>
        <w:t>nosakot, ka attiecīgos Ietvara likumprojektus iesniedz Saeimā vienlaicīgi ar gadskārtējā valsts budžeta likumprojektiem</w:t>
      </w:r>
      <w:r>
        <w:rPr>
          <w:szCs w:val="24"/>
        </w:rPr>
        <w:t xml:space="preserve">. Tādējādi </w:t>
      </w:r>
      <w:r w:rsidRPr="001F21AB">
        <w:rPr>
          <w:szCs w:val="24"/>
        </w:rPr>
        <w:t xml:space="preserve">nākamos Ietvara likumprojektus </w:t>
      </w:r>
      <w:r w:rsidR="005342B6">
        <w:rPr>
          <w:szCs w:val="24"/>
        </w:rPr>
        <w:t>MK</w:t>
      </w:r>
      <w:r w:rsidRPr="001F21AB">
        <w:rPr>
          <w:szCs w:val="24"/>
        </w:rPr>
        <w:t xml:space="preserve"> </w:t>
      </w:r>
      <w:r>
        <w:rPr>
          <w:szCs w:val="24"/>
        </w:rPr>
        <w:t xml:space="preserve">iesniegs Saeimā līdz 1.oktobrim, savukārt Saeimas vēlēšanu gadā saskaņā ar LBFV 21.panta trešo daļu – </w:t>
      </w:r>
      <w:r w:rsidRPr="00A60C0E">
        <w:rPr>
          <w:szCs w:val="24"/>
        </w:rPr>
        <w:t xml:space="preserve">ne vēlāk kā četrus mēnešus pēc tam, kad jaunievēlētā Saeima izteikusi </w:t>
      </w:r>
      <w:r w:rsidR="005342B6">
        <w:rPr>
          <w:szCs w:val="24"/>
        </w:rPr>
        <w:t>MK</w:t>
      </w:r>
      <w:r w:rsidRPr="00A60C0E">
        <w:rPr>
          <w:szCs w:val="24"/>
        </w:rPr>
        <w:t xml:space="preserve"> savu uzticību.</w:t>
      </w:r>
      <w:r>
        <w:rPr>
          <w:szCs w:val="24"/>
        </w:rPr>
        <w:t xml:space="preserve"> </w:t>
      </w:r>
    </w:p>
    <w:p w14:paraId="2EE9CA6C" w14:textId="77777777" w:rsidR="00A6537C" w:rsidRDefault="00A6537C" w:rsidP="00A6537C">
      <w:pPr>
        <w:pStyle w:val="NoSpacing"/>
        <w:rPr>
          <w:i/>
          <w:color w:val="000000" w:themeColor="text1"/>
          <w:szCs w:val="24"/>
        </w:rPr>
      </w:pPr>
      <w:r w:rsidRPr="0091051A">
        <w:rPr>
          <w:color w:val="000000" w:themeColor="text1"/>
          <w:szCs w:val="24"/>
        </w:rPr>
        <w:t>Vidēja terminā budžeta plānošana un finansu vadība tiek īstenota, ievērojot FDL noteiktos fiskālās politikas principus.</w:t>
      </w:r>
      <w:r>
        <w:rPr>
          <w:i/>
          <w:color w:val="000000" w:themeColor="text1"/>
          <w:szCs w:val="24"/>
        </w:rPr>
        <w:t xml:space="preserve"> </w:t>
      </w:r>
    </w:p>
    <w:p w14:paraId="5A075BDD" w14:textId="77777777" w:rsidR="00FA5B2A" w:rsidRPr="004438CE" w:rsidRDefault="00FA5B2A" w:rsidP="00FA5B2A">
      <w:pPr>
        <w:pStyle w:val="otrais"/>
        <w:rPr>
          <w:szCs w:val="32"/>
        </w:rPr>
      </w:pPr>
      <w:bookmarkStart w:id="77" w:name="_Toc354671240"/>
      <w:r>
        <w:rPr>
          <w:szCs w:val="32"/>
        </w:rPr>
        <w:lastRenderedPageBreak/>
        <w:t>9.3.</w:t>
      </w:r>
      <w:r w:rsidRPr="004438CE">
        <w:rPr>
          <w:szCs w:val="32"/>
        </w:rPr>
        <w:t xml:space="preserve">Budžeta procedūras, t.sk. valsts finanšu statistikas </w:t>
      </w:r>
      <w:r>
        <w:rPr>
          <w:szCs w:val="32"/>
        </w:rPr>
        <w:t>p</w:t>
      </w:r>
      <w:r w:rsidRPr="004438CE">
        <w:rPr>
          <w:szCs w:val="32"/>
        </w:rPr>
        <w:t>ārvalde</w:t>
      </w:r>
      <w:bookmarkEnd w:id="77"/>
      <w:r w:rsidRPr="004438CE">
        <w:rPr>
          <w:szCs w:val="32"/>
        </w:rPr>
        <w:t xml:space="preserve"> </w:t>
      </w:r>
    </w:p>
    <w:p w14:paraId="675C03D3" w14:textId="77777777" w:rsidR="00FA5B2A" w:rsidRPr="004438CE" w:rsidRDefault="00FA5B2A" w:rsidP="00FA5B2A">
      <w:pPr>
        <w:pStyle w:val="tresais"/>
        <w:rPr>
          <w:szCs w:val="28"/>
        </w:rPr>
      </w:pPr>
      <w:bookmarkStart w:id="78" w:name="_Toc354671241"/>
      <w:r w:rsidRPr="004438CE">
        <w:rPr>
          <w:szCs w:val="28"/>
        </w:rPr>
        <w:t>9.</w:t>
      </w:r>
      <w:r>
        <w:rPr>
          <w:szCs w:val="28"/>
        </w:rPr>
        <w:t>3</w:t>
      </w:r>
      <w:r w:rsidRPr="004438CE">
        <w:rPr>
          <w:szCs w:val="28"/>
        </w:rPr>
        <w:t>.1. Budžeta procedūras</w:t>
      </w:r>
      <w:bookmarkEnd w:id="78"/>
    </w:p>
    <w:p w14:paraId="500BADFD" w14:textId="77777777" w:rsidR="00FA5B2A" w:rsidRPr="00013FE5" w:rsidRDefault="00FA5B2A" w:rsidP="00FA5B2A">
      <w:pPr>
        <w:ind w:firstLine="720"/>
        <w:rPr>
          <w:b/>
          <w:strike/>
        </w:rPr>
      </w:pPr>
      <w:r w:rsidRPr="00612AB9">
        <w:rPr>
          <w:szCs w:val="24"/>
        </w:rPr>
        <w:t xml:space="preserve">Latvijas Republikas Satversme nosaka, ka Saeima ik gadu pirms saimnieciskā gada sākšanās lemj par valsts ienākumu un izdevumu budžetu, kura projektu tai iesniedz </w:t>
      </w:r>
      <w:r w:rsidR="004A6332">
        <w:rPr>
          <w:szCs w:val="24"/>
        </w:rPr>
        <w:t>MK</w:t>
      </w:r>
      <w:r>
        <w:rPr>
          <w:szCs w:val="24"/>
        </w:rPr>
        <w:t>.</w:t>
      </w:r>
      <w:r w:rsidRPr="00013FE5">
        <w:t xml:space="preserve"> </w:t>
      </w:r>
      <w:r>
        <w:rPr>
          <w:b/>
        </w:rPr>
        <w:t xml:space="preserve">Gadskārtējo </w:t>
      </w:r>
      <w:r w:rsidRPr="00FD27F4">
        <w:rPr>
          <w:b/>
        </w:rPr>
        <w:t>valsts budžet</w:t>
      </w:r>
      <w:r>
        <w:rPr>
          <w:b/>
        </w:rPr>
        <w:t xml:space="preserve">a likumu </w:t>
      </w:r>
      <w:r w:rsidRPr="00FD27F4">
        <w:rPr>
          <w:b/>
        </w:rPr>
        <w:t>apstiprina Saeima.</w:t>
      </w:r>
    </w:p>
    <w:p w14:paraId="6B1E91CF" w14:textId="77777777" w:rsidR="00FA5B2A" w:rsidRDefault="00FA5B2A" w:rsidP="00FA5B2A">
      <w:pPr>
        <w:ind w:firstLine="720"/>
      </w:pPr>
      <w:r w:rsidRPr="00B110CC">
        <w:t>Valsts budžeta līdzekļu izdevumu plānošanā sākotnēji tiek aprēķināti un saskaņoti bāzes izdevumi. Bāzes izdevumu aprēķinu un to sasaistes principus ar Ietvara likumu nosaka  MK 11.12.2012. noteikumi Nr.867 „Kārtība, kādā nosakāms maksimāli pieļaujamais valsts budžeta izdevumu kopapjoms un maksimāli pieļaujamais valsts budžeta izdevumu kopējais apjoms katrai ministrijai un citām centrālajām valsts iestādēm vidējam termiņam”. Tādējādi tiek noteikts nepieciešamais izdevumu apjoms, lai nodrošinātu valsts funkciju izpildi nemainīgā līmenī salīdzinājumā ar iepriekšējo gadu. Papildus tam ministrijas un citas centrālās valsts iestādes var iesniegt priekšlikumus par budžeta bāzes izdevumu samazināšanas iespējām, kas izriet no reorganizācijām vai funkciju pārskatīšanas.</w:t>
      </w:r>
    </w:p>
    <w:p w14:paraId="0ECC964F" w14:textId="77777777" w:rsidR="00FA5B2A" w:rsidRDefault="00FA5B2A" w:rsidP="00FA5B2A">
      <w:pPr>
        <w:ind w:firstLine="720"/>
        <w:rPr>
          <w:szCs w:val="24"/>
        </w:rPr>
      </w:pPr>
      <w:r w:rsidRPr="00013FE5">
        <w:rPr>
          <w:szCs w:val="24"/>
        </w:rPr>
        <w:t xml:space="preserve">Gadskārtējā valsts budžeta likumprojekta sagatavošanas procesā tiek kompleksi vērtēti un pēc tam atspoguļoti valsts budžeta likumā šādi rādītāji: </w:t>
      </w:r>
    </w:p>
    <w:p w14:paraId="59AEFB96" w14:textId="77777777" w:rsidR="00FA5B2A" w:rsidRPr="00CB0E81" w:rsidRDefault="00FA5B2A" w:rsidP="00A609E1">
      <w:pPr>
        <w:pStyle w:val="ListParagraph"/>
        <w:numPr>
          <w:ilvl w:val="0"/>
          <w:numId w:val="5"/>
        </w:numPr>
        <w:spacing w:line="240" w:lineRule="auto"/>
        <w:ind w:hanging="357"/>
        <w:jc w:val="both"/>
        <w:rPr>
          <w:rFonts w:ascii="Times New Roman" w:hAnsi="Times New Roman"/>
          <w:sz w:val="24"/>
          <w:szCs w:val="24"/>
        </w:rPr>
      </w:pPr>
      <w:r w:rsidRPr="00CB0E81">
        <w:rPr>
          <w:rFonts w:ascii="Times New Roman" w:hAnsi="Times New Roman"/>
          <w:sz w:val="24"/>
          <w:szCs w:val="24"/>
        </w:rPr>
        <w:t xml:space="preserve">valsts budžeta ieņēmumi sadalījumā pa ieņēmumu veidiem (sadalījumā pa atbildīgajām ministrijām); </w:t>
      </w:r>
    </w:p>
    <w:p w14:paraId="28F68DBF" w14:textId="77777777" w:rsidR="00FA5B2A" w:rsidRPr="00CB0E81" w:rsidRDefault="00FA5B2A" w:rsidP="00A609E1">
      <w:pPr>
        <w:pStyle w:val="ListParagraph"/>
        <w:numPr>
          <w:ilvl w:val="0"/>
          <w:numId w:val="5"/>
        </w:numPr>
        <w:spacing w:line="240" w:lineRule="auto"/>
        <w:ind w:hanging="357"/>
        <w:jc w:val="both"/>
        <w:rPr>
          <w:rFonts w:ascii="Times New Roman" w:hAnsi="Times New Roman"/>
          <w:sz w:val="24"/>
          <w:szCs w:val="24"/>
        </w:rPr>
      </w:pPr>
      <w:r w:rsidRPr="0060230F">
        <w:rPr>
          <w:rFonts w:ascii="Times New Roman" w:hAnsi="Times New Roman"/>
          <w:sz w:val="24"/>
          <w:lang w:val="lv-LV"/>
        </w:rPr>
        <w:t>valsts</w:t>
      </w:r>
      <w:r w:rsidRPr="00CB0E81">
        <w:rPr>
          <w:rFonts w:ascii="Times New Roman" w:hAnsi="Times New Roman"/>
          <w:sz w:val="24"/>
          <w:szCs w:val="24"/>
        </w:rPr>
        <w:t xml:space="preserve"> budžeta izdevumi sadalījumā pa programmām (apakšprogrammām) un izdevumu veidiem atbilstoši ekonomiskajai būtībai; </w:t>
      </w:r>
    </w:p>
    <w:p w14:paraId="15A8B394" w14:textId="77777777" w:rsidR="00FA5B2A" w:rsidRPr="00CB0E81" w:rsidRDefault="00FA5B2A" w:rsidP="00A609E1">
      <w:pPr>
        <w:pStyle w:val="ListParagraph"/>
        <w:numPr>
          <w:ilvl w:val="0"/>
          <w:numId w:val="5"/>
        </w:numPr>
        <w:spacing w:line="240" w:lineRule="auto"/>
        <w:ind w:hanging="357"/>
        <w:jc w:val="both"/>
        <w:rPr>
          <w:rFonts w:ascii="Times New Roman" w:hAnsi="Times New Roman"/>
          <w:sz w:val="24"/>
          <w:szCs w:val="24"/>
        </w:rPr>
      </w:pPr>
      <w:r w:rsidRPr="00CB0E81">
        <w:rPr>
          <w:rFonts w:ascii="Times New Roman" w:hAnsi="Times New Roman"/>
          <w:sz w:val="24"/>
          <w:szCs w:val="24"/>
        </w:rPr>
        <w:t xml:space="preserve">valsts budžeta finansiālā bilance; </w:t>
      </w:r>
    </w:p>
    <w:p w14:paraId="03FDEA6B" w14:textId="77777777" w:rsidR="00FA5B2A" w:rsidRPr="00871D29" w:rsidRDefault="00FA5B2A" w:rsidP="00A609E1">
      <w:pPr>
        <w:pStyle w:val="ListParagraph"/>
        <w:numPr>
          <w:ilvl w:val="0"/>
          <w:numId w:val="5"/>
        </w:numPr>
        <w:spacing w:line="240" w:lineRule="auto"/>
        <w:ind w:hanging="357"/>
        <w:jc w:val="both"/>
        <w:rPr>
          <w:rFonts w:ascii="Times New Roman" w:hAnsi="Times New Roman"/>
          <w:sz w:val="24"/>
          <w:szCs w:val="24"/>
        </w:rPr>
      </w:pPr>
      <w:r w:rsidRPr="00871D29">
        <w:rPr>
          <w:rFonts w:ascii="Times New Roman" w:hAnsi="Times New Roman"/>
          <w:sz w:val="24"/>
          <w:szCs w:val="24"/>
        </w:rPr>
        <w:t xml:space="preserve">maksimālais valsts parāda maksimāli pieļaujamais apjoms saimnieciskā gada beigās; </w:t>
      </w:r>
    </w:p>
    <w:p w14:paraId="3F16C072" w14:textId="77777777" w:rsidR="00FA5B2A" w:rsidRPr="007E2D4A" w:rsidRDefault="00FA5B2A" w:rsidP="00A609E1">
      <w:pPr>
        <w:pStyle w:val="ListParagraph"/>
        <w:numPr>
          <w:ilvl w:val="0"/>
          <w:numId w:val="5"/>
        </w:numPr>
        <w:spacing w:line="240" w:lineRule="auto"/>
        <w:ind w:hanging="357"/>
        <w:jc w:val="both"/>
        <w:rPr>
          <w:rFonts w:ascii="Times New Roman" w:hAnsi="Times New Roman"/>
          <w:sz w:val="24"/>
          <w:szCs w:val="24"/>
        </w:rPr>
      </w:pPr>
      <w:r w:rsidRPr="007E2D4A">
        <w:rPr>
          <w:rFonts w:ascii="Times New Roman" w:hAnsi="Times New Roman"/>
          <w:sz w:val="24"/>
          <w:szCs w:val="24"/>
        </w:rPr>
        <w:t>valsts vārdā izsniedzamo galvojumu apmērs;</w:t>
      </w:r>
    </w:p>
    <w:p w14:paraId="66E1AA61" w14:textId="77777777" w:rsidR="00FA5B2A" w:rsidRPr="0093202A" w:rsidRDefault="00FA5B2A" w:rsidP="00A609E1">
      <w:pPr>
        <w:pStyle w:val="ListParagraph"/>
        <w:numPr>
          <w:ilvl w:val="0"/>
          <w:numId w:val="5"/>
        </w:numPr>
        <w:spacing w:line="240" w:lineRule="auto"/>
        <w:ind w:hanging="357"/>
        <w:jc w:val="both"/>
        <w:rPr>
          <w:rFonts w:ascii="Times New Roman" w:hAnsi="Times New Roman"/>
          <w:sz w:val="24"/>
          <w:szCs w:val="24"/>
        </w:rPr>
      </w:pPr>
      <w:r w:rsidRPr="0093202A">
        <w:rPr>
          <w:rFonts w:ascii="Times New Roman" w:hAnsi="Times New Roman"/>
          <w:sz w:val="24"/>
          <w:szCs w:val="24"/>
        </w:rPr>
        <w:t xml:space="preserve">valsts budžeta aizdevumu kopējais palielinājums; </w:t>
      </w:r>
    </w:p>
    <w:p w14:paraId="7A524AB0" w14:textId="77777777" w:rsidR="00FA5B2A" w:rsidRPr="006C6E8C" w:rsidRDefault="00FA5B2A" w:rsidP="00A609E1">
      <w:pPr>
        <w:pStyle w:val="ListParagraph"/>
        <w:numPr>
          <w:ilvl w:val="0"/>
          <w:numId w:val="5"/>
        </w:numPr>
        <w:spacing w:line="240" w:lineRule="auto"/>
        <w:ind w:hanging="357"/>
        <w:jc w:val="both"/>
        <w:rPr>
          <w:rFonts w:ascii="Times New Roman" w:hAnsi="Times New Roman"/>
          <w:sz w:val="24"/>
          <w:szCs w:val="24"/>
        </w:rPr>
      </w:pPr>
      <w:r w:rsidRPr="006C6E8C">
        <w:rPr>
          <w:rFonts w:ascii="Times New Roman" w:hAnsi="Times New Roman"/>
          <w:sz w:val="24"/>
          <w:szCs w:val="24"/>
        </w:rPr>
        <w:t xml:space="preserve">valsts budžeta mērķdotāciju apmērs pašvaldībām, kā arī valsts budžeta dotācijas apmērs pašvaldību finanšu izlīdzināšanas fondam; </w:t>
      </w:r>
    </w:p>
    <w:p w14:paraId="42084104" w14:textId="77777777" w:rsidR="00FA5B2A" w:rsidRPr="006C6E8C" w:rsidRDefault="00FA5B2A" w:rsidP="00A609E1">
      <w:pPr>
        <w:pStyle w:val="ListParagraph"/>
        <w:numPr>
          <w:ilvl w:val="0"/>
          <w:numId w:val="5"/>
        </w:numPr>
        <w:spacing w:line="240" w:lineRule="auto"/>
        <w:ind w:hanging="357"/>
        <w:jc w:val="both"/>
        <w:rPr>
          <w:rFonts w:ascii="Times New Roman" w:hAnsi="Times New Roman"/>
          <w:sz w:val="24"/>
          <w:szCs w:val="24"/>
        </w:rPr>
      </w:pPr>
      <w:r w:rsidRPr="006C6E8C">
        <w:rPr>
          <w:rFonts w:ascii="Times New Roman" w:hAnsi="Times New Roman"/>
          <w:sz w:val="24"/>
          <w:szCs w:val="24"/>
        </w:rPr>
        <w:t xml:space="preserve">pašvaldību aizņēmumu kopējais palielinājums un pašvaldību sniegto galvojumu kopējais palielinājums; </w:t>
      </w:r>
    </w:p>
    <w:p w14:paraId="51B312B0" w14:textId="77777777" w:rsidR="00FA5B2A" w:rsidRPr="006C6E8C" w:rsidRDefault="00FA5B2A" w:rsidP="00A609E1">
      <w:pPr>
        <w:pStyle w:val="ListParagraph"/>
        <w:numPr>
          <w:ilvl w:val="0"/>
          <w:numId w:val="5"/>
        </w:numPr>
        <w:spacing w:line="240" w:lineRule="auto"/>
        <w:ind w:hanging="357"/>
        <w:jc w:val="both"/>
        <w:rPr>
          <w:rFonts w:ascii="Times New Roman" w:hAnsi="Times New Roman"/>
          <w:sz w:val="24"/>
          <w:szCs w:val="24"/>
          <w:u w:val="single"/>
        </w:rPr>
      </w:pPr>
      <w:r w:rsidRPr="006C6E8C">
        <w:rPr>
          <w:rFonts w:ascii="Times New Roman" w:hAnsi="Times New Roman"/>
          <w:sz w:val="24"/>
          <w:szCs w:val="24"/>
        </w:rPr>
        <w:t>citi nosacījumi, piemēram, valsts fondēto pensiju shēmas iemaksu likme un iemaksu summa.</w:t>
      </w:r>
      <w:r w:rsidRPr="006C6E8C">
        <w:rPr>
          <w:rFonts w:ascii="Times New Roman" w:hAnsi="Times New Roman"/>
          <w:sz w:val="24"/>
          <w:szCs w:val="24"/>
          <w:u w:val="single"/>
        </w:rPr>
        <w:t xml:space="preserve"> </w:t>
      </w:r>
    </w:p>
    <w:p w14:paraId="5DE0DAC7" w14:textId="77777777" w:rsidR="00FA5B2A" w:rsidRPr="00013FE5" w:rsidRDefault="00FA5B2A" w:rsidP="00FA5B2A">
      <w:pPr>
        <w:ind w:firstLine="0"/>
        <w:rPr>
          <w:szCs w:val="24"/>
        </w:rPr>
      </w:pPr>
      <w:r>
        <w:rPr>
          <w:szCs w:val="24"/>
        </w:rPr>
        <w:tab/>
      </w:r>
      <w:r w:rsidRPr="00013FE5">
        <w:rPr>
          <w:szCs w:val="24"/>
        </w:rPr>
        <w:t>Gadskārtējā valsts budžeta likumprojekta paskaidrojumos tiek ietverts makroekonomiskās un fiskāl</w:t>
      </w:r>
      <w:r>
        <w:rPr>
          <w:szCs w:val="24"/>
        </w:rPr>
        <w:t>ās</w:t>
      </w:r>
      <w:r w:rsidRPr="00013FE5">
        <w:rPr>
          <w:szCs w:val="24"/>
        </w:rPr>
        <w:t xml:space="preserve"> attīstības apraksts, ieņēmumu analīze, valsts budžeta izdevumu plānošanas būtiskākie elementi, budžeta programmu paskaidrojumi un rezultatīvie rādītāji, valsts budžeta izdevumi funkcionālajā, administratīvajā un ekonomisko kategoriju sadalījumā, kā arī informācija par plānotajiem investīciju projektiem, </w:t>
      </w:r>
      <w:r>
        <w:rPr>
          <w:szCs w:val="24"/>
        </w:rPr>
        <w:t xml:space="preserve">informācija </w:t>
      </w:r>
      <w:r w:rsidRPr="00013FE5">
        <w:rPr>
          <w:szCs w:val="24"/>
        </w:rPr>
        <w:t xml:space="preserve">par valsts finansiālajām saistībām (kopsavilkums), kā arī </w:t>
      </w:r>
      <w:r>
        <w:rPr>
          <w:szCs w:val="24"/>
        </w:rPr>
        <w:t xml:space="preserve">informācija </w:t>
      </w:r>
      <w:r w:rsidRPr="00013FE5">
        <w:rPr>
          <w:szCs w:val="24"/>
        </w:rPr>
        <w:t xml:space="preserve">par budžeta likumprojektu paketes ietvaros veiktajiem grozījumiem normatīvajos aktos. Katrai valsts budžeta likumprojektā ietvertajai pamatbudžeta vai speciālā budžeta programmai (apakšprogrammai) budžeta paskaidrojumi tiek sagatavoti atsevišķā sadaļā, kur jāietver informācija par programmas (apakšprogrammas) mērķiem, plānotiem rezultātiem un rezultatīviem rādītājiem, institūcijām, kas nodrošinās programmas (apakšprogrammas) izpildi, līdzekļu saņēmējiem (sabiedrības mērķa grupas, kuru intereses tiek aptvertas, vai institūcijas), kā arī plānotās galvenās aktivitātes, lielākie projekti, pasākumi vai sniegtie pakalpojumi atbilstoši normatīvajiem aktiem, kas tiks īstenoti nākamajā gadā, kā arī izpildi par iepriekšējo gadu. Tāpat programmu </w:t>
      </w:r>
      <w:r w:rsidRPr="00013FE5">
        <w:rPr>
          <w:szCs w:val="24"/>
        </w:rPr>
        <w:lastRenderedPageBreak/>
        <w:t>(apakšprogrammu) paskaidrojumos ir pieejama arī informācija par vidējo amata vietu skaitu un attiecīgi vidējo atlīdzību.</w:t>
      </w:r>
    </w:p>
    <w:p w14:paraId="1635F344" w14:textId="77777777" w:rsidR="00FA5B2A" w:rsidRDefault="00FA5B2A" w:rsidP="00FA5B2A">
      <w:pPr>
        <w:ind w:firstLine="720"/>
        <w:rPr>
          <w:color w:val="000000" w:themeColor="text1"/>
          <w:szCs w:val="24"/>
        </w:rPr>
      </w:pPr>
      <w:r w:rsidRPr="00AC05DB">
        <w:rPr>
          <w:color w:val="000000" w:themeColor="text1"/>
          <w:szCs w:val="24"/>
        </w:rPr>
        <w:t xml:space="preserve">Valsts budžeta pieprasījumus ministrijas un citas centrālās valsts iestādes izstrādā un iesniedz </w:t>
      </w:r>
      <w:r w:rsidR="004A6332">
        <w:rPr>
          <w:color w:val="000000" w:themeColor="text1"/>
          <w:szCs w:val="24"/>
        </w:rPr>
        <w:t>FM</w:t>
      </w:r>
      <w:r w:rsidRPr="00AC05DB">
        <w:rPr>
          <w:color w:val="000000" w:themeColor="text1"/>
          <w:szCs w:val="24"/>
        </w:rPr>
        <w:t xml:space="preserve"> saskaņā ar </w:t>
      </w:r>
      <w:r w:rsidR="004A6332">
        <w:rPr>
          <w:color w:val="000000" w:themeColor="text1"/>
          <w:szCs w:val="24"/>
        </w:rPr>
        <w:t>MK</w:t>
      </w:r>
      <w:r w:rsidRPr="00AC05DB">
        <w:rPr>
          <w:color w:val="000000" w:themeColor="text1"/>
          <w:szCs w:val="24"/>
        </w:rPr>
        <w:t xml:space="preserve"> 2012.gada 31.jūlija noteikumiem Nr.523 „Noteikumi par budžeta pieprasījumu izstrādāšanas un iesniegšanas pamatprincipiem” (izdoti saskaņā ar Likuma par budžetu un finanšu vadību 17.panta pirmo daļu). Noteikumi nosaka vienotus budžeta programmu veidošanas principus, valsts pamatbudžeta un valsts sociālās apdrošināšanas speciālā budžeta pieprasījumu sagatavošanas pamatprincipus, kā arī budžeta pieprasījuma sastāvu.</w:t>
      </w:r>
    </w:p>
    <w:p w14:paraId="2EC22B8E" w14:textId="72A79B30" w:rsidR="00FA5B2A" w:rsidRPr="00013FE5" w:rsidRDefault="00FA5B2A" w:rsidP="00FA5B2A">
      <w:pPr>
        <w:ind w:firstLine="720"/>
        <w:rPr>
          <w:szCs w:val="24"/>
        </w:rPr>
      </w:pPr>
      <w:r w:rsidRPr="00013FE5">
        <w:rPr>
          <w:szCs w:val="24"/>
        </w:rPr>
        <w:t xml:space="preserve">Ministrijas un citas centrālās valsts iestādes izstrādā un iesniedz </w:t>
      </w:r>
      <w:r w:rsidR="004A6332">
        <w:rPr>
          <w:szCs w:val="24"/>
        </w:rPr>
        <w:t>FM</w:t>
      </w:r>
      <w:r w:rsidRPr="00013FE5">
        <w:rPr>
          <w:szCs w:val="24"/>
        </w:rPr>
        <w:t xml:space="preserve"> budžeta pieprasījumus atbilstoši vidējā termiņā noteiktajam maksimāli pieļaujamajam valsts budžeta izdevumu apjomam katrai ministrijai un citai centrālajai valsts iestādei. </w:t>
      </w:r>
      <w:r w:rsidRPr="00A00212">
        <w:rPr>
          <w:color w:val="000000" w:themeColor="text1"/>
          <w:szCs w:val="24"/>
        </w:rPr>
        <w:t xml:space="preserve">Lai nodrošinātu sabiedrībai uzskatāmu priekšstatu par to, kādi resursi ir iesaistīti valsts pamatfunkciju īstenošanā, un kādi – </w:t>
      </w:r>
      <w:r w:rsidR="00967DAF">
        <w:rPr>
          <w:color w:val="000000" w:themeColor="text1"/>
          <w:szCs w:val="24"/>
        </w:rPr>
        <w:t>ES</w:t>
      </w:r>
      <w:r w:rsidRPr="00A00212">
        <w:rPr>
          <w:color w:val="000000" w:themeColor="text1"/>
          <w:szCs w:val="24"/>
        </w:rPr>
        <w:t xml:space="preserve"> un citu ārvalstu politiku instrumentu pasākumu ieviešanā</w:t>
      </w:r>
      <w:r w:rsidRPr="000E3CE5">
        <w:rPr>
          <w:color w:val="000000" w:themeColor="text1"/>
          <w:szCs w:val="24"/>
        </w:rPr>
        <w:t>, b</w:t>
      </w:r>
      <w:r w:rsidRPr="00013FE5">
        <w:rPr>
          <w:szCs w:val="24"/>
        </w:rPr>
        <w:t>udžets tiek sagatavots šādās sadaļās:</w:t>
      </w:r>
    </w:p>
    <w:p w14:paraId="6A0DB4BC" w14:textId="22F985E3" w:rsidR="00FA5B2A" w:rsidRPr="00013FE5" w:rsidRDefault="00FA5B2A" w:rsidP="00FA5B2A">
      <w:pPr>
        <w:ind w:firstLine="720"/>
        <w:rPr>
          <w:szCs w:val="24"/>
        </w:rPr>
      </w:pPr>
      <w:r w:rsidRPr="00013FE5">
        <w:rPr>
          <w:szCs w:val="24"/>
        </w:rPr>
        <w:t xml:space="preserve">1) Valsts pamatfunkciju īstenošana (izņemot </w:t>
      </w:r>
      <w:r w:rsidR="00967DAF">
        <w:rPr>
          <w:szCs w:val="24"/>
        </w:rPr>
        <w:t>ES</w:t>
      </w:r>
      <w:r w:rsidRPr="00013FE5">
        <w:rPr>
          <w:szCs w:val="24"/>
        </w:rPr>
        <w:t xml:space="preserve"> politiku instrumentu un pārējās ārvalstu finanšu palīdzības līdzfinansētos un finansētos projektus un pasākumus);</w:t>
      </w:r>
    </w:p>
    <w:p w14:paraId="2ADB7B72" w14:textId="59921C45" w:rsidR="00FA5B2A" w:rsidRPr="00013FE5" w:rsidRDefault="00FA5B2A" w:rsidP="00FA5B2A">
      <w:pPr>
        <w:ind w:firstLine="720"/>
        <w:rPr>
          <w:szCs w:val="24"/>
        </w:rPr>
      </w:pPr>
      <w:r w:rsidRPr="00013FE5">
        <w:rPr>
          <w:szCs w:val="24"/>
        </w:rPr>
        <w:t xml:space="preserve">2) </w:t>
      </w:r>
      <w:r w:rsidR="00967DAF">
        <w:rPr>
          <w:szCs w:val="24"/>
        </w:rPr>
        <w:t>ES</w:t>
      </w:r>
      <w:r w:rsidRPr="00013FE5">
        <w:rPr>
          <w:szCs w:val="24"/>
        </w:rPr>
        <w:t xml:space="preserve"> politiku instrumentu un pārējās ārvalstu finanšu palīdzības līdzfinansēto un finansēto projektu un pasākumu īstenošana.</w:t>
      </w:r>
    </w:p>
    <w:p w14:paraId="411B9483" w14:textId="77777777" w:rsidR="00FA5B2A" w:rsidRPr="00735269" w:rsidRDefault="00FA5B2A" w:rsidP="00FA5B2A">
      <w:pPr>
        <w:ind w:firstLine="720"/>
        <w:rPr>
          <w:color w:val="000000" w:themeColor="text1"/>
          <w:szCs w:val="24"/>
        </w:rPr>
      </w:pPr>
      <w:r w:rsidRPr="00735269">
        <w:rPr>
          <w:color w:val="000000" w:themeColor="text1"/>
          <w:szCs w:val="24"/>
        </w:rPr>
        <w:t xml:space="preserve">Valsts budžeta pieprasījumus ministrijas un citas centrālās valsts iestādes izstrādā un iesniedz </w:t>
      </w:r>
      <w:r w:rsidR="004A6332">
        <w:rPr>
          <w:color w:val="000000" w:themeColor="text1"/>
          <w:szCs w:val="24"/>
        </w:rPr>
        <w:t>FM</w:t>
      </w:r>
      <w:r w:rsidRPr="00735269">
        <w:rPr>
          <w:color w:val="000000" w:themeColor="text1"/>
          <w:szCs w:val="24"/>
        </w:rPr>
        <w:t xml:space="preserve"> saskaņā ar vidēja termiņa budžeta ietvara likuma projekta un gadskārtējā valsts budžeta likuma projekta izstrādes un iesniegšanas grafiku, kuru, atbilstoši </w:t>
      </w:r>
      <w:r>
        <w:rPr>
          <w:color w:val="000000" w:themeColor="text1"/>
          <w:szCs w:val="24"/>
        </w:rPr>
        <w:t xml:space="preserve">LBFV, </w:t>
      </w:r>
      <w:r w:rsidRPr="00735269">
        <w:rPr>
          <w:color w:val="000000" w:themeColor="text1"/>
          <w:szCs w:val="24"/>
        </w:rPr>
        <w:t xml:space="preserve">finanšu ministrs iesniedz </w:t>
      </w:r>
      <w:r w:rsidR="004A6332">
        <w:rPr>
          <w:color w:val="000000" w:themeColor="text1"/>
          <w:szCs w:val="24"/>
        </w:rPr>
        <w:t>MK</w:t>
      </w:r>
      <w:r w:rsidRPr="00735269">
        <w:rPr>
          <w:color w:val="000000" w:themeColor="text1"/>
          <w:szCs w:val="24"/>
        </w:rPr>
        <w:t xml:space="preserve"> līdz kārtēja gada 15.decembrim. Saskaņā ar </w:t>
      </w:r>
      <w:r w:rsidR="004A6332">
        <w:rPr>
          <w:color w:val="000000" w:themeColor="text1"/>
          <w:szCs w:val="24"/>
        </w:rPr>
        <w:t>MK</w:t>
      </w:r>
      <w:r w:rsidRPr="00735269">
        <w:rPr>
          <w:color w:val="000000" w:themeColor="text1"/>
          <w:szCs w:val="24"/>
        </w:rPr>
        <w:t xml:space="preserve"> 2013.gada 5.februāra rīkojuma Nr.40 „Likumprojekta „Par vidēja termiņa budžeta ietvaru 2014., 2015. un 2016.gadam” un likumprojekta „Par valsts budžetu 2014.gadam” sagatavošanas grafiku ministrijām un citām centrālajām valsts iestādēm valsts budžeta pieprasījumi 2014., 2015. un 2016.gadam ir jāsagatavo un jāiesniedz </w:t>
      </w:r>
      <w:r w:rsidR="004A6332">
        <w:rPr>
          <w:color w:val="000000" w:themeColor="text1"/>
          <w:szCs w:val="24"/>
        </w:rPr>
        <w:t>FM</w:t>
      </w:r>
      <w:r w:rsidRPr="00735269">
        <w:rPr>
          <w:color w:val="000000" w:themeColor="text1"/>
          <w:szCs w:val="24"/>
        </w:rPr>
        <w:t xml:space="preserve"> līdz 2013.gada 2.septembrim.</w:t>
      </w:r>
    </w:p>
    <w:p w14:paraId="5A1D4619" w14:textId="5FD0E426" w:rsidR="00FA5B2A" w:rsidRDefault="00FA5B2A" w:rsidP="00FA5B2A">
      <w:pPr>
        <w:ind w:firstLine="720"/>
        <w:rPr>
          <w:color w:val="000000"/>
          <w:szCs w:val="24"/>
        </w:rPr>
      </w:pPr>
      <w:r w:rsidRPr="00612AB9">
        <w:rPr>
          <w:szCs w:val="24"/>
        </w:rPr>
        <w:t xml:space="preserve">Valsts budžeta </w:t>
      </w:r>
      <w:r>
        <w:rPr>
          <w:szCs w:val="24"/>
        </w:rPr>
        <w:t>likum</w:t>
      </w:r>
      <w:r w:rsidRPr="00612AB9">
        <w:rPr>
          <w:szCs w:val="24"/>
        </w:rPr>
        <w:t>projekta izstrādes gaitā notiek</w:t>
      </w:r>
      <w:r>
        <w:rPr>
          <w:szCs w:val="24"/>
        </w:rPr>
        <w:t xml:space="preserve"> </w:t>
      </w:r>
      <w:r w:rsidRPr="00612AB9">
        <w:rPr>
          <w:szCs w:val="24"/>
        </w:rPr>
        <w:t xml:space="preserve">LPS un </w:t>
      </w:r>
      <w:r>
        <w:rPr>
          <w:szCs w:val="24"/>
        </w:rPr>
        <w:t>FM</w:t>
      </w:r>
      <w:r w:rsidRPr="00612AB9">
        <w:rPr>
          <w:szCs w:val="24"/>
        </w:rPr>
        <w:t xml:space="preserve"> sarunas, kuru rezultātā tiek sagatavots </w:t>
      </w:r>
      <w:r w:rsidR="0023518A">
        <w:rPr>
          <w:szCs w:val="24"/>
        </w:rPr>
        <w:t>P</w:t>
      </w:r>
      <w:r w:rsidRPr="00612AB9">
        <w:rPr>
          <w:szCs w:val="24"/>
        </w:rPr>
        <w:t>roto</w:t>
      </w:r>
      <w:r w:rsidR="0023518A">
        <w:rPr>
          <w:szCs w:val="24"/>
        </w:rPr>
        <w:t>kola projekts</w:t>
      </w:r>
      <w:r w:rsidRPr="00612AB9">
        <w:rPr>
          <w:szCs w:val="24"/>
        </w:rPr>
        <w:t xml:space="preserve">. Protokola projektā tiek iekļauti jautājumi par finanšu resursiem pašvaldību pamatbudžetam un speciālajam budžetam, pašvaldību finanšu izlīdzināšanu, aizņēmumiem, galvojumiem un ilgtermiņa saistībām, ES Struktūrfondu apguvi un normatīvo aktu prasību izpildei nepieciešamo finansējumu. Protokola projekts tiek iesniegts izskatīšanai paplašinātajā </w:t>
      </w:r>
      <w:r w:rsidR="004A6332">
        <w:rPr>
          <w:szCs w:val="24"/>
        </w:rPr>
        <w:t>MK</w:t>
      </w:r>
      <w:r w:rsidRPr="00612AB9">
        <w:rPr>
          <w:szCs w:val="24"/>
        </w:rPr>
        <w:t xml:space="preserve"> komitejas sēdē. </w:t>
      </w:r>
      <w:r>
        <w:rPr>
          <w:szCs w:val="24"/>
        </w:rPr>
        <w:t>MK</w:t>
      </w:r>
      <w:r w:rsidRPr="00612AB9">
        <w:rPr>
          <w:szCs w:val="24"/>
        </w:rPr>
        <w:t xml:space="preserve"> un LPS domstarpību un vienošanās protokols ir obligāti jāpievieno nākamā gada budžeta projektam, valdībai iesniedzot to Saeimā. </w:t>
      </w:r>
      <w:r>
        <w:rPr>
          <w:color w:val="000000"/>
          <w:szCs w:val="24"/>
        </w:rPr>
        <w:t>LBFV</w:t>
      </w:r>
      <w:r w:rsidRPr="00612AB9">
        <w:rPr>
          <w:color w:val="000000"/>
          <w:szCs w:val="24"/>
        </w:rPr>
        <w:t xml:space="preserve"> paredz veikt sarunas ar LPS arī </w:t>
      </w:r>
      <w:r>
        <w:rPr>
          <w:color w:val="000000"/>
          <w:szCs w:val="24"/>
        </w:rPr>
        <w:t>I</w:t>
      </w:r>
      <w:r w:rsidRPr="00612AB9">
        <w:rPr>
          <w:color w:val="000000"/>
          <w:szCs w:val="24"/>
        </w:rPr>
        <w:t>etvara likumprojekta izstrādes gaitā, un sarunu rezultātu protokola veidā pievienot likumprojektam.</w:t>
      </w:r>
    </w:p>
    <w:p w14:paraId="30170520" w14:textId="77777777" w:rsidR="00FA5B2A" w:rsidRPr="00612AB9" w:rsidRDefault="00FA5B2A" w:rsidP="00FA5B2A">
      <w:pPr>
        <w:ind w:firstLine="720"/>
        <w:rPr>
          <w:color w:val="000000"/>
          <w:szCs w:val="24"/>
        </w:rPr>
      </w:pPr>
      <w:r>
        <w:rPr>
          <w:color w:val="000000"/>
          <w:szCs w:val="24"/>
        </w:rPr>
        <w:t>Atbilstoši likumam „Par pašvaldību budžetiem”, pašvaldības izstrādā savus budžetus ne vēlāk kā divu mēnešu laikā pēc gadskārtējā valsts budžeta likuma izsludināšanas.</w:t>
      </w:r>
    </w:p>
    <w:p w14:paraId="7E2C6082" w14:textId="77777777" w:rsidR="00FA5B2A" w:rsidRPr="00612AB9" w:rsidRDefault="00FA5B2A" w:rsidP="00FA5B2A">
      <w:pPr>
        <w:ind w:firstLine="720"/>
        <w:rPr>
          <w:color w:val="000000"/>
          <w:szCs w:val="24"/>
        </w:rPr>
      </w:pPr>
      <w:r>
        <w:rPr>
          <w:color w:val="000000"/>
          <w:szCs w:val="24"/>
        </w:rPr>
        <w:t>Ir</w:t>
      </w:r>
      <w:r w:rsidRPr="00612AB9">
        <w:rPr>
          <w:color w:val="000000"/>
          <w:szCs w:val="24"/>
        </w:rPr>
        <w:t xml:space="preserve"> pastiprināta neatkarīgo iestāžu (tiesas, Valsts kontrole, </w:t>
      </w:r>
      <w:proofErr w:type="spellStart"/>
      <w:r w:rsidRPr="00612AB9">
        <w:rPr>
          <w:color w:val="000000"/>
          <w:szCs w:val="24"/>
        </w:rPr>
        <w:t>Tiesībsargs</w:t>
      </w:r>
      <w:proofErr w:type="spellEnd"/>
      <w:r w:rsidRPr="00612AB9">
        <w:rPr>
          <w:color w:val="000000"/>
          <w:szCs w:val="24"/>
        </w:rPr>
        <w:t xml:space="preserve"> un citas) loma budžeta procesā. Sākot ar 2012.gadu, </w:t>
      </w:r>
      <w:r>
        <w:rPr>
          <w:color w:val="000000"/>
          <w:szCs w:val="24"/>
        </w:rPr>
        <w:t>LBFV</w:t>
      </w:r>
      <w:r w:rsidRPr="00612AB9">
        <w:rPr>
          <w:color w:val="000000"/>
          <w:szCs w:val="24"/>
        </w:rPr>
        <w:t xml:space="preserve"> noteic, ka </w:t>
      </w:r>
      <w:r>
        <w:rPr>
          <w:color w:val="000000"/>
          <w:szCs w:val="24"/>
        </w:rPr>
        <w:t>MK</w:t>
      </w:r>
      <w:r w:rsidRPr="00612AB9">
        <w:rPr>
          <w:color w:val="000000"/>
          <w:szCs w:val="24"/>
        </w:rPr>
        <w:t>, sa</w:t>
      </w:r>
      <w:r>
        <w:rPr>
          <w:color w:val="000000"/>
          <w:szCs w:val="24"/>
        </w:rPr>
        <w:t>gatavojot</w:t>
      </w:r>
      <w:r w:rsidRPr="00612AB9">
        <w:rPr>
          <w:color w:val="000000"/>
          <w:szCs w:val="24"/>
        </w:rPr>
        <w:t xml:space="preserve"> </w:t>
      </w:r>
      <w:r>
        <w:rPr>
          <w:color w:val="000000"/>
          <w:szCs w:val="24"/>
        </w:rPr>
        <w:t>I</w:t>
      </w:r>
      <w:r w:rsidRPr="00612AB9">
        <w:rPr>
          <w:color w:val="000000"/>
          <w:szCs w:val="24"/>
        </w:rPr>
        <w:t>etvara likuma projektu un gadskārtējā valsts budžeta likuma projektu, ir jāuzklausa neatkarīgo iestāžu viedoklis par attiecīgo iestāžu finansējuma</w:t>
      </w:r>
      <w:r w:rsidRPr="00193BDF">
        <w:rPr>
          <w:color w:val="000000" w:themeColor="text1"/>
          <w:szCs w:val="24"/>
        </w:rPr>
        <w:t xml:space="preserve"> </w:t>
      </w:r>
      <w:r w:rsidRPr="00612AB9">
        <w:rPr>
          <w:color w:val="000000"/>
          <w:szCs w:val="24"/>
        </w:rPr>
        <w:t>sadaļām, jāpamato MK viedoklis finansējuma samazinājuma gadījumā, kā arī minēto sarunu rezultāti protokola veidā ir jādara zināmi likumdevējam, pievienojot tos attiecīgajiem likumprojektiem.</w:t>
      </w:r>
    </w:p>
    <w:p w14:paraId="077F4ACC" w14:textId="77777777" w:rsidR="00FA5B2A" w:rsidRDefault="00FA5B2A" w:rsidP="00FA5B2A">
      <w:pPr>
        <w:ind w:firstLine="720"/>
        <w:rPr>
          <w:szCs w:val="24"/>
        </w:rPr>
      </w:pPr>
      <w:r w:rsidRPr="00612AB9">
        <w:rPr>
          <w:szCs w:val="24"/>
        </w:rPr>
        <w:t xml:space="preserve">Ja, sākoties saimnieciskajam gadam, nav stājies spēkā gadskārtējais valsts budžeta likums, finanšu ministrs apstiprina valsts darbībai nepieciešamos valsts budžeta izdevumus, </w:t>
      </w:r>
      <w:r w:rsidRPr="00612AB9">
        <w:rPr>
          <w:szCs w:val="24"/>
        </w:rPr>
        <w:lastRenderedPageBreak/>
        <w:t>aizdevumus un aizņēmumu limitus ar noteikumu, ka izdevumi mēnesī nepārsniedz divpadsmito daļu no iepriekšējā gada apropriācijas.</w:t>
      </w:r>
    </w:p>
    <w:p w14:paraId="3965396B" w14:textId="77777777" w:rsidR="00FA5B2A" w:rsidRDefault="004A6332" w:rsidP="00FA5B2A">
      <w:pPr>
        <w:ind w:firstLine="720"/>
        <w:rPr>
          <w:szCs w:val="24"/>
        </w:rPr>
      </w:pPr>
      <w:r>
        <w:rPr>
          <w:szCs w:val="24"/>
        </w:rPr>
        <w:t>MK</w:t>
      </w:r>
      <w:r w:rsidR="00FA5B2A" w:rsidRPr="0091051A">
        <w:rPr>
          <w:szCs w:val="24"/>
        </w:rPr>
        <w:t xml:space="preserve"> ir tiesības noteikt valsts un pašvaldību budžeta plānošanas un izpildes papildu nosacījumus, lai nodrošinātu makroekonomisko procesu izraisīto paaugstināto fiskālo, ekonomisko un sociālo risku ietekmes mazināšanas un novēršanas pasākumus un nodrošinātu starptautiskajās saistībās noteikto fiskālo kritēriju izpildi.</w:t>
      </w:r>
    </w:p>
    <w:p w14:paraId="7B589862" w14:textId="77777777" w:rsidR="00FA5B2A" w:rsidRDefault="00FA5B2A" w:rsidP="00FA5B2A">
      <w:pPr>
        <w:ind w:firstLine="720"/>
        <w:rPr>
          <w:szCs w:val="24"/>
        </w:rPr>
      </w:pPr>
    </w:p>
    <w:p w14:paraId="10DAD1A1" w14:textId="77777777" w:rsidR="00FA5B2A" w:rsidRPr="00D70007" w:rsidRDefault="00FA5B2A" w:rsidP="00D70007">
      <w:pPr>
        <w:pStyle w:val="tresais"/>
        <w:rPr>
          <w:szCs w:val="28"/>
        </w:rPr>
      </w:pPr>
      <w:bookmarkStart w:id="79" w:name="_Toc354671242"/>
      <w:r w:rsidRPr="0022274D">
        <w:rPr>
          <w:szCs w:val="28"/>
        </w:rPr>
        <w:t>9.3.2. Valsts finanšu statistikas pārvaldība</w:t>
      </w:r>
      <w:bookmarkEnd w:id="79"/>
    </w:p>
    <w:p w14:paraId="35A8C1DD" w14:textId="5EDF9FA7" w:rsidR="00FA5B2A" w:rsidRDefault="00C516D5" w:rsidP="00FA5B2A">
      <w:pPr>
        <w:ind w:firstLine="720"/>
      </w:pPr>
      <w:r>
        <w:t>CSP</w:t>
      </w:r>
      <w:r w:rsidR="00FA5B2A">
        <w:t xml:space="preserve"> apkopo valsts finanšu statistiku, kas aprēķināta atbilstoši EKS’ 95 prasībām.</w:t>
      </w:r>
    </w:p>
    <w:p w14:paraId="262213DA" w14:textId="77777777" w:rsidR="00FA5B2A" w:rsidRPr="00B22013" w:rsidRDefault="00FA5B2A" w:rsidP="00FA5B2A">
      <w:pPr>
        <w:pStyle w:val="BodyTextIndent2"/>
      </w:pPr>
      <w:r>
        <w:rPr>
          <w:szCs w:val="24"/>
        </w:rPr>
        <w:t xml:space="preserve">Vispārējās valdības sektora </w:t>
      </w:r>
      <w:r>
        <w:t xml:space="preserve">(S.13) ietvars Latvijā </w:t>
      </w:r>
      <w:r>
        <w:rPr>
          <w:szCs w:val="24"/>
        </w:rPr>
        <w:t xml:space="preserve">atbilstoši EKS’95 metodoloģijai sastāv no trim </w:t>
      </w:r>
      <w:proofErr w:type="spellStart"/>
      <w:r>
        <w:rPr>
          <w:szCs w:val="24"/>
        </w:rPr>
        <w:t>apakšsektoriem</w:t>
      </w:r>
      <w:proofErr w:type="spellEnd"/>
      <w:r>
        <w:rPr>
          <w:szCs w:val="24"/>
        </w:rPr>
        <w:t xml:space="preserve">: </w:t>
      </w:r>
      <w:r>
        <w:t xml:space="preserve">centrālās valdības </w:t>
      </w:r>
      <w:proofErr w:type="spellStart"/>
      <w:r>
        <w:t>apakšsektora</w:t>
      </w:r>
      <w:proofErr w:type="spellEnd"/>
      <w:r>
        <w:t xml:space="preserve"> (S.1311), pašvaldību </w:t>
      </w:r>
      <w:proofErr w:type="spellStart"/>
      <w:r>
        <w:t>apakšsektora</w:t>
      </w:r>
      <w:proofErr w:type="spellEnd"/>
      <w:r>
        <w:t xml:space="preserve"> (S.1313) un</w:t>
      </w:r>
      <w:r w:rsidRPr="0060230F">
        <w:rPr>
          <w:lang w:val="lv-LV"/>
        </w:rPr>
        <w:t xml:space="preserve"> sociālās apdrošināšanas </w:t>
      </w:r>
      <w:proofErr w:type="spellStart"/>
      <w:r w:rsidRPr="0060230F">
        <w:rPr>
          <w:lang w:val="lv-LV"/>
        </w:rPr>
        <w:t>apakšsektora</w:t>
      </w:r>
      <w:proofErr w:type="spellEnd"/>
      <w:r w:rsidRPr="0060230F">
        <w:rPr>
          <w:lang w:val="lv-LV"/>
        </w:rPr>
        <w:t xml:space="preserve"> (S.1314).</w:t>
      </w:r>
    </w:p>
    <w:p w14:paraId="04606080" w14:textId="77777777" w:rsidR="00FA5B2A" w:rsidRPr="0060230F" w:rsidRDefault="00FA5B2A" w:rsidP="00FA5B2A">
      <w:pPr>
        <w:pStyle w:val="BodyTextIndent"/>
        <w:spacing w:after="0"/>
        <w:ind w:left="0" w:firstLine="720"/>
        <w:rPr>
          <w:lang w:val="lv-LV"/>
        </w:rPr>
      </w:pPr>
      <w:r w:rsidRPr="0060230F">
        <w:rPr>
          <w:lang w:val="lv-LV"/>
        </w:rPr>
        <w:t xml:space="preserve">Vispārējās valdības sektorā uz 2012.gada 31.decembri bija 1167 neatkarīga budžeta iestāde, no tām centrālās valdības </w:t>
      </w:r>
      <w:proofErr w:type="spellStart"/>
      <w:r w:rsidRPr="0060230F">
        <w:rPr>
          <w:lang w:val="lv-LV"/>
        </w:rPr>
        <w:t>apakšsektorā</w:t>
      </w:r>
      <w:proofErr w:type="spellEnd"/>
      <w:r w:rsidRPr="0060230F">
        <w:rPr>
          <w:lang w:val="lv-LV"/>
        </w:rPr>
        <w:t xml:space="preserve"> - 270 iestāde, pašvaldību </w:t>
      </w:r>
      <w:proofErr w:type="spellStart"/>
      <w:r w:rsidRPr="0060230F">
        <w:rPr>
          <w:lang w:val="lv-LV"/>
        </w:rPr>
        <w:t>apakšsektorā</w:t>
      </w:r>
      <w:proofErr w:type="spellEnd"/>
      <w:r w:rsidRPr="0060230F">
        <w:rPr>
          <w:lang w:val="lv-LV"/>
        </w:rPr>
        <w:t xml:space="preserve"> – 896 iestādes un sociālās apdrošināšanas fonda </w:t>
      </w:r>
      <w:proofErr w:type="spellStart"/>
      <w:r w:rsidRPr="0060230F">
        <w:rPr>
          <w:lang w:val="lv-LV"/>
        </w:rPr>
        <w:t>apakšsektorā</w:t>
      </w:r>
      <w:proofErr w:type="spellEnd"/>
      <w:r w:rsidRPr="0060230F">
        <w:rPr>
          <w:lang w:val="lv-LV"/>
        </w:rPr>
        <w:t xml:space="preserve"> – 1 iestāde, bez tam - 125 valsts un pašvaldību kontrolēti un finansēti komersanti, no tiem valsts kontrolēti – 41 komersanti, pašvaldību kontrolēti – 84 komersanti. </w:t>
      </w:r>
    </w:p>
    <w:p w14:paraId="0062BADD" w14:textId="77777777" w:rsidR="00FA5B2A" w:rsidRDefault="00FA5B2A" w:rsidP="00FA5B2A">
      <w:pPr>
        <w:spacing w:after="0"/>
        <w:ind w:firstLine="720"/>
      </w:pPr>
      <w:r>
        <w:t>Uz vispārējās valdības sektoru attiecināmo komersantu sarakstu sastāda CSP, pārbaudot komersanta atbilstību sekojošiem kritērijiem:</w:t>
      </w:r>
    </w:p>
    <w:p w14:paraId="66A751C7" w14:textId="77777777" w:rsidR="00FA5B2A" w:rsidRDefault="00FA5B2A" w:rsidP="00FA5B2A">
      <w:pPr>
        <w:numPr>
          <w:ilvl w:val="0"/>
          <w:numId w:val="7"/>
        </w:numPr>
        <w:spacing w:after="0"/>
      </w:pPr>
      <w:r>
        <w:t>vai tam ir institucionālas vienības pazīmes;</w:t>
      </w:r>
    </w:p>
    <w:p w14:paraId="3BF9208D" w14:textId="77777777" w:rsidR="00FA5B2A" w:rsidRDefault="00FA5B2A" w:rsidP="00FA5B2A">
      <w:pPr>
        <w:numPr>
          <w:ilvl w:val="0"/>
          <w:numId w:val="7"/>
        </w:numPr>
        <w:spacing w:after="0"/>
      </w:pPr>
      <w:r>
        <w:t>vai tas ir piederīgs publiskajam sektoram (valsts un pašvaldību līdzdalība komersanta pamatkapitālā pārsniedz 50 %);</w:t>
      </w:r>
    </w:p>
    <w:p w14:paraId="5F62A09B" w14:textId="77777777" w:rsidR="00FA5B2A" w:rsidRDefault="00FA5B2A" w:rsidP="00FA5B2A">
      <w:pPr>
        <w:numPr>
          <w:ilvl w:val="0"/>
          <w:numId w:val="7"/>
        </w:numPr>
      </w:pPr>
      <w:r>
        <w:t>vai tas ir uzskatāms par ārpustirgus publiskā sektora institucionālo vienību.</w:t>
      </w:r>
    </w:p>
    <w:p w14:paraId="65B83CEA" w14:textId="77777777" w:rsidR="00FA5B2A" w:rsidRDefault="00FA5B2A" w:rsidP="00FA5B2A">
      <w:pPr>
        <w:ind w:firstLine="720"/>
      </w:pPr>
      <w:r>
        <w:t xml:space="preserve">Ja vienības galvenā funkcija ir līdzdalība nacionālā ienākuma un bagātības pārdalē un tai ir piešķirts Vispārējās ekonomiskās darbības klasifikācijas NACE 2 </w:t>
      </w:r>
      <w:proofErr w:type="spellStart"/>
      <w:r>
        <w:t>red</w:t>
      </w:r>
      <w:proofErr w:type="spellEnd"/>
      <w:r>
        <w:t>. kods, kas sākas ar “84” (klasifikācijas nodaļa “Valsts pārvalde un aizsardzība; obligātā sociālā apdrošināšana”), vienība tiek attiecināta uz vispārējās valdības sektoru. Piederību vispārējās valdības sektoram nosaka, analizējot vienības gada pārskatā sniegtos datus par finansiālo darbību. Analīzē tiek lietoti pēdējo piecu gadu pārskatu dati. Ja stabili (pēdējos trijos gados) izpildās nosacījums, ka vienības neto apgrozījums mīnus saņemtie valsts vai pašvaldības budžeta asignējumi ir mazāk kā 50% no vienības darbības izmaksām, vienība tiek attiecināta uz vispārējās valdības sektoru. Bez tam, ja vienības galvenais ienākuma avots ir citu valdības vienību maksa par pakalpojumiem, tā tiek attiecināta uz vispārējās valdības sektoru.</w:t>
      </w:r>
    </w:p>
    <w:p w14:paraId="6805B858" w14:textId="77777777" w:rsidR="00FA5B2A" w:rsidRDefault="00FA5B2A" w:rsidP="00FA5B2A">
      <w:pPr>
        <w:ind w:firstLine="720"/>
        <w:rPr>
          <w:i/>
        </w:rPr>
      </w:pPr>
      <w:r>
        <w:t xml:space="preserve">CSP katru ceturksni gatavo detalizētu informāciju par vispārējās valdības sektora ieņēmumiem, izdevumiem, kā arī finanšu kontiem un valsts parādu, kuru sniedz Eiropas Savienības Statistikas birojam </w:t>
      </w:r>
      <w:proofErr w:type="spellStart"/>
      <w:r w:rsidRPr="000D152D">
        <w:rPr>
          <w:i/>
        </w:rPr>
        <w:t>Eurosta</w:t>
      </w:r>
      <w:r>
        <w:rPr>
          <w:i/>
        </w:rPr>
        <w:t>t</w:t>
      </w:r>
      <w:proofErr w:type="spellEnd"/>
      <w:r>
        <w:rPr>
          <w:i/>
        </w:rPr>
        <w:t xml:space="preserve"> </w:t>
      </w:r>
      <w:r w:rsidRPr="00BD3D1B">
        <w:t>3</w:t>
      </w:r>
      <w:r>
        <w:t xml:space="preserve"> </w:t>
      </w:r>
      <w:r w:rsidRPr="00BD3D1B">
        <w:t>mēnešus pēc pārskata perioda beigām.</w:t>
      </w:r>
      <w:r w:rsidRPr="000D152D">
        <w:rPr>
          <w:i/>
        </w:rPr>
        <w:t xml:space="preserve"> </w:t>
      </w:r>
    </w:p>
    <w:p w14:paraId="3E7DF1EB" w14:textId="43FCA5FB" w:rsidR="00FA5B2A" w:rsidRPr="0060230F" w:rsidRDefault="00FA5B2A" w:rsidP="00FA5B2A">
      <w:pPr>
        <w:pStyle w:val="BodyTextIndent"/>
        <w:ind w:left="0" w:firstLine="720"/>
        <w:rPr>
          <w:lang w:val="lv-LV"/>
        </w:rPr>
      </w:pPr>
      <w:r w:rsidRPr="0060230F">
        <w:rPr>
          <w:lang w:val="lv-LV"/>
        </w:rPr>
        <w:t xml:space="preserve">Bez tam noteiktajos termiņos (2 reizes gadā – līdz 1. aprīlim (operatīvie dati) un līdz 1. oktobrim – (gala dati) tiek gatavota valsts budžeta deficīta un parāda notifikācija, kura tiek regulāri sūtīta ES institūcijām pēc visām ES dalībvalstīm noteiktas vienotas formas. Par notifikācijas sagatavošanu atbildīgā iestāde ir CSP, kura notifikācijas sagatavošanas laikā vada regulāras starpinstitūciju darba grupas sanāksmes. Notifikācijas sagatavošanā ir iesaistīti speciālisti no </w:t>
      </w:r>
      <w:r w:rsidR="004A6332" w:rsidRPr="0060230F">
        <w:rPr>
          <w:lang w:val="lv-LV"/>
        </w:rPr>
        <w:t>FM</w:t>
      </w:r>
      <w:r w:rsidRPr="0060230F">
        <w:rPr>
          <w:lang w:val="lv-LV"/>
        </w:rPr>
        <w:t xml:space="preserve">, </w:t>
      </w:r>
      <w:r w:rsidR="007F1AA1">
        <w:rPr>
          <w:lang w:val="lv-LV"/>
        </w:rPr>
        <w:t>VK</w:t>
      </w:r>
      <w:r w:rsidRPr="0060230F">
        <w:rPr>
          <w:lang w:val="lv-LV"/>
        </w:rPr>
        <w:t xml:space="preserve"> un Ekonomikas ministrijas, kā arī no </w:t>
      </w:r>
      <w:r w:rsidR="004A6332" w:rsidRPr="0060230F">
        <w:rPr>
          <w:lang w:val="lv-LV"/>
        </w:rPr>
        <w:t>LB</w:t>
      </w:r>
      <w:r w:rsidRPr="0060230F">
        <w:rPr>
          <w:lang w:val="lv-LV"/>
        </w:rPr>
        <w:t xml:space="preserve">. Vajadzības gadījumā papildus tiek piesaistīti speciālisti no citām institūcijām (Aizsardzības ministrijas, Labklājības ministrijas, Rīgas Domes </w:t>
      </w:r>
      <w:proofErr w:type="spellStart"/>
      <w:r w:rsidRPr="0060230F">
        <w:rPr>
          <w:lang w:val="lv-LV"/>
        </w:rPr>
        <w:t>u.c</w:t>
      </w:r>
      <w:proofErr w:type="spellEnd"/>
      <w:r w:rsidRPr="0060230F">
        <w:rPr>
          <w:lang w:val="lv-LV"/>
        </w:rPr>
        <w:t xml:space="preserve">). </w:t>
      </w:r>
    </w:p>
    <w:p w14:paraId="00B69812" w14:textId="77777777" w:rsidR="00FA5B2A" w:rsidRPr="00BD3D1B" w:rsidRDefault="00FA5B2A" w:rsidP="00FA5B2A">
      <w:pPr>
        <w:pStyle w:val="ridk"/>
        <w:spacing w:before="0" w:beforeAutospacing="0" w:after="120" w:afterAutospacing="0"/>
        <w:ind w:firstLine="720"/>
        <w:jc w:val="both"/>
        <w:rPr>
          <w:rFonts w:ascii="Times New Roman" w:hAnsi="Times New Roman" w:cs="Times New Roman"/>
          <w:color w:val="FF0000"/>
          <w:lang w:val="lv-LV"/>
        </w:rPr>
      </w:pPr>
      <w:r>
        <w:rPr>
          <w:rFonts w:ascii="Times New Roman" w:hAnsi="Times New Roman" w:cs="Times New Roman"/>
          <w:lang w:val="lv-LV"/>
        </w:rPr>
        <w:lastRenderedPageBreak/>
        <w:t xml:space="preserve">Ar valsts budžeta deficīta un parāda notifikāciju </w:t>
      </w:r>
      <w:r w:rsidR="004A6332">
        <w:rPr>
          <w:rFonts w:ascii="Times New Roman" w:hAnsi="Times New Roman" w:cs="Times New Roman"/>
          <w:lang w:val="lv-LV"/>
        </w:rPr>
        <w:t>ES</w:t>
      </w:r>
      <w:r>
        <w:rPr>
          <w:rFonts w:ascii="Times New Roman" w:hAnsi="Times New Roman" w:cs="Times New Roman"/>
          <w:lang w:val="lv-LV"/>
        </w:rPr>
        <w:t xml:space="preserve"> dalībvalstis informē </w:t>
      </w:r>
      <w:r w:rsidR="004A6332">
        <w:rPr>
          <w:rFonts w:ascii="Times New Roman" w:hAnsi="Times New Roman" w:cs="Times New Roman"/>
          <w:lang w:val="lv-LV"/>
        </w:rPr>
        <w:t>EK</w:t>
      </w:r>
      <w:r>
        <w:rPr>
          <w:rFonts w:ascii="Times New Roman" w:hAnsi="Times New Roman" w:cs="Times New Roman"/>
          <w:lang w:val="lv-LV"/>
        </w:rPr>
        <w:t xml:space="preserve"> par savas valsts rīcībā esošiem budžeta līdzekļiem un to izlietojumu. </w:t>
      </w:r>
    </w:p>
    <w:p w14:paraId="77F499E4" w14:textId="77777777" w:rsidR="00FA5B2A" w:rsidRDefault="00FA5B2A" w:rsidP="00FA5B2A">
      <w:pPr>
        <w:pStyle w:val="BodyTextIndent2"/>
        <w:rPr>
          <w:szCs w:val="24"/>
        </w:rPr>
      </w:pPr>
      <w:r>
        <w:rPr>
          <w:szCs w:val="24"/>
        </w:rPr>
        <w:t xml:space="preserve">Notifikāciju rezultāti tiek izmantoti valstu izvērtēšanai par to, kā tiek nodrošināta ekonomisko rādītāju atbilstība Māstrihtas līgumā noteiktajiem kritērijiem, t.i., plānotā un faktiskā vispārējās valdības sektora budžeta deficīta attiecība pret iekšzemes kopproduktu tirgus cenās nedrīkst pārsniegt 3 % un valdības parāda attiecība pret iekšzemes kopproduktu tirgus cenās nedrīkst būt lielāka par 60 %, kas aprēķināti atbilstoši EKS’95 prasībām. </w:t>
      </w:r>
    </w:p>
    <w:p w14:paraId="7DC0B83C" w14:textId="4E785FA1" w:rsidR="00FA5B2A" w:rsidRPr="0060230F" w:rsidRDefault="00FA5B2A" w:rsidP="003E52AE">
      <w:pPr>
        <w:pStyle w:val="BodyTextIndent2"/>
        <w:rPr>
          <w:lang w:val="lv-LV"/>
        </w:rPr>
      </w:pPr>
      <w:r w:rsidRPr="00BD3D1B">
        <w:rPr>
          <w:szCs w:val="24"/>
        </w:rPr>
        <w:t>Visai iepriekš minētajai informācijai galven</w:t>
      </w:r>
      <w:r>
        <w:rPr>
          <w:szCs w:val="24"/>
        </w:rPr>
        <w:t>ie</w:t>
      </w:r>
      <w:r w:rsidRPr="00BD3D1B">
        <w:rPr>
          <w:szCs w:val="24"/>
        </w:rPr>
        <w:t xml:space="preserve"> datu avot</w:t>
      </w:r>
      <w:r>
        <w:rPr>
          <w:szCs w:val="24"/>
        </w:rPr>
        <w:t>i</w:t>
      </w:r>
      <w:r w:rsidRPr="00BD3D1B">
        <w:rPr>
          <w:szCs w:val="24"/>
        </w:rPr>
        <w:t xml:space="preserve"> ir </w:t>
      </w:r>
      <w:r w:rsidR="004A6332" w:rsidRPr="0060230F">
        <w:rPr>
          <w:lang w:val="lv-LV"/>
        </w:rPr>
        <w:t>FM</w:t>
      </w:r>
      <w:r w:rsidRPr="00BD3D1B">
        <w:rPr>
          <w:szCs w:val="24"/>
        </w:rPr>
        <w:t xml:space="preserve"> </w:t>
      </w:r>
      <w:r>
        <w:rPr>
          <w:szCs w:val="24"/>
        </w:rPr>
        <w:t>„</w:t>
      </w:r>
      <w:r w:rsidRPr="00BD3D1B">
        <w:rPr>
          <w:szCs w:val="24"/>
        </w:rPr>
        <w:t>Gada pārskats par valsts budžeta izpildi un par pašvaldību budžetiem n-1 gadā</w:t>
      </w:r>
      <w:r>
        <w:rPr>
          <w:szCs w:val="24"/>
        </w:rPr>
        <w:t>”</w:t>
      </w:r>
      <w:r w:rsidRPr="00BD3D1B">
        <w:rPr>
          <w:szCs w:val="24"/>
        </w:rPr>
        <w:t xml:space="preserve"> (</w:t>
      </w:r>
      <w:r>
        <w:rPr>
          <w:szCs w:val="24"/>
        </w:rPr>
        <w:t>operatīvajiem datiem –</w:t>
      </w:r>
      <w:r w:rsidR="00967DAF">
        <w:rPr>
          <w:szCs w:val="24"/>
          <w:lang w:val="lv-LV"/>
        </w:rPr>
        <w:t>VK</w:t>
      </w:r>
      <w:r>
        <w:rPr>
          <w:szCs w:val="24"/>
        </w:rPr>
        <w:t xml:space="preserve"> „</w:t>
      </w:r>
      <w:r w:rsidRPr="00BD3D1B">
        <w:rPr>
          <w:szCs w:val="24"/>
        </w:rPr>
        <w:t>Oficiālais mēneša pārskats par budžeta izpildi n-1 gada janvārī – decembrī</w:t>
      </w:r>
      <w:r>
        <w:rPr>
          <w:szCs w:val="24"/>
        </w:rPr>
        <w:t xml:space="preserve">”), </w:t>
      </w:r>
      <w:r w:rsidRPr="00BD3D1B">
        <w:rPr>
          <w:bCs/>
          <w:szCs w:val="24"/>
        </w:rPr>
        <w:t>Valsts un pašvaldību budžeta iestāžu grāmatvedības bilanču kopsavilkumi uz n-1 gada beigām (</w:t>
      </w:r>
      <w:r w:rsidRPr="00BD3D1B">
        <w:rPr>
          <w:szCs w:val="24"/>
        </w:rPr>
        <w:t>operatīvajiem datiem – Kopsavilkums par finanšu aktīviem un pasīviem n-1 gadā)</w:t>
      </w:r>
      <w:r>
        <w:rPr>
          <w:szCs w:val="24"/>
        </w:rPr>
        <w:t xml:space="preserve">, kā arī </w:t>
      </w:r>
      <w:r w:rsidRPr="00BD3D1B">
        <w:rPr>
          <w:szCs w:val="24"/>
        </w:rPr>
        <w:t xml:space="preserve">informācija no </w:t>
      </w:r>
      <w:r>
        <w:rPr>
          <w:szCs w:val="24"/>
        </w:rPr>
        <w:t xml:space="preserve">CSP </w:t>
      </w:r>
      <w:r w:rsidRPr="00BD3D1B">
        <w:rPr>
          <w:szCs w:val="24"/>
        </w:rPr>
        <w:t xml:space="preserve">statistikas pārskata </w:t>
      </w:r>
      <w:r>
        <w:rPr>
          <w:szCs w:val="24"/>
        </w:rPr>
        <w:t xml:space="preserve">veidlapas </w:t>
      </w:r>
      <w:r w:rsidRPr="00BD3D1B">
        <w:rPr>
          <w:szCs w:val="24"/>
        </w:rPr>
        <w:t xml:space="preserve">1- FAP „Finanšu aktīvi un pasīvi n-1 gadā” </w:t>
      </w:r>
      <w:r w:rsidRPr="00BD3D1B">
        <w:rPr>
          <w:bCs/>
          <w:szCs w:val="24"/>
        </w:rPr>
        <w:t>(</w:t>
      </w:r>
      <w:r w:rsidRPr="00BD3D1B">
        <w:rPr>
          <w:szCs w:val="24"/>
        </w:rPr>
        <w:t>operatīvajiem datiem – 2-FAP „Finanšu aktīvi un pasīvi n-1 gadā”</w:t>
      </w:r>
      <w:r>
        <w:rPr>
          <w:szCs w:val="24"/>
        </w:rPr>
        <w:t>).</w:t>
      </w:r>
      <w:bookmarkStart w:id="80" w:name="_Toc284924069"/>
      <w:bookmarkEnd w:id="75"/>
    </w:p>
    <w:p w14:paraId="6568DDA4" w14:textId="77777777" w:rsidR="00316611" w:rsidRDefault="00283B8B" w:rsidP="002D62B9">
      <w:pPr>
        <w:pStyle w:val="otrais"/>
        <w:rPr>
          <w:szCs w:val="32"/>
        </w:rPr>
      </w:pPr>
      <w:bookmarkStart w:id="81" w:name="_Toc284924066"/>
      <w:bookmarkStart w:id="82" w:name="_Toc354671243"/>
      <w:bookmarkEnd w:id="76"/>
      <w:bookmarkEnd w:id="80"/>
      <w:r w:rsidRPr="004438CE">
        <w:rPr>
          <w:szCs w:val="32"/>
        </w:rPr>
        <w:t>9</w:t>
      </w:r>
      <w:r w:rsidR="00FA5B2A">
        <w:rPr>
          <w:szCs w:val="32"/>
        </w:rPr>
        <w:t>.4</w:t>
      </w:r>
      <w:r w:rsidR="00316611" w:rsidRPr="004438CE">
        <w:rPr>
          <w:szCs w:val="32"/>
        </w:rPr>
        <w:t xml:space="preserve">. Citas institucionālās </w:t>
      </w:r>
      <w:r w:rsidR="00316611" w:rsidRPr="004438CE">
        <w:rPr>
          <w:bCs/>
          <w:szCs w:val="32"/>
        </w:rPr>
        <w:t>attīstības</w:t>
      </w:r>
      <w:r w:rsidR="00316611" w:rsidRPr="004438CE">
        <w:rPr>
          <w:szCs w:val="32"/>
        </w:rPr>
        <w:t xml:space="preserve"> attiecībā uz valsts finansēm</w:t>
      </w:r>
      <w:bookmarkEnd w:id="81"/>
      <w:bookmarkEnd w:id="82"/>
    </w:p>
    <w:p w14:paraId="030BC28F" w14:textId="27704FBD" w:rsidR="002B3045" w:rsidRDefault="008D3A67" w:rsidP="00341E48">
      <w:pPr>
        <w:spacing w:before="120"/>
        <w:rPr>
          <w:color w:val="000000"/>
          <w:szCs w:val="24"/>
          <w:lang w:eastAsia="lv-LV"/>
        </w:rPr>
      </w:pPr>
      <w:r w:rsidRPr="002B3045">
        <w:rPr>
          <w:color w:val="000000"/>
          <w:szCs w:val="24"/>
          <w:lang w:eastAsia="lv-LV"/>
        </w:rPr>
        <w:t>FDL paredz arī uzraudzības mehānismu, ar kura palīdzību tiks kontrolēts, vai likumā noteiktie</w:t>
      </w:r>
      <w:r w:rsidR="00A17EC8">
        <w:rPr>
          <w:color w:val="000000"/>
          <w:szCs w:val="24"/>
          <w:lang w:eastAsia="lv-LV"/>
        </w:rPr>
        <w:t xml:space="preserve"> fiskālie</w:t>
      </w:r>
      <w:r w:rsidRPr="002B3045">
        <w:rPr>
          <w:color w:val="000000"/>
          <w:szCs w:val="24"/>
          <w:lang w:eastAsia="lv-LV"/>
        </w:rPr>
        <w:t xml:space="preserve"> nosacījumi tiek ievēroti </w:t>
      </w:r>
      <w:r w:rsidRPr="002B3045">
        <w:rPr>
          <w:szCs w:val="24"/>
        </w:rPr>
        <w:t xml:space="preserve">vidēja termiņa budžeta likumā un gadskārtējā valsts budžeta likumā. Uzraudzības nodrošināšanai tiks izveidota </w:t>
      </w:r>
      <w:r w:rsidR="0057152C">
        <w:rPr>
          <w:color w:val="000000"/>
          <w:szCs w:val="24"/>
          <w:lang w:eastAsia="lv-LV"/>
        </w:rPr>
        <w:t>Padome</w:t>
      </w:r>
      <w:r w:rsidRPr="002B3045">
        <w:rPr>
          <w:color w:val="000000"/>
          <w:szCs w:val="24"/>
          <w:lang w:eastAsia="lv-LV"/>
        </w:rPr>
        <w:t xml:space="preserve">. </w:t>
      </w:r>
    </w:p>
    <w:p w14:paraId="7533A397" w14:textId="77777777" w:rsidR="0099095C" w:rsidRPr="0099095C" w:rsidRDefault="009F49AA" w:rsidP="0099095C">
      <w:pPr>
        <w:spacing w:after="0"/>
        <w:rPr>
          <w:szCs w:val="24"/>
        </w:rPr>
      </w:pPr>
      <w:r>
        <w:rPr>
          <w:color w:val="000000"/>
          <w:szCs w:val="24"/>
        </w:rPr>
        <w:t>Padome</w:t>
      </w:r>
      <w:r w:rsidR="00D1359D" w:rsidRPr="00762843">
        <w:rPr>
          <w:color w:val="000000"/>
          <w:szCs w:val="24"/>
        </w:rPr>
        <w:t xml:space="preserve"> būs neatkarīga koleģiāla institūcija.</w:t>
      </w:r>
      <w:r w:rsidR="00AA3795" w:rsidRPr="00762843">
        <w:rPr>
          <w:color w:val="000000"/>
          <w:szCs w:val="24"/>
        </w:rPr>
        <w:t xml:space="preserve"> </w:t>
      </w:r>
      <w:r>
        <w:rPr>
          <w:szCs w:val="24"/>
        </w:rPr>
        <w:t>Tā sastāvēs no</w:t>
      </w:r>
      <w:r w:rsidR="00AA3795" w:rsidRPr="00762843">
        <w:rPr>
          <w:szCs w:val="24"/>
        </w:rPr>
        <w:t xml:space="preserve"> 6 locekļi</w:t>
      </w:r>
      <w:r>
        <w:rPr>
          <w:szCs w:val="24"/>
        </w:rPr>
        <w:t>em</w:t>
      </w:r>
      <w:r w:rsidR="006034EF" w:rsidRPr="00762843">
        <w:rPr>
          <w:szCs w:val="24"/>
        </w:rPr>
        <w:t xml:space="preserve"> </w:t>
      </w:r>
      <w:r w:rsidR="00AA3795" w:rsidRPr="00762843">
        <w:rPr>
          <w:b/>
          <w:szCs w:val="24"/>
        </w:rPr>
        <w:t>-</w:t>
      </w:r>
      <w:r w:rsidR="00AA3795" w:rsidRPr="00762843">
        <w:rPr>
          <w:szCs w:val="24"/>
        </w:rPr>
        <w:t xml:space="preserve"> fiskālās politikas lietpratēji</w:t>
      </w:r>
      <w:r>
        <w:rPr>
          <w:szCs w:val="24"/>
        </w:rPr>
        <w:t>em</w:t>
      </w:r>
      <w:r w:rsidR="00AA3795" w:rsidRPr="00762843">
        <w:rPr>
          <w:szCs w:val="24"/>
        </w:rPr>
        <w:t xml:space="preserve"> no Latvijas vai citām ES dalībvalstīm</w:t>
      </w:r>
      <w:r w:rsidR="00A17EC8">
        <w:rPr>
          <w:szCs w:val="24"/>
        </w:rPr>
        <w:t>, kurus apstiprinās Saeima uz se</w:t>
      </w:r>
      <w:r w:rsidR="00A17EC8" w:rsidRPr="0099095C">
        <w:rPr>
          <w:szCs w:val="24"/>
        </w:rPr>
        <w:t>šiem gadiem</w:t>
      </w:r>
      <w:r w:rsidR="00AA3795" w:rsidRPr="0099095C">
        <w:rPr>
          <w:szCs w:val="24"/>
        </w:rPr>
        <w:t xml:space="preserve">. </w:t>
      </w:r>
      <w:r w:rsidR="0099095C" w:rsidRPr="0099095C">
        <w:rPr>
          <w:szCs w:val="24"/>
        </w:rPr>
        <w:t>Padomei būs šādas funkcijas:</w:t>
      </w:r>
    </w:p>
    <w:p w14:paraId="5917C82D" w14:textId="77777777" w:rsidR="0099095C" w:rsidRPr="0099095C" w:rsidRDefault="0099095C" w:rsidP="0099095C">
      <w:pPr>
        <w:numPr>
          <w:ilvl w:val="0"/>
          <w:numId w:val="7"/>
        </w:numPr>
        <w:spacing w:after="0"/>
        <w:ind w:left="714" w:hanging="357"/>
        <w:rPr>
          <w:color w:val="000000" w:themeColor="text1"/>
          <w:szCs w:val="24"/>
          <w:lang w:eastAsia="lv-LV"/>
        </w:rPr>
      </w:pPr>
      <w:r w:rsidRPr="0099095C">
        <w:rPr>
          <w:szCs w:val="24"/>
        </w:rPr>
        <w:t>uzraudzīt</w:t>
      </w:r>
      <w:r w:rsidRPr="00C0630C">
        <w:rPr>
          <w:szCs w:val="24"/>
        </w:rPr>
        <w:t xml:space="preserve"> FDL noteikto fiskālo nosacījumu ievērošanu ietvara likuma projekta un gadskārtējā valsts budžeta likuma projekta sagatavošanā, šo likumu izpildē un grozījumu sagatavošanā</w:t>
      </w:r>
      <w:r w:rsidRPr="004919CB">
        <w:rPr>
          <w:szCs w:val="24"/>
        </w:rPr>
        <w:t>;</w:t>
      </w:r>
    </w:p>
    <w:p w14:paraId="00673B8C" w14:textId="77777777" w:rsidR="0099095C" w:rsidRPr="0099095C" w:rsidRDefault="0099095C" w:rsidP="0099095C">
      <w:pPr>
        <w:numPr>
          <w:ilvl w:val="0"/>
          <w:numId w:val="7"/>
        </w:numPr>
        <w:spacing w:after="0"/>
        <w:ind w:left="714" w:hanging="357"/>
        <w:rPr>
          <w:color w:val="000000" w:themeColor="text1"/>
          <w:szCs w:val="24"/>
          <w:lang w:eastAsia="lv-LV"/>
        </w:rPr>
      </w:pPr>
      <w:r w:rsidRPr="0099095C">
        <w:rPr>
          <w:szCs w:val="24"/>
        </w:rPr>
        <w:t xml:space="preserve">pārbaudīt bilances nosacījuma un izdevumu pieauguma nosacījuma piemērošanas pareizību, tai skaitā veicot neatkarīgu potenciālā iekšzemes kopprodukta un nominālā iekšzemes kopprodukta novērtējumu un strukturālās bilances aprēķinu; </w:t>
      </w:r>
    </w:p>
    <w:p w14:paraId="13640B21" w14:textId="77777777" w:rsidR="0099095C" w:rsidRPr="0099095C" w:rsidRDefault="0099095C" w:rsidP="0099095C">
      <w:pPr>
        <w:pStyle w:val="tv2131"/>
        <w:numPr>
          <w:ilvl w:val="0"/>
          <w:numId w:val="7"/>
        </w:numPr>
        <w:spacing w:before="0" w:line="240" w:lineRule="auto"/>
        <w:ind w:left="714" w:hanging="357"/>
        <w:rPr>
          <w:rFonts w:ascii="Times New Roman" w:hAnsi="Times New Roman"/>
          <w:sz w:val="24"/>
          <w:szCs w:val="24"/>
        </w:rPr>
      </w:pPr>
      <w:r w:rsidRPr="0099095C">
        <w:rPr>
          <w:rFonts w:ascii="Times New Roman" w:hAnsi="Times New Roman"/>
          <w:sz w:val="24"/>
          <w:szCs w:val="24"/>
        </w:rPr>
        <w:t xml:space="preserve">uzraudzīt FDL nosacījumu ievērošanu gadskārtējā valsts budžeta likuma izpildē, pašvaldību konsolidētā budžeta un atvasinātu publisku personu budžetu summāro fiskālo rādītāju atbilstību prognozētajām vērtībām; </w:t>
      </w:r>
    </w:p>
    <w:p w14:paraId="000BBD59" w14:textId="77777777" w:rsidR="0099095C" w:rsidRPr="0099095C" w:rsidRDefault="0099095C" w:rsidP="0099095C">
      <w:pPr>
        <w:pStyle w:val="tv2131"/>
        <w:numPr>
          <w:ilvl w:val="0"/>
          <w:numId w:val="7"/>
        </w:numPr>
        <w:spacing w:before="0" w:line="240" w:lineRule="auto"/>
        <w:ind w:left="714" w:hanging="357"/>
        <w:rPr>
          <w:rFonts w:ascii="Times New Roman" w:hAnsi="Times New Roman"/>
          <w:sz w:val="24"/>
          <w:szCs w:val="24"/>
        </w:rPr>
      </w:pPr>
      <w:r w:rsidRPr="0099095C">
        <w:rPr>
          <w:rFonts w:ascii="Times New Roman" w:hAnsi="Times New Roman"/>
          <w:sz w:val="24"/>
          <w:szCs w:val="24"/>
        </w:rPr>
        <w:t xml:space="preserve">sagatavot viedokli par to, cik liela atkāpe no bilances nosacījuma pieļaujama ekonomikas nopietnas lejupslīdes laikā; </w:t>
      </w:r>
    </w:p>
    <w:p w14:paraId="5D6B9E55" w14:textId="77777777" w:rsidR="0099095C" w:rsidRDefault="0099095C" w:rsidP="0099095C">
      <w:pPr>
        <w:pStyle w:val="tv2131"/>
        <w:numPr>
          <w:ilvl w:val="0"/>
          <w:numId w:val="7"/>
        </w:numPr>
        <w:spacing w:before="0" w:line="240" w:lineRule="auto"/>
        <w:ind w:left="714" w:hanging="357"/>
        <w:rPr>
          <w:rFonts w:ascii="Times New Roman" w:hAnsi="Times New Roman"/>
          <w:sz w:val="24"/>
          <w:szCs w:val="24"/>
        </w:rPr>
      </w:pPr>
      <w:r w:rsidRPr="0099095C">
        <w:rPr>
          <w:rFonts w:ascii="Times New Roman" w:hAnsi="Times New Roman"/>
          <w:sz w:val="24"/>
          <w:szCs w:val="24"/>
        </w:rPr>
        <w:t xml:space="preserve">sagatavot viedokli par fiskālā nodrošinājuma rezerves apjoma atbilstību valstī pastāvošajiem fiskālajiem riskiem; </w:t>
      </w:r>
    </w:p>
    <w:p w14:paraId="04A60C37" w14:textId="77777777" w:rsidR="0099095C" w:rsidRPr="0099095C" w:rsidRDefault="0099095C" w:rsidP="0099095C">
      <w:pPr>
        <w:pStyle w:val="tv2131"/>
        <w:numPr>
          <w:ilvl w:val="0"/>
          <w:numId w:val="7"/>
        </w:numPr>
        <w:spacing w:before="0" w:line="240" w:lineRule="auto"/>
        <w:ind w:left="714" w:hanging="357"/>
        <w:rPr>
          <w:rFonts w:ascii="Times New Roman" w:hAnsi="Times New Roman"/>
          <w:sz w:val="24"/>
          <w:szCs w:val="24"/>
        </w:rPr>
      </w:pPr>
      <w:r w:rsidRPr="0099095C">
        <w:rPr>
          <w:rFonts w:ascii="Times New Roman" w:hAnsi="Times New Roman"/>
          <w:sz w:val="24"/>
          <w:szCs w:val="24"/>
        </w:rPr>
        <w:t xml:space="preserve">sagatavot fiskālās disciplīnas uzraudzības ziņojumu un, ja nepieciešams, neatbilstības ziņojumu; </w:t>
      </w:r>
    </w:p>
    <w:p w14:paraId="712F4B6E" w14:textId="77777777" w:rsidR="0099095C" w:rsidRPr="0099095C" w:rsidRDefault="0099095C" w:rsidP="0099095C">
      <w:pPr>
        <w:pStyle w:val="tv2131"/>
        <w:numPr>
          <w:ilvl w:val="0"/>
          <w:numId w:val="7"/>
        </w:numPr>
        <w:spacing w:before="0" w:line="240" w:lineRule="auto"/>
        <w:ind w:left="714" w:hanging="357"/>
        <w:rPr>
          <w:rFonts w:ascii="Times New Roman" w:hAnsi="Times New Roman"/>
          <w:sz w:val="24"/>
          <w:szCs w:val="24"/>
        </w:rPr>
      </w:pPr>
      <w:r w:rsidRPr="0099095C">
        <w:rPr>
          <w:rFonts w:ascii="Times New Roman" w:hAnsi="Times New Roman"/>
          <w:sz w:val="24"/>
          <w:szCs w:val="24"/>
        </w:rPr>
        <w:t>sagatavot un iesniegt Saeimai un Ministru kabinetam viedokli citos fiskālās politikas un makroekonomiskās attīstības jautājumos, ja atzīst tos par būtiskiem FDL normu ievērošanai</w:t>
      </w:r>
      <w:r w:rsidR="00EB6A0A">
        <w:rPr>
          <w:rFonts w:ascii="Times New Roman" w:hAnsi="Times New Roman"/>
          <w:sz w:val="24"/>
          <w:szCs w:val="24"/>
        </w:rPr>
        <w:t>;</w:t>
      </w:r>
      <w:r w:rsidRPr="0099095C">
        <w:rPr>
          <w:rFonts w:ascii="Times New Roman" w:hAnsi="Times New Roman"/>
          <w:sz w:val="24"/>
          <w:szCs w:val="24"/>
        </w:rPr>
        <w:t xml:space="preserve"> </w:t>
      </w:r>
    </w:p>
    <w:p w14:paraId="3E6DB6AB" w14:textId="77777777" w:rsidR="00C0630C" w:rsidRDefault="0099095C" w:rsidP="00C76829">
      <w:pPr>
        <w:pStyle w:val="tv2131"/>
        <w:numPr>
          <w:ilvl w:val="0"/>
          <w:numId w:val="7"/>
        </w:numPr>
        <w:spacing w:before="0" w:after="120" w:line="240" w:lineRule="auto"/>
        <w:ind w:left="714" w:hanging="357"/>
        <w:rPr>
          <w:rFonts w:ascii="Times New Roman" w:hAnsi="Times New Roman"/>
          <w:sz w:val="24"/>
          <w:szCs w:val="24"/>
        </w:rPr>
      </w:pPr>
      <w:r w:rsidRPr="0099095C">
        <w:rPr>
          <w:rFonts w:ascii="Times New Roman" w:hAnsi="Times New Roman"/>
          <w:sz w:val="24"/>
          <w:szCs w:val="24"/>
        </w:rPr>
        <w:t>lai sagatavotu FDL noteiktos ziņojumus, novērtēt un analizēt valsts fiskālās politikas ilgtspēju.</w:t>
      </w:r>
    </w:p>
    <w:p w14:paraId="120593C4" w14:textId="3291BF8C" w:rsidR="009A14DF" w:rsidRPr="009A14DF" w:rsidRDefault="00A17EC8" w:rsidP="004A6332">
      <w:pPr>
        <w:pStyle w:val="tv2131"/>
        <w:spacing w:before="120" w:after="120" w:line="240" w:lineRule="auto"/>
        <w:ind w:firstLine="567"/>
        <w:rPr>
          <w:rFonts w:ascii="Times New Roman" w:hAnsi="Times New Roman"/>
          <w:sz w:val="24"/>
          <w:szCs w:val="24"/>
        </w:rPr>
      </w:pPr>
      <w:r w:rsidRPr="009A14DF">
        <w:rPr>
          <w:rFonts w:ascii="Times New Roman" w:hAnsi="Times New Roman"/>
          <w:color w:val="000000" w:themeColor="text1"/>
          <w:sz w:val="24"/>
          <w:szCs w:val="24"/>
        </w:rPr>
        <w:t>P</w:t>
      </w:r>
      <w:r w:rsidR="002F36E1" w:rsidRPr="009A14DF">
        <w:rPr>
          <w:rFonts w:ascii="Times New Roman" w:hAnsi="Times New Roman"/>
          <w:color w:val="000000" w:themeColor="text1"/>
          <w:sz w:val="24"/>
          <w:szCs w:val="24"/>
        </w:rPr>
        <w:t xml:space="preserve">adome ikgadējo </w:t>
      </w:r>
      <w:r w:rsidR="0023518A">
        <w:rPr>
          <w:rFonts w:ascii="Times New Roman" w:hAnsi="Times New Roman"/>
          <w:color w:val="000000" w:themeColor="text1"/>
          <w:sz w:val="24"/>
          <w:szCs w:val="24"/>
        </w:rPr>
        <w:t>Ziņojumu</w:t>
      </w:r>
      <w:r w:rsidR="00C0630C" w:rsidRPr="009A14DF">
        <w:rPr>
          <w:rFonts w:ascii="Times New Roman" w:hAnsi="Times New Roman"/>
          <w:color w:val="000000" w:themeColor="text1"/>
          <w:sz w:val="24"/>
          <w:szCs w:val="24"/>
        </w:rPr>
        <w:t xml:space="preserve"> iesniegs Saeimā</w:t>
      </w:r>
      <w:r w:rsidR="009F49AA" w:rsidRPr="009A14DF">
        <w:rPr>
          <w:rFonts w:ascii="Times New Roman" w:hAnsi="Times New Roman"/>
          <w:color w:val="000000" w:themeColor="text1"/>
          <w:sz w:val="24"/>
          <w:szCs w:val="24"/>
        </w:rPr>
        <w:t>,</w:t>
      </w:r>
      <w:r w:rsidR="002F36E1" w:rsidRPr="009A14DF">
        <w:rPr>
          <w:rFonts w:ascii="Times New Roman" w:hAnsi="Times New Roman"/>
          <w:color w:val="000000" w:themeColor="text1"/>
          <w:sz w:val="24"/>
          <w:szCs w:val="24"/>
        </w:rPr>
        <w:t xml:space="preserve"> </w:t>
      </w:r>
      <w:r w:rsidR="00F57CC9">
        <w:rPr>
          <w:rFonts w:ascii="Times New Roman" w:hAnsi="Times New Roman"/>
          <w:sz w:val="24"/>
          <w:szCs w:val="24"/>
        </w:rPr>
        <w:t>pievienojot to I</w:t>
      </w:r>
      <w:r w:rsidR="009F49AA" w:rsidRPr="009A14DF">
        <w:rPr>
          <w:rFonts w:ascii="Times New Roman" w:hAnsi="Times New Roman"/>
          <w:sz w:val="24"/>
          <w:szCs w:val="24"/>
        </w:rPr>
        <w:t>etvara likuma projektam</w:t>
      </w:r>
      <w:r w:rsidR="00C0630C" w:rsidRPr="009A14DF">
        <w:rPr>
          <w:rFonts w:ascii="Times New Roman" w:hAnsi="Times New Roman"/>
          <w:sz w:val="24"/>
          <w:szCs w:val="24"/>
        </w:rPr>
        <w:t xml:space="preserve">, savukārt neatbilstības ziņojumu Padome sagatavos nekavējoties pēc neatbilstības konstatēšanas, iekļaujot ziņojumā rekomendācijas neatbilstību novēršanai. Abu veidu ziņojumi tiks publiskoti arī </w:t>
      </w:r>
      <w:r w:rsidR="00DB2A0B">
        <w:rPr>
          <w:rFonts w:ascii="Times New Roman" w:hAnsi="Times New Roman"/>
          <w:sz w:val="24"/>
          <w:szCs w:val="24"/>
        </w:rPr>
        <w:t xml:space="preserve">FM </w:t>
      </w:r>
      <w:r w:rsidR="003E52AE" w:rsidRPr="009A14DF">
        <w:rPr>
          <w:rFonts w:ascii="Times New Roman" w:hAnsi="Times New Roman"/>
          <w:sz w:val="24"/>
          <w:szCs w:val="24"/>
        </w:rPr>
        <w:t>mājas lapā</w:t>
      </w:r>
      <w:r w:rsidR="00C76829" w:rsidRPr="009A14DF">
        <w:rPr>
          <w:rFonts w:ascii="Times New Roman" w:hAnsi="Times New Roman"/>
          <w:sz w:val="24"/>
          <w:szCs w:val="24"/>
        </w:rPr>
        <w:t>, tāpat publiski pieejami būs visi Padomes lēmumi.</w:t>
      </w:r>
      <w:r w:rsidR="003E52AE">
        <w:rPr>
          <w:rFonts w:ascii="Times New Roman" w:hAnsi="Times New Roman"/>
          <w:sz w:val="24"/>
          <w:szCs w:val="24"/>
        </w:rPr>
        <w:t xml:space="preserve"> </w:t>
      </w:r>
      <w:r w:rsidR="00C0630C" w:rsidRPr="009A14DF">
        <w:rPr>
          <w:rFonts w:ascii="Times New Roman" w:hAnsi="Times New Roman"/>
          <w:sz w:val="24"/>
          <w:szCs w:val="24"/>
        </w:rPr>
        <w:t>Padome savas darbības noteikšanai izstrādā un apstiprina iekšējās kārtības noteikumus.</w:t>
      </w:r>
      <w:r w:rsidR="009A14DF" w:rsidRPr="009A14DF">
        <w:rPr>
          <w:rFonts w:ascii="Times New Roman" w:hAnsi="Times New Roman"/>
          <w:sz w:val="24"/>
          <w:szCs w:val="24"/>
        </w:rPr>
        <w:t xml:space="preserve"> </w:t>
      </w:r>
    </w:p>
    <w:p w14:paraId="7B029147" w14:textId="77777777" w:rsidR="00492C6E" w:rsidRPr="009A14DF" w:rsidRDefault="009A14DF" w:rsidP="004A6332">
      <w:pPr>
        <w:pStyle w:val="tv2131"/>
        <w:spacing w:before="120" w:after="120" w:line="240" w:lineRule="auto"/>
        <w:ind w:firstLine="567"/>
        <w:rPr>
          <w:rFonts w:ascii="Times New Roman" w:hAnsi="Times New Roman"/>
          <w:sz w:val="24"/>
          <w:szCs w:val="24"/>
        </w:rPr>
      </w:pPr>
      <w:r w:rsidRPr="004919CB">
        <w:rPr>
          <w:rFonts w:ascii="Times New Roman" w:hAnsi="Times New Roman"/>
          <w:sz w:val="24"/>
          <w:szCs w:val="24"/>
        </w:rPr>
        <w:lastRenderedPageBreak/>
        <w:t>Lai nodrošinātu funkciju izpildi, Padomei b</w:t>
      </w:r>
      <w:r w:rsidRPr="00810A77">
        <w:rPr>
          <w:rFonts w:ascii="Times New Roman" w:hAnsi="Times New Roman"/>
          <w:sz w:val="24"/>
          <w:szCs w:val="24"/>
        </w:rPr>
        <w:t xml:space="preserve">ūs tiesības </w:t>
      </w:r>
      <w:r w:rsidRPr="004919CB">
        <w:rPr>
          <w:rFonts w:ascii="Times New Roman" w:hAnsi="Times New Roman"/>
          <w:sz w:val="24"/>
          <w:szCs w:val="24"/>
        </w:rPr>
        <w:t>pieprasīt un saņemt no valsts institūcijām Padomes uzdevumu izpildei nepieciešamo informāciju, atbilstoši kompetencei sadarboties ar valsts un pašvaldību institūcijām, juridiskajām un fiziskajām personām</w:t>
      </w:r>
      <w:r>
        <w:rPr>
          <w:rFonts w:ascii="Times New Roman" w:hAnsi="Times New Roman"/>
          <w:sz w:val="24"/>
          <w:szCs w:val="24"/>
        </w:rPr>
        <w:t>,</w:t>
      </w:r>
      <w:r w:rsidRPr="009A14DF">
        <w:rPr>
          <w:rFonts w:ascii="Times New Roman" w:hAnsi="Times New Roman"/>
          <w:sz w:val="24"/>
          <w:szCs w:val="24"/>
        </w:rPr>
        <w:t xml:space="preserve"> </w:t>
      </w:r>
      <w:r w:rsidRPr="004919CB">
        <w:rPr>
          <w:rFonts w:ascii="Times New Roman" w:hAnsi="Times New Roman"/>
          <w:sz w:val="24"/>
          <w:szCs w:val="24"/>
        </w:rPr>
        <w:t>kā arī ārvalstu institūcijām</w:t>
      </w:r>
      <w:r>
        <w:rPr>
          <w:rFonts w:ascii="Times New Roman" w:hAnsi="Times New Roman"/>
          <w:sz w:val="24"/>
          <w:szCs w:val="24"/>
        </w:rPr>
        <w:t>,</w:t>
      </w:r>
      <w:r w:rsidRPr="004919CB">
        <w:rPr>
          <w:rFonts w:ascii="Times New Roman" w:hAnsi="Times New Roman"/>
          <w:sz w:val="24"/>
          <w:szCs w:val="24"/>
        </w:rPr>
        <w:t xml:space="preserve"> uzaicināt ekspertus un citus speciālistus piedalīties un sniegt viedokli Padomes sēdēs</w:t>
      </w:r>
      <w:r>
        <w:rPr>
          <w:rFonts w:ascii="Times New Roman" w:hAnsi="Times New Roman"/>
          <w:sz w:val="24"/>
          <w:szCs w:val="24"/>
        </w:rPr>
        <w:t>.</w:t>
      </w:r>
      <w:r w:rsidRPr="004919CB">
        <w:rPr>
          <w:rFonts w:ascii="Times New Roman" w:hAnsi="Times New Roman"/>
          <w:sz w:val="24"/>
          <w:szCs w:val="24"/>
        </w:rPr>
        <w:t xml:space="preserve"> Tāpat Padomei būs tiesības sniegt FM un MK ieteikumus jautājumos par ietvara likuma projekta un gadskārtējā valsts budžeta likuma projekta izstrādi, kā arī sniegt MK ierosinājumus par nepieciešamajiem grozījumiem ar valsts fiskālo disciplīnu saistītos normatīvajos aktos.</w:t>
      </w:r>
    </w:p>
    <w:p w14:paraId="2C8C5126" w14:textId="08EC6389" w:rsidR="002F36E1" w:rsidRDefault="00C76829" w:rsidP="003A2E39">
      <w:r>
        <w:t>Padome savas darbības noteikšanai izstrādās un apstiprinās iekšējās kārtības noteikumus, tai skaitā paredzot Padomes kārtējo sēžu sasaukšanas laiku un kārtību.</w:t>
      </w:r>
      <w:r w:rsidRPr="00C76829" w:rsidDel="00C76829">
        <w:rPr>
          <w:color w:val="000000"/>
          <w:szCs w:val="24"/>
        </w:rPr>
        <w:t xml:space="preserve"> </w:t>
      </w:r>
      <w:r>
        <w:t xml:space="preserve">Padomes ikdienas darbus nodrošinās Padomes sekretārs, Padomes darbību tehniski nodrošinās </w:t>
      </w:r>
      <w:r w:rsidR="00DB2A0B">
        <w:t>FM</w:t>
      </w:r>
      <w:r>
        <w:t xml:space="preserve">. Padomes darba nodrošināšanai nepieciešamie izdevumi tiks plānoti atsevišķā </w:t>
      </w:r>
      <w:r w:rsidR="00DB2A0B">
        <w:t>FM</w:t>
      </w:r>
      <w:r>
        <w:t xml:space="preserve"> budžeta programmā.  </w:t>
      </w:r>
    </w:p>
    <w:p w14:paraId="1E11D821" w14:textId="77777777" w:rsidR="00921889" w:rsidRPr="00921889" w:rsidRDefault="00C76829" w:rsidP="00921889">
      <w:pPr>
        <w:rPr>
          <w:color w:val="000000" w:themeColor="text1"/>
          <w:szCs w:val="18"/>
          <w:lang w:eastAsia="lv-LV"/>
        </w:rPr>
      </w:pPr>
      <w:r w:rsidRPr="00762843">
        <w:rPr>
          <w:color w:val="000000"/>
          <w:szCs w:val="24"/>
        </w:rPr>
        <w:t>FDL nosaka, ka Padome uzsāks darbu 2014.gada 1.janvārī</w:t>
      </w:r>
      <w:r>
        <w:rPr>
          <w:color w:val="000000"/>
          <w:szCs w:val="24"/>
        </w:rPr>
        <w:t>.</w:t>
      </w:r>
    </w:p>
    <w:p w14:paraId="2D9D1BBE" w14:textId="77777777" w:rsidR="00921889" w:rsidRDefault="00921889" w:rsidP="003A6E78">
      <w:pPr>
        <w:rPr>
          <w:color w:val="000000" w:themeColor="text1"/>
          <w:szCs w:val="18"/>
          <w:lang w:eastAsia="lv-LV"/>
        </w:rPr>
      </w:pPr>
    </w:p>
    <w:p w14:paraId="7F3E12E0" w14:textId="77777777" w:rsidR="00121CC8" w:rsidRPr="009C61B1" w:rsidRDefault="00121CC8" w:rsidP="002D62B9">
      <w:pPr>
        <w:pStyle w:val="PIRMAIS"/>
      </w:pPr>
      <w:bookmarkStart w:id="83" w:name="_Toc284924070"/>
      <w:bookmarkStart w:id="84" w:name="_Toc354671244"/>
      <w:r w:rsidRPr="009C61B1">
        <w:lastRenderedPageBreak/>
        <w:t>Pielikum</w:t>
      </w:r>
      <w:bookmarkEnd w:id="83"/>
      <w:r w:rsidR="00D3627A">
        <w:t>i</w:t>
      </w:r>
      <w:bookmarkEnd w:id="84"/>
    </w:p>
    <w:p w14:paraId="0B6706D3" w14:textId="77777777" w:rsidR="00121CC8" w:rsidRDefault="00121CC8" w:rsidP="002D62B9">
      <w:pPr>
        <w:ind w:firstLine="0"/>
      </w:pPr>
    </w:p>
    <w:p w14:paraId="0A7D926A" w14:textId="77777777" w:rsidR="002D62B9" w:rsidRPr="001946E0" w:rsidRDefault="002D62B9" w:rsidP="002D62B9">
      <w:pPr>
        <w:pStyle w:val="T"/>
        <w:ind w:left="0"/>
        <w:rPr>
          <w:rFonts w:ascii="Times New Roman" w:hAnsi="Times New Roman"/>
          <w:color w:val="000000"/>
        </w:rPr>
      </w:pPr>
      <w:r w:rsidRPr="001946E0">
        <w:rPr>
          <w:rFonts w:ascii="Times New Roman" w:hAnsi="Times New Roman"/>
          <w:color w:val="000000"/>
        </w:rPr>
        <w:t>1a. tabula. Izaugsme un ar to saistītie faktori</w:t>
      </w:r>
    </w:p>
    <w:tbl>
      <w:tblPr>
        <w:tblW w:w="95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45"/>
        <w:gridCol w:w="1037"/>
        <w:gridCol w:w="1037"/>
        <w:gridCol w:w="741"/>
        <w:gridCol w:w="741"/>
        <w:gridCol w:w="741"/>
        <w:gridCol w:w="741"/>
        <w:gridCol w:w="867"/>
      </w:tblGrid>
      <w:tr w:rsidR="002D72BF" w:rsidRPr="002D72BF" w14:paraId="524500DF" w14:textId="77777777" w:rsidTr="008C7F19">
        <w:trPr>
          <w:tblHeader/>
          <w:jc w:val="center"/>
        </w:trPr>
        <w:tc>
          <w:tcPr>
            <w:tcW w:w="3645" w:type="dxa"/>
          </w:tcPr>
          <w:p w14:paraId="0E66A41C" w14:textId="77777777" w:rsidR="002D72BF" w:rsidRPr="002D72BF" w:rsidRDefault="002D72BF" w:rsidP="002D72BF">
            <w:pPr>
              <w:keepNext/>
              <w:spacing w:after="0"/>
              <w:ind w:firstLine="0"/>
              <w:jc w:val="left"/>
              <w:rPr>
                <w:color w:val="000000"/>
                <w:sz w:val="20"/>
              </w:rPr>
            </w:pPr>
          </w:p>
        </w:tc>
        <w:tc>
          <w:tcPr>
            <w:tcW w:w="1037" w:type="dxa"/>
          </w:tcPr>
          <w:p w14:paraId="12B2711C" w14:textId="77777777" w:rsidR="002D72BF" w:rsidRPr="002D72BF" w:rsidRDefault="002D72BF" w:rsidP="002D72BF">
            <w:pPr>
              <w:spacing w:after="0"/>
              <w:ind w:firstLine="0"/>
              <w:jc w:val="left"/>
              <w:rPr>
                <w:color w:val="000000"/>
                <w:sz w:val="20"/>
              </w:rPr>
            </w:pPr>
            <w:r w:rsidRPr="002D72BF">
              <w:rPr>
                <w:color w:val="000000"/>
                <w:sz w:val="20"/>
              </w:rPr>
              <w:t>EKS</w:t>
            </w:r>
          </w:p>
          <w:p w14:paraId="62A9F5B8" w14:textId="77777777" w:rsidR="002D72BF" w:rsidRPr="002D72BF" w:rsidRDefault="002D72BF" w:rsidP="002D72BF">
            <w:pPr>
              <w:spacing w:after="0"/>
              <w:ind w:firstLine="0"/>
              <w:jc w:val="left"/>
              <w:rPr>
                <w:color w:val="000000"/>
                <w:sz w:val="20"/>
              </w:rPr>
            </w:pPr>
            <w:r w:rsidRPr="002D72BF">
              <w:rPr>
                <w:color w:val="000000"/>
                <w:sz w:val="20"/>
              </w:rPr>
              <w:t>Kods</w:t>
            </w:r>
          </w:p>
        </w:tc>
        <w:tc>
          <w:tcPr>
            <w:tcW w:w="1037" w:type="dxa"/>
            <w:vAlign w:val="center"/>
          </w:tcPr>
          <w:p w14:paraId="2D4476AD" w14:textId="77777777" w:rsidR="002D72BF" w:rsidRPr="002D72BF" w:rsidRDefault="002D72BF" w:rsidP="002D72BF">
            <w:pPr>
              <w:spacing w:after="0"/>
              <w:ind w:firstLine="0"/>
              <w:jc w:val="center"/>
              <w:rPr>
                <w:b/>
                <w:color w:val="000000"/>
                <w:sz w:val="20"/>
              </w:rPr>
            </w:pPr>
            <w:r w:rsidRPr="002D72BF">
              <w:rPr>
                <w:b/>
                <w:color w:val="000000"/>
                <w:sz w:val="20"/>
              </w:rPr>
              <w:t>2012</w:t>
            </w:r>
          </w:p>
        </w:tc>
        <w:tc>
          <w:tcPr>
            <w:tcW w:w="741" w:type="dxa"/>
            <w:vAlign w:val="center"/>
          </w:tcPr>
          <w:p w14:paraId="368994BA" w14:textId="77777777" w:rsidR="002D72BF" w:rsidRPr="002D72BF" w:rsidRDefault="002D72BF" w:rsidP="002D72BF">
            <w:pPr>
              <w:spacing w:after="0"/>
              <w:ind w:firstLine="0"/>
              <w:jc w:val="center"/>
              <w:rPr>
                <w:b/>
                <w:color w:val="000000"/>
                <w:sz w:val="20"/>
              </w:rPr>
            </w:pPr>
            <w:r w:rsidRPr="002D72BF">
              <w:rPr>
                <w:b/>
                <w:color w:val="000000"/>
                <w:sz w:val="20"/>
              </w:rPr>
              <w:t>2012</w:t>
            </w:r>
          </w:p>
        </w:tc>
        <w:tc>
          <w:tcPr>
            <w:tcW w:w="741" w:type="dxa"/>
            <w:vAlign w:val="center"/>
          </w:tcPr>
          <w:p w14:paraId="571B8128" w14:textId="77777777" w:rsidR="002D72BF" w:rsidRPr="002D72BF" w:rsidRDefault="002D72BF" w:rsidP="002D72BF">
            <w:pPr>
              <w:spacing w:after="0"/>
              <w:ind w:firstLine="0"/>
              <w:jc w:val="center"/>
              <w:rPr>
                <w:b/>
                <w:color w:val="000000"/>
                <w:sz w:val="20"/>
              </w:rPr>
            </w:pPr>
            <w:r w:rsidRPr="002D72BF">
              <w:rPr>
                <w:b/>
                <w:color w:val="000000"/>
                <w:sz w:val="20"/>
              </w:rPr>
              <w:t>2013</w:t>
            </w:r>
          </w:p>
        </w:tc>
        <w:tc>
          <w:tcPr>
            <w:tcW w:w="741" w:type="dxa"/>
            <w:vAlign w:val="center"/>
          </w:tcPr>
          <w:p w14:paraId="5536B059" w14:textId="77777777" w:rsidR="002D72BF" w:rsidRPr="002D72BF" w:rsidRDefault="002D72BF" w:rsidP="002D72BF">
            <w:pPr>
              <w:spacing w:after="0"/>
              <w:ind w:firstLine="0"/>
              <w:jc w:val="center"/>
              <w:rPr>
                <w:b/>
                <w:color w:val="000000"/>
                <w:sz w:val="20"/>
              </w:rPr>
            </w:pPr>
            <w:r w:rsidRPr="002D72BF">
              <w:rPr>
                <w:b/>
                <w:color w:val="000000"/>
                <w:sz w:val="20"/>
              </w:rPr>
              <w:t>2014</w:t>
            </w:r>
          </w:p>
        </w:tc>
        <w:tc>
          <w:tcPr>
            <w:tcW w:w="741" w:type="dxa"/>
            <w:vAlign w:val="center"/>
          </w:tcPr>
          <w:p w14:paraId="2E1837DA" w14:textId="77777777" w:rsidR="002D72BF" w:rsidRPr="002D72BF" w:rsidRDefault="002D72BF" w:rsidP="002D72BF">
            <w:pPr>
              <w:spacing w:after="0"/>
              <w:ind w:firstLine="0"/>
              <w:jc w:val="center"/>
              <w:rPr>
                <w:b/>
                <w:color w:val="000000"/>
                <w:sz w:val="20"/>
              </w:rPr>
            </w:pPr>
            <w:r w:rsidRPr="002D72BF">
              <w:rPr>
                <w:b/>
                <w:color w:val="000000"/>
                <w:sz w:val="20"/>
              </w:rPr>
              <w:t>2015</w:t>
            </w:r>
          </w:p>
        </w:tc>
        <w:tc>
          <w:tcPr>
            <w:tcW w:w="867" w:type="dxa"/>
            <w:vAlign w:val="center"/>
          </w:tcPr>
          <w:p w14:paraId="722360C9" w14:textId="77777777" w:rsidR="002D72BF" w:rsidRPr="002D72BF" w:rsidRDefault="002D72BF" w:rsidP="002D72BF">
            <w:pPr>
              <w:spacing w:after="0"/>
              <w:ind w:firstLine="0"/>
              <w:jc w:val="center"/>
              <w:rPr>
                <w:b/>
                <w:color w:val="000000"/>
                <w:sz w:val="20"/>
              </w:rPr>
            </w:pPr>
            <w:r w:rsidRPr="002D72BF">
              <w:rPr>
                <w:b/>
                <w:color w:val="000000"/>
                <w:sz w:val="20"/>
              </w:rPr>
              <w:t>2016</w:t>
            </w:r>
          </w:p>
        </w:tc>
      </w:tr>
      <w:tr w:rsidR="002D72BF" w:rsidRPr="002D72BF" w14:paraId="63D2B015" w14:textId="77777777" w:rsidTr="008C7F19">
        <w:trPr>
          <w:jc w:val="center"/>
        </w:trPr>
        <w:tc>
          <w:tcPr>
            <w:tcW w:w="3645" w:type="dxa"/>
          </w:tcPr>
          <w:p w14:paraId="3C3F3C9C" w14:textId="77777777" w:rsidR="002D72BF" w:rsidRPr="002D72BF" w:rsidRDefault="002D72BF" w:rsidP="002D72BF">
            <w:pPr>
              <w:spacing w:after="0"/>
              <w:ind w:firstLine="0"/>
              <w:jc w:val="left"/>
              <w:rPr>
                <w:snapToGrid w:val="0"/>
                <w:color w:val="000000"/>
                <w:sz w:val="20"/>
              </w:rPr>
            </w:pPr>
          </w:p>
        </w:tc>
        <w:tc>
          <w:tcPr>
            <w:tcW w:w="1037" w:type="dxa"/>
          </w:tcPr>
          <w:p w14:paraId="6104FF17" w14:textId="77777777" w:rsidR="002D72BF" w:rsidRPr="002D72BF" w:rsidRDefault="002D72BF" w:rsidP="002D72BF">
            <w:pPr>
              <w:spacing w:after="0"/>
              <w:ind w:firstLine="0"/>
              <w:jc w:val="left"/>
              <w:rPr>
                <w:color w:val="000000"/>
                <w:sz w:val="20"/>
              </w:rPr>
            </w:pPr>
          </w:p>
        </w:tc>
        <w:tc>
          <w:tcPr>
            <w:tcW w:w="1037" w:type="dxa"/>
          </w:tcPr>
          <w:p w14:paraId="17BB0E11" w14:textId="77777777" w:rsidR="002D72BF" w:rsidRPr="002D72BF" w:rsidRDefault="002D72BF" w:rsidP="002D72BF">
            <w:pPr>
              <w:tabs>
                <w:tab w:val="decimal" w:pos="296"/>
              </w:tabs>
              <w:spacing w:after="0"/>
              <w:ind w:firstLine="0"/>
              <w:jc w:val="left"/>
              <w:rPr>
                <w:noProof/>
                <w:color w:val="000000"/>
                <w:sz w:val="20"/>
              </w:rPr>
            </w:pPr>
            <w:r w:rsidRPr="002D72BF">
              <w:rPr>
                <w:noProof/>
                <w:color w:val="000000"/>
                <w:sz w:val="20"/>
              </w:rPr>
              <w:t>milj. latu</w:t>
            </w:r>
          </w:p>
        </w:tc>
        <w:tc>
          <w:tcPr>
            <w:tcW w:w="3831" w:type="dxa"/>
            <w:gridSpan w:val="5"/>
          </w:tcPr>
          <w:p w14:paraId="7E176D8D" w14:textId="77777777" w:rsidR="002D72BF" w:rsidRPr="002D72BF" w:rsidRDefault="002D72BF" w:rsidP="002D72BF">
            <w:pPr>
              <w:tabs>
                <w:tab w:val="decimal" w:pos="296"/>
              </w:tabs>
              <w:spacing w:after="0"/>
              <w:ind w:firstLine="0"/>
              <w:jc w:val="center"/>
              <w:rPr>
                <w:color w:val="000000"/>
                <w:sz w:val="20"/>
              </w:rPr>
            </w:pPr>
            <w:r w:rsidRPr="002D72BF">
              <w:rPr>
                <w:color w:val="000000"/>
                <w:sz w:val="20"/>
              </w:rPr>
              <w:t>Pieaugums %</w:t>
            </w:r>
          </w:p>
        </w:tc>
      </w:tr>
      <w:tr w:rsidR="002D72BF" w:rsidRPr="002D72BF" w14:paraId="6803C016" w14:textId="77777777" w:rsidTr="008C7F19">
        <w:trPr>
          <w:jc w:val="center"/>
        </w:trPr>
        <w:tc>
          <w:tcPr>
            <w:tcW w:w="3645" w:type="dxa"/>
          </w:tcPr>
          <w:p w14:paraId="24BA0B32"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1. IKP 2000. gada cenās</w:t>
            </w:r>
          </w:p>
        </w:tc>
        <w:tc>
          <w:tcPr>
            <w:tcW w:w="1037" w:type="dxa"/>
          </w:tcPr>
          <w:p w14:paraId="104C306B" w14:textId="77777777" w:rsidR="002D72BF" w:rsidRPr="002D72BF" w:rsidRDefault="002D72BF" w:rsidP="002D72BF">
            <w:pPr>
              <w:spacing w:after="0"/>
              <w:ind w:firstLine="0"/>
              <w:jc w:val="left"/>
              <w:rPr>
                <w:color w:val="000000"/>
                <w:sz w:val="20"/>
              </w:rPr>
            </w:pPr>
            <w:r w:rsidRPr="002D72BF">
              <w:rPr>
                <w:color w:val="000000"/>
                <w:sz w:val="20"/>
              </w:rPr>
              <w:t>B1*g</w:t>
            </w:r>
          </w:p>
        </w:tc>
        <w:tc>
          <w:tcPr>
            <w:tcW w:w="1037" w:type="dxa"/>
            <w:vAlign w:val="center"/>
          </w:tcPr>
          <w:p w14:paraId="55EA35A3" w14:textId="77777777" w:rsidR="002D72BF" w:rsidRPr="002D72BF" w:rsidRDefault="002D72BF" w:rsidP="002D72BF">
            <w:pPr>
              <w:spacing w:after="0"/>
              <w:ind w:hanging="31"/>
              <w:jc w:val="center"/>
              <w:rPr>
                <w:color w:val="000000"/>
                <w:sz w:val="20"/>
              </w:rPr>
            </w:pPr>
            <w:r w:rsidRPr="002D72BF">
              <w:rPr>
                <w:color w:val="000000"/>
                <w:sz w:val="20"/>
              </w:rPr>
              <w:t>7488</w:t>
            </w:r>
          </w:p>
        </w:tc>
        <w:tc>
          <w:tcPr>
            <w:tcW w:w="741" w:type="dxa"/>
          </w:tcPr>
          <w:p w14:paraId="151893F8" w14:textId="77777777" w:rsidR="002D72BF" w:rsidRPr="002D72BF" w:rsidRDefault="002D72BF" w:rsidP="002D72BF">
            <w:pPr>
              <w:spacing w:after="0"/>
              <w:ind w:hanging="31"/>
              <w:jc w:val="right"/>
              <w:rPr>
                <w:color w:val="000000"/>
                <w:sz w:val="20"/>
              </w:rPr>
            </w:pPr>
            <w:r w:rsidRPr="002D72BF">
              <w:rPr>
                <w:color w:val="000000"/>
                <w:sz w:val="20"/>
              </w:rPr>
              <w:t>5,6</w:t>
            </w:r>
          </w:p>
        </w:tc>
        <w:tc>
          <w:tcPr>
            <w:tcW w:w="741" w:type="dxa"/>
          </w:tcPr>
          <w:p w14:paraId="6AF15E31" w14:textId="77777777" w:rsidR="002D72BF" w:rsidRPr="002D72BF" w:rsidRDefault="002D72BF" w:rsidP="002D72BF">
            <w:pPr>
              <w:spacing w:after="0"/>
              <w:ind w:hanging="31"/>
              <w:jc w:val="right"/>
              <w:rPr>
                <w:color w:val="000000"/>
                <w:sz w:val="20"/>
              </w:rPr>
            </w:pPr>
            <w:r w:rsidRPr="002D72BF">
              <w:rPr>
                <w:color w:val="000000"/>
                <w:sz w:val="20"/>
              </w:rPr>
              <w:t>4,0</w:t>
            </w:r>
          </w:p>
        </w:tc>
        <w:tc>
          <w:tcPr>
            <w:tcW w:w="741" w:type="dxa"/>
          </w:tcPr>
          <w:p w14:paraId="48B77A7B" w14:textId="77777777" w:rsidR="002D72BF" w:rsidRPr="002D72BF" w:rsidRDefault="002D72BF" w:rsidP="002D72BF">
            <w:pPr>
              <w:spacing w:after="0"/>
              <w:ind w:hanging="31"/>
              <w:jc w:val="right"/>
              <w:rPr>
                <w:color w:val="000000"/>
                <w:sz w:val="20"/>
              </w:rPr>
            </w:pPr>
            <w:r w:rsidRPr="002D72BF">
              <w:rPr>
                <w:color w:val="000000"/>
                <w:sz w:val="20"/>
              </w:rPr>
              <w:t>4,0</w:t>
            </w:r>
          </w:p>
        </w:tc>
        <w:tc>
          <w:tcPr>
            <w:tcW w:w="741" w:type="dxa"/>
          </w:tcPr>
          <w:p w14:paraId="41E2A41D" w14:textId="77777777" w:rsidR="002D72BF" w:rsidRPr="002D72BF" w:rsidRDefault="002D72BF" w:rsidP="002D72BF">
            <w:pPr>
              <w:spacing w:after="0"/>
              <w:ind w:hanging="31"/>
              <w:jc w:val="right"/>
              <w:rPr>
                <w:color w:val="000000"/>
                <w:sz w:val="20"/>
              </w:rPr>
            </w:pPr>
            <w:r w:rsidRPr="002D72BF">
              <w:rPr>
                <w:color w:val="000000"/>
                <w:sz w:val="20"/>
              </w:rPr>
              <w:t>4,0</w:t>
            </w:r>
          </w:p>
        </w:tc>
        <w:tc>
          <w:tcPr>
            <w:tcW w:w="867" w:type="dxa"/>
          </w:tcPr>
          <w:p w14:paraId="2EBEC7CD" w14:textId="77777777" w:rsidR="002D72BF" w:rsidRPr="002D72BF" w:rsidRDefault="002D72BF" w:rsidP="002D72BF">
            <w:pPr>
              <w:spacing w:after="0"/>
              <w:ind w:hanging="31"/>
              <w:jc w:val="right"/>
              <w:rPr>
                <w:color w:val="000000"/>
                <w:sz w:val="20"/>
              </w:rPr>
            </w:pPr>
            <w:r w:rsidRPr="002D72BF">
              <w:rPr>
                <w:color w:val="000000"/>
                <w:sz w:val="20"/>
              </w:rPr>
              <w:t>4,0</w:t>
            </w:r>
          </w:p>
        </w:tc>
      </w:tr>
      <w:tr w:rsidR="002D72BF" w:rsidRPr="002D72BF" w14:paraId="6C14237B" w14:textId="77777777" w:rsidTr="008C7F19">
        <w:trPr>
          <w:jc w:val="center"/>
        </w:trPr>
        <w:tc>
          <w:tcPr>
            <w:tcW w:w="3645" w:type="dxa"/>
          </w:tcPr>
          <w:p w14:paraId="72ED0A2B"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2. IKP faktiskajās cenās</w:t>
            </w:r>
          </w:p>
        </w:tc>
        <w:tc>
          <w:tcPr>
            <w:tcW w:w="1037" w:type="dxa"/>
          </w:tcPr>
          <w:p w14:paraId="0AAC0F55" w14:textId="77777777" w:rsidR="002D72BF" w:rsidRPr="002D72BF" w:rsidRDefault="002D72BF" w:rsidP="002D72BF">
            <w:pPr>
              <w:spacing w:after="0"/>
              <w:ind w:firstLine="0"/>
              <w:jc w:val="left"/>
              <w:rPr>
                <w:color w:val="000000"/>
                <w:sz w:val="20"/>
              </w:rPr>
            </w:pPr>
            <w:r w:rsidRPr="002D72BF">
              <w:rPr>
                <w:color w:val="000000"/>
                <w:sz w:val="20"/>
              </w:rPr>
              <w:t>B1*g</w:t>
            </w:r>
          </w:p>
        </w:tc>
        <w:tc>
          <w:tcPr>
            <w:tcW w:w="1037" w:type="dxa"/>
            <w:vAlign w:val="center"/>
          </w:tcPr>
          <w:p w14:paraId="05D4DF2A" w14:textId="77777777" w:rsidR="002D72BF" w:rsidRPr="002D72BF" w:rsidRDefault="002D72BF" w:rsidP="002D72BF">
            <w:pPr>
              <w:spacing w:after="0"/>
              <w:ind w:hanging="31"/>
              <w:jc w:val="center"/>
              <w:rPr>
                <w:color w:val="000000"/>
                <w:sz w:val="20"/>
              </w:rPr>
            </w:pPr>
            <w:r w:rsidRPr="002D72BF">
              <w:rPr>
                <w:color w:val="000000"/>
                <w:sz w:val="20"/>
              </w:rPr>
              <w:t>15520</w:t>
            </w:r>
          </w:p>
        </w:tc>
        <w:tc>
          <w:tcPr>
            <w:tcW w:w="741" w:type="dxa"/>
          </w:tcPr>
          <w:p w14:paraId="5281F2F9" w14:textId="77777777" w:rsidR="002D72BF" w:rsidRPr="002D72BF" w:rsidRDefault="002D72BF" w:rsidP="002D72BF">
            <w:pPr>
              <w:spacing w:after="0"/>
              <w:ind w:hanging="31"/>
              <w:jc w:val="right"/>
              <w:rPr>
                <w:color w:val="000000"/>
                <w:sz w:val="20"/>
              </w:rPr>
            </w:pPr>
            <w:r w:rsidRPr="002D72BF">
              <w:rPr>
                <w:color w:val="000000"/>
                <w:sz w:val="20"/>
              </w:rPr>
              <w:t>8,7</w:t>
            </w:r>
          </w:p>
        </w:tc>
        <w:tc>
          <w:tcPr>
            <w:tcW w:w="741" w:type="dxa"/>
          </w:tcPr>
          <w:p w14:paraId="5E531472" w14:textId="77777777" w:rsidR="002D72BF" w:rsidRPr="002D72BF" w:rsidRDefault="002D72BF" w:rsidP="002D72BF">
            <w:pPr>
              <w:spacing w:after="0"/>
              <w:ind w:hanging="31"/>
              <w:jc w:val="right"/>
              <w:rPr>
                <w:color w:val="000000"/>
                <w:sz w:val="20"/>
              </w:rPr>
            </w:pPr>
            <w:r w:rsidRPr="002D72BF">
              <w:rPr>
                <w:color w:val="000000"/>
                <w:sz w:val="20"/>
              </w:rPr>
              <w:t>5,6</w:t>
            </w:r>
          </w:p>
        </w:tc>
        <w:tc>
          <w:tcPr>
            <w:tcW w:w="741" w:type="dxa"/>
          </w:tcPr>
          <w:p w14:paraId="34443906" w14:textId="77777777" w:rsidR="002D72BF" w:rsidRPr="002D72BF" w:rsidRDefault="002D72BF" w:rsidP="002D72BF">
            <w:pPr>
              <w:spacing w:after="0"/>
              <w:ind w:hanging="31"/>
              <w:jc w:val="right"/>
              <w:rPr>
                <w:color w:val="000000"/>
                <w:sz w:val="20"/>
              </w:rPr>
            </w:pPr>
            <w:r w:rsidRPr="002D72BF">
              <w:rPr>
                <w:color w:val="000000"/>
                <w:sz w:val="20"/>
              </w:rPr>
              <w:t>6,4</w:t>
            </w:r>
          </w:p>
        </w:tc>
        <w:tc>
          <w:tcPr>
            <w:tcW w:w="741" w:type="dxa"/>
          </w:tcPr>
          <w:p w14:paraId="384C6C54" w14:textId="77777777" w:rsidR="002D72BF" w:rsidRPr="002D72BF" w:rsidRDefault="002D72BF" w:rsidP="002D72BF">
            <w:pPr>
              <w:spacing w:after="0"/>
              <w:ind w:hanging="31"/>
              <w:jc w:val="right"/>
              <w:rPr>
                <w:color w:val="000000"/>
                <w:sz w:val="20"/>
              </w:rPr>
            </w:pPr>
            <w:r w:rsidRPr="002D72BF">
              <w:rPr>
                <w:color w:val="000000"/>
                <w:sz w:val="20"/>
              </w:rPr>
              <w:t>6,3</w:t>
            </w:r>
          </w:p>
        </w:tc>
        <w:tc>
          <w:tcPr>
            <w:tcW w:w="867" w:type="dxa"/>
          </w:tcPr>
          <w:p w14:paraId="66E4A17D" w14:textId="77777777" w:rsidR="002D72BF" w:rsidRPr="002D72BF" w:rsidRDefault="002D72BF" w:rsidP="002D72BF">
            <w:pPr>
              <w:spacing w:after="0"/>
              <w:ind w:hanging="31"/>
              <w:jc w:val="right"/>
              <w:rPr>
                <w:color w:val="000000"/>
                <w:sz w:val="20"/>
              </w:rPr>
            </w:pPr>
            <w:r w:rsidRPr="002D72BF">
              <w:rPr>
                <w:color w:val="000000"/>
                <w:sz w:val="20"/>
              </w:rPr>
              <w:t>6,1</w:t>
            </w:r>
          </w:p>
        </w:tc>
      </w:tr>
      <w:tr w:rsidR="002D72BF" w:rsidRPr="002D72BF" w14:paraId="741343F9" w14:textId="77777777" w:rsidTr="008C7F19">
        <w:trPr>
          <w:jc w:val="center"/>
        </w:trPr>
        <w:tc>
          <w:tcPr>
            <w:tcW w:w="9550" w:type="dxa"/>
            <w:gridSpan w:val="8"/>
          </w:tcPr>
          <w:p w14:paraId="5BA2152D" w14:textId="77777777" w:rsidR="002D72BF" w:rsidRPr="002D72BF" w:rsidRDefault="002D72BF" w:rsidP="002D72BF">
            <w:pPr>
              <w:tabs>
                <w:tab w:val="decimal" w:pos="296"/>
              </w:tabs>
              <w:spacing w:after="0"/>
              <w:ind w:firstLine="0"/>
              <w:jc w:val="center"/>
              <w:rPr>
                <w:color w:val="000000"/>
                <w:sz w:val="20"/>
              </w:rPr>
            </w:pPr>
            <w:r w:rsidRPr="002D72BF">
              <w:rPr>
                <w:b/>
                <w:color w:val="000000"/>
                <w:sz w:val="20"/>
              </w:rPr>
              <w:t>IKP pēc izlietojuma 2000. gada cenās</w:t>
            </w:r>
          </w:p>
        </w:tc>
      </w:tr>
      <w:tr w:rsidR="002D72BF" w:rsidRPr="002D72BF" w14:paraId="10481F6C" w14:textId="77777777" w:rsidTr="008C7F19">
        <w:trPr>
          <w:jc w:val="center"/>
        </w:trPr>
        <w:tc>
          <w:tcPr>
            <w:tcW w:w="3645" w:type="dxa"/>
          </w:tcPr>
          <w:p w14:paraId="2223A57D"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3. Privātais patēriņš</w:t>
            </w:r>
          </w:p>
        </w:tc>
        <w:tc>
          <w:tcPr>
            <w:tcW w:w="1037" w:type="dxa"/>
          </w:tcPr>
          <w:p w14:paraId="4C9073F7" w14:textId="77777777" w:rsidR="002D72BF" w:rsidRPr="002D72BF" w:rsidRDefault="002D72BF" w:rsidP="002D72BF">
            <w:pPr>
              <w:spacing w:after="0"/>
              <w:ind w:firstLine="0"/>
              <w:jc w:val="left"/>
              <w:rPr>
                <w:color w:val="000000"/>
                <w:sz w:val="20"/>
              </w:rPr>
            </w:pPr>
            <w:r w:rsidRPr="002D72BF">
              <w:rPr>
                <w:color w:val="000000"/>
                <w:sz w:val="20"/>
              </w:rPr>
              <w:t>P3</w:t>
            </w:r>
          </w:p>
        </w:tc>
        <w:tc>
          <w:tcPr>
            <w:tcW w:w="1037" w:type="dxa"/>
            <w:vAlign w:val="center"/>
          </w:tcPr>
          <w:p w14:paraId="5CBDB67A" w14:textId="77777777" w:rsidR="002D72BF" w:rsidRPr="002D72BF" w:rsidRDefault="002D72BF" w:rsidP="002D72BF">
            <w:pPr>
              <w:spacing w:after="0"/>
              <w:ind w:hanging="31"/>
              <w:jc w:val="center"/>
              <w:rPr>
                <w:color w:val="000000"/>
                <w:sz w:val="20"/>
              </w:rPr>
            </w:pPr>
            <w:r w:rsidRPr="002D72BF">
              <w:rPr>
                <w:color w:val="000000"/>
                <w:sz w:val="20"/>
              </w:rPr>
              <w:t>5153,3</w:t>
            </w:r>
          </w:p>
        </w:tc>
        <w:tc>
          <w:tcPr>
            <w:tcW w:w="741" w:type="dxa"/>
            <w:vAlign w:val="center"/>
          </w:tcPr>
          <w:p w14:paraId="750E47CD" w14:textId="77777777" w:rsidR="002D72BF" w:rsidRPr="002D72BF" w:rsidRDefault="002D72BF" w:rsidP="002D72BF">
            <w:pPr>
              <w:spacing w:after="0"/>
              <w:ind w:hanging="31"/>
              <w:jc w:val="right"/>
              <w:rPr>
                <w:color w:val="000000"/>
                <w:sz w:val="20"/>
              </w:rPr>
            </w:pPr>
            <w:r w:rsidRPr="002D72BF">
              <w:rPr>
                <w:color w:val="000000"/>
                <w:sz w:val="20"/>
              </w:rPr>
              <w:t>5,4</w:t>
            </w:r>
          </w:p>
        </w:tc>
        <w:tc>
          <w:tcPr>
            <w:tcW w:w="741" w:type="dxa"/>
            <w:vAlign w:val="center"/>
          </w:tcPr>
          <w:p w14:paraId="3FE56960" w14:textId="77777777" w:rsidR="002D72BF" w:rsidRPr="002D72BF" w:rsidRDefault="002D72BF" w:rsidP="002D72BF">
            <w:pPr>
              <w:spacing w:after="0"/>
              <w:ind w:hanging="31"/>
              <w:jc w:val="right"/>
              <w:rPr>
                <w:color w:val="000000"/>
                <w:sz w:val="20"/>
              </w:rPr>
            </w:pPr>
            <w:r w:rsidRPr="002D72BF">
              <w:rPr>
                <w:color w:val="000000"/>
                <w:sz w:val="20"/>
              </w:rPr>
              <w:t>4,1</w:t>
            </w:r>
          </w:p>
        </w:tc>
        <w:tc>
          <w:tcPr>
            <w:tcW w:w="741" w:type="dxa"/>
            <w:vAlign w:val="center"/>
          </w:tcPr>
          <w:p w14:paraId="5F0862E9" w14:textId="77777777" w:rsidR="002D72BF" w:rsidRPr="002D72BF" w:rsidRDefault="002D72BF" w:rsidP="002D72BF">
            <w:pPr>
              <w:spacing w:after="0"/>
              <w:ind w:hanging="31"/>
              <w:jc w:val="right"/>
              <w:rPr>
                <w:color w:val="000000"/>
                <w:sz w:val="20"/>
              </w:rPr>
            </w:pPr>
            <w:r w:rsidRPr="002D72BF">
              <w:rPr>
                <w:color w:val="000000"/>
                <w:sz w:val="20"/>
              </w:rPr>
              <w:t>4,0</w:t>
            </w:r>
          </w:p>
        </w:tc>
        <w:tc>
          <w:tcPr>
            <w:tcW w:w="741" w:type="dxa"/>
            <w:vAlign w:val="center"/>
          </w:tcPr>
          <w:p w14:paraId="5FC77915" w14:textId="77777777" w:rsidR="002D72BF" w:rsidRPr="002D72BF" w:rsidRDefault="002D72BF" w:rsidP="002D72BF">
            <w:pPr>
              <w:spacing w:after="0"/>
              <w:ind w:hanging="31"/>
              <w:jc w:val="right"/>
              <w:rPr>
                <w:color w:val="000000"/>
                <w:sz w:val="20"/>
              </w:rPr>
            </w:pPr>
            <w:r w:rsidRPr="002D72BF">
              <w:rPr>
                <w:color w:val="000000"/>
                <w:sz w:val="20"/>
              </w:rPr>
              <w:t>4,0</w:t>
            </w:r>
          </w:p>
        </w:tc>
        <w:tc>
          <w:tcPr>
            <w:tcW w:w="867" w:type="dxa"/>
            <w:vAlign w:val="center"/>
          </w:tcPr>
          <w:p w14:paraId="027CFED0" w14:textId="77777777" w:rsidR="002D72BF" w:rsidRPr="002D72BF" w:rsidRDefault="002D72BF" w:rsidP="002D72BF">
            <w:pPr>
              <w:spacing w:after="0"/>
              <w:ind w:hanging="31"/>
              <w:jc w:val="right"/>
              <w:rPr>
                <w:color w:val="000000"/>
                <w:sz w:val="20"/>
              </w:rPr>
            </w:pPr>
            <w:r w:rsidRPr="002D72BF">
              <w:rPr>
                <w:color w:val="000000"/>
                <w:sz w:val="20"/>
              </w:rPr>
              <w:t>4,0</w:t>
            </w:r>
          </w:p>
        </w:tc>
      </w:tr>
      <w:tr w:rsidR="002D72BF" w:rsidRPr="002D72BF" w14:paraId="12ABD24C" w14:textId="77777777" w:rsidTr="008C7F19">
        <w:trPr>
          <w:jc w:val="center"/>
        </w:trPr>
        <w:tc>
          <w:tcPr>
            <w:tcW w:w="3645" w:type="dxa"/>
          </w:tcPr>
          <w:p w14:paraId="39EA2C02"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4. Sabiedriskais patēriņš</w:t>
            </w:r>
          </w:p>
        </w:tc>
        <w:tc>
          <w:tcPr>
            <w:tcW w:w="1037" w:type="dxa"/>
          </w:tcPr>
          <w:p w14:paraId="67A714ED" w14:textId="77777777" w:rsidR="002D72BF" w:rsidRPr="002D72BF" w:rsidRDefault="002D72BF" w:rsidP="002D72BF">
            <w:pPr>
              <w:spacing w:after="0"/>
              <w:ind w:firstLine="0"/>
              <w:jc w:val="left"/>
              <w:rPr>
                <w:color w:val="000000"/>
                <w:sz w:val="20"/>
              </w:rPr>
            </w:pPr>
            <w:r w:rsidRPr="002D72BF">
              <w:rPr>
                <w:color w:val="000000"/>
                <w:sz w:val="20"/>
              </w:rPr>
              <w:t>P3</w:t>
            </w:r>
          </w:p>
        </w:tc>
        <w:tc>
          <w:tcPr>
            <w:tcW w:w="1037" w:type="dxa"/>
            <w:vAlign w:val="center"/>
          </w:tcPr>
          <w:p w14:paraId="0FDABDE3" w14:textId="77777777" w:rsidR="002D72BF" w:rsidRPr="002D72BF" w:rsidRDefault="002D72BF" w:rsidP="002D72BF">
            <w:pPr>
              <w:spacing w:after="0"/>
              <w:ind w:hanging="31"/>
              <w:jc w:val="center"/>
              <w:rPr>
                <w:color w:val="000000"/>
                <w:sz w:val="20"/>
              </w:rPr>
            </w:pPr>
            <w:r w:rsidRPr="002D72BF">
              <w:rPr>
                <w:color w:val="000000"/>
                <w:sz w:val="20"/>
              </w:rPr>
              <w:t>1051,4</w:t>
            </w:r>
          </w:p>
        </w:tc>
        <w:tc>
          <w:tcPr>
            <w:tcW w:w="741" w:type="dxa"/>
            <w:vAlign w:val="center"/>
          </w:tcPr>
          <w:p w14:paraId="55B3759F" w14:textId="77777777" w:rsidR="002D72BF" w:rsidRPr="002D72BF" w:rsidRDefault="002D72BF" w:rsidP="002D72BF">
            <w:pPr>
              <w:spacing w:after="0"/>
              <w:ind w:hanging="31"/>
              <w:jc w:val="right"/>
              <w:rPr>
                <w:color w:val="000000"/>
                <w:sz w:val="20"/>
              </w:rPr>
            </w:pPr>
            <w:r w:rsidRPr="002D72BF">
              <w:rPr>
                <w:color w:val="000000"/>
                <w:sz w:val="20"/>
              </w:rPr>
              <w:t>-0,2</w:t>
            </w:r>
          </w:p>
        </w:tc>
        <w:tc>
          <w:tcPr>
            <w:tcW w:w="741" w:type="dxa"/>
            <w:vAlign w:val="center"/>
          </w:tcPr>
          <w:p w14:paraId="60B42B87" w14:textId="77777777" w:rsidR="002D72BF" w:rsidRPr="002D72BF" w:rsidRDefault="002D72BF" w:rsidP="002D72BF">
            <w:pPr>
              <w:spacing w:after="0"/>
              <w:ind w:hanging="31"/>
              <w:jc w:val="right"/>
              <w:rPr>
                <w:color w:val="000000"/>
                <w:sz w:val="20"/>
              </w:rPr>
            </w:pPr>
            <w:r w:rsidRPr="002D72BF">
              <w:rPr>
                <w:color w:val="000000"/>
                <w:sz w:val="20"/>
              </w:rPr>
              <w:t>0,5</w:t>
            </w:r>
          </w:p>
        </w:tc>
        <w:tc>
          <w:tcPr>
            <w:tcW w:w="741" w:type="dxa"/>
            <w:vAlign w:val="center"/>
          </w:tcPr>
          <w:p w14:paraId="7AF6C0EB" w14:textId="77777777" w:rsidR="002D72BF" w:rsidRPr="002D72BF" w:rsidRDefault="002D72BF" w:rsidP="002D72BF">
            <w:pPr>
              <w:spacing w:after="0"/>
              <w:ind w:hanging="31"/>
              <w:jc w:val="right"/>
              <w:rPr>
                <w:color w:val="000000"/>
                <w:sz w:val="20"/>
              </w:rPr>
            </w:pPr>
            <w:r w:rsidRPr="002D72BF">
              <w:rPr>
                <w:color w:val="000000"/>
                <w:sz w:val="20"/>
              </w:rPr>
              <w:t>1,0</w:t>
            </w:r>
          </w:p>
        </w:tc>
        <w:tc>
          <w:tcPr>
            <w:tcW w:w="741" w:type="dxa"/>
            <w:vAlign w:val="center"/>
          </w:tcPr>
          <w:p w14:paraId="6753E045" w14:textId="77777777" w:rsidR="002D72BF" w:rsidRPr="002D72BF" w:rsidRDefault="002D72BF" w:rsidP="002D72BF">
            <w:pPr>
              <w:spacing w:after="0"/>
              <w:ind w:hanging="31"/>
              <w:jc w:val="right"/>
              <w:rPr>
                <w:color w:val="000000"/>
                <w:sz w:val="20"/>
              </w:rPr>
            </w:pPr>
            <w:r w:rsidRPr="002D72BF">
              <w:rPr>
                <w:color w:val="000000"/>
                <w:sz w:val="20"/>
              </w:rPr>
              <w:t>1,5</w:t>
            </w:r>
          </w:p>
        </w:tc>
        <w:tc>
          <w:tcPr>
            <w:tcW w:w="867" w:type="dxa"/>
            <w:vAlign w:val="center"/>
          </w:tcPr>
          <w:p w14:paraId="17CF9C4C" w14:textId="77777777" w:rsidR="002D72BF" w:rsidRPr="002D72BF" w:rsidRDefault="002D72BF" w:rsidP="002D72BF">
            <w:pPr>
              <w:spacing w:after="0"/>
              <w:ind w:hanging="31"/>
              <w:jc w:val="right"/>
              <w:rPr>
                <w:color w:val="000000"/>
                <w:sz w:val="20"/>
              </w:rPr>
            </w:pPr>
            <w:r w:rsidRPr="002D72BF">
              <w:rPr>
                <w:color w:val="000000"/>
                <w:sz w:val="20"/>
              </w:rPr>
              <w:t>1,5</w:t>
            </w:r>
          </w:p>
        </w:tc>
      </w:tr>
      <w:tr w:rsidR="002D72BF" w:rsidRPr="002D72BF" w14:paraId="4F8ECB13" w14:textId="77777777" w:rsidTr="008C7F19">
        <w:trPr>
          <w:jc w:val="center"/>
        </w:trPr>
        <w:tc>
          <w:tcPr>
            <w:tcW w:w="3645" w:type="dxa"/>
          </w:tcPr>
          <w:p w14:paraId="64AF7A69"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5. Kopējā pamatkapitālā veidošana</w:t>
            </w:r>
          </w:p>
        </w:tc>
        <w:tc>
          <w:tcPr>
            <w:tcW w:w="1037" w:type="dxa"/>
          </w:tcPr>
          <w:p w14:paraId="3AF7EEF4" w14:textId="77777777" w:rsidR="002D72BF" w:rsidRPr="002D72BF" w:rsidRDefault="002D72BF" w:rsidP="002D72BF">
            <w:pPr>
              <w:spacing w:after="0"/>
              <w:ind w:firstLine="0"/>
              <w:jc w:val="left"/>
              <w:rPr>
                <w:color w:val="000000"/>
                <w:sz w:val="20"/>
              </w:rPr>
            </w:pPr>
            <w:r w:rsidRPr="002D72BF">
              <w:rPr>
                <w:color w:val="000000"/>
                <w:sz w:val="20"/>
              </w:rPr>
              <w:t>P51</w:t>
            </w:r>
          </w:p>
        </w:tc>
        <w:tc>
          <w:tcPr>
            <w:tcW w:w="1037" w:type="dxa"/>
            <w:vAlign w:val="center"/>
          </w:tcPr>
          <w:p w14:paraId="5496D431" w14:textId="77777777" w:rsidR="002D72BF" w:rsidRPr="002D72BF" w:rsidRDefault="002D72BF" w:rsidP="002D72BF">
            <w:pPr>
              <w:spacing w:after="0"/>
              <w:ind w:hanging="31"/>
              <w:jc w:val="center"/>
              <w:rPr>
                <w:color w:val="000000"/>
                <w:sz w:val="20"/>
              </w:rPr>
            </w:pPr>
            <w:r w:rsidRPr="002D72BF">
              <w:rPr>
                <w:color w:val="000000"/>
                <w:sz w:val="20"/>
              </w:rPr>
              <w:t>1992,7</w:t>
            </w:r>
          </w:p>
        </w:tc>
        <w:tc>
          <w:tcPr>
            <w:tcW w:w="741" w:type="dxa"/>
            <w:vAlign w:val="center"/>
          </w:tcPr>
          <w:p w14:paraId="39573591" w14:textId="77777777" w:rsidR="002D72BF" w:rsidRPr="002D72BF" w:rsidRDefault="002D72BF" w:rsidP="002D72BF">
            <w:pPr>
              <w:spacing w:after="0"/>
              <w:ind w:hanging="31"/>
              <w:jc w:val="right"/>
              <w:rPr>
                <w:color w:val="000000"/>
                <w:sz w:val="20"/>
              </w:rPr>
            </w:pPr>
            <w:r w:rsidRPr="002D72BF">
              <w:rPr>
                <w:color w:val="000000"/>
                <w:sz w:val="20"/>
              </w:rPr>
              <w:t>12,3</w:t>
            </w:r>
          </w:p>
        </w:tc>
        <w:tc>
          <w:tcPr>
            <w:tcW w:w="741" w:type="dxa"/>
            <w:vAlign w:val="center"/>
          </w:tcPr>
          <w:p w14:paraId="61AEC661" w14:textId="77777777" w:rsidR="002D72BF" w:rsidRPr="002D72BF" w:rsidRDefault="002D72BF" w:rsidP="002D72BF">
            <w:pPr>
              <w:spacing w:after="0"/>
              <w:ind w:hanging="31"/>
              <w:jc w:val="right"/>
              <w:rPr>
                <w:color w:val="000000"/>
                <w:sz w:val="20"/>
              </w:rPr>
            </w:pPr>
            <w:r w:rsidRPr="002D72BF">
              <w:rPr>
                <w:color w:val="000000"/>
                <w:sz w:val="20"/>
              </w:rPr>
              <w:t>5,2</w:t>
            </w:r>
          </w:p>
        </w:tc>
        <w:tc>
          <w:tcPr>
            <w:tcW w:w="741" w:type="dxa"/>
            <w:vAlign w:val="center"/>
          </w:tcPr>
          <w:p w14:paraId="08FD54C1" w14:textId="77777777" w:rsidR="002D72BF" w:rsidRPr="002D72BF" w:rsidRDefault="002D72BF" w:rsidP="002D72BF">
            <w:pPr>
              <w:spacing w:after="0"/>
              <w:ind w:hanging="31"/>
              <w:jc w:val="right"/>
              <w:rPr>
                <w:color w:val="000000"/>
                <w:sz w:val="20"/>
              </w:rPr>
            </w:pPr>
            <w:r w:rsidRPr="002D72BF">
              <w:rPr>
                <w:color w:val="000000"/>
                <w:sz w:val="20"/>
              </w:rPr>
              <w:t>6,0</w:t>
            </w:r>
          </w:p>
        </w:tc>
        <w:tc>
          <w:tcPr>
            <w:tcW w:w="741" w:type="dxa"/>
            <w:vAlign w:val="center"/>
          </w:tcPr>
          <w:p w14:paraId="79A91799" w14:textId="77777777" w:rsidR="002D72BF" w:rsidRPr="002D72BF" w:rsidRDefault="002D72BF" w:rsidP="002D72BF">
            <w:pPr>
              <w:spacing w:after="0"/>
              <w:ind w:hanging="31"/>
              <w:jc w:val="right"/>
              <w:rPr>
                <w:color w:val="000000"/>
                <w:sz w:val="20"/>
              </w:rPr>
            </w:pPr>
            <w:r w:rsidRPr="002D72BF">
              <w:rPr>
                <w:color w:val="000000"/>
                <w:sz w:val="20"/>
              </w:rPr>
              <w:t>6,0</w:t>
            </w:r>
          </w:p>
        </w:tc>
        <w:tc>
          <w:tcPr>
            <w:tcW w:w="867" w:type="dxa"/>
            <w:vAlign w:val="center"/>
          </w:tcPr>
          <w:p w14:paraId="66FB3E38" w14:textId="77777777" w:rsidR="002D72BF" w:rsidRPr="002D72BF" w:rsidRDefault="002D72BF" w:rsidP="002D72BF">
            <w:pPr>
              <w:spacing w:after="0"/>
              <w:ind w:hanging="31"/>
              <w:jc w:val="right"/>
              <w:rPr>
                <w:color w:val="000000"/>
                <w:sz w:val="20"/>
              </w:rPr>
            </w:pPr>
            <w:r w:rsidRPr="002D72BF">
              <w:rPr>
                <w:color w:val="000000"/>
                <w:sz w:val="20"/>
              </w:rPr>
              <w:t>6,0</w:t>
            </w:r>
          </w:p>
        </w:tc>
      </w:tr>
      <w:tr w:rsidR="002D72BF" w:rsidRPr="002D72BF" w14:paraId="3D2B23C5" w14:textId="77777777" w:rsidTr="008C7F19">
        <w:trPr>
          <w:jc w:val="center"/>
        </w:trPr>
        <w:tc>
          <w:tcPr>
            <w:tcW w:w="3645" w:type="dxa"/>
          </w:tcPr>
          <w:p w14:paraId="341184D9"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6. Krājumu pārmaiņas un vērtslietu iegāde</w:t>
            </w:r>
          </w:p>
        </w:tc>
        <w:tc>
          <w:tcPr>
            <w:tcW w:w="1037" w:type="dxa"/>
          </w:tcPr>
          <w:p w14:paraId="1F2256B8" w14:textId="77777777" w:rsidR="002D72BF" w:rsidRPr="002D72BF" w:rsidRDefault="002D72BF" w:rsidP="002D72BF">
            <w:pPr>
              <w:spacing w:after="0"/>
              <w:ind w:firstLine="0"/>
              <w:jc w:val="left"/>
              <w:rPr>
                <w:color w:val="000000"/>
                <w:sz w:val="20"/>
              </w:rPr>
            </w:pPr>
            <w:r w:rsidRPr="002D72BF">
              <w:rPr>
                <w:color w:val="000000"/>
                <w:sz w:val="20"/>
              </w:rPr>
              <w:t>P52+P53</w:t>
            </w:r>
          </w:p>
        </w:tc>
        <w:tc>
          <w:tcPr>
            <w:tcW w:w="1037" w:type="dxa"/>
            <w:vAlign w:val="center"/>
          </w:tcPr>
          <w:p w14:paraId="03659B2D" w14:textId="77777777" w:rsidR="002D72BF" w:rsidRPr="002D72BF" w:rsidRDefault="002D72BF" w:rsidP="002D72BF">
            <w:pPr>
              <w:spacing w:after="0"/>
              <w:ind w:hanging="31"/>
              <w:jc w:val="center"/>
              <w:rPr>
                <w:color w:val="000000"/>
                <w:sz w:val="20"/>
              </w:rPr>
            </w:pPr>
            <w:r w:rsidRPr="002D72BF">
              <w:rPr>
                <w:color w:val="000000"/>
                <w:sz w:val="20"/>
              </w:rPr>
              <w:t>-132,7</w:t>
            </w:r>
          </w:p>
        </w:tc>
        <w:tc>
          <w:tcPr>
            <w:tcW w:w="741" w:type="dxa"/>
            <w:vAlign w:val="center"/>
          </w:tcPr>
          <w:p w14:paraId="6BFEC804" w14:textId="77777777" w:rsidR="002D72BF" w:rsidRPr="002D72BF" w:rsidRDefault="002D72BF" w:rsidP="002D72BF">
            <w:pPr>
              <w:spacing w:after="0"/>
              <w:ind w:hanging="31"/>
              <w:jc w:val="right"/>
              <w:rPr>
                <w:color w:val="000000"/>
                <w:sz w:val="20"/>
              </w:rPr>
            </w:pPr>
            <w:r w:rsidRPr="002D72BF">
              <w:rPr>
                <w:color w:val="000000"/>
                <w:sz w:val="20"/>
              </w:rPr>
              <w:t>-1,9</w:t>
            </w:r>
          </w:p>
        </w:tc>
        <w:tc>
          <w:tcPr>
            <w:tcW w:w="741" w:type="dxa"/>
            <w:vAlign w:val="center"/>
          </w:tcPr>
          <w:p w14:paraId="284C23E9" w14:textId="77777777" w:rsidR="002D72BF" w:rsidRPr="002D72BF" w:rsidRDefault="002D72BF" w:rsidP="002D72BF">
            <w:pPr>
              <w:spacing w:after="0"/>
              <w:ind w:hanging="31"/>
              <w:jc w:val="right"/>
              <w:rPr>
                <w:color w:val="000000"/>
                <w:sz w:val="20"/>
              </w:rPr>
            </w:pPr>
            <w:r w:rsidRPr="002D72BF">
              <w:rPr>
                <w:color w:val="000000"/>
                <w:sz w:val="20"/>
              </w:rPr>
              <w:t>0,7</w:t>
            </w:r>
          </w:p>
        </w:tc>
        <w:tc>
          <w:tcPr>
            <w:tcW w:w="741" w:type="dxa"/>
            <w:vAlign w:val="center"/>
          </w:tcPr>
          <w:p w14:paraId="0C0A6F33" w14:textId="77777777" w:rsidR="002D72BF" w:rsidRPr="002D72BF" w:rsidRDefault="002D72BF" w:rsidP="002D72BF">
            <w:pPr>
              <w:spacing w:after="0"/>
              <w:ind w:hanging="31"/>
              <w:jc w:val="right"/>
              <w:rPr>
                <w:color w:val="000000"/>
                <w:sz w:val="20"/>
              </w:rPr>
            </w:pPr>
            <w:r w:rsidRPr="002D72BF">
              <w:rPr>
                <w:color w:val="000000"/>
                <w:sz w:val="20"/>
              </w:rPr>
              <w:t>0,5</w:t>
            </w:r>
          </w:p>
        </w:tc>
        <w:tc>
          <w:tcPr>
            <w:tcW w:w="741" w:type="dxa"/>
            <w:vAlign w:val="center"/>
          </w:tcPr>
          <w:p w14:paraId="0758AAEF" w14:textId="77777777" w:rsidR="002D72BF" w:rsidRPr="002D72BF" w:rsidRDefault="002D72BF" w:rsidP="002D72BF">
            <w:pPr>
              <w:spacing w:after="0"/>
              <w:ind w:hanging="31"/>
              <w:jc w:val="right"/>
              <w:rPr>
                <w:color w:val="000000"/>
                <w:sz w:val="20"/>
              </w:rPr>
            </w:pPr>
            <w:r w:rsidRPr="002D72BF">
              <w:rPr>
                <w:color w:val="000000"/>
                <w:sz w:val="20"/>
              </w:rPr>
              <w:t>2,7</w:t>
            </w:r>
          </w:p>
        </w:tc>
        <w:tc>
          <w:tcPr>
            <w:tcW w:w="867" w:type="dxa"/>
            <w:vAlign w:val="center"/>
          </w:tcPr>
          <w:p w14:paraId="6FA23729" w14:textId="77777777" w:rsidR="002D72BF" w:rsidRPr="002D72BF" w:rsidRDefault="002D72BF" w:rsidP="002D72BF">
            <w:pPr>
              <w:spacing w:after="0"/>
              <w:ind w:hanging="31"/>
              <w:jc w:val="right"/>
              <w:rPr>
                <w:color w:val="000000"/>
                <w:sz w:val="20"/>
              </w:rPr>
            </w:pPr>
            <w:r w:rsidRPr="002D72BF">
              <w:rPr>
                <w:color w:val="000000"/>
                <w:sz w:val="20"/>
              </w:rPr>
              <w:t>-1,9</w:t>
            </w:r>
          </w:p>
        </w:tc>
      </w:tr>
      <w:tr w:rsidR="002D72BF" w:rsidRPr="002D72BF" w14:paraId="0920FC2E" w14:textId="77777777" w:rsidTr="008C7F19">
        <w:trPr>
          <w:jc w:val="center"/>
        </w:trPr>
        <w:tc>
          <w:tcPr>
            <w:tcW w:w="3645" w:type="dxa"/>
          </w:tcPr>
          <w:p w14:paraId="3B080A6B"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7. Eksports</w:t>
            </w:r>
          </w:p>
        </w:tc>
        <w:tc>
          <w:tcPr>
            <w:tcW w:w="1037" w:type="dxa"/>
          </w:tcPr>
          <w:p w14:paraId="3E847A25" w14:textId="77777777" w:rsidR="002D72BF" w:rsidRPr="002D72BF" w:rsidRDefault="002D72BF" w:rsidP="002D72BF">
            <w:pPr>
              <w:spacing w:after="0"/>
              <w:ind w:firstLine="0"/>
              <w:jc w:val="left"/>
              <w:rPr>
                <w:color w:val="000000"/>
                <w:sz w:val="20"/>
              </w:rPr>
            </w:pPr>
            <w:r w:rsidRPr="002D72BF">
              <w:rPr>
                <w:color w:val="000000"/>
                <w:sz w:val="20"/>
              </w:rPr>
              <w:t>P6</w:t>
            </w:r>
          </w:p>
        </w:tc>
        <w:tc>
          <w:tcPr>
            <w:tcW w:w="1037" w:type="dxa"/>
            <w:vAlign w:val="center"/>
          </w:tcPr>
          <w:p w14:paraId="7B4EBE05" w14:textId="77777777" w:rsidR="002D72BF" w:rsidRPr="002D72BF" w:rsidRDefault="002D72BF" w:rsidP="002D72BF">
            <w:pPr>
              <w:spacing w:after="0"/>
              <w:ind w:hanging="31"/>
              <w:jc w:val="center"/>
              <w:rPr>
                <w:color w:val="000000"/>
                <w:sz w:val="20"/>
              </w:rPr>
            </w:pPr>
            <w:r w:rsidRPr="002D72BF">
              <w:rPr>
                <w:color w:val="000000"/>
                <w:sz w:val="20"/>
              </w:rPr>
              <w:t>4290,5</w:t>
            </w:r>
          </w:p>
        </w:tc>
        <w:tc>
          <w:tcPr>
            <w:tcW w:w="741" w:type="dxa"/>
            <w:vAlign w:val="center"/>
          </w:tcPr>
          <w:p w14:paraId="16DCCB31" w14:textId="77777777" w:rsidR="002D72BF" w:rsidRPr="002D72BF" w:rsidRDefault="002D72BF" w:rsidP="002D72BF">
            <w:pPr>
              <w:spacing w:after="0"/>
              <w:ind w:hanging="31"/>
              <w:jc w:val="right"/>
              <w:rPr>
                <w:color w:val="000000"/>
                <w:sz w:val="20"/>
              </w:rPr>
            </w:pPr>
            <w:r w:rsidRPr="002D72BF">
              <w:rPr>
                <w:color w:val="000000"/>
                <w:sz w:val="20"/>
              </w:rPr>
              <w:t>7,1</w:t>
            </w:r>
          </w:p>
        </w:tc>
        <w:tc>
          <w:tcPr>
            <w:tcW w:w="741" w:type="dxa"/>
            <w:vAlign w:val="center"/>
          </w:tcPr>
          <w:p w14:paraId="2F6BD691" w14:textId="77777777" w:rsidR="002D72BF" w:rsidRPr="002D72BF" w:rsidRDefault="002D72BF" w:rsidP="002D72BF">
            <w:pPr>
              <w:spacing w:after="0"/>
              <w:ind w:hanging="31"/>
              <w:jc w:val="right"/>
              <w:rPr>
                <w:color w:val="000000"/>
                <w:sz w:val="20"/>
              </w:rPr>
            </w:pPr>
            <w:r w:rsidRPr="002D72BF">
              <w:rPr>
                <w:color w:val="000000"/>
                <w:sz w:val="20"/>
              </w:rPr>
              <w:t>5,3</w:t>
            </w:r>
          </w:p>
        </w:tc>
        <w:tc>
          <w:tcPr>
            <w:tcW w:w="741" w:type="dxa"/>
            <w:vAlign w:val="center"/>
          </w:tcPr>
          <w:p w14:paraId="57134241" w14:textId="77777777" w:rsidR="002D72BF" w:rsidRPr="002D72BF" w:rsidRDefault="002D72BF" w:rsidP="002D72BF">
            <w:pPr>
              <w:spacing w:after="0"/>
              <w:ind w:hanging="31"/>
              <w:jc w:val="right"/>
              <w:rPr>
                <w:color w:val="000000"/>
                <w:sz w:val="20"/>
              </w:rPr>
            </w:pPr>
            <w:r w:rsidRPr="002D72BF">
              <w:rPr>
                <w:color w:val="000000"/>
                <w:sz w:val="20"/>
              </w:rPr>
              <w:t>5,9</w:t>
            </w:r>
          </w:p>
        </w:tc>
        <w:tc>
          <w:tcPr>
            <w:tcW w:w="741" w:type="dxa"/>
            <w:vAlign w:val="center"/>
          </w:tcPr>
          <w:p w14:paraId="18E19FB1" w14:textId="77777777" w:rsidR="002D72BF" w:rsidRPr="002D72BF" w:rsidRDefault="002D72BF" w:rsidP="002D72BF">
            <w:pPr>
              <w:spacing w:after="0"/>
              <w:ind w:hanging="31"/>
              <w:jc w:val="right"/>
              <w:rPr>
                <w:color w:val="000000"/>
                <w:sz w:val="20"/>
              </w:rPr>
            </w:pPr>
            <w:r w:rsidRPr="002D72BF">
              <w:rPr>
                <w:color w:val="000000"/>
                <w:sz w:val="20"/>
              </w:rPr>
              <w:t>5,8</w:t>
            </w:r>
          </w:p>
        </w:tc>
        <w:tc>
          <w:tcPr>
            <w:tcW w:w="867" w:type="dxa"/>
            <w:vAlign w:val="center"/>
          </w:tcPr>
          <w:p w14:paraId="22B8083E" w14:textId="77777777" w:rsidR="002D72BF" w:rsidRPr="002D72BF" w:rsidRDefault="002D72BF" w:rsidP="002D72BF">
            <w:pPr>
              <w:spacing w:after="0"/>
              <w:ind w:hanging="31"/>
              <w:jc w:val="right"/>
              <w:rPr>
                <w:color w:val="000000"/>
                <w:sz w:val="20"/>
              </w:rPr>
            </w:pPr>
            <w:r w:rsidRPr="002D72BF">
              <w:rPr>
                <w:color w:val="000000"/>
                <w:sz w:val="20"/>
              </w:rPr>
              <w:t>5,9</w:t>
            </w:r>
          </w:p>
        </w:tc>
      </w:tr>
      <w:tr w:rsidR="002D72BF" w:rsidRPr="002D72BF" w14:paraId="03E30F67" w14:textId="77777777" w:rsidTr="008C7F19">
        <w:trPr>
          <w:jc w:val="center"/>
        </w:trPr>
        <w:tc>
          <w:tcPr>
            <w:tcW w:w="3645" w:type="dxa"/>
          </w:tcPr>
          <w:p w14:paraId="51773964"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8. Imports</w:t>
            </w:r>
          </w:p>
        </w:tc>
        <w:tc>
          <w:tcPr>
            <w:tcW w:w="1037" w:type="dxa"/>
          </w:tcPr>
          <w:p w14:paraId="65E19282" w14:textId="77777777" w:rsidR="002D72BF" w:rsidRPr="002D72BF" w:rsidRDefault="002D72BF" w:rsidP="002D72BF">
            <w:pPr>
              <w:spacing w:after="0"/>
              <w:ind w:firstLine="0"/>
              <w:jc w:val="left"/>
              <w:rPr>
                <w:color w:val="000000"/>
                <w:sz w:val="20"/>
              </w:rPr>
            </w:pPr>
            <w:r w:rsidRPr="002D72BF">
              <w:rPr>
                <w:color w:val="000000"/>
                <w:sz w:val="20"/>
              </w:rPr>
              <w:t>P7</w:t>
            </w:r>
          </w:p>
        </w:tc>
        <w:tc>
          <w:tcPr>
            <w:tcW w:w="1037" w:type="dxa"/>
            <w:vAlign w:val="center"/>
          </w:tcPr>
          <w:p w14:paraId="19BE759F" w14:textId="77777777" w:rsidR="002D72BF" w:rsidRPr="002D72BF" w:rsidRDefault="002D72BF" w:rsidP="002D72BF">
            <w:pPr>
              <w:spacing w:after="0"/>
              <w:ind w:hanging="31"/>
              <w:jc w:val="center"/>
              <w:rPr>
                <w:color w:val="000000"/>
                <w:sz w:val="20"/>
              </w:rPr>
            </w:pPr>
            <w:r w:rsidRPr="002D72BF">
              <w:rPr>
                <w:color w:val="000000"/>
                <w:sz w:val="20"/>
              </w:rPr>
              <w:t>4867,2</w:t>
            </w:r>
          </w:p>
        </w:tc>
        <w:tc>
          <w:tcPr>
            <w:tcW w:w="741" w:type="dxa"/>
            <w:vAlign w:val="center"/>
          </w:tcPr>
          <w:p w14:paraId="3AB319EC" w14:textId="77777777" w:rsidR="002D72BF" w:rsidRPr="002D72BF" w:rsidRDefault="002D72BF" w:rsidP="002D72BF">
            <w:pPr>
              <w:spacing w:after="0"/>
              <w:ind w:hanging="31"/>
              <w:jc w:val="right"/>
              <w:rPr>
                <w:color w:val="000000"/>
                <w:sz w:val="20"/>
              </w:rPr>
            </w:pPr>
            <w:r w:rsidRPr="002D72BF">
              <w:rPr>
                <w:color w:val="000000"/>
                <w:sz w:val="20"/>
              </w:rPr>
              <w:t>3,1</w:t>
            </w:r>
          </w:p>
        </w:tc>
        <w:tc>
          <w:tcPr>
            <w:tcW w:w="741" w:type="dxa"/>
            <w:vAlign w:val="center"/>
          </w:tcPr>
          <w:p w14:paraId="03F63F51" w14:textId="77777777" w:rsidR="002D72BF" w:rsidRPr="002D72BF" w:rsidRDefault="002D72BF" w:rsidP="002D72BF">
            <w:pPr>
              <w:spacing w:after="0"/>
              <w:ind w:hanging="31"/>
              <w:jc w:val="right"/>
              <w:rPr>
                <w:color w:val="000000"/>
                <w:sz w:val="20"/>
              </w:rPr>
            </w:pPr>
            <w:r w:rsidRPr="002D72BF">
              <w:rPr>
                <w:color w:val="000000"/>
                <w:sz w:val="20"/>
              </w:rPr>
              <w:t>5,2</w:t>
            </w:r>
          </w:p>
        </w:tc>
        <w:tc>
          <w:tcPr>
            <w:tcW w:w="741" w:type="dxa"/>
            <w:vAlign w:val="center"/>
          </w:tcPr>
          <w:p w14:paraId="18E7ABF8" w14:textId="77777777" w:rsidR="002D72BF" w:rsidRPr="002D72BF" w:rsidRDefault="002D72BF" w:rsidP="002D72BF">
            <w:pPr>
              <w:spacing w:after="0"/>
              <w:ind w:hanging="31"/>
              <w:jc w:val="right"/>
              <w:rPr>
                <w:color w:val="000000"/>
                <w:sz w:val="20"/>
              </w:rPr>
            </w:pPr>
            <w:r w:rsidRPr="002D72BF">
              <w:rPr>
                <w:color w:val="000000"/>
                <w:sz w:val="20"/>
              </w:rPr>
              <w:t>6,0</w:t>
            </w:r>
          </w:p>
        </w:tc>
        <w:tc>
          <w:tcPr>
            <w:tcW w:w="741" w:type="dxa"/>
            <w:vAlign w:val="center"/>
          </w:tcPr>
          <w:p w14:paraId="0ABCFCA6" w14:textId="77777777" w:rsidR="002D72BF" w:rsidRPr="002D72BF" w:rsidRDefault="002D72BF" w:rsidP="002D72BF">
            <w:pPr>
              <w:spacing w:after="0"/>
              <w:ind w:hanging="31"/>
              <w:jc w:val="right"/>
              <w:rPr>
                <w:color w:val="000000"/>
                <w:sz w:val="20"/>
              </w:rPr>
            </w:pPr>
            <w:r w:rsidRPr="002D72BF">
              <w:rPr>
                <w:color w:val="000000"/>
                <w:sz w:val="20"/>
              </w:rPr>
              <w:t>6,0</w:t>
            </w:r>
          </w:p>
        </w:tc>
        <w:tc>
          <w:tcPr>
            <w:tcW w:w="867" w:type="dxa"/>
            <w:vAlign w:val="center"/>
          </w:tcPr>
          <w:p w14:paraId="0F351E96" w14:textId="77777777" w:rsidR="002D72BF" w:rsidRPr="002D72BF" w:rsidRDefault="002D72BF" w:rsidP="002D72BF">
            <w:pPr>
              <w:spacing w:after="0"/>
              <w:ind w:hanging="31"/>
              <w:jc w:val="right"/>
              <w:rPr>
                <w:color w:val="000000"/>
                <w:sz w:val="20"/>
              </w:rPr>
            </w:pPr>
            <w:r w:rsidRPr="002D72BF">
              <w:rPr>
                <w:color w:val="000000"/>
                <w:sz w:val="20"/>
              </w:rPr>
              <w:t>6,0</w:t>
            </w:r>
          </w:p>
        </w:tc>
      </w:tr>
      <w:tr w:rsidR="002D72BF" w:rsidRPr="002D72BF" w14:paraId="001E1744" w14:textId="77777777" w:rsidTr="008C7F19">
        <w:trPr>
          <w:jc w:val="center"/>
        </w:trPr>
        <w:tc>
          <w:tcPr>
            <w:tcW w:w="9550" w:type="dxa"/>
            <w:gridSpan w:val="8"/>
          </w:tcPr>
          <w:p w14:paraId="38D28AA8" w14:textId="77777777" w:rsidR="002D72BF" w:rsidRPr="002D72BF" w:rsidRDefault="002D72BF" w:rsidP="002D72BF">
            <w:pPr>
              <w:spacing w:after="0"/>
              <w:ind w:firstLine="0"/>
              <w:jc w:val="center"/>
              <w:rPr>
                <w:rFonts w:eastAsia="Arial Unicode MS"/>
                <w:color w:val="000000"/>
                <w:sz w:val="20"/>
              </w:rPr>
            </w:pPr>
            <w:r w:rsidRPr="002D72BF">
              <w:rPr>
                <w:b/>
                <w:snapToGrid w:val="0"/>
                <w:color w:val="000000"/>
                <w:sz w:val="20"/>
              </w:rPr>
              <w:t>Ieguldījums IKP izaugsmē</w:t>
            </w:r>
          </w:p>
        </w:tc>
      </w:tr>
      <w:tr w:rsidR="002D72BF" w:rsidRPr="002D72BF" w14:paraId="19BD1B80" w14:textId="77777777" w:rsidTr="008C7F19">
        <w:trPr>
          <w:jc w:val="center"/>
        </w:trPr>
        <w:tc>
          <w:tcPr>
            <w:tcW w:w="3645" w:type="dxa"/>
          </w:tcPr>
          <w:p w14:paraId="1D6F4314"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9. Kopējais iekšzemes pieprasījums</w:t>
            </w:r>
          </w:p>
        </w:tc>
        <w:tc>
          <w:tcPr>
            <w:tcW w:w="1037" w:type="dxa"/>
          </w:tcPr>
          <w:p w14:paraId="506D12A9" w14:textId="77777777" w:rsidR="002D72BF" w:rsidRPr="002D72BF" w:rsidRDefault="002D72BF" w:rsidP="002D72BF">
            <w:pPr>
              <w:spacing w:after="0"/>
              <w:ind w:firstLine="0"/>
              <w:jc w:val="left"/>
              <w:rPr>
                <w:color w:val="000000"/>
                <w:sz w:val="20"/>
              </w:rPr>
            </w:pPr>
          </w:p>
        </w:tc>
        <w:tc>
          <w:tcPr>
            <w:tcW w:w="1037" w:type="dxa"/>
            <w:vAlign w:val="center"/>
          </w:tcPr>
          <w:p w14:paraId="0371AEB2" w14:textId="77777777" w:rsidR="002D72BF" w:rsidRPr="002D72BF" w:rsidRDefault="002D72BF" w:rsidP="002D72BF">
            <w:pPr>
              <w:spacing w:after="0"/>
              <w:ind w:firstLine="0"/>
              <w:jc w:val="center"/>
              <w:rPr>
                <w:color w:val="000000"/>
                <w:sz w:val="20"/>
              </w:rPr>
            </w:pPr>
            <w:r w:rsidRPr="002D72BF">
              <w:rPr>
                <w:color w:val="000000"/>
                <w:sz w:val="20"/>
              </w:rPr>
              <w:t>-</w:t>
            </w:r>
          </w:p>
        </w:tc>
        <w:tc>
          <w:tcPr>
            <w:tcW w:w="741" w:type="dxa"/>
            <w:vAlign w:val="bottom"/>
          </w:tcPr>
          <w:p w14:paraId="3B479936" w14:textId="77777777" w:rsidR="002D72BF" w:rsidRPr="002D72BF" w:rsidRDefault="002D72BF" w:rsidP="002D72BF">
            <w:pPr>
              <w:spacing w:after="0"/>
              <w:ind w:hanging="31"/>
              <w:jc w:val="right"/>
              <w:rPr>
                <w:color w:val="000000"/>
                <w:sz w:val="20"/>
              </w:rPr>
            </w:pPr>
            <w:r w:rsidRPr="002D72BF">
              <w:rPr>
                <w:color w:val="000000"/>
                <w:sz w:val="20"/>
              </w:rPr>
              <w:t>6,8</w:t>
            </w:r>
          </w:p>
        </w:tc>
        <w:tc>
          <w:tcPr>
            <w:tcW w:w="741" w:type="dxa"/>
            <w:vAlign w:val="bottom"/>
          </w:tcPr>
          <w:p w14:paraId="44CD8F73" w14:textId="77777777" w:rsidR="002D72BF" w:rsidRPr="002D72BF" w:rsidRDefault="002D72BF" w:rsidP="002D72BF">
            <w:pPr>
              <w:spacing w:after="0"/>
              <w:ind w:hanging="31"/>
              <w:jc w:val="right"/>
              <w:rPr>
                <w:color w:val="000000"/>
                <w:sz w:val="20"/>
              </w:rPr>
            </w:pPr>
            <w:r w:rsidRPr="002D72BF">
              <w:rPr>
                <w:color w:val="000000"/>
                <w:sz w:val="20"/>
              </w:rPr>
              <w:t>4,3</w:t>
            </w:r>
          </w:p>
        </w:tc>
        <w:tc>
          <w:tcPr>
            <w:tcW w:w="741" w:type="dxa"/>
            <w:vAlign w:val="bottom"/>
          </w:tcPr>
          <w:p w14:paraId="1D04F8A9" w14:textId="77777777" w:rsidR="002D72BF" w:rsidRPr="002D72BF" w:rsidRDefault="002D72BF" w:rsidP="002D72BF">
            <w:pPr>
              <w:spacing w:after="0"/>
              <w:ind w:hanging="31"/>
              <w:jc w:val="right"/>
              <w:rPr>
                <w:color w:val="000000"/>
                <w:sz w:val="20"/>
              </w:rPr>
            </w:pPr>
            <w:r w:rsidRPr="002D72BF">
              <w:rPr>
                <w:color w:val="000000"/>
                <w:sz w:val="20"/>
              </w:rPr>
              <w:t>4,5</w:t>
            </w:r>
          </w:p>
        </w:tc>
        <w:tc>
          <w:tcPr>
            <w:tcW w:w="741" w:type="dxa"/>
            <w:vAlign w:val="bottom"/>
          </w:tcPr>
          <w:p w14:paraId="62C4229D" w14:textId="77777777" w:rsidR="002D72BF" w:rsidRPr="002D72BF" w:rsidRDefault="002D72BF" w:rsidP="002D72BF">
            <w:pPr>
              <w:spacing w:after="0"/>
              <w:ind w:hanging="31"/>
              <w:jc w:val="right"/>
              <w:rPr>
                <w:color w:val="000000"/>
                <w:sz w:val="20"/>
              </w:rPr>
            </w:pPr>
            <w:r w:rsidRPr="002D72BF">
              <w:rPr>
                <w:color w:val="000000"/>
                <w:sz w:val="20"/>
              </w:rPr>
              <w:t>4,6</w:t>
            </w:r>
          </w:p>
        </w:tc>
        <w:tc>
          <w:tcPr>
            <w:tcW w:w="867" w:type="dxa"/>
            <w:vAlign w:val="bottom"/>
          </w:tcPr>
          <w:p w14:paraId="1970DC38" w14:textId="77777777" w:rsidR="002D72BF" w:rsidRPr="002D72BF" w:rsidRDefault="002D72BF" w:rsidP="002D72BF">
            <w:pPr>
              <w:spacing w:after="0"/>
              <w:ind w:hanging="31"/>
              <w:jc w:val="right"/>
              <w:rPr>
                <w:color w:val="000000"/>
                <w:sz w:val="20"/>
              </w:rPr>
            </w:pPr>
            <w:r w:rsidRPr="002D72BF">
              <w:rPr>
                <w:color w:val="000000"/>
                <w:sz w:val="20"/>
              </w:rPr>
              <w:t>4,6</w:t>
            </w:r>
          </w:p>
        </w:tc>
      </w:tr>
      <w:tr w:rsidR="002D72BF" w:rsidRPr="002D72BF" w14:paraId="0D1CE8EE" w14:textId="77777777" w:rsidTr="008C7F19">
        <w:trPr>
          <w:jc w:val="center"/>
        </w:trPr>
        <w:tc>
          <w:tcPr>
            <w:tcW w:w="3645" w:type="dxa"/>
          </w:tcPr>
          <w:p w14:paraId="06D4B819" w14:textId="77777777" w:rsidR="002D72BF" w:rsidRPr="002D72BF" w:rsidRDefault="002D72BF" w:rsidP="002D72BF">
            <w:pPr>
              <w:spacing w:after="0"/>
              <w:ind w:firstLine="0"/>
              <w:jc w:val="left"/>
              <w:rPr>
                <w:color w:val="000000"/>
                <w:sz w:val="20"/>
              </w:rPr>
            </w:pPr>
            <w:r w:rsidRPr="002D72BF">
              <w:rPr>
                <w:color w:val="000000"/>
                <w:sz w:val="20"/>
              </w:rPr>
              <w:t xml:space="preserve">10. </w:t>
            </w:r>
            <w:r w:rsidRPr="002D72BF">
              <w:rPr>
                <w:snapToGrid w:val="0"/>
                <w:color w:val="000000"/>
                <w:sz w:val="20"/>
              </w:rPr>
              <w:t xml:space="preserve">Krājumu pārmaiņas </w:t>
            </w:r>
            <w:r w:rsidRPr="002D72BF">
              <w:rPr>
                <w:color w:val="000000"/>
                <w:sz w:val="20"/>
              </w:rPr>
              <w:t xml:space="preserve">un vērtslietu iegāde </w:t>
            </w:r>
          </w:p>
        </w:tc>
        <w:tc>
          <w:tcPr>
            <w:tcW w:w="1037" w:type="dxa"/>
          </w:tcPr>
          <w:p w14:paraId="29A74C35" w14:textId="77777777" w:rsidR="002D72BF" w:rsidRPr="002D72BF" w:rsidRDefault="002D72BF" w:rsidP="002D72BF">
            <w:pPr>
              <w:spacing w:after="0"/>
              <w:ind w:firstLine="0"/>
              <w:jc w:val="left"/>
              <w:rPr>
                <w:color w:val="000000"/>
                <w:sz w:val="20"/>
              </w:rPr>
            </w:pPr>
            <w:r w:rsidRPr="002D72BF">
              <w:rPr>
                <w:color w:val="000000"/>
                <w:sz w:val="20"/>
              </w:rPr>
              <w:t>P52+P53</w:t>
            </w:r>
          </w:p>
        </w:tc>
        <w:tc>
          <w:tcPr>
            <w:tcW w:w="1037" w:type="dxa"/>
            <w:vAlign w:val="center"/>
          </w:tcPr>
          <w:p w14:paraId="12235EC7" w14:textId="77777777" w:rsidR="002D72BF" w:rsidRPr="002D72BF" w:rsidRDefault="002D72BF" w:rsidP="002D72BF">
            <w:pPr>
              <w:spacing w:after="0"/>
              <w:ind w:firstLine="0"/>
              <w:jc w:val="center"/>
              <w:rPr>
                <w:color w:val="000000"/>
                <w:sz w:val="20"/>
              </w:rPr>
            </w:pPr>
            <w:r w:rsidRPr="002D72BF">
              <w:rPr>
                <w:color w:val="000000"/>
                <w:sz w:val="20"/>
              </w:rPr>
              <w:t>-</w:t>
            </w:r>
          </w:p>
        </w:tc>
        <w:tc>
          <w:tcPr>
            <w:tcW w:w="741" w:type="dxa"/>
            <w:vAlign w:val="bottom"/>
          </w:tcPr>
          <w:p w14:paraId="71F7C3BE" w14:textId="77777777" w:rsidR="002D72BF" w:rsidRPr="002D72BF" w:rsidRDefault="002D72BF" w:rsidP="002D72BF">
            <w:pPr>
              <w:spacing w:after="0"/>
              <w:ind w:hanging="31"/>
              <w:jc w:val="right"/>
              <w:rPr>
                <w:color w:val="000000"/>
                <w:sz w:val="20"/>
              </w:rPr>
            </w:pPr>
            <w:r w:rsidRPr="002D72BF">
              <w:rPr>
                <w:color w:val="000000"/>
                <w:sz w:val="20"/>
              </w:rPr>
              <w:t>-3,2</w:t>
            </w:r>
          </w:p>
        </w:tc>
        <w:tc>
          <w:tcPr>
            <w:tcW w:w="741" w:type="dxa"/>
            <w:vAlign w:val="bottom"/>
          </w:tcPr>
          <w:p w14:paraId="491D4CDB" w14:textId="77777777" w:rsidR="002D72BF" w:rsidRPr="002D72BF" w:rsidRDefault="002D72BF" w:rsidP="002D72BF">
            <w:pPr>
              <w:spacing w:after="0"/>
              <w:ind w:hanging="31"/>
              <w:jc w:val="right"/>
              <w:rPr>
                <w:color w:val="000000"/>
                <w:sz w:val="20"/>
              </w:rPr>
            </w:pPr>
            <w:r w:rsidRPr="002D72BF">
              <w:rPr>
                <w:color w:val="000000"/>
                <w:sz w:val="20"/>
              </w:rPr>
              <w:t>0,0</w:t>
            </w:r>
          </w:p>
        </w:tc>
        <w:tc>
          <w:tcPr>
            <w:tcW w:w="741" w:type="dxa"/>
            <w:vAlign w:val="bottom"/>
          </w:tcPr>
          <w:p w14:paraId="041A38B7" w14:textId="77777777" w:rsidR="002D72BF" w:rsidRPr="002D72BF" w:rsidRDefault="002D72BF" w:rsidP="002D72BF">
            <w:pPr>
              <w:spacing w:after="0"/>
              <w:ind w:hanging="31"/>
              <w:jc w:val="right"/>
              <w:rPr>
                <w:color w:val="000000"/>
                <w:sz w:val="20"/>
              </w:rPr>
            </w:pPr>
            <w:r w:rsidRPr="002D72BF">
              <w:rPr>
                <w:color w:val="000000"/>
                <w:sz w:val="20"/>
              </w:rPr>
              <w:t>0,0</w:t>
            </w:r>
          </w:p>
        </w:tc>
        <w:tc>
          <w:tcPr>
            <w:tcW w:w="741" w:type="dxa"/>
            <w:vAlign w:val="bottom"/>
          </w:tcPr>
          <w:p w14:paraId="7CFE7F12" w14:textId="77777777" w:rsidR="002D72BF" w:rsidRPr="002D72BF" w:rsidRDefault="002D72BF" w:rsidP="002D72BF">
            <w:pPr>
              <w:spacing w:after="0"/>
              <w:ind w:hanging="31"/>
              <w:jc w:val="right"/>
              <w:rPr>
                <w:color w:val="000000"/>
                <w:sz w:val="20"/>
              </w:rPr>
            </w:pPr>
            <w:r w:rsidRPr="002D72BF">
              <w:rPr>
                <w:color w:val="000000"/>
                <w:sz w:val="20"/>
              </w:rPr>
              <w:t>0,0</w:t>
            </w:r>
          </w:p>
        </w:tc>
        <w:tc>
          <w:tcPr>
            <w:tcW w:w="867" w:type="dxa"/>
            <w:vAlign w:val="bottom"/>
          </w:tcPr>
          <w:p w14:paraId="4A5DD764" w14:textId="77777777" w:rsidR="002D72BF" w:rsidRPr="002D72BF" w:rsidRDefault="002D72BF" w:rsidP="002D72BF">
            <w:pPr>
              <w:spacing w:after="0"/>
              <w:ind w:hanging="31"/>
              <w:jc w:val="right"/>
              <w:rPr>
                <w:color w:val="000000"/>
                <w:sz w:val="20"/>
              </w:rPr>
            </w:pPr>
            <w:r w:rsidRPr="002D72BF">
              <w:rPr>
                <w:color w:val="000000"/>
                <w:sz w:val="20"/>
              </w:rPr>
              <w:t>0,0</w:t>
            </w:r>
          </w:p>
        </w:tc>
      </w:tr>
      <w:tr w:rsidR="002D72BF" w:rsidRPr="002D72BF" w14:paraId="1A5F2C45" w14:textId="77777777" w:rsidTr="008C7F19">
        <w:trPr>
          <w:jc w:val="center"/>
        </w:trPr>
        <w:tc>
          <w:tcPr>
            <w:tcW w:w="3645" w:type="dxa"/>
          </w:tcPr>
          <w:p w14:paraId="29209E85" w14:textId="77777777" w:rsidR="002D72BF" w:rsidRPr="002D72BF" w:rsidRDefault="002D72BF" w:rsidP="002D72BF">
            <w:pPr>
              <w:spacing w:after="0"/>
              <w:ind w:firstLine="0"/>
              <w:jc w:val="left"/>
              <w:rPr>
                <w:color w:val="000000"/>
                <w:sz w:val="20"/>
              </w:rPr>
            </w:pPr>
            <w:r w:rsidRPr="002D72BF">
              <w:rPr>
                <w:color w:val="000000"/>
                <w:sz w:val="20"/>
              </w:rPr>
              <w:t>11. Preču un pakalpojumu ārējā sektora bilance</w:t>
            </w:r>
          </w:p>
        </w:tc>
        <w:tc>
          <w:tcPr>
            <w:tcW w:w="1037" w:type="dxa"/>
          </w:tcPr>
          <w:p w14:paraId="636E26A9" w14:textId="77777777" w:rsidR="002D72BF" w:rsidRPr="002D72BF" w:rsidRDefault="002D72BF" w:rsidP="002D72BF">
            <w:pPr>
              <w:spacing w:after="0"/>
              <w:ind w:firstLine="0"/>
              <w:jc w:val="left"/>
              <w:rPr>
                <w:color w:val="000000"/>
                <w:sz w:val="20"/>
              </w:rPr>
            </w:pPr>
            <w:r w:rsidRPr="002D72BF">
              <w:rPr>
                <w:color w:val="000000"/>
                <w:sz w:val="20"/>
              </w:rPr>
              <w:t>B11</w:t>
            </w:r>
          </w:p>
        </w:tc>
        <w:tc>
          <w:tcPr>
            <w:tcW w:w="1037" w:type="dxa"/>
            <w:vAlign w:val="center"/>
          </w:tcPr>
          <w:p w14:paraId="13CE1324" w14:textId="77777777" w:rsidR="002D72BF" w:rsidRPr="002D72BF" w:rsidRDefault="002D72BF" w:rsidP="002D72BF">
            <w:pPr>
              <w:spacing w:after="0"/>
              <w:ind w:firstLine="0"/>
              <w:jc w:val="center"/>
              <w:rPr>
                <w:color w:val="000000"/>
                <w:sz w:val="20"/>
              </w:rPr>
            </w:pPr>
            <w:r w:rsidRPr="002D72BF">
              <w:rPr>
                <w:color w:val="000000"/>
                <w:sz w:val="20"/>
              </w:rPr>
              <w:t>-</w:t>
            </w:r>
          </w:p>
        </w:tc>
        <w:tc>
          <w:tcPr>
            <w:tcW w:w="741" w:type="dxa"/>
            <w:vAlign w:val="center"/>
          </w:tcPr>
          <w:p w14:paraId="63C0F536" w14:textId="77777777" w:rsidR="002D72BF" w:rsidRPr="002D72BF" w:rsidRDefault="002D72BF" w:rsidP="002D72BF">
            <w:pPr>
              <w:spacing w:after="0"/>
              <w:ind w:firstLine="0"/>
              <w:jc w:val="right"/>
              <w:rPr>
                <w:color w:val="000000"/>
                <w:sz w:val="20"/>
              </w:rPr>
            </w:pPr>
            <w:r w:rsidRPr="002D72BF">
              <w:rPr>
                <w:color w:val="000000"/>
                <w:sz w:val="20"/>
              </w:rPr>
              <w:t>2,0</w:t>
            </w:r>
          </w:p>
        </w:tc>
        <w:tc>
          <w:tcPr>
            <w:tcW w:w="741" w:type="dxa"/>
            <w:vAlign w:val="center"/>
          </w:tcPr>
          <w:p w14:paraId="7C8C0E1A" w14:textId="77777777" w:rsidR="002D72BF" w:rsidRPr="002D72BF" w:rsidRDefault="002D72BF" w:rsidP="002D72BF">
            <w:pPr>
              <w:spacing w:after="0"/>
              <w:ind w:firstLine="0"/>
              <w:jc w:val="right"/>
              <w:rPr>
                <w:color w:val="000000"/>
                <w:sz w:val="20"/>
              </w:rPr>
            </w:pPr>
            <w:r w:rsidRPr="002D72BF">
              <w:rPr>
                <w:color w:val="000000"/>
                <w:sz w:val="20"/>
              </w:rPr>
              <w:t>-0,3</w:t>
            </w:r>
          </w:p>
        </w:tc>
        <w:tc>
          <w:tcPr>
            <w:tcW w:w="741" w:type="dxa"/>
            <w:vAlign w:val="center"/>
          </w:tcPr>
          <w:p w14:paraId="2405F475" w14:textId="77777777" w:rsidR="002D72BF" w:rsidRPr="002D72BF" w:rsidRDefault="002D72BF" w:rsidP="002D72BF">
            <w:pPr>
              <w:spacing w:after="0"/>
              <w:ind w:firstLine="0"/>
              <w:jc w:val="right"/>
              <w:rPr>
                <w:color w:val="000000"/>
                <w:sz w:val="20"/>
              </w:rPr>
            </w:pPr>
            <w:r w:rsidRPr="002D72BF">
              <w:rPr>
                <w:color w:val="000000"/>
                <w:sz w:val="20"/>
              </w:rPr>
              <w:t>-0,5</w:t>
            </w:r>
          </w:p>
        </w:tc>
        <w:tc>
          <w:tcPr>
            <w:tcW w:w="741" w:type="dxa"/>
            <w:vAlign w:val="center"/>
          </w:tcPr>
          <w:p w14:paraId="137FED78" w14:textId="77777777" w:rsidR="002D72BF" w:rsidRPr="002D72BF" w:rsidRDefault="002D72BF" w:rsidP="002D72BF">
            <w:pPr>
              <w:spacing w:after="0"/>
              <w:ind w:firstLine="0"/>
              <w:jc w:val="right"/>
              <w:rPr>
                <w:color w:val="000000"/>
                <w:sz w:val="20"/>
              </w:rPr>
            </w:pPr>
            <w:r w:rsidRPr="002D72BF">
              <w:rPr>
                <w:color w:val="000000"/>
                <w:sz w:val="20"/>
              </w:rPr>
              <w:t>-0,6</w:t>
            </w:r>
          </w:p>
        </w:tc>
        <w:tc>
          <w:tcPr>
            <w:tcW w:w="867" w:type="dxa"/>
            <w:vAlign w:val="center"/>
          </w:tcPr>
          <w:p w14:paraId="2DC5DA94" w14:textId="77777777" w:rsidR="002D72BF" w:rsidRPr="002D72BF" w:rsidRDefault="002D72BF" w:rsidP="002D72BF">
            <w:pPr>
              <w:spacing w:after="0"/>
              <w:ind w:firstLine="0"/>
              <w:jc w:val="right"/>
              <w:rPr>
                <w:color w:val="000000"/>
                <w:sz w:val="20"/>
              </w:rPr>
            </w:pPr>
            <w:r w:rsidRPr="002D72BF">
              <w:rPr>
                <w:color w:val="000000"/>
                <w:sz w:val="20"/>
              </w:rPr>
              <w:t>-0,6</w:t>
            </w:r>
          </w:p>
        </w:tc>
      </w:tr>
    </w:tbl>
    <w:p w14:paraId="50321800" w14:textId="77777777" w:rsidR="002D62B9" w:rsidRPr="001946E0" w:rsidRDefault="002D62B9" w:rsidP="002D62B9">
      <w:pPr>
        <w:pStyle w:val="T"/>
        <w:ind w:left="0"/>
        <w:rPr>
          <w:rFonts w:ascii="Times New Roman" w:hAnsi="Times New Roman"/>
          <w:b w:val="0"/>
          <w:color w:val="000000"/>
        </w:rPr>
      </w:pPr>
    </w:p>
    <w:p w14:paraId="2CCF9609" w14:textId="77777777" w:rsidR="002D62B9" w:rsidRPr="001946E0" w:rsidRDefault="002D62B9" w:rsidP="002D62B9">
      <w:pPr>
        <w:pStyle w:val="T"/>
        <w:rPr>
          <w:rFonts w:ascii="Times New Roman" w:hAnsi="Times New Roman"/>
          <w:color w:val="000000"/>
        </w:rPr>
      </w:pPr>
    </w:p>
    <w:p w14:paraId="32BBAF89" w14:textId="77777777" w:rsidR="002D62B9" w:rsidRPr="001946E0" w:rsidRDefault="002D62B9" w:rsidP="002D62B9">
      <w:pPr>
        <w:pStyle w:val="T"/>
        <w:ind w:left="0"/>
        <w:rPr>
          <w:rFonts w:ascii="Times New Roman" w:hAnsi="Times New Roman"/>
          <w:color w:val="000000"/>
        </w:rPr>
      </w:pPr>
      <w:r w:rsidRPr="001946E0">
        <w:rPr>
          <w:rFonts w:ascii="Times New Roman" w:hAnsi="Times New Roman"/>
          <w:color w:val="000000"/>
        </w:rPr>
        <w:t>1b. tabula. Patēriņa cenu izmaiņas</w:t>
      </w:r>
    </w:p>
    <w:tbl>
      <w:tblPr>
        <w:tblW w:w="94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51"/>
        <w:gridCol w:w="952"/>
        <w:gridCol w:w="972"/>
        <w:gridCol w:w="797"/>
        <w:gridCol w:w="797"/>
        <w:gridCol w:w="797"/>
        <w:gridCol w:w="783"/>
        <w:gridCol w:w="766"/>
      </w:tblGrid>
      <w:tr w:rsidR="002D72BF" w:rsidRPr="002D72BF" w14:paraId="5AF2BC01" w14:textId="77777777" w:rsidTr="008C7F19">
        <w:trPr>
          <w:tblHeader/>
          <w:jc w:val="center"/>
        </w:trPr>
        <w:tc>
          <w:tcPr>
            <w:tcW w:w="3551" w:type="dxa"/>
          </w:tcPr>
          <w:p w14:paraId="6549F38F" w14:textId="77777777" w:rsidR="002D72BF" w:rsidRPr="002D72BF" w:rsidRDefault="002D72BF" w:rsidP="002D72BF">
            <w:pPr>
              <w:spacing w:after="0"/>
              <w:ind w:firstLine="0"/>
              <w:jc w:val="left"/>
              <w:rPr>
                <w:color w:val="000000"/>
                <w:sz w:val="20"/>
              </w:rPr>
            </w:pPr>
          </w:p>
        </w:tc>
        <w:tc>
          <w:tcPr>
            <w:tcW w:w="952" w:type="dxa"/>
          </w:tcPr>
          <w:p w14:paraId="61119827" w14:textId="77777777" w:rsidR="002D72BF" w:rsidRPr="002D72BF" w:rsidRDefault="002D72BF" w:rsidP="002D72BF">
            <w:pPr>
              <w:spacing w:after="0"/>
              <w:ind w:firstLine="0"/>
              <w:jc w:val="left"/>
              <w:rPr>
                <w:color w:val="000000"/>
                <w:sz w:val="20"/>
              </w:rPr>
            </w:pPr>
            <w:r w:rsidRPr="002D72BF">
              <w:rPr>
                <w:color w:val="000000"/>
                <w:sz w:val="20"/>
              </w:rPr>
              <w:t>ESA</w:t>
            </w:r>
          </w:p>
          <w:p w14:paraId="7B06FCE3" w14:textId="77777777" w:rsidR="002D72BF" w:rsidRPr="002D72BF" w:rsidRDefault="002D72BF" w:rsidP="002D72BF">
            <w:pPr>
              <w:spacing w:after="0"/>
              <w:ind w:firstLine="0"/>
              <w:jc w:val="left"/>
              <w:rPr>
                <w:color w:val="000000"/>
                <w:sz w:val="20"/>
              </w:rPr>
            </w:pPr>
            <w:r w:rsidRPr="002D72BF">
              <w:rPr>
                <w:color w:val="000000"/>
                <w:sz w:val="20"/>
              </w:rPr>
              <w:t>Kods</w:t>
            </w:r>
          </w:p>
        </w:tc>
        <w:tc>
          <w:tcPr>
            <w:tcW w:w="972" w:type="dxa"/>
            <w:vAlign w:val="center"/>
          </w:tcPr>
          <w:p w14:paraId="56207FCF" w14:textId="77777777" w:rsidR="002D72BF" w:rsidRPr="002D72BF" w:rsidRDefault="002D72BF" w:rsidP="002D72BF">
            <w:pPr>
              <w:spacing w:after="0"/>
              <w:ind w:firstLine="0"/>
              <w:jc w:val="center"/>
              <w:rPr>
                <w:b/>
                <w:color w:val="000000"/>
                <w:sz w:val="20"/>
              </w:rPr>
            </w:pPr>
            <w:r w:rsidRPr="002D72BF">
              <w:rPr>
                <w:b/>
                <w:color w:val="000000"/>
                <w:sz w:val="20"/>
              </w:rPr>
              <w:t>2012</w:t>
            </w:r>
          </w:p>
        </w:tc>
        <w:tc>
          <w:tcPr>
            <w:tcW w:w="797" w:type="dxa"/>
            <w:vAlign w:val="center"/>
          </w:tcPr>
          <w:p w14:paraId="37D3FF0B" w14:textId="77777777" w:rsidR="002D72BF" w:rsidRPr="002D72BF" w:rsidRDefault="002D72BF" w:rsidP="002D72BF">
            <w:pPr>
              <w:spacing w:after="0"/>
              <w:ind w:firstLine="0"/>
              <w:jc w:val="center"/>
              <w:rPr>
                <w:b/>
                <w:color w:val="000000"/>
                <w:sz w:val="20"/>
              </w:rPr>
            </w:pPr>
            <w:r w:rsidRPr="002D72BF">
              <w:rPr>
                <w:b/>
                <w:color w:val="000000"/>
                <w:sz w:val="20"/>
              </w:rPr>
              <w:t>2012</w:t>
            </w:r>
          </w:p>
        </w:tc>
        <w:tc>
          <w:tcPr>
            <w:tcW w:w="797" w:type="dxa"/>
            <w:vAlign w:val="center"/>
          </w:tcPr>
          <w:p w14:paraId="5AEC107A" w14:textId="77777777" w:rsidR="002D72BF" w:rsidRPr="002D72BF" w:rsidRDefault="002D72BF" w:rsidP="002D72BF">
            <w:pPr>
              <w:spacing w:after="0"/>
              <w:ind w:firstLine="0"/>
              <w:jc w:val="center"/>
              <w:rPr>
                <w:b/>
                <w:color w:val="000000"/>
                <w:sz w:val="20"/>
              </w:rPr>
            </w:pPr>
            <w:r w:rsidRPr="002D72BF">
              <w:rPr>
                <w:b/>
                <w:color w:val="000000"/>
                <w:sz w:val="20"/>
              </w:rPr>
              <w:t>2013</w:t>
            </w:r>
          </w:p>
        </w:tc>
        <w:tc>
          <w:tcPr>
            <w:tcW w:w="797" w:type="dxa"/>
            <w:vAlign w:val="center"/>
          </w:tcPr>
          <w:p w14:paraId="2D40FD1A" w14:textId="77777777" w:rsidR="002D72BF" w:rsidRPr="002D72BF" w:rsidRDefault="002D72BF" w:rsidP="002D72BF">
            <w:pPr>
              <w:spacing w:after="0"/>
              <w:ind w:firstLine="0"/>
              <w:jc w:val="center"/>
              <w:rPr>
                <w:b/>
                <w:color w:val="000000"/>
                <w:sz w:val="20"/>
              </w:rPr>
            </w:pPr>
            <w:r w:rsidRPr="002D72BF">
              <w:rPr>
                <w:b/>
                <w:color w:val="000000"/>
                <w:sz w:val="20"/>
              </w:rPr>
              <w:t>2014</w:t>
            </w:r>
          </w:p>
        </w:tc>
        <w:tc>
          <w:tcPr>
            <w:tcW w:w="783" w:type="dxa"/>
            <w:vAlign w:val="center"/>
          </w:tcPr>
          <w:p w14:paraId="313A8DB0" w14:textId="77777777" w:rsidR="002D72BF" w:rsidRPr="002D72BF" w:rsidRDefault="002D72BF" w:rsidP="002D72BF">
            <w:pPr>
              <w:spacing w:after="0"/>
              <w:ind w:firstLine="0"/>
              <w:jc w:val="center"/>
              <w:rPr>
                <w:b/>
                <w:color w:val="000000"/>
                <w:sz w:val="20"/>
              </w:rPr>
            </w:pPr>
            <w:r w:rsidRPr="002D72BF">
              <w:rPr>
                <w:b/>
                <w:color w:val="000000"/>
                <w:sz w:val="20"/>
              </w:rPr>
              <w:t>2015</w:t>
            </w:r>
          </w:p>
        </w:tc>
        <w:tc>
          <w:tcPr>
            <w:tcW w:w="766" w:type="dxa"/>
            <w:vAlign w:val="center"/>
          </w:tcPr>
          <w:p w14:paraId="2E5A581A" w14:textId="77777777" w:rsidR="002D72BF" w:rsidRPr="002D72BF" w:rsidRDefault="002D72BF" w:rsidP="002D72BF">
            <w:pPr>
              <w:spacing w:after="0"/>
              <w:ind w:firstLine="0"/>
              <w:jc w:val="center"/>
              <w:rPr>
                <w:b/>
                <w:color w:val="000000"/>
                <w:sz w:val="20"/>
              </w:rPr>
            </w:pPr>
            <w:r w:rsidRPr="002D72BF">
              <w:rPr>
                <w:b/>
                <w:color w:val="000000"/>
                <w:sz w:val="20"/>
              </w:rPr>
              <w:t>2016</w:t>
            </w:r>
          </w:p>
        </w:tc>
      </w:tr>
      <w:tr w:rsidR="002D72BF" w:rsidRPr="002D72BF" w14:paraId="3C71B6B1" w14:textId="77777777" w:rsidTr="008C7F19">
        <w:trPr>
          <w:jc w:val="center"/>
        </w:trPr>
        <w:tc>
          <w:tcPr>
            <w:tcW w:w="3551" w:type="dxa"/>
          </w:tcPr>
          <w:p w14:paraId="2D23550C" w14:textId="77777777" w:rsidR="002D72BF" w:rsidRPr="002D72BF" w:rsidRDefault="002D72BF" w:rsidP="002D72BF">
            <w:pPr>
              <w:spacing w:after="0"/>
              <w:ind w:firstLine="0"/>
              <w:jc w:val="left"/>
              <w:rPr>
                <w:snapToGrid w:val="0"/>
                <w:color w:val="000000"/>
                <w:sz w:val="20"/>
              </w:rPr>
            </w:pPr>
          </w:p>
        </w:tc>
        <w:tc>
          <w:tcPr>
            <w:tcW w:w="952" w:type="dxa"/>
          </w:tcPr>
          <w:p w14:paraId="3F82694D" w14:textId="77777777" w:rsidR="002D72BF" w:rsidRPr="002D72BF" w:rsidRDefault="002D72BF" w:rsidP="002D72BF">
            <w:pPr>
              <w:spacing w:after="0"/>
              <w:ind w:firstLine="0"/>
              <w:jc w:val="left"/>
              <w:rPr>
                <w:color w:val="000000"/>
                <w:sz w:val="20"/>
              </w:rPr>
            </w:pPr>
          </w:p>
        </w:tc>
        <w:tc>
          <w:tcPr>
            <w:tcW w:w="972" w:type="dxa"/>
          </w:tcPr>
          <w:p w14:paraId="090E94CE" w14:textId="77777777" w:rsidR="002D72BF" w:rsidRPr="002D72BF" w:rsidRDefault="002D72BF" w:rsidP="002D72BF">
            <w:pPr>
              <w:tabs>
                <w:tab w:val="decimal" w:pos="296"/>
              </w:tabs>
              <w:spacing w:after="0"/>
              <w:ind w:firstLine="0"/>
              <w:jc w:val="left"/>
              <w:rPr>
                <w:color w:val="000000"/>
                <w:sz w:val="20"/>
              </w:rPr>
            </w:pPr>
            <w:r w:rsidRPr="002D72BF">
              <w:rPr>
                <w:color w:val="000000"/>
                <w:sz w:val="20"/>
              </w:rPr>
              <w:t>līmenis</w:t>
            </w:r>
          </w:p>
        </w:tc>
        <w:tc>
          <w:tcPr>
            <w:tcW w:w="3940" w:type="dxa"/>
            <w:gridSpan w:val="5"/>
          </w:tcPr>
          <w:p w14:paraId="0F6F508C" w14:textId="77777777" w:rsidR="002D72BF" w:rsidRPr="002D72BF" w:rsidRDefault="002D72BF" w:rsidP="002D72BF">
            <w:pPr>
              <w:tabs>
                <w:tab w:val="decimal" w:pos="296"/>
              </w:tabs>
              <w:spacing w:after="0"/>
              <w:ind w:firstLine="0"/>
              <w:jc w:val="center"/>
              <w:rPr>
                <w:color w:val="000000"/>
                <w:sz w:val="20"/>
              </w:rPr>
            </w:pPr>
            <w:r w:rsidRPr="002D72BF">
              <w:rPr>
                <w:color w:val="000000"/>
                <w:sz w:val="20"/>
              </w:rPr>
              <w:t>Pieaugums %</w:t>
            </w:r>
          </w:p>
        </w:tc>
      </w:tr>
      <w:tr w:rsidR="002D72BF" w:rsidRPr="002D72BF" w14:paraId="0DA04B12" w14:textId="77777777" w:rsidTr="008C7F19">
        <w:trPr>
          <w:jc w:val="center"/>
        </w:trPr>
        <w:tc>
          <w:tcPr>
            <w:tcW w:w="3551" w:type="dxa"/>
          </w:tcPr>
          <w:p w14:paraId="717A881A" w14:textId="77777777" w:rsidR="002D72BF" w:rsidRPr="002D72BF" w:rsidRDefault="002D72BF" w:rsidP="002D72BF">
            <w:pPr>
              <w:spacing w:after="0"/>
              <w:ind w:firstLine="0"/>
              <w:jc w:val="left"/>
              <w:rPr>
                <w:noProof/>
                <w:snapToGrid w:val="0"/>
                <w:color w:val="000000"/>
                <w:sz w:val="20"/>
              </w:rPr>
            </w:pPr>
            <w:r w:rsidRPr="002D72BF">
              <w:rPr>
                <w:noProof/>
                <w:snapToGrid w:val="0"/>
                <w:color w:val="000000"/>
                <w:sz w:val="20"/>
              </w:rPr>
              <w:t>1. IKP deflators</w:t>
            </w:r>
          </w:p>
        </w:tc>
        <w:tc>
          <w:tcPr>
            <w:tcW w:w="952" w:type="dxa"/>
          </w:tcPr>
          <w:p w14:paraId="04C44B8E" w14:textId="77777777" w:rsidR="002D72BF" w:rsidRPr="002D72BF" w:rsidRDefault="002D72BF" w:rsidP="002D72BF">
            <w:pPr>
              <w:spacing w:after="0"/>
              <w:ind w:firstLine="0"/>
              <w:jc w:val="left"/>
              <w:rPr>
                <w:snapToGrid w:val="0"/>
                <w:color w:val="000000"/>
                <w:sz w:val="20"/>
              </w:rPr>
            </w:pPr>
          </w:p>
        </w:tc>
        <w:tc>
          <w:tcPr>
            <w:tcW w:w="972" w:type="dxa"/>
            <w:vAlign w:val="center"/>
          </w:tcPr>
          <w:p w14:paraId="79932EAB" w14:textId="77777777" w:rsidR="002D72BF" w:rsidRPr="002D72BF" w:rsidRDefault="002D72BF" w:rsidP="002D72BF">
            <w:pPr>
              <w:spacing w:after="0"/>
              <w:ind w:firstLine="0"/>
              <w:jc w:val="center"/>
              <w:rPr>
                <w:color w:val="000000"/>
                <w:sz w:val="20"/>
              </w:rPr>
            </w:pPr>
          </w:p>
        </w:tc>
        <w:tc>
          <w:tcPr>
            <w:tcW w:w="797" w:type="dxa"/>
            <w:vAlign w:val="bottom"/>
          </w:tcPr>
          <w:p w14:paraId="1E725D25" w14:textId="77777777" w:rsidR="002D72BF" w:rsidRPr="002D72BF" w:rsidRDefault="002D72BF" w:rsidP="002D72BF">
            <w:pPr>
              <w:spacing w:after="0"/>
              <w:ind w:firstLine="0"/>
              <w:jc w:val="right"/>
              <w:rPr>
                <w:color w:val="000000"/>
                <w:sz w:val="20"/>
              </w:rPr>
            </w:pPr>
            <w:r w:rsidRPr="002D72BF">
              <w:rPr>
                <w:color w:val="000000"/>
                <w:sz w:val="20"/>
              </w:rPr>
              <w:t>3,0</w:t>
            </w:r>
          </w:p>
        </w:tc>
        <w:tc>
          <w:tcPr>
            <w:tcW w:w="797" w:type="dxa"/>
            <w:vAlign w:val="bottom"/>
          </w:tcPr>
          <w:p w14:paraId="246C1435" w14:textId="77777777" w:rsidR="002D72BF" w:rsidRPr="002D72BF" w:rsidRDefault="002D72BF" w:rsidP="002D72BF">
            <w:pPr>
              <w:spacing w:after="0"/>
              <w:ind w:firstLine="0"/>
              <w:jc w:val="right"/>
              <w:rPr>
                <w:color w:val="000000"/>
                <w:sz w:val="20"/>
              </w:rPr>
            </w:pPr>
            <w:r w:rsidRPr="002D72BF">
              <w:rPr>
                <w:color w:val="000000"/>
                <w:sz w:val="20"/>
              </w:rPr>
              <w:t>1,5</w:t>
            </w:r>
          </w:p>
        </w:tc>
        <w:tc>
          <w:tcPr>
            <w:tcW w:w="797" w:type="dxa"/>
            <w:vAlign w:val="bottom"/>
          </w:tcPr>
          <w:p w14:paraId="614FFED5" w14:textId="77777777" w:rsidR="002D72BF" w:rsidRPr="002D72BF" w:rsidRDefault="002D72BF" w:rsidP="002D72BF">
            <w:pPr>
              <w:spacing w:after="0"/>
              <w:ind w:firstLine="0"/>
              <w:jc w:val="right"/>
              <w:rPr>
                <w:color w:val="000000"/>
                <w:sz w:val="20"/>
              </w:rPr>
            </w:pPr>
            <w:r w:rsidRPr="002D72BF">
              <w:rPr>
                <w:color w:val="000000"/>
                <w:sz w:val="20"/>
              </w:rPr>
              <w:t>2,3</w:t>
            </w:r>
          </w:p>
        </w:tc>
        <w:tc>
          <w:tcPr>
            <w:tcW w:w="783" w:type="dxa"/>
            <w:vAlign w:val="bottom"/>
          </w:tcPr>
          <w:p w14:paraId="54F01974" w14:textId="77777777" w:rsidR="002D72BF" w:rsidRPr="002D72BF" w:rsidRDefault="002D72BF" w:rsidP="002D72BF">
            <w:pPr>
              <w:spacing w:after="0"/>
              <w:ind w:firstLine="0"/>
              <w:jc w:val="right"/>
              <w:rPr>
                <w:color w:val="000000"/>
                <w:sz w:val="20"/>
              </w:rPr>
            </w:pPr>
            <w:r w:rsidRPr="002D72BF">
              <w:rPr>
                <w:color w:val="000000"/>
                <w:sz w:val="20"/>
              </w:rPr>
              <w:t>2,2</w:t>
            </w:r>
          </w:p>
        </w:tc>
        <w:tc>
          <w:tcPr>
            <w:tcW w:w="766" w:type="dxa"/>
            <w:vAlign w:val="bottom"/>
          </w:tcPr>
          <w:p w14:paraId="1A0D5C72" w14:textId="77777777" w:rsidR="002D72BF" w:rsidRPr="002D72BF" w:rsidRDefault="002D72BF" w:rsidP="002D72BF">
            <w:pPr>
              <w:spacing w:after="0"/>
              <w:ind w:firstLine="0"/>
              <w:jc w:val="right"/>
              <w:rPr>
                <w:color w:val="000000"/>
                <w:sz w:val="20"/>
              </w:rPr>
            </w:pPr>
            <w:r w:rsidRPr="002D72BF">
              <w:rPr>
                <w:color w:val="000000"/>
                <w:sz w:val="20"/>
              </w:rPr>
              <w:t>2,0</w:t>
            </w:r>
          </w:p>
        </w:tc>
      </w:tr>
      <w:tr w:rsidR="002D72BF" w:rsidRPr="002D72BF" w14:paraId="1FAFF4BA" w14:textId="77777777" w:rsidTr="008C7F19">
        <w:trPr>
          <w:jc w:val="center"/>
        </w:trPr>
        <w:tc>
          <w:tcPr>
            <w:tcW w:w="3551" w:type="dxa"/>
          </w:tcPr>
          <w:p w14:paraId="596CBA38" w14:textId="77777777" w:rsidR="002D72BF" w:rsidRPr="002D72BF" w:rsidRDefault="002D72BF" w:rsidP="002D72BF">
            <w:pPr>
              <w:spacing w:after="0"/>
              <w:ind w:firstLine="0"/>
              <w:jc w:val="left"/>
              <w:rPr>
                <w:noProof/>
                <w:snapToGrid w:val="0"/>
                <w:color w:val="000000"/>
                <w:sz w:val="20"/>
              </w:rPr>
            </w:pPr>
            <w:r w:rsidRPr="002D72BF">
              <w:rPr>
                <w:noProof/>
                <w:snapToGrid w:val="0"/>
                <w:color w:val="000000"/>
                <w:sz w:val="20"/>
              </w:rPr>
              <w:t>2. Privātā patēriņa deflators</w:t>
            </w:r>
          </w:p>
        </w:tc>
        <w:tc>
          <w:tcPr>
            <w:tcW w:w="952" w:type="dxa"/>
          </w:tcPr>
          <w:p w14:paraId="3B30D787" w14:textId="77777777" w:rsidR="002D72BF" w:rsidRPr="002D72BF" w:rsidRDefault="002D72BF" w:rsidP="002D72BF">
            <w:pPr>
              <w:spacing w:after="0"/>
              <w:ind w:firstLine="0"/>
              <w:jc w:val="left"/>
              <w:rPr>
                <w:snapToGrid w:val="0"/>
                <w:color w:val="000000"/>
                <w:sz w:val="20"/>
              </w:rPr>
            </w:pPr>
          </w:p>
        </w:tc>
        <w:tc>
          <w:tcPr>
            <w:tcW w:w="972" w:type="dxa"/>
            <w:vAlign w:val="center"/>
          </w:tcPr>
          <w:p w14:paraId="5BC92012" w14:textId="77777777" w:rsidR="002D72BF" w:rsidRPr="002D72BF" w:rsidRDefault="002D72BF" w:rsidP="002D72BF">
            <w:pPr>
              <w:spacing w:after="0"/>
              <w:ind w:firstLine="0"/>
              <w:jc w:val="center"/>
              <w:rPr>
                <w:color w:val="000000"/>
                <w:sz w:val="20"/>
              </w:rPr>
            </w:pPr>
          </w:p>
        </w:tc>
        <w:tc>
          <w:tcPr>
            <w:tcW w:w="797" w:type="dxa"/>
            <w:vAlign w:val="bottom"/>
          </w:tcPr>
          <w:p w14:paraId="4DE03E10" w14:textId="77777777" w:rsidR="002D72BF" w:rsidRPr="002D72BF" w:rsidRDefault="002D72BF" w:rsidP="002D72BF">
            <w:pPr>
              <w:spacing w:after="0"/>
              <w:ind w:firstLine="0"/>
              <w:jc w:val="right"/>
              <w:rPr>
                <w:color w:val="000000"/>
                <w:sz w:val="20"/>
              </w:rPr>
            </w:pPr>
            <w:r w:rsidRPr="002D72BF">
              <w:rPr>
                <w:color w:val="000000"/>
                <w:sz w:val="20"/>
              </w:rPr>
              <w:t>3,0</w:t>
            </w:r>
          </w:p>
        </w:tc>
        <w:tc>
          <w:tcPr>
            <w:tcW w:w="797" w:type="dxa"/>
            <w:vAlign w:val="bottom"/>
          </w:tcPr>
          <w:p w14:paraId="2EB9B864" w14:textId="77777777" w:rsidR="002D72BF" w:rsidRPr="002D72BF" w:rsidRDefault="002D72BF" w:rsidP="002D72BF">
            <w:pPr>
              <w:spacing w:after="0"/>
              <w:ind w:firstLine="0"/>
              <w:jc w:val="right"/>
              <w:rPr>
                <w:color w:val="000000"/>
                <w:sz w:val="20"/>
              </w:rPr>
            </w:pPr>
            <w:r w:rsidRPr="002D72BF">
              <w:rPr>
                <w:color w:val="000000"/>
                <w:sz w:val="20"/>
              </w:rPr>
              <w:t>1,5</w:t>
            </w:r>
          </w:p>
        </w:tc>
        <w:tc>
          <w:tcPr>
            <w:tcW w:w="797" w:type="dxa"/>
            <w:vAlign w:val="bottom"/>
          </w:tcPr>
          <w:p w14:paraId="25E3A03B" w14:textId="77777777" w:rsidR="002D72BF" w:rsidRPr="002D72BF" w:rsidRDefault="002D72BF" w:rsidP="002D72BF">
            <w:pPr>
              <w:spacing w:after="0"/>
              <w:ind w:firstLine="0"/>
              <w:jc w:val="right"/>
              <w:rPr>
                <w:color w:val="000000"/>
                <w:sz w:val="20"/>
              </w:rPr>
            </w:pPr>
            <w:r w:rsidRPr="002D72BF">
              <w:rPr>
                <w:color w:val="000000"/>
                <w:sz w:val="20"/>
              </w:rPr>
              <w:t>2,3</w:t>
            </w:r>
          </w:p>
        </w:tc>
        <w:tc>
          <w:tcPr>
            <w:tcW w:w="783" w:type="dxa"/>
            <w:vAlign w:val="bottom"/>
          </w:tcPr>
          <w:p w14:paraId="2886D159" w14:textId="77777777" w:rsidR="002D72BF" w:rsidRPr="002D72BF" w:rsidRDefault="002D72BF" w:rsidP="002D72BF">
            <w:pPr>
              <w:spacing w:after="0"/>
              <w:ind w:firstLine="0"/>
              <w:jc w:val="right"/>
              <w:rPr>
                <w:color w:val="000000"/>
                <w:sz w:val="20"/>
              </w:rPr>
            </w:pPr>
            <w:r w:rsidRPr="002D72BF">
              <w:rPr>
                <w:color w:val="000000"/>
                <w:sz w:val="20"/>
              </w:rPr>
              <w:t>2,2</w:t>
            </w:r>
          </w:p>
        </w:tc>
        <w:tc>
          <w:tcPr>
            <w:tcW w:w="766" w:type="dxa"/>
            <w:vAlign w:val="bottom"/>
          </w:tcPr>
          <w:p w14:paraId="571A1BF9" w14:textId="77777777" w:rsidR="002D72BF" w:rsidRPr="002D72BF" w:rsidRDefault="002D72BF" w:rsidP="002D72BF">
            <w:pPr>
              <w:spacing w:after="0"/>
              <w:ind w:firstLine="0"/>
              <w:jc w:val="right"/>
              <w:rPr>
                <w:color w:val="000000"/>
                <w:sz w:val="20"/>
              </w:rPr>
            </w:pPr>
            <w:r w:rsidRPr="002D72BF">
              <w:rPr>
                <w:color w:val="000000"/>
                <w:sz w:val="20"/>
              </w:rPr>
              <w:t>2,0</w:t>
            </w:r>
          </w:p>
        </w:tc>
      </w:tr>
      <w:tr w:rsidR="002D72BF" w:rsidRPr="002D72BF" w14:paraId="32F755A8" w14:textId="77777777" w:rsidTr="008C7F19">
        <w:trPr>
          <w:jc w:val="center"/>
        </w:trPr>
        <w:tc>
          <w:tcPr>
            <w:tcW w:w="3551" w:type="dxa"/>
          </w:tcPr>
          <w:p w14:paraId="3C4C522C" w14:textId="77777777" w:rsidR="002D72BF" w:rsidRPr="002D72BF" w:rsidRDefault="002D72BF" w:rsidP="002D72BF">
            <w:pPr>
              <w:spacing w:after="0"/>
              <w:ind w:firstLine="0"/>
              <w:jc w:val="left"/>
              <w:rPr>
                <w:noProof/>
                <w:snapToGrid w:val="0"/>
                <w:color w:val="FF0000"/>
                <w:sz w:val="20"/>
              </w:rPr>
            </w:pPr>
            <w:r w:rsidRPr="002D72BF">
              <w:rPr>
                <w:noProof/>
                <w:snapToGrid w:val="0"/>
                <w:sz w:val="20"/>
              </w:rPr>
              <w:t xml:space="preserve">3. </w:t>
            </w:r>
            <w:r w:rsidRPr="002D72BF">
              <w:rPr>
                <w:noProof/>
                <w:sz w:val="20"/>
              </w:rPr>
              <w:t>SPCI izmaiņas (gads pret gadu)</w:t>
            </w:r>
          </w:p>
        </w:tc>
        <w:tc>
          <w:tcPr>
            <w:tcW w:w="952" w:type="dxa"/>
          </w:tcPr>
          <w:p w14:paraId="56F92A37" w14:textId="77777777" w:rsidR="002D72BF" w:rsidRPr="002D72BF" w:rsidRDefault="002D72BF" w:rsidP="002D72BF">
            <w:pPr>
              <w:spacing w:after="0"/>
              <w:ind w:firstLine="0"/>
              <w:jc w:val="left"/>
              <w:rPr>
                <w:snapToGrid w:val="0"/>
                <w:color w:val="FF0000"/>
                <w:sz w:val="20"/>
              </w:rPr>
            </w:pPr>
          </w:p>
        </w:tc>
        <w:tc>
          <w:tcPr>
            <w:tcW w:w="972" w:type="dxa"/>
            <w:vAlign w:val="center"/>
          </w:tcPr>
          <w:p w14:paraId="2FD55DB8" w14:textId="77777777" w:rsidR="002D72BF" w:rsidRPr="002D72BF" w:rsidRDefault="002D72BF" w:rsidP="002D72BF">
            <w:pPr>
              <w:spacing w:after="0"/>
              <w:ind w:firstLine="0"/>
              <w:jc w:val="center"/>
              <w:rPr>
                <w:color w:val="FF0000"/>
                <w:sz w:val="20"/>
              </w:rPr>
            </w:pPr>
          </w:p>
        </w:tc>
        <w:tc>
          <w:tcPr>
            <w:tcW w:w="797" w:type="dxa"/>
            <w:vAlign w:val="bottom"/>
          </w:tcPr>
          <w:p w14:paraId="2779183D" w14:textId="77777777" w:rsidR="002D72BF" w:rsidRPr="002D72BF" w:rsidRDefault="002D72BF" w:rsidP="002D72BF">
            <w:pPr>
              <w:spacing w:after="0"/>
              <w:ind w:firstLine="0"/>
              <w:jc w:val="right"/>
              <w:rPr>
                <w:color w:val="000000"/>
                <w:sz w:val="20"/>
              </w:rPr>
            </w:pPr>
            <w:r w:rsidRPr="002D72BF">
              <w:rPr>
                <w:color w:val="000000"/>
                <w:sz w:val="20"/>
              </w:rPr>
              <w:t>2,3</w:t>
            </w:r>
          </w:p>
        </w:tc>
        <w:tc>
          <w:tcPr>
            <w:tcW w:w="797" w:type="dxa"/>
            <w:vAlign w:val="bottom"/>
          </w:tcPr>
          <w:p w14:paraId="6BA39F12" w14:textId="77777777" w:rsidR="002D72BF" w:rsidRPr="002D72BF" w:rsidRDefault="002D72BF" w:rsidP="002D72BF">
            <w:pPr>
              <w:spacing w:after="0"/>
              <w:ind w:firstLine="0"/>
              <w:jc w:val="right"/>
              <w:rPr>
                <w:color w:val="000000"/>
                <w:sz w:val="20"/>
              </w:rPr>
            </w:pPr>
            <w:r w:rsidRPr="002D72BF">
              <w:rPr>
                <w:color w:val="000000"/>
                <w:sz w:val="20"/>
              </w:rPr>
              <w:t>1,5</w:t>
            </w:r>
          </w:p>
        </w:tc>
        <w:tc>
          <w:tcPr>
            <w:tcW w:w="797" w:type="dxa"/>
            <w:vAlign w:val="bottom"/>
          </w:tcPr>
          <w:p w14:paraId="7F1A573E" w14:textId="77777777" w:rsidR="002D72BF" w:rsidRPr="002D72BF" w:rsidRDefault="002D72BF" w:rsidP="002D72BF">
            <w:pPr>
              <w:spacing w:after="0"/>
              <w:ind w:firstLine="0"/>
              <w:jc w:val="right"/>
              <w:rPr>
                <w:color w:val="000000"/>
                <w:sz w:val="20"/>
              </w:rPr>
            </w:pPr>
            <w:r w:rsidRPr="002D72BF">
              <w:rPr>
                <w:color w:val="000000"/>
                <w:sz w:val="20"/>
              </w:rPr>
              <w:t>2,3</w:t>
            </w:r>
          </w:p>
        </w:tc>
        <w:tc>
          <w:tcPr>
            <w:tcW w:w="783" w:type="dxa"/>
            <w:vAlign w:val="bottom"/>
          </w:tcPr>
          <w:p w14:paraId="3091E055" w14:textId="77777777" w:rsidR="002D72BF" w:rsidRPr="002D72BF" w:rsidRDefault="002D72BF" w:rsidP="002D72BF">
            <w:pPr>
              <w:spacing w:after="0"/>
              <w:ind w:firstLine="0"/>
              <w:jc w:val="right"/>
              <w:rPr>
                <w:color w:val="000000"/>
                <w:sz w:val="20"/>
              </w:rPr>
            </w:pPr>
            <w:r w:rsidRPr="002D72BF">
              <w:rPr>
                <w:color w:val="000000"/>
                <w:sz w:val="20"/>
              </w:rPr>
              <w:t>2,2</w:t>
            </w:r>
          </w:p>
        </w:tc>
        <w:tc>
          <w:tcPr>
            <w:tcW w:w="766" w:type="dxa"/>
            <w:vAlign w:val="bottom"/>
          </w:tcPr>
          <w:p w14:paraId="6757EBA0" w14:textId="77777777" w:rsidR="002D72BF" w:rsidRPr="002D72BF" w:rsidRDefault="002D72BF" w:rsidP="002D72BF">
            <w:pPr>
              <w:spacing w:after="0"/>
              <w:ind w:firstLine="0"/>
              <w:jc w:val="right"/>
              <w:rPr>
                <w:color w:val="000000"/>
                <w:sz w:val="20"/>
              </w:rPr>
            </w:pPr>
            <w:r w:rsidRPr="002D72BF">
              <w:rPr>
                <w:color w:val="000000"/>
                <w:sz w:val="20"/>
              </w:rPr>
              <w:t>2,0</w:t>
            </w:r>
          </w:p>
        </w:tc>
      </w:tr>
      <w:tr w:rsidR="002D72BF" w:rsidRPr="002D72BF" w14:paraId="1D979194" w14:textId="77777777" w:rsidTr="008C7F19">
        <w:trPr>
          <w:jc w:val="center"/>
        </w:trPr>
        <w:tc>
          <w:tcPr>
            <w:tcW w:w="3551" w:type="dxa"/>
          </w:tcPr>
          <w:p w14:paraId="559DE386" w14:textId="77777777" w:rsidR="002D72BF" w:rsidRPr="002D72BF" w:rsidRDefault="002D72BF" w:rsidP="002D72BF">
            <w:pPr>
              <w:spacing w:after="0"/>
              <w:ind w:firstLine="0"/>
              <w:jc w:val="left"/>
              <w:rPr>
                <w:noProof/>
                <w:snapToGrid w:val="0"/>
                <w:color w:val="000000"/>
                <w:sz w:val="20"/>
              </w:rPr>
            </w:pPr>
            <w:r w:rsidRPr="002D72BF">
              <w:rPr>
                <w:noProof/>
                <w:snapToGrid w:val="0"/>
                <w:color w:val="000000"/>
                <w:sz w:val="20"/>
              </w:rPr>
              <w:t>4. Sabiedriskā patēriņa deflators</w:t>
            </w:r>
          </w:p>
        </w:tc>
        <w:tc>
          <w:tcPr>
            <w:tcW w:w="952" w:type="dxa"/>
          </w:tcPr>
          <w:p w14:paraId="252E6F30" w14:textId="77777777" w:rsidR="002D72BF" w:rsidRPr="002D72BF" w:rsidRDefault="002D72BF" w:rsidP="002D72BF">
            <w:pPr>
              <w:spacing w:after="0"/>
              <w:ind w:firstLine="0"/>
              <w:jc w:val="left"/>
              <w:rPr>
                <w:snapToGrid w:val="0"/>
                <w:color w:val="000000"/>
                <w:sz w:val="20"/>
              </w:rPr>
            </w:pPr>
          </w:p>
        </w:tc>
        <w:tc>
          <w:tcPr>
            <w:tcW w:w="972" w:type="dxa"/>
            <w:vAlign w:val="center"/>
          </w:tcPr>
          <w:p w14:paraId="016C404F" w14:textId="77777777" w:rsidR="002D72BF" w:rsidRPr="002D72BF" w:rsidRDefault="002D72BF" w:rsidP="002D72BF">
            <w:pPr>
              <w:spacing w:after="0"/>
              <w:ind w:firstLine="0"/>
              <w:jc w:val="center"/>
              <w:rPr>
                <w:color w:val="000000"/>
                <w:sz w:val="20"/>
              </w:rPr>
            </w:pPr>
          </w:p>
        </w:tc>
        <w:tc>
          <w:tcPr>
            <w:tcW w:w="797" w:type="dxa"/>
            <w:vAlign w:val="bottom"/>
          </w:tcPr>
          <w:p w14:paraId="30EBCF32" w14:textId="77777777" w:rsidR="002D72BF" w:rsidRPr="002D72BF" w:rsidRDefault="002D72BF" w:rsidP="002D72BF">
            <w:pPr>
              <w:spacing w:after="0"/>
              <w:ind w:firstLine="0"/>
              <w:jc w:val="right"/>
              <w:rPr>
                <w:color w:val="000000"/>
                <w:sz w:val="20"/>
              </w:rPr>
            </w:pPr>
            <w:r w:rsidRPr="002D72BF">
              <w:rPr>
                <w:color w:val="000000"/>
                <w:sz w:val="20"/>
              </w:rPr>
              <w:t>-3,7</w:t>
            </w:r>
          </w:p>
        </w:tc>
        <w:tc>
          <w:tcPr>
            <w:tcW w:w="797" w:type="dxa"/>
            <w:vAlign w:val="bottom"/>
          </w:tcPr>
          <w:p w14:paraId="6178895B" w14:textId="77777777" w:rsidR="002D72BF" w:rsidRPr="002D72BF" w:rsidRDefault="002D72BF" w:rsidP="002D72BF">
            <w:pPr>
              <w:spacing w:after="0"/>
              <w:ind w:firstLine="0"/>
              <w:jc w:val="right"/>
              <w:rPr>
                <w:color w:val="000000"/>
                <w:sz w:val="20"/>
              </w:rPr>
            </w:pPr>
            <w:r w:rsidRPr="002D72BF">
              <w:rPr>
                <w:color w:val="000000"/>
                <w:sz w:val="20"/>
              </w:rPr>
              <w:t>2,0</w:t>
            </w:r>
          </w:p>
        </w:tc>
        <w:tc>
          <w:tcPr>
            <w:tcW w:w="797" w:type="dxa"/>
            <w:vAlign w:val="bottom"/>
          </w:tcPr>
          <w:p w14:paraId="683A4561" w14:textId="77777777" w:rsidR="002D72BF" w:rsidRPr="002D72BF" w:rsidRDefault="002D72BF" w:rsidP="002D72BF">
            <w:pPr>
              <w:spacing w:after="0"/>
              <w:ind w:firstLine="0"/>
              <w:jc w:val="right"/>
              <w:rPr>
                <w:color w:val="000000"/>
                <w:sz w:val="20"/>
              </w:rPr>
            </w:pPr>
            <w:r w:rsidRPr="002D72BF">
              <w:rPr>
                <w:color w:val="000000"/>
                <w:sz w:val="20"/>
              </w:rPr>
              <w:t>2,0</w:t>
            </w:r>
          </w:p>
        </w:tc>
        <w:tc>
          <w:tcPr>
            <w:tcW w:w="783" w:type="dxa"/>
            <w:vAlign w:val="bottom"/>
          </w:tcPr>
          <w:p w14:paraId="1E84902E" w14:textId="77777777" w:rsidR="002D72BF" w:rsidRPr="002D72BF" w:rsidRDefault="002D72BF" w:rsidP="002D72BF">
            <w:pPr>
              <w:spacing w:after="0"/>
              <w:ind w:firstLine="0"/>
              <w:jc w:val="right"/>
              <w:rPr>
                <w:color w:val="000000"/>
                <w:sz w:val="20"/>
              </w:rPr>
            </w:pPr>
            <w:r w:rsidRPr="002D72BF">
              <w:rPr>
                <w:color w:val="000000"/>
                <w:sz w:val="20"/>
              </w:rPr>
              <w:t>2,0</w:t>
            </w:r>
          </w:p>
        </w:tc>
        <w:tc>
          <w:tcPr>
            <w:tcW w:w="766" w:type="dxa"/>
            <w:vAlign w:val="bottom"/>
          </w:tcPr>
          <w:p w14:paraId="5E9BE470" w14:textId="77777777" w:rsidR="002D72BF" w:rsidRPr="002D72BF" w:rsidRDefault="002D72BF" w:rsidP="002D72BF">
            <w:pPr>
              <w:spacing w:after="0"/>
              <w:ind w:firstLine="0"/>
              <w:jc w:val="right"/>
              <w:rPr>
                <w:color w:val="000000"/>
                <w:sz w:val="20"/>
              </w:rPr>
            </w:pPr>
            <w:r w:rsidRPr="002D72BF">
              <w:rPr>
                <w:color w:val="000000"/>
                <w:sz w:val="20"/>
              </w:rPr>
              <w:t>2,0</w:t>
            </w:r>
          </w:p>
        </w:tc>
      </w:tr>
      <w:tr w:rsidR="002D72BF" w:rsidRPr="002D72BF" w14:paraId="63206103" w14:textId="77777777" w:rsidTr="008C7F19">
        <w:trPr>
          <w:jc w:val="center"/>
        </w:trPr>
        <w:tc>
          <w:tcPr>
            <w:tcW w:w="3551" w:type="dxa"/>
          </w:tcPr>
          <w:p w14:paraId="5AB89C07" w14:textId="77777777" w:rsidR="002D72BF" w:rsidRPr="002D72BF" w:rsidRDefault="002D72BF" w:rsidP="002D72BF">
            <w:pPr>
              <w:spacing w:after="0"/>
              <w:ind w:firstLine="0"/>
              <w:jc w:val="left"/>
              <w:rPr>
                <w:noProof/>
                <w:snapToGrid w:val="0"/>
                <w:color w:val="000000"/>
                <w:sz w:val="20"/>
              </w:rPr>
            </w:pPr>
            <w:r w:rsidRPr="002D72BF">
              <w:rPr>
                <w:noProof/>
                <w:snapToGrid w:val="0"/>
                <w:color w:val="000000"/>
                <w:sz w:val="20"/>
              </w:rPr>
              <w:t>5. Investīciju deflators</w:t>
            </w:r>
          </w:p>
        </w:tc>
        <w:tc>
          <w:tcPr>
            <w:tcW w:w="952" w:type="dxa"/>
          </w:tcPr>
          <w:p w14:paraId="77469A65" w14:textId="77777777" w:rsidR="002D72BF" w:rsidRPr="002D72BF" w:rsidRDefault="002D72BF" w:rsidP="002D72BF">
            <w:pPr>
              <w:spacing w:after="0"/>
              <w:ind w:firstLine="0"/>
              <w:jc w:val="left"/>
              <w:rPr>
                <w:color w:val="000000"/>
                <w:sz w:val="20"/>
              </w:rPr>
            </w:pPr>
          </w:p>
        </w:tc>
        <w:tc>
          <w:tcPr>
            <w:tcW w:w="972" w:type="dxa"/>
            <w:vAlign w:val="center"/>
          </w:tcPr>
          <w:p w14:paraId="6A9E1D6F" w14:textId="77777777" w:rsidR="002D72BF" w:rsidRPr="002D72BF" w:rsidRDefault="002D72BF" w:rsidP="002D72BF">
            <w:pPr>
              <w:spacing w:after="0"/>
              <w:ind w:firstLine="0"/>
              <w:jc w:val="center"/>
              <w:rPr>
                <w:color w:val="000000"/>
                <w:sz w:val="20"/>
              </w:rPr>
            </w:pPr>
          </w:p>
        </w:tc>
        <w:tc>
          <w:tcPr>
            <w:tcW w:w="797" w:type="dxa"/>
            <w:vAlign w:val="bottom"/>
          </w:tcPr>
          <w:p w14:paraId="4EDC1832" w14:textId="77777777" w:rsidR="002D72BF" w:rsidRPr="002D72BF" w:rsidRDefault="002D72BF" w:rsidP="002D72BF">
            <w:pPr>
              <w:spacing w:after="0"/>
              <w:ind w:firstLine="0"/>
              <w:jc w:val="right"/>
              <w:rPr>
                <w:color w:val="000000"/>
                <w:sz w:val="20"/>
              </w:rPr>
            </w:pPr>
            <w:r w:rsidRPr="002D72BF">
              <w:rPr>
                <w:color w:val="000000"/>
                <w:sz w:val="20"/>
              </w:rPr>
              <w:t>6,6</w:t>
            </w:r>
          </w:p>
        </w:tc>
        <w:tc>
          <w:tcPr>
            <w:tcW w:w="797" w:type="dxa"/>
            <w:vAlign w:val="bottom"/>
          </w:tcPr>
          <w:p w14:paraId="6C990D14" w14:textId="77777777" w:rsidR="002D72BF" w:rsidRPr="002D72BF" w:rsidRDefault="002D72BF" w:rsidP="002D72BF">
            <w:pPr>
              <w:spacing w:after="0"/>
              <w:ind w:firstLine="0"/>
              <w:jc w:val="right"/>
              <w:rPr>
                <w:color w:val="000000"/>
                <w:sz w:val="20"/>
              </w:rPr>
            </w:pPr>
            <w:r w:rsidRPr="002D72BF">
              <w:rPr>
                <w:color w:val="000000"/>
                <w:sz w:val="20"/>
              </w:rPr>
              <w:t>2,5</w:t>
            </w:r>
          </w:p>
        </w:tc>
        <w:tc>
          <w:tcPr>
            <w:tcW w:w="797" w:type="dxa"/>
            <w:vAlign w:val="bottom"/>
          </w:tcPr>
          <w:p w14:paraId="4697AD14" w14:textId="77777777" w:rsidR="002D72BF" w:rsidRPr="002D72BF" w:rsidRDefault="002D72BF" w:rsidP="002D72BF">
            <w:pPr>
              <w:spacing w:after="0"/>
              <w:ind w:firstLine="0"/>
              <w:jc w:val="right"/>
              <w:rPr>
                <w:color w:val="000000"/>
                <w:sz w:val="20"/>
              </w:rPr>
            </w:pPr>
            <w:r w:rsidRPr="002D72BF">
              <w:rPr>
                <w:color w:val="000000"/>
                <w:sz w:val="20"/>
              </w:rPr>
              <w:t>2,0</w:t>
            </w:r>
          </w:p>
        </w:tc>
        <w:tc>
          <w:tcPr>
            <w:tcW w:w="783" w:type="dxa"/>
            <w:vAlign w:val="bottom"/>
          </w:tcPr>
          <w:p w14:paraId="43D7B900" w14:textId="77777777" w:rsidR="002D72BF" w:rsidRPr="002D72BF" w:rsidRDefault="002D72BF" w:rsidP="002D72BF">
            <w:pPr>
              <w:spacing w:after="0"/>
              <w:ind w:firstLine="0"/>
              <w:jc w:val="right"/>
              <w:rPr>
                <w:color w:val="000000"/>
                <w:sz w:val="20"/>
              </w:rPr>
            </w:pPr>
            <w:r w:rsidRPr="002D72BF">
              <w:rPr>
                <w:color w:val="000000"/>
                <w:sz w:val="20"/>
              </w:rPr>
              <w:t>2,0</w:t>
            </w:r>
          </w:p>
        </w:tc>
        <w:tc>
          <w:tcPr>
            <w:tcW w:w="766" w:type="dxa"/>
            <w:vAlign w:val="bottom"/>
          </w:tcPr>
          <w:p w14:paraId="45E0FB95" w14:textId="77777777" w:rsidR="002D72BF" w:rsidRPr="002D72BF" w:rsidRDefault="002D72BF" w:rsidP="002D72BF">
            <w:pPr>
              <w:spacing w:after="0"/>
              <w:ind w:firstLine="0"/>
              <w:jc w:val="right"/>
              <w:rPr>
                <w:color w:val="000000"/>
                <w:sz w:val="20"/>
              </w:rPr>
            </w:pPr>
            <w:r w:rsidRPr="002D72BF">
              <w:rPr>
                <w:color w:val="000000"/>
                <w:sz w:val="20"/>
              </w:rPr>
              <w:t>2,0</w:t>
            </w:r>
          </w:p>
        </w:tc>
      </w:tr>
      <w:tr w:rsidR="002D72BF" w:rsidRPr="002D72BF" w14:paraId="40D4CA9F" w14:textId="77777777" w:rsidTr="008C7F19">
        <w:trPr>
          <w:jc w:val="center"/>
        </w:trPr>
        <w:tc>
          <w:tcPr>
            <w:tcW w:w="3551" w:type="dxa"/>
          </w:tcPr>
          <w:p w14:paraId="6C36A0C8" w14:textId="77777777" w:rsidR="002D72BF" w:rsidRPr="002D72BF" w:rsidRDefault="002D72BF" w:rsidP="002D72BF">
            <w:pPr>
              <w:spacing w:after="0"/>
              <w:ind w:firstLine="0"/>
              <w:jc w:val="left"/>
              <w:rPr>
                <w:noProof/>
                <w:snapToGrid w:val="0"/>
                <w:color w:val="000000"/>
                <w:sz w:val="20"/>
              </w:rPr>
            </w:pPr>
            <w:r w:rsidRPr="002D72BF">
              <w:rPr>
                <w:noProof/>
                <w:snapToGrid w:val="0"/>
                <w:color w:val="000000"/>
                <w:sz w:val="20"/>
              </w:rPr>
              <w:t>6. Eksporta (preču un pakalpojumu) deflators</w:t>
            </w:r>
          </w:p>
        </w:tc>
        <w:tc>
          <w:tcPr>
            <w:tcW w:w="952" w:type="dxa"/>
          </w:tcPr>
          <w:p w14:paraId="06C2F9B1" w14:textId="77777777" w:rsidR="002D72BF" w:rsidRPr="002D72BF" w:rsidRDefault="002D72BF" w:rsidP="002D72BF">
            <w:pPr>
              <w:spacing w:after="0"/>
              <w:ind w:firstLine="0"/>
              <w:jc w:val="left"/>
              <w:rPr>
                <w:color w:val="000000"/>
                <w:sz w:val="20"/>
              </w:rPr>
            </w:pPr>
          </w:p>
        </w:tc>
        <w:tc>
          <w:tcPr>
            <w:tcW w:w="972" w:type="dxa"/>
            <w:vAlign w:val="center"/>
          </w:tcPr>
          <w:p w14:paraId="00F1B779" w14:textId="77777777" w:rsidR="002D72BF" w:rsidRPr="002D72BF" w:rsidRDefault="002D72BF" w:rsidP="002D72BF">
            <w:pPr>
              <w:spacing w:after="0"/>
              <w:ind w:firstLine="0"/>
              <w:jc w:val="center"/>
              <w:rPr>
                <w:color w:val="000000"/>
                <w:sz w:val="20"/>
              </w:rPr>
            </w:pPr>
          </w:p>
        </w:tc>
        <w:tc>
          <w:tcPr>
            <w:tcW w:w="797" w:type="dxa"/>
            <w:vAlign w:val="bottom"/>
          </w:tcPr>
          <w:p w14:paraId="54184AF6" w14:textId="77777777" w:rsidR="002D72BF" w:rsidRPr="002D72BF" w:rsidRDefault="002D72BF" w:rsidP="002D72BF">
            <w:pPr>
              <w:spacing w:after="0"/>
              <w:ind w:firstLine="0"/>
              <w:jc w:val="right"/>
              <w:rPr>
                <w:color w:val="000000"/>
                <w:sz w:val="20"/>
              </w:rPr>
            </w:pPr>
            <w:r w:rsidRPr="002D72BF">
              <w:rPr>
                <w:color w:val="000000"/>
                <w:sz w:val="20"/>
              </w:rPr>
              <w:t>5,6</w:t>
            </w:r>
          </w:p>
        </w:tc>
        <w:tc>
          <w:tcPr>
            <w:tcW w:w="797" w:type="dxa"/>
            <w:vAlign w:val="bottom"/>
          </w:tcPr>
          <w:p w14:paraId="4300AD70" w14:textId="77777777" w:rsidR="002D72BF" w:rsidRPr="002D72BF" w:rsidRDefault="002D72BF" w:rsidP="002D72BF">
            <w:pPr>
              <w:spacing w:after="0"/>
              <w:ind w:firstLine="0"/>
              <w:jc w:val="right"/>
              <w:rPr>
                <w:color w:val="000000"/>
                <w:sz w:val="20"/>
              </w:rPr>
            </w:pPr>
            <w:r w:rsidRPr="002D72BF">
              <w:rPr>
                <w:color w:val="000000"/>
                <w:sz w:val="20"/>
              </w:rPr>
              <w:t>1,0</w:t>
            </w:r>
          </w:p>
        </w:tc>
        <w:tc>
          <w:tcPr>
            <w:tcW w:w="797" w:type="dxa"/>
            <w:vAlign w:val="bottom"/>
          </w:tcPr>
          <w:p w14:paraId="0C0A807A" w14:textId="77777777" w:rsidR="002D72BF" w:rsidRPr="002D72BF" w:rsidRDefault="002D72BF" w:rsidP="002D72BF">
            <w:pPr>
              <w:spacing w:after="0"/>
              <w:ind w:firstLine="0"/>
              <w:jc w:val="right"/>
              <w:rPr>
                <w:color w:val="000000"/>
                <w:sz w:val="20"/>
              </w:rPr>
            </w:pPr>
            <w:r w:rsidRPr="002D72BF">
              <w:rPr>
                <w:color w:val="000000"/>
                <w:sz w:val="20"/>
              </w:rPr>
              <w:t>1,0</w:t>
            </w:r>
          </w:p>
        </w:tc>
        <w:tc>
          <w:tcPr>
            <w:tcW w:w="783" w:type="dxa"/>
            <w:vAlign w:val="bottom"/>
          </w:tcPr>
          <w:p w14:paraId="09EF732F" w14:textId="77777777" w:rsidR="002D72BF" w:rsidRPr="002D72BF" w:rsidRDefault="002D72BF" w:rsidP="002D72BF">
            <w:pPr>
              <w:spacing w:after="0"/>
              <w:ind w:firstLine="0"/>
              <w:jc w:val="right"/>
              <w:rPr>
                <w:color w:val="000000"/>
                <w:sz w:val="20"/>
              </w:rPr>
            </w:pPr>
            <w:r w:rsidRPr="002D72BF">
              <w:rPr>
                <w:color w:val="000000"/>
                <w:sz w:val="20"/>
              </w:rPr>
              <w:t>1,0</w:t>
            </w:r>
          </w:p>
        </w:tc>
        <w:tc>
          <w:tcPr>
            <w:tcW w:w="766" w:type="dxa"/>
            <w:vAlign w:val="bottom"/>
          </w:tcPr>
          <w:p w14:paraId="422281A7" w14:textId="77777777" w:rsidR="002D72BF" w:rsidRPr="002D72BF" w:rsidRDefault="002D72BF" w:rsidP="002D72BF">
            <w:pPr>
              <w:spacing w:after="0"/>
              <w:ind w:firstLine="0"/>
              <w:jc w:val="right"/>
              <w:rPr>
                <w:color w:val="000000"/>
                <w:sz w:val="20"/>
              </w:rPr>
            </w:pPr>
            <w:r w:rsidRPr="002D72BF">
              <w:rPr>
                <w:color w:val="000000"/>
                <w:sz w:val="20"/>
              </w:rPr>
              <w:t>1,0</w:t>
            </w:r>
          </w:p>
        </w:tc>
      </w:tr>
      <w:tr w:rsidR="002D72BF" w:rsidRPr="002D72BF" w14:paraId="61DAD459" w14:textId="77777777" w:rsidTr="008C7F19">
        <w:trPr>
          <w:jc w:val="center"/>
        </w:trPr>
        <w:tc>
          <w:tcPr>
            <w:tcW w:w="3551" w:type="dxa"/>
          </w:tcPr>
          <w:p w14:paraId="3E6DFF44" w14:textId="77777777" w:rsidR="002D72BF" w:rsidRPr="002D72BF" w:rsidRDefault="002D72BF" w:rsidP="002D72BF">
            <w:pPr>
              <w:spacing w:after="0"/>
              <w:ind w:firstLine="0"/>
              <w:jc w:val="left"/>
              <w:rPr>
                <w:noProof/>
                <w:snapToGrid w:val="0"/>
                <w:color w:val="000000"/>
                <w:sz w:val="20"/>
              </w:rPr>
            </w:pPr>
            <w:r w:rsidRPr="002D72BF">
              <w:rPr>
                <w:noProof/>
                <w:snapToGrid w:val="0"/>
                <w:color w:val="000000"/>
                <w:sz w:val="20"/>
              </w:rPr>
              <w:t>7. Importa (preču un pakalpojumu) deflators</w:t>
            </w:r>
          </w:p>
        </w:tc>
        <w:tc>
          <w:tcPr>
            <w:tcW w:w="952" w:type="dxa"/>
          </w:tcPr>
          <w:p w14:paraId="1CE6B4D0" w14:textId="77777777" w:rsidR="002D72BF" w:rsidRPr="002D72BF" w:rsidRDefault="002D72BF" w:rsidP="002D72BF">
            <w:pPr>
              <w:spacing w:after="0"/>
              <w:ind w:firstLine="0"/>
              <w:jc w:val="left"/>
              <w:rPr>
                <w:color w:val="000000"/>
                <w:sz w:val="20"/>
              </w:rPr>
            </w:pPr>
          </w:p>
        </w:tc>
        <w:tc>
          <w:tcPr>
            <w:tcW w:w="972" w:type="dxa"/>
            <w:vAlign w:val="center"/>
          </w:tcPr>
          <w:p w14:paraId="59B3529F" w14:textId="77777777" w:rsidR="002D72BF" w:rsidRPr="002D72BF" w:rsidRDefault="002D72BF" w:rsidP="002D72BF">
            <w:pPr>
              <w:spacing w:after="0"/>
              <w:ind w:firstLine="0"/>
              <w:jc w:val="center"/>
              <w:rPr>
                <w:color w:val="000000"/>
                <w:sz w:val="20"/>
              </w:rPr>
            </w:pPr>
          </w:p>
        </w:tc>
        <w:tc>
          <w:tcPr>
            <w:tcW w:w="797" w:type="dxa"/>
            <w:vAlign w:val="bottom"/>
          </w:tcPr>
          <w:p w14:paraId="4F758D67" w14:textId="77777777" w:rsidR="002D72BF" w:rsidRPr="002D72BF" w:rsidRDefault="002D72BF" w:rsidP="002D72BF">
            <w:pPr>
              <w:spacing w:after="0"/>
              <w:ind w:firstLine="0"/>
              <w:jc w:val="right"/>
              <w:rPr>
                <w:color w:val="000000"/>
                <w:sz w:val="20"/>
              </w:rPr>
            </w:pPr>
            <w:r w:rsidRPr="002D72BF">
              <w:rPr>
                <w:color w:val="000000"/>
                <w:sz w:val="20"/>
              </w:rPr>
              <w:t>6,9</w:t>
            </w:r>
          </w:p>
        </w:tc>
        <w:tc>
          <w:tcPr>
            <w:tcW w:w="797" w:type="dxa"/>
            <w:vAlign w:val="bottom"/>
          </w:tcPr>
          <w:p w14:paraId="6BBE9AFB" w14:textId="77777777" w:rsidR="002D72BF" w:rsidRPr="002D72BF" w:rsidRDefault="002D72BF" w:rsidP="002D72BF">
            <w:pPr>
              <w:spacing w:after="0"/>
              <w:ind w:firstLine="0"/>
              <w:jc w:val="right"/>
              <w:rPr>
                <w:color w:val="000000"/>
                <w:sz w:val="20"/>
              </w:rPr>
            </w:pPr>
            <w:r w:rsidRPr="002D72BF">
              <w:rPr>
                <w:color w:val="000000"/>
                <w:sz w:val="20"/>
              </w:rPr>
              <w:t>1,0</w:t>
            </w:r>
          </w:p>
        </w:tc>
        <w:tc>
          <w:tcPr>
            <w:tcW w:w="797" w:type="dxa"/>
            <w:vAlign w:val="bottom"/>
          </w:tcPr>
          <w:p w14:paraId="0A4C84F9" w14:textId="77777777" w:rsidR="002D72BF" w:rsidRPr="002D72BF" w:rsidRDefault="002D72BF" w:rsidP="002D72BF">
            <w:pPr>
              <w:spacing w:after="0"/>
              <w:ind w:firstLine="0"/>
              <w:jc w:val="right"/>
              <w:rPr>
                <w:color w:val="000000"/>
                <w:sz w:val="20"/>
              </w:rPr>
            </w:pPr>
            <w:r w:rsidRPr="002D72BF">
              <w:rPr>
                <w:color w:val="000000"/>
                <w:sz w:val="20"/>
              </w:rPr>
              <w:t>1,0</w:t>
            </w:r>
          </w:p>
        </w:tc>
        <w:tc>
          <w:tcPr>
            <w:tcW w:w="783" w:type="dxa"/>
            <w:vAlign w:val="bottom"/>
          </w:tcPr>
          <w:p w14:paraId="34960C9D" w14:textId="77777777" w:rsidR="002D72BF" w:rsidRPr="002D72BF" w:rsidRDefault="002D72BF" w:rsidP="002D72BF">
            <w:pPr>
              <w:spacing w:after="0"/>
              <w:ind w:firstLine="0"/>
              <w:jc w:val="right"/>
              <w:rPr>
                <w:color w:val="000000"/>
                <w:sz w:val="20"/>
              </w:rPr>
            </w:pPr>
            <w:r w:rsidRPr="002D72BF">
              <w:rPr>
                <w:color w:val="000000"/>
                <w:sz w:val="20"/>
              </w:rPr>
              <w:t>1,0</w:t>
            </w:r>
          </w:p>
        </w:tc>
        <w:tc>
          <w:tcPr>
            <w:tcW w:w="766" w:type="dxa"/>
            <w:vAlign w:val="bottom"/>
          </w:tcPr>
          <w:p w14:paraId="7B6EB9CC" w14:textId="77777777" w:rsidR="002D72BF" w:rsidRPr="002D72BF" w:rsidRDefault="002D72BF" w:rsidP="002D72BF">
            <w:pPr>
              <w:spacing w:after="0"/>
              <w:ind w:firstLine="0"/>
              <w:jc w:val="right"/>
              <w:rPr>
                <w:color w:val="000000"/>
                <w:sz w:val="20"/>
              </w:rPr>
            </w:pPr>
            <w:r w:rsidRPr="002D72BF">
              <w:rPr>
                <w:color w:val="000000"/>
                <w:sz w:val="20"/>
              </w:rPr>
              <w:t>1,0</w:t>
            </w:r>
          </w:p>
        </w:tc>
      </w:tr>
    </w:tbl>
    <w:p w14:paraId="2311434F" w14:textId="77777777" w:rsidR="002D62B9" w:rsidRPr="001946E0" w:rsidRDefault="002D62B9" w:rsidP="002D62B9">
      <w:pPr>
        <w:pStyle w:val="T"/>
        <w:rPr>
          <w:rFonts w:ascii="Times New Roman" w:hAnsi="Times New Roman"/>
          <w:color w:val="000000"/>
        </w:rPr>
      </w:pPr>
    </w:p>
    <w:p w14:paraId="684FF388" w14:textId="77777777" w:rsidR="002D62B9" w:rsidRPr="001946E0" w:rsidRDefault="00203D1A" w:rsidP="002D62B9">
      <w:pPr>
        <w:ind w:firstLine="0"/>
        <w:rPr>
          <w:b/>
          <w:color w:val="000000"/>
        </w:rPr>
      </w:pPr>
      <w:r>
        <w:rPr>
          <w:b/>
          <w:color w:val="000000"/>
        </w:rPr>
        <w:t>1c. t</w:t>
      </w:r>
      <w:r w:rsidR="002D62B9" w:rsidRPr="001946E0">
        <w:rPr>
          <w:b/>
          <w:color w:val="000000"/>
        </w:rPr>
        <w:t>bula. Darba tirgus attīstība</w:t>
      </w:r>
    </w:p>
    <w:tbl>
      <w:tblPr>
        <w:tblW w:w="933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421"/>
        <w:gridCol w:w="851"/>
        <w:gridCol w:w="992"/>
        <w:gridCol w:w="974"/>
        <w:gridCol w:w="850"/>
        <w:gridCol w:w="851"/>
        <w:gridCol w:w="708"/>
        <w:gridCol w:w="689"/>
      </w:tblGrid>
      <w:tr w:rsidR="002D72BF" w:rsidRPr="002D72BF" w14:paraId="5A008BDF" w14:textId="77777777" w:rsidTr="00112D09">
        <w:trPr>
          <w:tblHeader/>
          <w:jc w:val="center"/>
        </w:trPr>
        <w:tc>
          <w:tcPr>
            <w:tcW w:w="3421" w:type="dxa"/>
          </w:tcPr>
          <w:p w14:paraId="5E3E8D55" w14:textId="77777777" w:rsidR="002D72BF" w:rsidRPr="002D72BF" w:rsidRDefault="002D72BF" w:rsidP="002D72BF">
            <w:pPr>
              <w:spacing w:after="0"/>
              <w:ind w:firstLine="0"/>
              <w:jc w:val="left"/>
              <w:rPr>
                <w:color w:val="000000"/>
                <w:sz w:val="20"/>
              </w:rPr>
            </w:pPr>
          </w:p>
        </w:tc>
        <w:tc>
          <w:tcPr>
            <w:tcW w:w="851" w:type="dxa"/>
          </w:tcPr>
          <w:p w14:paraId="20C0E96C" w14:textId="77777777" w:rsidR="002D72BF" w:rsidRPr="002D72BF" w:rsidRDefault="002D72BF" w:rsidP="002D72BF">
            <w:pPr>
              <w:spacing w:after="0"/>
              <w:ind w:firstLine="0"/>
              <w:jc w:val="left"/>
              <w:rPr>
                <w:color w:val="000000"/>
                <w:sz w:val="20"/>
              </w:rPr>
            </w:pPr>
            <w:r w:rsidRPr="002D72BF">
              <w:rPr>
                <w:color w:val="000000"/>
                <w:sz w:val="20"/>
              </w:rPr>
              <w:t>EKS</w:t>
            </w:r>
          </w:p>
          <w:p w14:paraId="23C78B29" w14:textId="77777777" w:rsidR="002D72BF" w:rsidRPr="002D72BF" w:rsidRDefault="002D72BF" w:rsidP="002D72BF">
            <w:pPr>
              <w:spacing w:after="0"/>
              <w:ind w:firstLine="0"/>
              <w:jc w:val="left"/>
              <w:rPr>
                <w:color w:val="000000"/>
                <w:sz w:val="20"/>
              </w:rPr>
            </w:pPr>
            <w:r w:rsidRPr="002D72BF">
              <w:rPr>
                <w:color w:val="000000"/>
                <w:sz w:val="20"/>
              </w:rPr>
              <w:t>Kods</w:t>
            </w:r>
          </w:p>
        </w:tc>
        <w:tc>
          <w:tcPr>
            <w:tcW w:w="992" w:type="dxa"/>
          </w:tcPr>
          <w:p w14:paraId="39325CD7" w14:textId="77777777" w:rsidR="002D72BF" w:rsidRPr="002D72BF" w:rsidRDefault="002D72BF" w:rsidP="002D72BF">
            <w:pPr>
              <w:spacing w:after="0"/>
              <w:ind w:firstLine="0"/>
              <w:jc w:val="center"/>
              <w:rPr>
                <w:b/>
                <w:color w:val="000000"/>
                <w:sz w:val="20"/>
              </w:rPr>
            </w:pPr>
            <w:r w:rsidRPr="002D72BF">
              <w:rPr>
                <w:b/>
                <w:color w:val="000000"/>
                <w:sz w:val="20"/>
              </w:rPr>
              <w:t>2012</w:t>
            </w:r>
          </w:p>
        </w:tc>
        <w:tc>
          <w:tcPr>
            <w:tcW w:w="974" w:type="dxa"/>
          </w:tcPr>
          <w:p w14:paraId="5C207FBE" w14:textId="77777777" w:rsidR="002D72BF" w:rsidRPr="002D72BF" w:rsidRDefault="002D72BF" w:rsidP="002D72BF">
            <w:pPr>
              <w:spacing w:after="0"/>
              <w:ind w:firstLine="0"/>
              <w:jc w:val="center"/>
              <w:rPr>
                <w:b/>
                <w:color w:val="000000"/>
                <w:sz w:val="20"/>
              </w:rPr>
            </w:pPr>
            <w:r w:rsidRPr="002D72BF">
              <w:rPr>
                <w:b/>
                <w:color w:val="000000"/>
                <w:sz w:val="20"/>
              </w:rPr>
              <w:t>2012</w:t>
            </w:r>
          </w:p>
        </w:tc>
        <w:tc>
          <w:tcPr>
            <w:tcW w:w="850" w:type="dxa"/>
          </w:tcPr>
          <w:p w14:paraId="65D17B7B" w14:textId="77777777" w:rsidR="002D72BF" w:rsidRPr="002D72BF" w:rsidRDefault="002D72BF" w:rsidP="002D72BF">
            <w:pPr>
              <w:spacing w:after="0"/>
              <w:ind w:firstLine="0"/>
              <w:jc w:val="center"/>
              <w:rPr>
                <w:b/>
                <w:color w:val="000000"/>
                <w:sz w:val="20"/>
              </w:rPr>
            </w:pPr>
            <w:r w:rsidRPr="002D72BF">
              <w:rPr>
                <w:b/>
                <w:color w:val="000000"/>
                <w:sz w:val="20"/>
              </w:rPr>
              <w:t>2013</w:t>
            </w:r>
          </w:p>
        </w:tc>
        <w:tc>
          <w:tcPr>
            <w:tcW w:w="851" w:type="dxa"/>
          </w:tcPr>
          <w:p w14:paraId="307B0742" w14:textId="77777777" w:rsidR="002D72BF" w:rsidRPr="002D72BF" w:rsidRDefault="002D72BF" w:rsidP="002D72BF">
            <w:pPr>
              <w:spacing w:after="0"/>
              <w:ind w:firstLine="0"/>
              <w:jc w:val="center"/>
              <w:rPr>
                <w:b/>
                <w:color w:val="000000"/>
                <w:sz w:val="20"/>
              </w:rPr>
            </w:pPr>
            <w:r w:rsidRPr="002D72BF">
              <w:rPr>
                <w:b/>
                <w:color w:val="000000"/>
                <w:sz w:val="20"/>
              </w:rPr>
              <w:t>2014</w:t>
            </w:r>
          </w:p>
        </w:tc>
        <w:tc>
          <w:tcPr>
            <w:tcW w:w="708" w:type="dxa"/>
          </w:tcPr>
          <w:p w14:paraId="7AD24631" w14:textId="77777777" w:rsidR="002D72BF" w:rsidRPr="002D72BF" w:rsidRDefault="002D72BF" w:rsidP="002D72BF">
            <w:pPr>
              <w:spacing w:after="0"/>
              <w:ind w:firstLine="0"/>
              <w:jc w:val="center"/>
              <w:rPr>
                <w:b/>
                <w:color w:val="000000"/>
                <w:sz w:val="20"/>
              </w:rPr>
            </w:pPr>
            <w:r w:rsidRPr="002D72BF">
              <w:rPr>
                <w:b/>
                <w:color w:val="000000"/>
                <w:sz w:val="20"/>
              </w:rPr>
              <w:t>2015</w:t>
            </w:r>
          </w:p>
        </w:tc>
        <w:tc>
          <w:tcPr>
            <w:tcW w:w="689" w:type="dxa"/>
          </w:tcPr>
          <w:p w14:paraId="6FDBB01F" w14:textId="77777777" w:rsidR="002D72BF" w:rsidRPr="002D72BF" w:rsidRDefault="002D72BF" w:rsidP="002D72BF">
            <w:pPr>
              <w:spacing w:after="0"/>
              <w:ind w:firstLine="0"/>
              <w:jc w:val="center"/>
              <w:rPr>
                <w:b/>
                <w:color w:val="000000"/>
                <w:sz w:val="20"/>
              </w:rPr>
            </w:pPr>
            <w:r w:rsidRPr="002D72BF">
              <w:rPr>
                <w:b/>
                <w:color w:val="000000"/>
                <w:sz w:val="20"/>
              </w:rPr>
              <w:t>2016</w:t>
            </w:r>
          </w:p>
        </w:tc>
      </w:tr>
      <w:tr w:rsidR="002D72BF" w:rsidRPr="002D72BF" w14:paraId="3F0B1B84" w14:textId="77777777" w:rsidTr="00112D09">
        <w:trPr>
          <w:trHeight w:val="77"/>
          <w:jc w:val="center"/>
        </w:trPr>
        <w:tc>
          <w:tcPr>
            <w:tcW w:w="3421" w:type="dxa"/>
          </w:tcPr>
          <w:p w14:paraId="6202D887" w14:textId="77777777" w:rsidR="002D72BF" w:rsidRPr="002D72BF" w:rsidRDefault="002D72BF" w:rsidP="002D72BF">
            <w:pPr>
              <w:spacing w:after="0"/>
              <w:ind w:firstLine="0"/>
              <w:jc w:val="left"/>
              <w:rPr>
                <w:snapToGrid w:val="0"/>
                <w:color w:val="000000"/>
                <w:sz w:val="20"/>
              </w:rPr>
            </w:pPr>
          </w:p>
        </w:tc>
        <w:tc>
          <w:tcPr>
            <w:tcW w:w="851" w:type="dxa"/>
          </w:tcPr>
          <w:p w14:paraId="2239B02D" w14:textId="77777777" w:rsidR="002D72BF" w:rsidRPr="002D72BF" w:rsidRDefault="002D72BF" w:rsidP="002D72BF">
            <w:pPr>
              <w:keepNext/>
              <w:keepLines/>
              <w:spacing w:before="480" w:after="0"/>
              <w:ind w:firstLine="0"/>
              <w:jc w:val="left"/>
              <w:outlineLvl w:val="0"/>
              <w:rPr>
                <w:color w:val="000000"/>
                <w:sz w:val="20"/>
              </w:rPr>
            </w:pPr>
          </w:p>
        </w:tc>
        <w:tc>
          <w:tcPr>
            <w:tcW w:w="992" w:type="dxa"/>
          </w:tcPr>
          <w:p w14:paraId="1A286EDD" w14:textId="77777777" w:rsidR="002D72BF" w:rsidRPr="002D72BF" w:rsidRDefault="002D72BF" w:rsidP="002D72BF">
            <w:pPr>
              <w:tabs>
                <w:tab w:val="decimal" w:pos="296"/>
              </w:tabs>
              <w:spacing w:after="0"/>
              <w:ind w:firstLine="0"/>
              <w:jc w:val="center"/>
              <w:rPr>
                <w:color w:val="000000"/>
                <w:sz w:val="20"/>
              </w:rPr>
            </w:pPr>
            <w:r w:rsidRPr="002D72BF">
              <w:rPr>
                <w:color w:val="000000"/>
                <w:sz w:val="20"/>
              </w:rPr>
              <w:t>Līmenis</w:t>
            </w:r>
          </w:p>
        </w:tc>
        <w:tc>
          <w:tcPr>
            <w:tcW w:w="4072" w:type="dxa"/>
            <w:gridSpan w:val="5"/>
          </w:tcPr>
          <w:p w14:paraId="1C31D6D3" w14:textId="77777777" w:rsidR="002D72BF" w:rsidRPr="002D72BF" w:rsidRDefault="002D72BF" w:rsidP="002D72BF">
            <w:pPr>
              <w:tabs>
                <w:tab w:val="decimal" w:pos="296"/>
              </w:tabs>
              <w:spacing w:after="0"/>
              <w:ind w:firstLine="0"/>
              <w:jc w:val="center"/>
              <w:rPr>
                <w:color w:val="000000"/>
                <w:sz w:val="20"/>
              </w:rPr>
            </w:pPr>
            <w:r w:rsidRPr="002D72BF">
              <w:rPr>
                <w:color w:val="000000"/>
                <w:sz w:val="20"/>
              </w:rPr>
              <w:t>Pieaugums %</w:t>
            </w:r>
          </w:p>
        </w:tc>
      </w:tr>
      <w:tr w:rsidR="002D72BF" w:rsidRPr="002D72BF" w14:paraId="6A49634C" w14:textId="77777777" w:rsidTr="00112D09">
        <w:trPr>
          <w:jc w:val="center"/>
        </w:trPr>
        <w:tc>
          <w:tcPr>
            <w:tcW w:w="3421" w:type="dxa"/>
            <w:vAlign w:val="center"/>
          </w:tcPr>
          <w:p w14:paraId="282B8001" w14:textId="77777777" w:rsidR="002D72BF" w:rsidRPr="002D72BF" w:rsidRDefault="002D72BF" w:rsidP="002D72BF">
            <w:pPr>
              <w:spacing w:after="0" w:line="276" w:lineRule="auto"/>
              <w:ind w:firstLine="0"/>
              <w:jc w:val="left"/>
              <w:rPr>
                <w:snapToGrid w:val="0"/>
                <w:color w:val="000000"/>
                <w:sz w:val="20"/>
              </w:rPr>
            </w:pPr>
            <w:r w:rsidRPr="002D72BF">
              <w:rPr>
                <w:snapToGrid w:val="0"/>
                <w:color w:val="000000"/>
                <w:sz w:val="20"/>
              </w:rPr>
              <w:t>1. Nodarbinātība, cilvēki, tūkst</w:t>
            </w:r>
          </w:p>
        </w:tc>
        <w:tc>
          <w:tcPr>
            <w:tcW w:w="851" w:type="dxa"/>
            <w:vAlign w:val="center"/>
          </w:tcPr>
          <w:p w14:paraId="27DA732B" w14:textId="77777777" w:rsidR="002D72BF" w:rsidRPr="002D72BF" w:rsidRDefault="002D72BF" w:rsidP="002D72BF">
            <w:pPr>
              <w:spacing w:after="0" w:line="276" w:lineRule="auto"/>
              <w:ind w:firstLine="0"/>
              <w:jc w:val="left"/>
              <w:rPr>
                <w:snapToGrid w:val="0"/>
                <w:color w:val="000000"/>
                <w:sz w:val="20"/>
              </w:rPr>
            </w:pPr>
          </w:p>
        </w:tc>
        <w:tc>
          <w:tcPr>
            <w:tcW w:w="992" w:type="dxa"/>
            <w:vAlign w:val="bottom"/>
          </w:tcPr>
          <w:p w14:paraId="0280F312" w14:textId="77777777" w:rsidR="002D72BF" w:rsidRPr="002D72BF" w:rsidRDefault="002D72BF" w:rsidP="002D72BF">
            <w:pPr>
              <w:tabs>
                <w:tab w:val="decimal" w:pos="511"/>
              </w:tabs>
              <w:spacing w:after="0"/>
              <w:ind w:firstLine="0"/>
              <w:jc w:val="center"/>
              <w:rPr>
                <w:snapToGrid w:val="0"/>
                <w:sz w:val="20"/>
              </w:rPr>
            </w:pPr>
            <w:r w:rsidRPr="002D72BF">
              <w:rPr>
                <w:snapToGrid w:val="0"/>
                <w:sz w:val="20"/>
              </w:rPr>
              <w:t>885,6</w:t>
            </w:r>
          </w:p>
        </w:tc>
        <w:tc>
          <w:tcPr>
            <w:tcW w:w="974" w:type="dxa"/>
            <w:vAlign w:val="bottom"/>
          </w:tcPr>
          <w:p w14:paraId="27F9A0BA" w14:textId="77777777" w:rsidR="002D72BF" w:rsidRPr="002D72BF" w:rsidRDefault="002D72BF" w:rsidP="002D72BF">
            <w:pPr>
              <w:spacing w:after="0"/>
              <w:ind w:firstLine="0"/>
              <w:jc w:val="right"/>
              <w:rPr>
                <w:snapToGrid w:val="0"/>
                <w:sz w:val="20"/>
              </w:rPr>
            </w:pPr>
            <w:r w:rsidRPr="002D72BF">
              <w:rPr>
                <w:snapToGrid w:val="0"/>
                <w:sz w:val="20"/>
              </w:rPr>
              <w:t>2,8</w:t>
            </w:r>
          </w:p>
        </w:tc>
        <w:tc>
          <w:tcPr>
            <w:tcW w:w="850" w:type="dxa"/>
            <w:vAlign w:val="bottom"/>
          </w:tcPr>
          <w:p w14:paraId="2E97D957" w14:textId="77777777" w:rsidR="002D72BF" w:rsidRPr="002D72BF" w:rsidRDefault="002D72BF" w:rsidP="002D72BF">
            <w:pPr>
              <w:spacing w:after="0"/>
              <w:ind w:firstLine="0"/>
              <w:jc w:val="right"/>
              <w:rPr>
                <w:snapToGrid w:val="0"/>
                <w:sz w:val="20"/>
              </w:rPr>
            </w:pPr>
            <w:r w:rsidRPr="002D72BF">
              <w:rPr>
                <w:snapToGrid w:val="0"/>
                <w:sz w:val="20"/>
              </w:rPr>
              <w:t>1,4</w:t>
            </w:r>
          </w:p>
        </w:tc>
        <w:tc>
          <w:tcPr>
            <w:tcW w:w="851" w:type="dxa"/>
            <w:vAlign w:val="bottom"/>
          </w:tcPr>
          <w:p w14:paraId="127999F4" w14:textId="77777777" w:rsidR="002D72BF" w:rsidRPr="002D72BF" w:rsidRDefault="002D72BF" w:rsidP="002D72BF">
            <w:pPr>
              <w:spacing w:after="0"/>
              <w:ind w:firstLine="0"/>
              <w:jc w:val="right"/>
              <w:rPr>
                <w:snapToGrid w:val="0"/>
                <w:sz w:val="20"/>
              </w:rPr>
            </w:pPr>
            <w:r w:rsidRPr="002D72BF">
              <w:rPr>
                <w:snapToGrid w:val="0"/>
                <w:sz w:val="20"/>
              </w:rPr>
              <w:t>1,2</w:t>
            </w:r>
          </w:p>
        </w:tc>
        <w:tc>
          <w:tcPr>
            <w:tcW w:w="708" w:type="dxa"/>
            <w:vAlign w:val="bottom"/>
          </w:tcPr>
          <w:p w14:paraId="5E13D3B8" w14:textId="77777777" w:rsidR="002D72BF" w:rsidRPr="002D72BF" w:rsidRDefault="002D72BF" w:rsidP="002D72BF">
            <w:pPr>
              <w:spacing w:after="0"/>
              <w:ind w:firstLine="0"/>
              <w:jc w:val="right"/>
              <w:rPr>
                <w:snapToGrid w:val="0"/>
                <w:sz w:val="20"/>
              </w:rPr>
            </w:pPr>
            <w:r w:rsidRPr="002D72BF">
              <w:rPr>
                <w:snapToGrid w:val="0"/>
                <w:sz w:val="20"/>
              </w:rPr>
              <w:t>1,3</w:t>
            </w:r>
          </w:p>
        </w:tc>
        <w:tc>
          <w:tcPr>
            <w:tcW w:w="689" w:type="dxa"/>
            <w:vAlign w:val="bottom"/>
          </w:tcPr>
          <w:p w14:paraId="39AE2EE2" w14:textId="77777777" w:rsidR="002D72BF" w:rsidRPr="002D72BF" w:rsidRDefault="002D72BF" w:rsidP="002D72BF">
            <w:pPr>
              <w:spacing w:after="0"/>
              <w:ind w:firstLine="0"/>
              <w:jc w:val="right"/>
              <w:rPr>
                <w:snapToGrid w:val="0"/>
                <w:sz w:val="20"/>
              </w:rPr>
            </w:pPr>
            <w:r w:rsidRPr="002D72BF">
              <w:rPr>
                <w:snapToGrid w:val="0"/>
                <w:sz w:val="20"/>
              </w:rPr>
              <w:t>1,3</w:t>
            </w:r>
          </w:p>
        </w:tc>
      </w:tr>
      <w:tr w:rsidR="002D72BF" w:rsidRPr="002D72BF" w14:paraId="0EB619BD" w14:textId="77777777" w:rsidTr="00112D09">
        <w:trPr>
          <w:jc w:val="center"/>
        </w:trPr>
        <w:tc>
          <w:tcPr>
            <w:tcW w:w="3421" w:type="dxa"/>
            <w:vAlign w:val="center"/>
          </w:tcPr>
          <w:p w14:paraId="1C735A97" w14:textId="77777777" w:rsidR="002D72BF" w:rsidRPr="002D72BF" w:rsidRDefault="002D72BF" w:rsidP="002D72BF">
            <w:pPr>
              <w:spacing w:after="0" w:line="276" w:lineRule="auto"/>
              <w:ind w:firstLine="0"/>
              <w:jc w:val="left"/>
              <w:rPr>
                <w:snapToGrid w:val="0"/>
                <w:color w:val="000000"/>
                <w:sz w:val="20"/>
              </w:rPr>
            </w:pPr>
            <w:r w:rsidRPr="002D72BF">
              <w:rPr>
                <w:snapToGrid w:val="0"/>
                <w:color w:val="000000"/>
                <w:sz w:val="20"/>
              </w:rPr>
              <w:t>2. Nodarbinātība, darba stundas</w:t>
            </w:r>
          </w:p>
        </w:tc>
        <w:tc>
          <w:tcPr>
            <w:tcW w:w="851" w:type="dxa"/>
            <w:vAlign w:val="center"/>
          </w:tcPr>
          <w:p w14:paraId="10670FA0" w14:textId="77777777" w:rsidR="002D72BF" w:rsidRPr="002D72BF" w:rsidRDefault="002D72BF" w:rsidP="002D72BF">
            <w:pPr>
              <w:spacing w:after="0" w:line="276" w:lineRule="auto"/>
              <w:ind w:firstLine="0"/>
              <w:jc w:val="left"/>
              <w:rPr>
                <w:snapToGrid w:val="0"/>
                <w:color w:val="000000"/>
                <w:sz w:val="20"/>
              </w:rPr>
            </w:pPr>
          </w:p>
        </w:tc>
        <w:tc>
          <w:tcPr>
            <w:tcW w:w="992" w:type="dxa"/>
            <w:vAlign w:val="center"/>
          </w:tcPr>
          <w:p w14:paraId="5CCF2C83" w14:textId="77777777" w:rsidR="002D72BF" w:rsidRPr="002D72BF" w:rsidRDefault="002D72BF" w:rsidP="002D72BF">
            <w:pPr>
              <w:tabs>
                <w:tab w:val="decimal" w:pos="511"/>
              </w:tabs>
              <w:spacing w:after="0" w:line="276" w:lineRule="auto"/>
              <w:ind w:firstLine="0"/>
              <w:jc w:val="center"/>
              <w:rPr>
                <w:color w:val="000000"/>
                <w:sz w:val="19"/>
                <w:szCs w:val="19"/>
              </w:rPr>
            </w:pPr>
            <w:r w:rsidRPr="002D72BF">
              <w:rPr>
                <w:color w:val="000000" w:themeColor="text1"/>
                <w:sz w:val="20"/>
              </w:rPr>
              <w:t>1259099372</w:t>
            </w:r>
          </w:p>
        </w:tc>
        <w:tc>
          <w:tcPr>
            <w:tcW w:w="974" w:type="dxa"/>
            <w:vAlign w:val="bottom"/>
          </w:tcPr>
          <w:p w14:paraId="12EB910F" w14:textId="77777777" w:rsidR="002D72BF" w:rsidRPr="002D72BF" w:rsidRDefault="002D72BF" w:rsidP="002D72BF">
            <w:pPr>
              <w:spacing w:after="0"/>
              <w:ind w:firstLine="0"/>
              <w:jc w:val="right"/>
              <w:rPr>
                <w:sz w:val="20"/>
              </w:rPr>
            </w:pPr>
            <w:r w:rsidRPr="002D72BF">
              <w:rPr>
                <w:sz w:val="20"/>
              </w:rPr>
              <w:t>4,5</w:t>
            </w:r>
          </w:p>
        </w:tc>
        <w:tc>
          <w:tcPr>
            <w:tcW w:w="850" w:type="dxa"/>
            <w:vAlign w:val="bottom"/>
          </w:tcPr>
          <w:p w14:paraId="72289C67" w14:textId="77777777" w:rsidR="002D72BF" w:rsidRPr="002D72BF" w:rsidRDefault="002D72BF" w:rsidP="002D72BF">
            <w:pPr>
              <w:spacing w:after="0"/>
              <w:ind w:firstLine="0"/>
              <w:jc w:val="right"/>
              <w:rPr>
                <w:snapToGrid w:val="0"/>
                <w:sz w:val="20"/>
              </w:rPr>
            </w:pPr>
            <w:r w:rsidRPr="002D72BF">
              <w:rPr>
                <w:snapToGrid w:val="0"/>
                <w:sz w:val="20"/>
              </w:rPr>
              <w:t>3,1</w:t>
            </w:r>
          </w:p>
        </w:tc>
        <w:tc>
          <w:tcPr>
            <w:tcW w:w="851" w:type="dxa"/>
            <w:vAlign w:val="bottom"/>
          </w:tcPr>
          <w:p w14:paraId="1B04FEDA" w14:textId="77777777" w:rsidR="002D72BF" w:rsidRPr="002D72BF" w:rsidRDefault="002D72BF" w:rsidP="002D72BF">
            <w:pPr>
              <w:spacing w:after="0"/>
              <w:ind w:firstLine="0"/>
              <w:jc w:val="right"/>
              <w:rPr>
                <w:snapToGrid w:val="0"/>
                <w:sz w:val="20"/>
              </w:rPr>
            </w:pPr>
            <w:r w:rsidRPr="002D72BF">
              <w:rPr>
                <w:snapToGrid w:val="0"/>
                <w:sz w:val="20"/>
              </w:rPr>
              <w:t>3,2</w:t>
            </w:r>
          </w:p>
        </w:tc>
        <w:tc>
          <w:tcPr>
            <w:tcW w:w="708" w:type="dxa"/>
            <w:vAlign w:val="bottom"/>
          </w:tcPr>
          <w:p w14:paraId="29B1A62C" w14:textId="77777777" w:rsidR="002D72BF" w:rsidRPr="002D72BF" w:rsidRDefault="002D72BF" w:rsidP="002D72BF">
            <w:pPr>
              <w:spacing w:after="0"/>
              <w:ind w:firstLine="0"/>
              <w:jc w:val="right"/>
              <w:rPr>
                <w:snapToGrid w:val="0"/>
                <w:sz w:val="20"/>
              </w:rPr>
            </w:pPr>
            <w:r w:rsidRPr="002D72BF">
              <w:rPr>
                <w:snapToGrid w:val="0"/>
                <w:sz w:val="20"/>
              </w:rPr>
              <w:t>3,2</w:t>
            </w:r>
          </w:p>
        </w:tc>
        <w:tc>
          <w:tcPr>
            <w:tcW w:w="689" w:type="dxa"/>
            <w:vAlign w:val="bottom"/>
          </w:tcPr>
          <w:p w14:paraId="1F40A992" w14:textId="77777777" w:rsidR="002D72BF" w:rsidRPr="002D72BF" w:rsidRDefault="002D72BF" w:rsidP="002D72BF">
            <w:pPr>
              <w:spacing w:after="0"/>
              <w:ind w:firstLine="0"/>
              <w:jc w:val="right"/>
              <w:rPr>
                <w:snapToGrid w:val="0"/>
                <w:sz w:val="20"/>
              </w:rPr>
            </w:pPr>
            <w:r w:rsidRPr="002D72BF">
              <w:rPr>
                <w:snapToGrid w:val="0"/>
                <w:sz w:val="20"/>
              </w:rPr>
              <w:t>3,2</w:t>
            </w:r>
          </w:p>
        </w:tc>
      </w:tr>
      <w:tr w:rsidR="002D72BF" w:rsidRPr="002D72BF" w14:paraId="5F11BEB5" w14:textId="77777777" w:rsidTr="00112D09">
        <w:trPr>
          <w:jc w:val="center"/>
        </w:trPr>
        <w:tc>
          <w:tcPr>
            <w:tcW w:w="3421" w:type="dxa"/>
            <w:vAlign w:val="center"/>
          </w:tcPr>
          <w:p w14:paraId="7B061703" w14:textId="77777777" w:rsidR="002D72BF" w:rsidRPr="002D72BF" w:rsidRDefault="002D72BF" w:rsidP="002D72BF">
            <w:pPr>
              <w:spacing w:after="0" w:line="276" w:lineRule="auto"/>
              <w:ind w:firstLine="0"/>
              <w:jc w:val="left"/>
              <w:rPr>
                <w:snapToGrid w:val="0"/>
                <w:color w:val="000000"/>
                <w:sz w:val="20"/>
              </w:rPr>
            </w:pPr>
            <w:r w:rsidRPr="002D72BF">
              <w:rPr>
                <w:snapToGrid w:val="0"/>
                <w:color w:val="000000"/>
                <w:sz w:val="20"/>
              </w:rPr>
              <w:t>3. Bezdarba līmenis (%)</w:t>
            </w:r>
          </w:p>
        </w:tc>
        <w:tc>
          <w:tcPr>
            <w:tcW w:w="851" w:type="dxa"/>
            <w:vAlign w:val="center"/>
          </w:tcPr>
          <w:p w14:paraId="33ADC680" w14:textId="77777777" w:rsidR="002D72BF" w:rsidRPr="002D72BF" w:rsidRDefault="002D72BF" w:rsidP="002D72BF">
            <w:pPr>
              <w:spacing w:after="0" w:line="276" w:lineRule="auto"/>
              <w:ind w:firstLine="0"/>
              <w:jc w:val="left"/>
              <w:rPr>
                <w:snapToGrid w:val="0"/>
                <w:color w:val="000000"/>
                <w:sz w:val="20"/>
              </w:rPr>
            </w:pPr>
          </w:p>
        </w:tc>
        <w:tc>
          <w:tcPr>
            <w:tcW w:w="992" w:type="dxa"/>
            <w:vAlign w:val="center"/>
          </w:tcPr>
          <w:p w14:paraId="2CA4F272" w14:textId="77777777" w:rsidR="002D72BF" w:rsidRPr="002D72BF" w:rsidRDefault="002D72BF" w:rsidP="002D72BF">
            <w:pPr>
              <w:tabs>
                <w:tab w:val="decimal" w:pos="511"/>
              </w:tabs>
              <w:spacing w:after="0" w:line="276" w:lineRule="auto"/>
              <w:ind w:firstLine="0"/>
              <w:jc w:val="left"/>
              <w:rPr>
                <w:snapToGrid w:val="0"/>
                <w:color w:val="000000"/>
                <w:sz w:val="20"/>
              </w:rPr>
            </w:pPr>
          </w:p>
        </w:tc>
        <w:tc>
          <w:tcPr>
            <w:tcW w:w="974" w:type="dxa"/>
          </w:tcPr>
          <w:p w14:paraId="4EF5C000" w14:textId="77777777" w:rsidR="002D72BF" w:rsidRPr="002D72BF" w:rsidRDefault="002D72BF" w:rsidP="002D72BF">
            <w:pPr>
              <w:spacing w:after="0"/>
              <w:ind w:firstLine="0"/>
              <w:jc w:val="right"/>
              <w:rPr>
                <w:snapToGrid w:val="0"/>
                <w:sz w:val="20"/>
              </w:rPr>
            </w:pPr>
            <w:r w:rsidRPr="002D72BF">
              <w:rPr>
                <w:snapToGrid w:val="0"/>
                <w:sz w:val="20"/>
              </w:rPr>
              <w:t>14,9</w:t>
            </w:r>
          </w:p>
        </w:tc>
        <w:tc>
          <w:tcPr>
            <w:tcW w:w="850" w:type="dxa"/>
          </w:tcPr>
          <w:p w14:paraId="44D3AFDE" w14:textId="77777777" w:rsidR="002D72BF" w:rsidRPr="002D72BF" w:rsidRDefault="002D72BF" w:rsidP="002D72BF">
            <w:pPr>
              <w:spacing w:after="0"/>
              <w:ind w:firstLine="0"/>
              <w:jc w:val="right"/>
              <w:rPr>
                <w:snapToGrid w:val="0"/>
                <w:sz w:val="20"/>
              </w:rPr>
            </w:pPr>
            <w:r w:rsidRPr="002D72BF">
              <w:rPr>
                <w:snapToGrid w:val="0"/>
                <w:sz w:val="20"/>
              </w:rPr>
              <w:t>12,6</w:t>
            </w:r>
          </w:p>
        </w:tc>
        <w:tc>
          <w:tcPr>
            <w:tcW w:w="851" w:type="dxa"/>
          </w:tcPr>
          <w:p w14:paraId="080EB8C2" w14:textId="77777777" w:rsidR="002D72BF" w:rsidRPr="002D72BF" w:rsidRDefault="002D72BF" w:rsidP="002D72BF">
            <w:pPr>
              <w:spacing w:after="0"/>
              <w:ind w:firstLine="0"/>
              <w:jc w:val="right"/>
              <w:rPr>
                <w:snapToGrid w:val="0"/>
                <w:sz w:val="20"/>
              </w:rPr>
            </w:pPr>
            <w:r w:rsidRPr="002D72BF">
              <w:rPr>
                <w:snapToGrid w:val="0"/>
                <w:sz w:val="20"/>
              </w:rPr>
              <w:t>11,3</w:t>
            </w:r>
          </w:p>
        </w:tc>
        <w:tc>
          <w:tcPr>
            <w:tcW w:w="708" w:type="dxa"/>
          </w:tcPr>
          <w:p w14:paraId="37D2AD8A" w14:textId="77777777" w:rsidR="002D72BF" w:rsidRPr="002D72BF" w:rsidRDefault="002D72BF" w:rsidP="002D72BF">
            <w:pPr>
              <w:spacing w:after="0"/>
              <w:ind w:firstLine="0"/>
              <w:jc w:val="right"/>
              <w:rPr>
                <w:snapToGrid w:val="0"/>
                <w:sz w:val="20"/>
              </w:rPr>
            </w:pPr>
            <w:r w:rsidRPr="002D72BF">
              <w:rPr>
                <w:snapToGrid w:val="0"/>
                <w:sz w:val="20"/>
              </w:rPr>
              <w:t>9,9</w:t>
            </w:r>
          </w:p>
        </w:tc>
        <w:tc>
          <w:tcPr>
            <w:tcW w:w="689" w:type="dxa"/>
          </w:tcPr>
          <w:p w14:paraId="2858506A" w14:textId="77777777" w:rsidR="002D72BF" w:rsidRPr="002D72BF" w:rsidRDefault="002D72BF" w:rsidP="002D72BF">
            <w:pPr>
              <w:spacing w:after="0"/>
              <w:ind w:firstLine="0"/>
              <w:jc w:val="right"/>
              <w:rPr>
                <w:snapToGrid w:val="0"/>
                <w:sz w:val="20"/>
              </w:rPr>
            </w:pPr>
            <w:r w:rsidRPr="002D72BF">
              <w:rPr>
                <w:snapToGrid w:val="0"/>
                <w:sz w:val="20"/>
              </w:rPr>
              <w:t>8,7</w:t>
            </w:r>
          </w:p>
        </w:tc>
      </w:tr>
      <w:tr w:rsidR="002D72BF" w:rsidRPr="002D72BF" w14:paraId="07868551" w14:textId="77777777" w:rsidTr="00112D09">
        <w:trPr>
          <w:jc w:val="center"/>
        </w:trPr>
        <w:tc>
          <w:tcPr>
            <w:tcW w:w="3421" w:type="dxa"/>
            <w:vAlign w:val="center"/>
          </w:tcPr>
          <w:p w14:paraId="46CE1B8B" w14:textId="77777777" w:rsidR="002D72BF" w:rsidRPr="002D72BF" w:rsidRDefault="002D72BF" w:rsidP="002D72BF">
            <w:pPr>
              <w:spacing w:after="0" w:line="276" w:lineRule="auto"/>
              <w:ind w:firstLine="0"/>
              <w:jc w:val="left"/>
              <w:rPr>
                <w:snapToGrid w:val="0"/>
                <w:color w:val="000000"/>
                <w:sz w:val="20"/>
              </w:rPr>
            </w:pPr>
            <w:r w:rsidRPr="002D72BF">
              <w:rPr>
                <w:snapToGrid w:val="0"/>
                <w:color w:val="000000"/>
                <w:sz w:val="20"/>
              </w:rPr>
              <w:t>4. Darba ražīgums, uz nodarbināto</w:t>
            </w:r>
          </w:p>
        </w:tc>
        <w:tc>
          <w:tcPr>
            <w:tcW w:w="851" w:type="dxa"/>
            <w:vAlign w:val="center"/>
          </w:tcPr>
          <w:p w14:paraId="6C036BA6" w14:textId="77777777" w:rsidR="002D72BF" w:rsidRPr="002D72BF" w:rsidRDefault="002D72BF" w:rsidP="002D72BF">
            <w:pPr>
              <w:spacing w:after="0" w:line="276" w:lineRule="auto"/>
              <w:ind w:firstLine="0"/>
              <w:jc w:val="left"/>
              <w:rPr>
                <w:snapToGrid w:val="0"/>
                <w:color w:val="000000"/>
                <w:sz w:val="20"/>
              </w:rPr>
            </w:pPr>
          </w:p>
        </w:tc>
        <w:tc>
          <w:tcPr>
            <w:tcW w:w="992" w:type="dxa"/>
            <w:vAlign w:val="center"/>
          </w:tcPr>
          <w:p w14:paraId="5A45BC6F" w14:textId="77777777" w:rsidR="002D72BF" w:rsidRPr="002D72BF" w:rsidRDefault="002D72BF" w:rsidP="002D72BF">
            <w:pPr>
              <w:tabs>
                <w:tab w:val="decimal" w:pos="511"/>
              </w:tabs>
              <w:spacing w:after="0" w:line="276" w:lineRule="auto"/>
              <w:ind w:firstLine="0"/>
              <w:jc w:val="left"/>
              <w:rPr>
                <w:snapToGrid w:val="0"/>
                <w:color w:val="000000"/>
                <w:sz w:val="20"/>
              </w:rPr>
            </w:pPr>
          </w:p>
        </w:tc>
        <w:tc>
          <w:tcPr>
            <w:tcW w:w="974" w:type="dxa"/>
            <w:vAlign w:val="bottom"/>
          </w:tcPr>
          <w:p w14:paraId="405AD55A" w14:textId="77777777" w:rsidR="002D72BF" w:rsidRPr="002D72BF" w:rsidRDefault="002D72BF" w:rsidP="002D72BF">
            <w:pPr>
              <w:spacing w:after="0"/>
              <w:ind w:firstLine="0"/>
              <w:jc w:val="right"/>
              <w:rPr>
                <w:sz w:val="20"/>
              </w:rPr>
            </w:pPr>
            <w:r w:rsidRPr="002D72BF">
              <w:rPr>
                <w:sz w:val="20"/>
              </w:rPr>
              <w:t>2,7</w:t>
            </w:r>
          </w:p>
        </w:tc>
        <w:tc>
          <w:tcPr>
            <w:tcW w:w="850" w:type="dxa"/>
            <w:vAlign w:val="bottom"/>
          </w:tcPr>
          <w:p w14:paraId="77B7AE2A" w14:textId="77777777" w:rsidR="002D72BF" w:rsidRPr="002D72BF" w:rsidRDefault="002D72BF" w:rsidP="002D72BF">
            <w:pPr>
              <w:spacing w:after="0"/>
              <w:ind w:firstLine="0"/>
              <w:jc w:val="right"/>
              <w:rPr>
                <w:sz w:val="20"/>
              </w:rPr>
            </w:pPr>
            <w:r w:rsidRPr="002D72BF">
              <w:rPr>
                <w:sz w:val="20"/>
              </w:rPr>
              <w:t>2,5</w:t>
            </w:r>
          </w:p>
        </w:tc>
        <w:tc>
          <w:tcPr>
            <w:tcW w:w="851" w:type="dxa"/>
            <w:vAlign w:val="bottom"/>
          </w:tcPr>
          <w:p w14:paraId="5CA1849B" w14:textId="77777777" w:rsidR="002D72BF" w:rsidRPr="002D72BF" w:rsidRDefault="002D72BF" w:rsidP="002D72BF">
            <w:pPr>
              <w:spacing w:after="0"/>
              <w:ind w:firstLine="0"/>
              <w:jc w:val="right"/>
              <w:rPr>
                <w:sz w:val="20"/>
              </w:rPr>
            </w:pPr>
            <w:r w:rsidRPr="002D72BF">
              <w:rPr>
                <w:sz w:val="20"/>
              </w:rPr>
              <w:t>2,8</w:t>
            </w:r>
          </w:p>
        </w:tc>
        <w:tc>
          <w:tcPr>
            <w:tcW w:w="708" w:type="dxa"/>
            <w:vAlign w:val="bottom"/>
          </w:tcPr>
          <w:p w14:paraId="3B69182F" w14:textId="77777777" w:rsidR="002D72BF" w:rsidRPr="002D72BF" w:rsidRDefault="002D72BF" w:rsidP="002D72BF">
            <w:pPr>
              <w:spacing w:after="0"/>
              <w:ind w:firstLine="0"/>
              <w:jc w:val="right"/>
              <w:rPr>
                <w:sz w:val="20"/>
              </w:rPr>
            </w:pPr>
            <w:r w:rsidRPr="002D72BF">
              <w:rPr>
                <w:sz w:val="20"/>
              </w:rPr>
              <w:t>2,7</w:t>
            </w:r>
          </w:p>
        </w:tc>
        <w:tc>
          <w:tcPr>
            <w:tcW w:w="689" w:type="dxa"/>
            <w:vAlign w:val="bottom"/>
          </w:tcPr>
          <w:p w14:paraId="49D18FCD" w14:textId="77777777" w:rsidR="002D72BF" w:rsidRPr="002D72BF" w:rsidRDefault="002D72BF" w:rsidP="002D72BF">
            <w:pPr>
              <w:spacing w:after="0"/>
              <w:ind w:firstLine="0"/>
              <w:jc w:val="right"/>
              <w:rPr>
                <w:sz w:val="20"/>
              </w:rPr>
            </w:pPr>
            <w:r w:rsidRPr="002D72BF">
              <w:rPr>
                <w:sz w:val="20"/>
              </w:rPr>
              <w:t>2,6</w:t>
            </w:r>
          </w:p>
        </w:tc>
      </w:tr>
      <w:tr w:rsidR="002D72BF" w:rsidRPr="002D72BF" w14:paraId="4064ECD0" w14:textId="77777777" w:rsidTr="00112D09">
        <w:trPr>
          <w:jc w:val="center"/>
        </w:trPr>
        <w:tc>
          <w:tcPr>
            <w:tcW w:w="3421" w:type="dxa"/>
            <w:vAlign w:val="center"/>
          </w:tcPr>
          <w:p w14:paraId="4EB51FBC" w14:textId="77777777" w:rsidR="002D72BF" w:rsidRPr="002D72BF" w:rsidRDefault="002D72BF" w:rsidP="002D72BF">
            <w:pPr>
              <w:spacing w:after="0" w:line="276" w:lineRule="auto"/>
              <w:ind w:firstLine="0"/>
              <w:jc w:val="left"/>
              <w:rPr>
                <w:snapToGrid w:val="0"/>
                <w:color w:val="000000"/>
                <w:sz w:val="20"/>
              </w:rPr>
            </w:pPr>
            <w:r w:rsidRPr="002D72BF">
              <w:rPr>
                <w:snapToGrid w:val="0"/>
                <w:color w:val="000000"/>
                <w:sz w:val="20"/>
              </w:rPr>
              <w:t>5. Darba ražīgums, uz darba stundu</w:t>
            </w:r>
          </w:p>
        </w:tc>
        <w:tc>
          <w:tcPr>
            <w:tcW w:w="851" w:type="dxa"/>
            <w:vAlign w:val="center"/>
          </w:tcPr>
          <w:p w14:paraId="158F48B0" w14:textId="77777777" w:rsidR="002D72BF" w:rsidRPr="002D72BF" w:rsidRDefault="002D72BF" w:rsidP="002D72BF">
            <w:pPr>
              <w:spacing w:after="0" w:line="276" w:lineRule="auto"/>
              <w:ind w:firstLine="0"/>
              <w:jc w:val="left"/>
              <w:rPr>
                <w:snapToGrid w:val="0"/>
                <w:color w:val="000000"/>
                <w:sz w:val="20"/>
              </w:rPr>
            </w:pPr>
          </w:p>
        </w:tc>
        <w:tc>
          <w:tcPr>
            <w:tcW w:w="992" w:type="dxa"/>
            <w:vAlign w:val="center"/>
          </w:tcPr>
          <w:p w14:paraId="34E4562A" w14:textId="77777777" w:rsidR="002D72BF" w:rsidRPr="002D72BF" w:rsidRDefault="002D72BF" w:rsidP="002D72BF">
            <w:pPr>
              <w:tabs>
                <w:tab w:val="decimal" w:pos="511"/>
              </w:tabs>
              <w:spacing w:after="0" w:line="276" w:lineRule="auto"/>
              <w:ind w:firstLine="0"/>
              <w:jc w:val="left"/>
              <w:rPr>
                <w:snapToGrid w:val="0"/>
                <w:color w:val="000000"/>
                <w:sz w:val="20"/>
              </w:rPr>
            </w:pPr>
          </w:p>
        </w:tc>
        <w:tc>
          <w:tcPr>
            <w:tcW w:w="974" w:type="dxa"/>
            <w:vAlign w:val="bottom"/>
          </w:tcPr>
          <w:p w14:paraId="36CA5503" w14:textId="77777777" w:rsidR="002D72BF" w:rsidRPr="002D72BF" w:rsidRDefault="002D72BF" w:rsidP="002D72BF">
            <w:pPr>
              <w:spacing w:after="0"/>
              <w:ind w:firstLine="0"/>
              <w:jc w:val="right"/>
              <w:rPr>
                <w:color w:val="FF0000"/>
                <w:sz w:val="20"/>
              </w:rPr>
            </w:pPr>
            <w:r w:rsidRPr="002D72BF">
              <w:rPr>
                <w:color w:val="000000" w:themeColor="text1"/>
                <w:sz w:val="20"/>
              </w:rPr>
              <w:t>1,0</w:t>
            </w:r>
          </w:p>
        </w:tc>
        <w:tc>
          <w:tcPr>
            <w:tcW w:w="850" w:type="dxa"/>
            <w:vAlign w:val="bottom"/>
          </w:tcPr>
          <w:p w14:paraId="0B2C2012" w14:textId="77777777" w:rsidR="002D72BF" w:rsidRPr="002D72BF" w:rsidRDefault="002D72BF" w:rsidP="002D72BF">
            <w:pPr>
              <w:spacing w:after="0"/>
              <w:ind w:firstLine="0"/>
              <w:jc w:val="right"/>
              <w:rPr>
                <w:sz w:val="20"/>
              </w:rPr>
            </w:pPr>
            <w:r w:rsidRPr="002D72BF">
              <w:rPr>
                <w:sz w:val="20"/>
              </w:rPr>
              <w:t>0,8</w:t>
            </w:r>
          </w:p>
        </w:tc>
        <w:tc>
          <w:tcPr>
            <w:tcW w:w="851" w:type="dxa"/>
            <w:vAlign w:val="bottom"/>
          </w:tcPr>
          <w:p w14:paraId="36D70D0F" w14:textId="77777777" w:rsidR="002D72BF" w:rsidRPr="002D72BF" w:rsidRDefault="002D72BF" w:rsidP="002D72BF">
            <w:pPr>
              <w:spacing w:after="0"/>
              <w:ind w:firstLine="0"/>
              <w:jc w:val="right"/>
              <w:rPr>
                <w:sz w:val="20"/>
              </w:rPr>
            </w:pPr>
            <w:r w:rsidRPr="002D72BF">
              <w:rPr>
                <w:sz w:val="20"/>
              </w:rPr>
              <w:t>0,8</w:t>
            </w:r>
          </w:p>
        </w:tc>
        <w:tc>
          <w:tcPr>
            <w:tcW w:w="708" w:type="dxa"/>
            <w:vAlign w:val="bottom"/>
          </w:tcPr>
          <w:p w14:paraId="731CCCF7" w14:textId="77777777" w:rsidR="002D72BF" w:rsidRPr="002D72BF" w:rsidRDefault="002D72BF" w:rsidP="002D72BF">
            <w:pPr>
              <w:spacing w:after="0"/>
              <w:ind w:firstLine="0"/>
              <w:jc w:val="right"/>
              <w:rPr>
                <w:sz w:val="20"/>
              </w:rPr>
            </w:pPr>
            <w:r w:rsidRPr="002D72BF">
              <w:rPr>
                <w:sz w:val="20"/>
              </w:rPr>
              <w:t>0,8</w:t>
            </w:r>
          </w:p>
        </w:tc>
        <w:tc>
          <w:tcPr>
            <w:tcW w:w="689" w:type="dxa"/>
            <w:vAlign w:val="bottom"/>
          </w:tcPr>
          <w:p w14:paraId="32F01BBD" w14:textId="77777777" w:rsidR="002D72BF" w:rsidRPr="002D72BF" w:rsidRDefault="002D72BF" w:rsidP="002D72BF">
            <w:pPr>
              <w:spacing w:after="0"/>
              <w:ind w:firstLine="0"/>
              <w:jc w:val="right"/>
              <w:rPr>
                <w:sz w:val="20"/>
              </w:rPr>
            </w:pPr>
            <w:r w:rsidRPr="002D72BF">
              <w:rPr>
                <w:sz w:val="20"/>
              </w:rPr>
              <w:t>0,8</w:t>
            </w:r>
          </w:p>
        </w:tc>
      </w:tr>
      <w:tr w:rsidR="002D72BF" w:rsidRPr="002D72BF" w14:paraId="0D5F6519" w14:textId="77777777" w:rsidTr="00112D09">
        <w:trPr>
          <w:jc w:val="center"/>
        </w:trPr>
        <w:tc>
          <w:tcPr>
            <w:tcW w:w="3421" w:type="dxa"/>
            <w:vAlign w:val="center"/>
          </w:tcPr>
          <w:p w14:paraId="7ADDC884" w14:textId="77777777" w:rsidR="002D72BF" w:rsidRPr="002D72BF" w:rsidRDefault="002D72BF" w:rsidP="002D72BF">
            <w:pPr>
              <w:spacing w:after="0" w:line="276" w:lineRule="auto"/>
              <w:ind w:firstLine="0"/>
              <w:jc w:val="left"/>
              <w:rPr>
                <w:snapToGrid w:val="0"/>
                <w:color w:val="000000"/>
                <w:sz w:val="20"/>
              </w:rPr>
            </w:pPr>
            <w:r w:rsidRPr="002D72BF">
              <w:rPr>
                <w:snapToGrid w:val="0"/>
                <w:color w:val="000000"/>
                <w:sz w:val="20"/>
              </w:rPr>
              <w:t>6. Atlīdzība nodarbinātajiem, milj. latu, faktiskās cenās</w:t>
            </w:r>
          </w:p>
        </w:tc>
        <w:tc>
          <w:tcPr>
            <w:tcW w:w="851" w:type="dxa"/>
            <w:vAlign w:val="center"/>
          </w:tcPr>
          <w:p w14:paraId="296271CE" w14:textId="77777777" w:rsidR="002D72BF" w:rsidRPr="002D72BF" w:rsidRDefault="002D72BF" w:rsidP="002D72BF">
            <w:pPr>
              <w:spacing w:after="0" w:line="276" w:lineRule="auto"/>
              <w:ind w:firstLine="0"/>
              <w:jc w:val="left"/>
              <w:rPr>
                <w:color w:val="000000"/>
                <w:sz w:val="20"/>
              </w:rPr>
            </w:pPr>
            <w:r w:rsidRPr="002D72BF">
              <w:rPr>
                <w:color w:val="000000"/>
                <w:sz w:val="20"/>
              </w:rPr>
              <w:t>D.1</w:t>
            </w:r>
          </w:p>
        </w:tc>
        <w:tc>
          <w:tcPr>
            <w:tcW w:w="992" w:type="dxa"/>
            <w:vAlign w:val="center"/>
          </w:tcPr>
          <w:p w14:paraId="40B4BD6F" w14:textId="77777777" w:rsidR="002D72BF" w:rsidRPr="002D72BF" w:rsidRDefault="002D72BF" w:rsidP="002D72BF">
            <w:pPr>
              <w:tabs>
                <w:tab w:val="decimal" w:pos="511"/>
              </w:tabs>
              <w:spacing w:after="0"/>
              <w:ind w:firstLine="0"/>
              <w:jc w:val="center"/>
              <w:rPr>
                <w:color w:val="FF0000"/>
                <w:sz w:val="20"/>
              </w:rPr>
            </w:pPr>
            <w:r w:rsidRPr="002D72BF">
              <w:rPr>
                <w:sz w:val="20"/>
              </w:rPr>
              <w:t>6322,7</w:t>
            </w:r>
          </w:p>
        </w:tc>
        <w:tc>
          <w:tcPr>
            <w:tcW w:w="974" w:type="dxa"/>
            <w:vAlign w:val="center"/>
          </w:tcPr>
          <w:p w14:paraId="70D41DBE" w14:textId="77777777" w:rsidR="002D72BF" w:rsidRPr="002D72BF" w:rsidRDefault="002D72BF" w:rsidP="002D72BF">
            <w:pPr>
              <w:spacing w:after="0"/>
              <w:ind w:firstLine="0"/>
              <w:jc w:val="right"/>
              <w:rPr>
                <w:snapToGrid w:val="0"/>
                <w:color w:val="FF0000"/>
                <w:sz w:val="20"/>
              </w:rPr>
            </w:pPr>
            <w:r w:rsidRPr="002D72BF">
              <w:rPr>
                <w:snapToGrid w:val="0"/>
                <w:sz w:val="20"/>
              </w:rPr>
              <w:t>8,4</w:t>
            </w:r>
          </w:p>
        </w:tc>
        <w:tc>
          <w:tcPr>
            <w:tcW w:w="850" w:type="dxa"/>
            <w:vAlign w:val="center"/>
          </w:tcPr>
          <w:p w14:paraId="1485FABC" w14:textId="77777777" w:rsidR="002D72BF" w:rsidRPr="002D72BF" w:rsidRDefault="002D72BF" w:rsidP="008C7F19">
            <w:pPr>
              <w:tabs>
                <w:tab w:val="decimal" w:pos="511"/>
              </w:tabs>
              <w:spacing w:after="0"/>
              <w:ind w:firstLine="0"/>
              <w:jc w:val="center"/>
              <w:rPr>
                <w:sz w:val="20"/>
              </w:rPr>
            </w:pPr>
            <w:r w:rsidRPr="002D72BF">
              <w:rPr>
                <w:sz w:val="20"/>
              </w:rPr>
              <w:t>5,6</w:t>
            </w:r>
          </w:p>
        </w:tc>
        <w:tc>
          <w:tcPr>
            <w:tcW w:w="851" w:type="dxa"/>
            <w:vAlign w:val="center"/>
          </w:tcPr>
          <w:p w14:paraId="72F0C9BF" w14:textId="77777777" w:rsidR="002D72BF" w:rsidRPr="002D72BF" w:rsidRDefault="002D72BF" w:rsidP="008C7F19">
            <w:pPr>
              <w:tabs>
                <w:tab w:val="decimal" w:pos="511"/>
              </w:tabs>
              <w:spacing w:after="0"/>
              <w:ind w:firstLine="0"/>
              <w:jc w:val="center"/>
              <w:rPr>
                <w:sz w:val="20"/>
              </w:rPr>
            </w:pPr>
            <w:r w:rsidRPr="002D72BF">
              <w:rPr>
                <w:sz w:val="20"/>
              </w:rPr>
              <w:t>6,2</w:t>
            </w:r>
          </w:p>
        </w:tc>
        <w:tc>
          <w:tcPr>
            <w:tcW w:w="708" w:type="dxa"/>
            <w:vAlign w:val="center"/>
          </w:tcPr>
          <w:p w14:paraId="1A78A138" w14:textId="77777777" w:rsidR="002D72BF" w:rsidRPr="002D72BF" w:rsidRDefault="002D72BF" w:rsidP="002D72BF">
            <w:pPr>
              <w:tabs>
                <w:tab w:val="decimal" w:pos="511"/>
              </w:tabs>
              <w:spacing w:after="0"/>
              <w:ind w:firstLine="0"/>
              <w:jc w:val="right"/>
              <w:rPr>
                <w:sz w:val="20"/>
              </w:rPr>
            </w:pPr>
            <w:r w:rsidRPr="002D72BF">
              <w:rPr>
                <w:sz w:val="20"/>
              </w:rPr>
              <w:t>6,1</w:t>
            </w:r>
          </w:p>
        </w:tc>
        <w:tc>
          <w:tcPr>
            <w:tcW w:w="689" w:type="dxa"/>
            <w:vAlign w:val="center"/>
          </w:tcPr>
          <w:p w14:paraId="20CDAC80" w14:textId="77777777" w:rsidR="002D72BF" w:rsidRPr="002D72BF" w:rsidRDefault="002D72BF" w:rsidP="002D72BF">
            <w:pPr>
              <w:tabs>
                <w:tab w:val="decimal" w:pos="392"/>
              </w:tabs>
              <w:spacing w:after="0"/>
              <w:ind w:firstLine="0"/>
              <w:jc w:val="left"/>
              <w:rPr>
                <w:sz w:val="20"/>
              </w:rPr>
            </w:pPr>
            <w:r w:rsidRPr="002D72BF">
              <w:rPr>
                <w:sz w:val="20"/>
              </w:rPr>
              <w:t>6,1</w:t>
            </w:r>
          </w:p>
        </w:tc>
      </w:tr>
      <w:tr w:rsidR="002D72BF" w:rsidRPr="002D72BF" w14:paraId="44AFD4FB" w14:textId="77777777" w:rsidTr="00112D09">
        <w:trPr>
          <w:jc w:val="center"/>
        </w:trPr>
        <w:tc>
          <w:tcPr>
            <w:tcW w:w="3421" w:type="dxa"/>
            <w:vAlign w:val="center"/>
          </w:tcPr>
          <w:p w14:paraId="1FB62535" w14:textId="77777777" w:rsidR="002D72BF" w:rsidRPr="002D72BF" w:rsidRDefault="002D72BF" w:rsidP="002D72BF">
            <w:pPr>
              <w:spacing w:after="0" w:line="276" w:lineRule="auto"/>
              <w:ind w:firstLine="0"/>
              <w:jc w:val="left"/>
              <w:rPr>
                <w:snapToGrid w:val="0"/>
                <w:color w:val="000000"/>
                <w:sz w:val="20"/>
              </w:rPr>
            </w:pPr>
            <w:r w:rsidRPr="002D72BF">
              <w:rPr>
                <w:snapToGrid w:val="0"/>
                <w:color w:val="000000"/>
                <w:sz w:val="20"/>
              </w:rPr>
              <w:lastRenderedPageBreak/>
              <w:t>7. Atlīdzība nodarbinātajam, lati</w:t>
            </w:r>
          </w:p>
        </w:tc>
        <w:tc>
          <w:tcPr>
            <w:tcW w:w="851" w:type="dxa"/>
            <w:vAlign w:val="center"/>
          </w:tcPr>
          <w:p w14:paraId="29BE33C7" w14:textId="77777777" w:rsidR="002D72BF" w:rsidRPr="002D72BF" w:rsidRDefault="002D72BF" w:rsidP="002D72BF">
            <w:pPr>
              <w:spacing w:after="0" w:line="276" w:lineRule="auto"/>
              <w:ind w:firstLine="0"/>
              <w:jc w:val="left"/>
              <w:rPr>
                <w:snapToGrid w:val="0"/>
                <w:color w:val="000000"/>
                <w:sz w:val="20"/>
              </w:rPr>
            </w:pPr>
          </w:p>
        </w:tc>
        <w:tc>
          <w:tcPr>
            <w:tcW w:w="992" w:type="dxa"/>
            <w:vAlign w:val="bottom"/>
          </w:tcPr>
          <w:p w14:paraId="00D524C0" w14:textId="77777777" w:rsidR="002D72BF" w:rsidRPr="002D72BF" w:rsidRDefault="002D72BF" w:rsidP="002D72BF">
            <w:pPr>
              <w:tabs>
                <w:tab w:val="decimal" w:pos="511"/>
              </w:tabs>
              <w:spacing w:after="0"/>
              <w:ind w:firstLine="0"/>
              <w:jc w:val="center"/>
              <w:rPr>
                <w:sz w:val="20"/>
              </w:rPr>
            </w:pPr>
            <w:r w:rsidRPr="002D72BF">
              <w:rPr>
                <w:sz w:val="20"/>
              </w:rPr>
              <w:t>482</w:t>
            </w:r>
          </w:p>
        </w:tc>
        <w:tc>
          <w:tcPr>
            <w:tcW w:w="974" w:type="dxa"/>
            <w:vAlign w:val="bottom"/>
          </w:tcPr>
          <w:p w14:paraId="0BEF89DC" w14:textId="77777777" w:rsidR="002D72BF" w:rsidRPr="002D72BF" w:rsidRDefault="002D72BF" w:rsidP="002D72BF">
            <w:pPr>
              <w:spacing w:after="0"/>
              <w:ind w:firstLine="0"/>
              <w:jc w:val="right"/>
              <w:rPr>
                <w:sz w:val="20"/>
              </w:rPr>
            </w:pPr>
            <w:r w:rsidRPr="002D72BF">
              <w:rPr>
                <w:sz w:val="20"/>
              </w:rPr>
              <w:t>3,9</w:t>
            </w:r>
          </w:p>
        </w:tc>
        <w:tc>
          <w:tcPr>
            <w:tcW w:w="850" w:type="dxa"/>
            <w:vAlign w:val="bottom"/>
          </w:tcPr>
          <w:p w14:paraId="7F88618F" w14:textId="77777777" w:rsidR="002D72BF" w:rsidRPr="002D72BF" w:rsidRDefault="002D72BF" w:rsidP="002D72BF">
            <w:pPr>
              <w:spacing w:after="0"/>
              <w:ind w:firstLine="0"/>
              <w:jc w:val="right"/>
              <w:rPr>
                <w:sz w:val="20"/>
              </w:rPr>
            </w:pPr>
            <w:r w:rsidRPr="002D72BF">
              <w:rPr>
                <w:sz w:val="20"/>
              </w:rPr>
              <w:t>4,2</w:t>
            </w:r>
          </w:p>
        </w:tc>
        <w:tc>
          <w:tcPr>
            <w:tcW w:w="851" w:type="dxa"/>
            <w:vAlign w:val="bottom"/>
          </w:tcPr>
          <w:p w14:paraId="2E13AFD6" w14:textId="77777777" w:rsidR="002D72BF" w:rsidRPr="002D72BF" w:rsidRDefault="002D72BF" w:rsidP="002D72BF">
            <w:pPr>
              <w:spacing w:after="0"/>
              <w:ind w:firstLine="0"/>
              <w:jc w:val="right"/>
              <w:rPr>
                <w:sz w:val="20"/>
              </w:rPr>
            </w:pPr>
            <w:r w:rsidRPr="002D72BF">
              <w:rPr>
                <w:sz w:val="20"/>
              </w:rPr>
              <w:t>5,0</w:t>
            </w:r>
          </w:p>
        </w:tc>
        <w:tc>
          <w:tcPr>
            <w:tcW w:w="708" w:type="dxa"/>
            <w:vAlign w:val="bottom"/>
          </w:tcPr>
          <w:p w14:paraId="444D70CB" w14:textId="77777777" w:rsidR="002D72BF" w:rsidRPr="002D72BF" w:rsidRDefault="002D72BF" w:rsidP="002D72BF">
            <w:pPr>
              <w:spacing w:after="0"/>
              <w:ind w:firstLine="0"/>
              <w:jc w:val="right"/>
              <w:rPr>
                <w:sz w:val="20"/>
              </w:rPr>
            </w:pPr>
            <w:r w:rsidRPr="002D72BF">
              <w:rPr>
                <w:sz w:val="20"/>
              </w:rPr>
              <w:t>4,9</w:t>
            </w:r>
          </w:p>
        </w:tc>
        <w:tc>
          <w:tcPr>
            <w:tcW w:w="689" w:type="dxa"/>
            <w:vAlign w:val="bottom"/>
          </w:tcPr>
          <w:p w14:paraId="69ED0398" w14:textId="77777777" w:rsidR="002D72BF" w:rsidRPr="002D72BF" w:rsidRDefault="002D72BF" w:rsidP="002D72BF">
            <w:pPr>
              <w:spacing w:after="0"/>
              <w:ind w:firstLine="0"/>
              <w:jc w:val="right"/>
              <w:rPr>
                <w:sz w:val="20"/>
              </w:rPr>
            </w:pPr>
            <w:r w:rsidRPr="002D72BF">
              <w:rPr>
                <w:sz w:val="20"/>
              </w:rPr>
              <w:t>4,7</w:t>
            </w:r>
          </w:p>
        </w:tc>
      </w:tr>
    </w:tbl>
    <w:p w14:paraId="288A7734" w14:textId="77777777" w:rsidR="002D62B9" w:rsidRPr="001946E0" w:rsidRDefault="002D62B9" w:rsidP="002D62B9">
      <w:pPr>
        <w:ind w:firstLine="0"/>
        <w:rPr>
          <w:b/>
          <w:color w:val="000000"/>
        </w:rPr>
      </w:pPr>
    </w:p>
    <w:p w14:paraId="630BCD72" w14:textId="77777777" w:rsidR="002D62B9" w:rsidRPr="001946E0" w:rsidRDefault="002D62B9" w:rsidP="002D62B9">
      <w:pPr>
        <w:rPr>
          <w:b/>
          <w:color w:val="000000"/>
        </w:rPr>
      </w:pPr>
    </w:p>
    <w:p w14:paraId="56D57A29" w14:textId="77777777" w:rsidR="002D62B9" w:rsidRPr="001946E0" w:rsidRDefault="002D62B9" w:rsidP="002D62B9">
      <w:pPr>
        <w:pStyle w:val="T"/>
        <w:ind w:left="0"/>
        <w:rPr>
          <w:rFonts w:ascii="Times New Roman" w:hAnsi="Times New Roman"/>
          <w:color w:val="000000"/>
        </w:rPr>
      </w:pPr>
      <w:r w:rsidRPr="001946E0">
        <w:rPr>
          <w:rFonts w:ascii="Times New Roman" w:hAnsi="Times New Roman"/>
          <w:color w:val="000000"/>
        </w:rPr>
        <w:t>1d. tabula. Sektoru bilances</w:t>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7"/>
        <w:gridCol w:w="952"/>
        <w:gridCol w:w="797"/>
        <w:gridCol w:w="797"/>
        <w:gridCol w:w="797"/>
        <w:gridCol w:w="797"/>
        <w:gridCol w:w="623"/>
      </w:tblGrid>
      <w:tr w:rsidR="002D72BF" w:rsidRPr="002D72BF" w14:paraId="68F7BA2F" w14:textId="77777777" w:rsidTr="003F4DE5">
        <w:trPr>
          <w:tblHeader/>
          <w:jc w:val="center"/>
        </w:trPr>
        <w:tc>
          <w:tcPr>
            <w:tcW w:w="4417" w:type="dxa"/>
            <w:tcMar>
              <w:top w:w="0" w:type="dxa"/>
              <w:left w:w="108" w:type="dxa"/>
              <w:bottom w:w="0" w:type="dxa"/>
              <w:right w:w="108" w:type="dxa"/>
            </w:tcMar>
            <w:hideMark/>
          </w:tcPr>
          <w:p w14:paraId="56BC5860" w14:textId="77777777" w:rsidR="002D72BF" w:rsidRPr="002D72BF" w:rsidRDefault="002D72BF" w:rsidP="002D72BF">
            <w:pPr>
              <w:spacing w:after="0"/>
              <w:ind w:firstLine="0"/>
              <w:jc w:val="left"/>
              <w:rPr>
                <w:color w:val="000000"/>
                <w:sz w:val="20"/>
              </w:rPr>
            </w:pPr>
            <w:r w:rsidRPr="002D72BF">
              <w:rPr>
                <w:color w:val="000000"/>
                <w:sz w:val="20"/>
              </w:rPr>
              <w:t>% no IKP</w:t>
            </w:r>
          </w:p>
        </w:tc>
        <w:tc>
          <w:tcPr>
            <w:tcW w:w="952" w:type="dxa"/>
            <w:tcMar>
              <w:top w:w="0" w:type="dxa"/>
              <w:left w:w="108" w:type="dxa"/>
              <w:bottom w:w="0" w:type="dxa"/>
              <w:right w:w="108" w:type="dxa"/>
            </w:tcMar>
            <w:hideMark/>
          </w:tcPr>
          <w:p w14:paraId="129740C8" w14:textId="77777777" w:rsidR="002D72BF" w:rsidRPr="002D72BF" w:rsidRDefault="002D72BF" w:rsidP="002D72BF">
            <w:pPr>
              <w:spacing w:after="0"/>
              <w:ind w:firstLine="0"/>
              <w:jc w:val="left"/>
              <w:rPr>
                <w:rFonts w:eastAsia="Calibri"/>
                <w:color w:val="000000"/>
                <w:sz w:val="20"/>
              </w:rPr>
            </w:pPr>
            <w:r w:rsidRPr="002D72BF">
              <w:rPr>
                <w:color w:val="000000"/>
                <w:sz w:val="20"/>
              </w:rPr>
              <w:t>EKS</w:t>
            </w:r>
          </w:p>
          <w:p w14:paraId="4F9CED55" w14:textId="77777777" w:rsidR="002D72BF" w:rsidRPr="002D72BF" w:rsidRDefault="002D72BF" w:rsidP="002D72BF">
            <w:pPr>
              <w:spacing w:after="0"/>
              <w:ind w:firstLine="0"/>
              <w:jc w:val="left"/>
              <w:rPr>
                <w:color w:val="000000"/>
                <w:sz w:val="20"/>
              </w:rPr>
            </w:pPr>
            <w:r w:rsidRPr="002D72BF">
              <w:rPr>
                <w:color w:val="000000"/>
                <w:sz w:val="20"/>
              </w:rPr>
              <w:t>Kods</w:t>
            </w:r>
          </w:p>
        </w:tc>
        <w:tc>
          <w:tcPr>
            <w:tcW w:w="797" w:type="dxa"/>
            <w:tcMar>
              <w:top w:w="0" w:type="dxa"/>
              <w:left w:w="108" w:type="dxa"/>
              <w:bottom w:w="0" w:type="dxa"/>
              <w:right w:w="108" w:type="dxa"/>
            </w:tcMar>
            <w:hideMark/>
          </w:tcPr>
          <w:p w14:paraId="5249A3F4" w14:textId="77777777" w:rsidR="002D72BF" w:rsidRPr="002D72BF" w:rsidRDefault="002D72BF" w:rsidP="002D72BF">
            <w:pPr>
              <w:spacing w:after="0"/>
              <w:ind w:firstLine="0"/>
              <w:jc w:val="center"/>
              <w:rPr>
                <w:b/>
                <w:bCs/>
                <w:color w:val="000000"/>
                <w:sz w:val="20"/>
              </w:rPr>
            </w:pPr>
            <w:r w:rsidRPr="002D72BF">
              <w:rPr>
                <w:b/>
                <w:bCs/>
                <w:color w:val="000000"/>
                <w:sz w:val="20"/>
              </w:rPr>
              <w:t>2012</w:t>
            </w:r>
          </w:p>
        </w:tc>
        <w:tc>
          <w:tcPr>
            <w:tcW w:w="797" w:type="dxa"/>
            <w:tcMar>
              <w:top w:w="0" w:type="dxa"/>
              <w:left w:w="108" w:type="dxa"/>
              <w:bottom w:w="0" w:type="dxa"/>
              <w:right w:w="108" w:type="dxa"/>
            </w:tcMar>
            <w:hideMark/>
          </w:tcPr>
          <w:p w14:paraId="6E23ABD1" w14:textId="77777777" w:rsidR="002D72BF" w:rsidRPr="002D72BF" w:rsidRDefault="002D72BF" w:rsidP="002D72BF">
            <w:pPr>
              <w:spacing w:after="0"/>
              <w:ind w:firstLine="0"/>
              <w:jc w:val="center"/>
              <w:rPr>
                <w:b/>
                <w:bCs/>
                <w:color w:val="000000"/>
                <w:sz w:val="20"/>
              </w:rPr>
            </w:pPr>
            <w:r w:rsidRPr="002D72BF">
              <w:rPr>
                <w:b/>
                <w:bCs/>
                <w:color w:val="000000"/>
                <w:sz w:val="20"/>
              </w:rPr>
              <w:t>2013</w:t>
            </w:r>
          </w:p>
        </w:tc>
        <w:tc>
          <w:tcPr>
            <w:tcW w:w="797" w:type="dxa"/>
            <w:tcMar>
              <w:top w:w="0" w:type="dxa"/>
              <w:left w:w="108" w:type="dxa"/>
              <w:bottom w:w="0" w:type="dxa"/>
              <w:right w:w="108" w:type="dxa"/>
            </w:tcMar>
            <w:hideMark/>
          </w:tcPr>
          <w:p w14:paraId="69836B82" w14:textId="77777777" w:rsidR="002D72BF" w:rsidRPr="002D72BF" w:rsidRDefault="002D72BF" w:rsidP="002D72BF">
            <w:pPr>
              <w:spacing w:after="0"/>
              <w:ind w:firstLine="0"/>
              <w:jc w:val="center"/>
              <w:rPr>
                <w:b/>
                <w:bCs/>
                <w:color w:val="000000"/>
                <w:sz w:val="20"/>
              </w:rPr>
            </w:pPr>
            <w:r w:rsidRPr="002D72BF">
              <w:rPr>
                <w:b/>
                <w:bCs/>
                <w:color w:val="000000"/>
                <w:sz w:val="20"/>
              </w:rPr>
              <w:t>2014</w:t>
            </w:r>
          </w:p>
        </w:tc>
        <w:tc>
          <w:tcPr>
            <w:tcW w:w="797" w:type="dxa"/>
            <w:tcMar>
              <w:top w:w="0" w:type="dxa"/>
              <w:left w:w="108" w:type="dxa"/>
              <w:bottom w:w="0" w:type="dxa"/>
              <w:right w:w="108" w:type="dxa"/>
            </w:tcMar>
            <w:hideMark/>
          </w:tcPr>
          <w:p w14:paraId="71C03A5B" w14:textId="77777777" w:rsidR="002D72BF" w:rsidRPr="002D72BF" w:rsidRDefault="002D72BF" w:rsidP="002D72BF">
            <w:pPr>
              <w:spacing w:after="0"/>
              <w:ind w:firstLine="0"/>
              <w:jc w:val="center"/>
              <w:rPr>
                <w:b/>
                <w:bCs/>
                <w:color w:val="000000"/>
                <w:sz w:val="20"/>
              </w:rPr>
            </w:pPr>
            <w:r w:rsidRPr="002D72BF">
              <w:rPr>
                <w:b/>
                <w:bCs/>
                <w:color w:val="000000"/>
                <w:sz w:val="20"/>
              </w:rPr>
              <w:t>2015</w:t>
            </w:r>
          </w:p>
        </w:tc>
        <w:tc>
          <w:tcPr>
            <w:tcW w:w="623" w:type="dxa"/>
            <w:tcMar>
              <w:top w:w="0" w:type="dxa"/>
              <w:left w:w="108" w:type="dxa"/>
              <w:bottom w:w="0" w:type="dxa"/>
              <w:right w:w="108" w:type="dxa"/>
            </w:tcMar>
            <w:hideMark/>
          </w:tcPr>
          <w:p w14:paraId="768BB6FB" w14:textId="77777777" w:rsidR="002D72BF" w:rsidRPr="002D72BF" w:rsidRDefault="002D72BF" w:rsidP="002D72BF">
            <w:pPr>
              <w:spacing w:after="0"/>
              <w:ind w:firstLine="0"/>
              <w:jc w:val="center"/>
              <w:rPr>
                <w:b/>
                <w:bCs/>
                <w:color w:val="000000"/>
                <w:sz w:val="20"/>
              </w:rPr>
            </w:pPr>
            <w:r w:rsidRPr="002D72BF">
              <w:rPr>
                <w:b/>
                <w:bCs/>
                <w:color w:val="000000"/>
                <w:sz w:val="20"/>
              </w:rPr>
              <w:t>2016</w:t>
            </w:r>
          </w:p>
        </w:tc>
      </w:tr>
      <w:tr w:rsidR="002D72BF" w:rsidRPr="002D72BF" w14:paraId="2F116FC7" w14:textId="77777777" w:rsidTr="003F4DE5">
        <w:trPr>
          <w:jc w:val="center"/>
        </w:trPr>
        <w:tc>
          <w:tcPr>
            <w:tcW w:w="4417" w:type="dxa"/>
            <w:tcMar>
              <w:top w:w="0" w:type="dxa"/>
              <w:left w:w="108" w:type="dxa"/>
              <w:bottom w:w="0" w:type="dxa"/>
              <w:right w:w="108" w:type="dxa"/>
            </w:tcMar>
            <w:hideMark/>
          </w:tcPr>
          <w:p w14:paraId="02AE98C9"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1. Tekošais un kapitāla konts</w:t>
            </w:r>
          </w:p>
        </w:tc>
        <w:tc>
          <w:tcPr>
            <w:tcW w:w="952" w:type="dxa"/>
            <w:tcMar>
              <w:top w:w="0" w:type="dxa"/>
              <w:left w:w="108" w:type="dxa"/>
              <w:bottom w:w="0" w:type="dxa"/>
              <w:right w:w="108" w:type="dxa"/>
            </w:tcMar>
            <w:hideMark/>
          </w:tcPr>
          <w:p w14:paraId="7F280639"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B.9</w:t>
            </w:r>
          </w:p>
        </w:tc>
        <w:tc>
          <w:tcPr>
            <w:tcW w:w="797" w:type="dxa"/>
            <w:tcMar>
              <w:top w:w="0" w:type="dxa"/>
              <w:left w:w="108" w:type="dxa"/>
              <w:bottom w:w="0" w:type="dxa"/>
              <w:right w:w="108" w:type="dxa"/>
            </w:tcMar>
            <w:vAlign w:val="center"/>
            <w:hideMark/>
          </w:tcPr>
          <w:p w14:paraId="3D83A32F" w14:textId="77777777" w:rsidR="002D72BF" w:rsidRPr="002D72BF" w:rsidRDefault="002D72BF" w:rsidP="002D72BF">
            <w:pPr>
              <w:ind w:hanging="31"/>
              <w:jc w:val="center"/>
              <w:rPr>
                <w:rFonts w:eastAsia="Calibri"/>
                <w:color w:val="000000"/>
                <w:sz w:val="20"/>
              </w:rPr>
            </w:pPr>
            <w:r w:rsidRPr="002D72BF">
              <w:rPr>
                <w:color w:val="000000"/>
                <w:sz w:val="20"/>
              </w:rPr>
              <w:t>1,3</w:t>
            </w:r>
          </w:p>
        </w:tc>
        <w:tc>
          <w:tcPr>
            <w:tcW w:w="797" w:type="dxa"/>
            <w:tcMar>
              <w:top w:w="0" w:type="dxa"/>
              <w:left w:w="108" w:type="dxa"/>
              <w:bottom w:w="0" w:type="dxa"/>
              <w:right w:w="108" w:type="dxa"/>
            </w:tcMar>
            <w:vAlign w:val="center"/>
            <w:hideMark/>
          </w:tcPr>
          <w:p w14:paraId="7E1810D2" w14:textId="77777777" w:rsidR="002D72BF" w:rsidRPr="002D72BF" w:rsidRDefault="002D72BF" w:rsidP="002D72BF">
            <w:pPr>
              <w:ind w:hanging="31"/>
              <w:jc w:val="center"/>
              <w:rPr>
                <w:rFonts w:eastAsia="Calibri"/>
                <w:color w:val="000000"/>
                <w:sz w:val="20"/>
              </w:rPr>
            </w:pPr>
            <w:r w:rsidRPr="002D72BF">
              <w:rPr>
                <w:color w:val="000000"/>
                <w:sz w:val="20"/>
              </w:rPr>
              <w:t>0,9</w:t>
            </w:r>
          </w:p>
        </w:tc>
        <w:tc>
          <w:tcPr>
            <w:tcW w:w="797" w:type="dxa"/>
            <w:tcMar>
              <w:top w:w="0" w:type="dxa"/>
              <w:left w:w="108" w:type="dxa"/>
              <w:bottom w:w="0" w:type="dxa"/>
              <w:right w:w="108" w:type="dxa"/>
            </w:tcMar>
            <w:vAlign w:val="center"/>
            <w:hideMark/>
          </w:tcPr>
          <w:p w14:paraId="7C4A44D1" w14:textId="77777777" w:rsidR="002D72BF" w:rsidRPr="002D72BF" w:rsidRDefault="002D72BF" w:rsidP="002D72BF">
            <w:pPr>
              <w:ind w:hanging="31"/>
              <w:jc w:val="center"/>
              <w:rPr>
                <w:rFonts w:eastAsia="Calibri"/>
                <w:color w:val="000000"/>
                <w:sz w:val="20"/>
              </w:rPr>
            </w:pPr>
            <w:r w:rsidRPr="002D72BF">
              <w:rPr>
                <w:color w:val="000000"/>
                <w:sz w:val="20"/>
              </w:rPr>
              <w:t>0,9</w:t>
            </w:r>
          </w:p>
        </w:tc>
        <w:tc>
          <w:tcPr>
            <w:tcW w:w="797" w:type="dxa"/>
            <w:tcMar>
              <w:top w:w="0" w:type="dxa"/>
              <w:left w:w="108" w:type="dxa"/>
              <w:bottom w:w="0" w:type="dxa"/>
              <w:right w:w="108" w:type="dxa"/>
            </w:tcMar>
            <w:vAlign w:val="center"/>
            <w:hideMark/>
          </w:tcPr>
          <w:p w14:paraId="483F01EF" w14:textId="77777777" w:rsidR="002D72BF" w:rsidRPr="002D72BF" w:rsidRDefault="002D72BF" w:rsidP="002D72BF">
            <w:pPr>
              <w:ind w:hanging="31"/>
              <w:jc w:val="center"/>
              <w:rPr>
                <w:rFonts w:eastAsia="Calibri"/>
                <w:color w:val="000000"/>
                <w:sz w:val="20"/>
              </w:rPr>
            </w:pPr>
            <w:r w:rsidRPr="002D72BF">
              <w:rPr>
                <w:color w:val="000000"/>
                <w:sz w:val="20"/>
              </w:rPr>
              <w:t>-0,7</w:t>
            </w:r>
          </w:p>
        </w:tc>
        <w:tc>
          <w:tcPr>
            <w:tcW w:w="623" w:type="dxa"/>
            <w:tcMar>
              <w:top w:w="0" w:type="dxa"/>
              <w:left w:w="108" w:type="dxa"/>
              <w:bottom w:w="0" w:type="dxa"/>
              <w:right w:w="108" w:type="dxa"/>
            </w:tcMar>
            <w:vAlign w:val="center"/>
            <w:hideMark/>
          </w:tcPr>
          <w:p w14:paraId="3439F8FA" w14:textId="77777777" w:rsidR="002D72BF" w:rsidRPr="002D72BF" w:rsidRDefault="002D72BF" w:rsidP="002D72BF">
            <w:pPr>
              <w:ind w:hanging="31"/>
              <w:jc w:val="center"/>
              <w:rPr>
                <w:rFonts w:eastAsia="Calibri"/>
                <w:color w:val="000000"/>
                <w:sz w:val="20"/>
              </w:rPr>
            </w:pPr>
            <w:r w:rsidRPr="002D72BF">
              <w:rPr>
                <w:rFonts w:eastAsia="Calibri"/>
                <w:color w:val="000000"/>
                <w:sz w:val="20"/>
              </w:rPr>
              <w:t>-0,8</w:t>
            </w:r>
          </w:p>
        </w:tc>
      </w:tr>
      <w:tr w:rsidR="002D72BF" w:rsidRPr="002D72BF" w14:paraId="35BCEB44" w14:textId="77777777" w:rsidTr="003F4DE5">
        <w:trPr>
          <w:trHeight w:val="550"/>
          <w:jc w:val="center"/>
        </w:trPr>
        <w:tc>
          <w:tcPr>
            <w:tcW w:w="4417" w:type="dxa"/>
            <w:tcMar>
              <w:top w:w="0" w:type="dxa"/>
              <w:left w:w="108" w:type="dxa"/>
              <w:bottom w:w="0" w:type="dxa"/>
              <w:right w:w="108" w:type="dxa"/>
            </w:tcMar>
            <w:hideMark/>
          </w:tcPr>
          <w:p w14:paraId="4AFA00C8" w14:textId="77777777" w:rsidR="002D72BF" w:rsidRPr="002D72BF" w:rsidRDefault="002D72BF" w:rsidP="002D72BF">
            <w:pPr>
              <w:spacing w:after="0"/>
              <w:ind w:firstLine="0"/>
              <w:jc w:val="left"/>
              <w:rPr>
                <w:rFonts w:eastAsia="Calibri"/>
                <w:snapToGrid w:val="0"/>
                <w:color w:val="000000"/>
                <w:sz w:val="20"/>
              </w:rPr>
            </w:pPr>
            <w:r w:rsidRPr="002D72BF">
              <w:rPr>
                <w:snapToGrid w:val="0"/>
                <w:color w:val="000000"/>
                <w:sz w:val="20"/>
              </w:rPr>
              <w:t>t.sk.:</w:t>
            </w:r>
          </w:p>
          <w:p w14:paraId="73FCCA2D"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 Preču un pakalpojumu bilance</w:t>
            </w:r>
          </w:p>
        </w:tc>
        <w:tc>
          <w:tcPr>
            <w:tcW w:w="952" w:type="dxa"/>
            <w:tcMar>
              <w:top w:w="0" w:type="dxa"/>
              <w:left w:w="108" w:type="dxa"/>
              <w:bottom w:w="0" w:type="dxa"/>
              <w:right w:w="108" w:type="dxa"/>
            </w:tcMar>
          </w:tcPr>
          <w:p w14:paraId="43E5122A" w14:textId="77777777" w:rsidR="002D72BF" w:rsidRPr="002D72BF" w:rsidRDefault="002D72BF" w:rsidP="002D72BF">
            <w:pPr>
              <w:spacing w:after="0"/>
              <w:ind w:firstLine="0"/>
              <w:jc w:val="left"/>
              <w:rPr>
                <w:snapToGrid w:val="0"/>
                <w:color w:val="000000"/>
                <w:sz w:val="20"/>
              </w:rPr>
            </w:pPr>
          </w:p>
        </w:tc>
        <w:tc>
          <w:tcPr>
            <w:tcW w:w="797" w:type="dxa"/>
            <w:tcMar>
              <w:top w:w="0" w:type="dxa"/>
              <w:left w:w="108" w:type="dxa"/>
              <w:bottom w:w="0" w:type="dxa"/>
              <w:right w:w="108" w:type="dxa"/>
            </w:tcMar>
            <w:hideMark/>
          </w:tcPr>
          <w:p w14:paraId="45F6ABCD" w14:textId="77777777" w:rsidR="002D72BF" w:rsidRPr="002D72BF" w:rsidRDefault="002D72BF" w:rsidP="002D72BF">
            <w:pPr>
              <w:ind w:hanging="31"/>
              <w:jc w:val="center"/>
              <w:rPr>
                <w:rFonts w:eastAsia="Calibri"/>
                <w:color w:val="000000"/>
                <w:sz w:val="20"/>
              </w:rPr>
            </w:pPr>
            <w:r w:rsidRPr="002D72BF">
              <w:rPr>
                <w:color w:val="000000"/>
                <w:sz w:val="20"/>
              </w:rPr>
              <w:t>-3,0</w:t>
            </w:r>
          </w:p>
        </w:tc>
        <w:tc>
          <w:tcPr>
            <w:tcW w:w="797" w:type="dxa"/>
            <w:tcMar>
              <w:top w:w="0" w:type="dxa"/>
              <w:left w:w="108" w:type="dxa"/>
              <w:bottom w:w="0" w:type="dxa"/>
              <w:right w:w="108" w:type="dxa"/>
            </w:tcMar>
            <w:hideMark/>
          </w:tcPr>
          <w:p w14:paraId="2329A972" w14:textId="77777777" w:rsidR="002D72BF" w:rsidRPr="002D72BF" w:rsidRDefault="002D72BF" w:rsidP="002D72BF">
            <w:pPr>
              <w:ind w:hanging="31"/>
              <w:jc w:val="center"/>
              <w:rPr>
                <w:rFonts w:eastAsia="Calibri"/>
                <w:color w:val="000000"/>
                <w:sz w:val="20"/>
              </w:rPr>
            </w:pPr>
            <w:r w:rsidRPr="002D72BF">
              <w:rPr>
                <w:color w:val="000000"/>
                <w:sz w:val="20"/>
              </w:rPr>
              <w:t>-3,3</w:t>
            </w:r>
          </w:p>
        </w:tc>
        <w:tc>
          <w:tcPr>
            <w:tcW w:w="797" w:type="dxa"/>
            <w:tcMar>
              <w:top w:w="0" w:type="dxa"/>
              <w:left w:w="108" w:type="dxa"/>
              <w:bottom w:w="0" w:type="dxa"/>
              <w:right w:w="108" w:type="dxa"/>
            </w:tcMar>
            <w:hideMark/>
          </w:tcPr>
          <w:p w14:paraId="10564951" w14:textId="77777777" w:rsidR="002D72BF" w:rsidRPr="002D72BF" w:rsidRDefault="002D72BF" w:rsidP="002D72BF">
            <w:pPr>
              <w:ind w:hanging="31"/>
              <w:jc w:val="center"/>
              <w:rPr>
                <w:rFonts w:eastAsia="Calibri"/>
                <w:color w:val="000000"/>
                <w:sz w:val="20"/>
              </w:rPr>
            </w:pPr>
            <w:r w:rsidRPr="002D72BF">
              <w:rPr>
                <w:color w:val="000000"/>
                <w:sz w:val="20"/>
              </w:rPr>
              <w:t>-3,3</w:t>
            </w:r>
          </w:p>
        </w:tc>
        <w:tc>
          <w:tcPr>
            <w:tcW w:w="797" w:type="dxa"/>
            <w:tcMar>
              <w:top w:w="0" w:type="dxa"/>
              <w:left w:w="108" w:type="dxa"/>
              <w:bottom w:w="0" w:type="dxa"/>
              <w:right w:w="108" w:type="dxa"/>
            </w:tcMar>
            <w:hideMark/>
          </w:tcPr>
          <w:p w14:paraId="5947662A" w14:textId="77777777" w:rsidR="002D72BF" w:rsidRPr="002D72BF" w:rsidRDefault="002D72BF" w:rsidP="002D72BF">
            <w:pPr>
              <w:ind w:hanging="31"/>
              <w:jc w:val="center"/>
              <w:rPr>
                <w:rFonts w:eastAsia="Calibri"/>
                <w:color w:val="000000"/>
                <w:sz w:val="20"/>
              </w:rPr>
            </w:pPr>
            <w:r w:rsidRPr="002D72BF">
              <w:rPr>
                <w:color w:val="000000"/>
                <w:sz w:val="20"/>
              </w:rPr>
              <w:t>-3,4</w:t>
            </w:r>
          </w:p>
        </w:tc>
        <w:tc>
          <w:tcPr>
            <w:tcW w:w="623" w:type="dxa"/>
            <w:tcMar>
              <w:top w:w="0" w:type="dxa"/>
              <w:left w:w="108" w:type="dxa"/>
              <w:bottom w:w="0" w:type="dxa"/>
              <w:right w:w="108" w:type="dxa"/>
            </w:tcMar>
            <w:hideMark/>
          </w:tcPr>
          <w:p w14:paraId="23274CE0" w14:textId="77777777" w:rsidR="002D72BF" w:rsidRPr="002D72BF" w:rsidRDefault="002D72BF" w:rsidP="002D72BF">
            <w:pPr>
              <w:ind w:hanging="31"/>
              <w:jc w:val="center"/>
              <w:rPr>
                <w:rFonts w:eastAsia="Calibri"/>
                <w:color w:val="000000"/>
                <w:sz w:val="20"/>
              </w:rPr>
            </w:pPr>
            <w:r w:rsidRPr="002D72BF">
              <w:rPr>
                <w:color w:val="000000"/>
                <w:sz w:val="20"/>
              </w:rPr>
              <w:t>-3,6</w:t>
            </w:r>
          </w:p>
        </w:tc>
      </w:tr>
      <w:tr w:rsidR="002D72BF" w:rsidRPr="002D72BF" w14:paraId="63C6E36C" w14:textId="77777777" w:rsidTr="003F4DE5">
        <w:trPr>
          <w:jc w:val="center"/>
        </w:trPr>
        <w:tc>
          <w:tcPr>
            <w:tcW w:w="4417" w:type="dxa"/>
            <w:tcMar>
              <w:top w:w="0" w:type="dxa"/>
              <w:left w:w="108" w:type="dxa"/>
              <w:bottom w:w="0" w:type="dxa"/>
              <w:right w:w="108" w:type="dxa"/>
            </w:tcMar>
            <w:hideMark/>
          </w:tcPr>
          <w:p w14:paraId="2B9A6AE4"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 Ienākumu un pārvedumu bilance</w:t>
            </w:r>
          </w:p>
        </w:tc>
        <w:tc>
          <w:tcPr>
            <w:tcW w:w="952" w:type="dxa"/>
            <w:tcMar>
              <w:top w:w="0" w:type="dxa"/>
              <w:left w:w="108" w:type="dxa"/>
              <w:bottom w:w="0" w:type="dxa"/>
              <w:right w:w="108" w:type="dxa"/>
            </w:tcMar>
          </w:tcPr>
          <w:p w14:paraId="5E0388D7" w14:textId="77777777" w:rsidR="002D72BF" w:rsidRPr="002D72BF" w:rsidRDefault="002D72BF" w:rsidP="002D72BF">
            <w:pPr>
              <w:spacing w:after="0"/>
              <w:ind w:firstLine="0"/>
              <w:jc w:val="left"/>
              <w:rPr>
                <w:snapToGrid w:val="0"/>
                <w:color w:val="000000"/>
                <w:sz w:val="20"/>
              </w:rPr>
            </w:pPr>
          </w:p>
        </w:tc>
        <w:tc>
          <w:tcPr>
            <w:tcW w:w="797" w:type="dxa"/>
            <w:tcMar>
              <w:top w:w="0" w:type="dxa"/>
              <w:left w:w="108" w:type="dxa"/>
              <w:bottom w:w="0" w:type="dxa"/>
              <w:right w:w="108" w:type="dxa"/>
            </w:tcMar>
            <w:vAlign w:val="center"/>
            <w:hideMark/>
          </w:tcPr>
          <w:p w14:paraId="48A57C0B" w14:textId="77777777" w:rsidR="002D72BF" w:rsidRPr="002D72BF" w:rsidRDefault="002D72BF" w:rsidP="002D72BF">
            <w:pPr>
              <w:ind w:hanging="31"/>
              <w:jc w:val="center"/>
              <w:rPr>
                <w:rFonts w:eastAsia="Calibri"/>
                <w:color w:val="000000"/>
                <w:sz w:val="20"/>
              </w:rPr>
            </w:pPr>
            <w:r w:rsidRPr="002D72BF">
              <w:rPr>
                <w:color w:val="000000"/>
                <w:sz w:val="20"/>
              </w:rPr>
              <w:t>1,3</w:t>
            </w:r>
          </w:p>
        </w:tc>
        <w:tc>
          <w:tcPr>
            <w:tcW w:w="797" w:type="dxa"/>
            <w:tcMar>
              <w:top w:w="0" w:type="dxa"/>
              <w:left w:w="108" w:type="dxa"/>
              <w:bottom w:w="0" w:type="dxa"/>
              <w:right w:w="108" w:type="dxa"/>
            </w:tcMar>
            <w:vAlign w:val="center"/>
            <w:hideMark/>
          </w:tcPr>
          <w:p w14:paraId="0F9486F8" w14:textId="77777777" w:rsidR="002D72BF" w:rsidRPr="002D72BF" w:rsidRDefault="002D72BF" w:rsidP="002D72BF">
            <w:pPr>
              <w:ind w:hanging="31"/>
              <w:jc w:val="center"/>
              <w:rPr>
                <w:rFonts w:eastAsia="Calibri"/>
                <w:color w:val="000000"/>
                <w:sz w:val="20"/>
              </w:rPr>
            </w:pPr>
            <w:r w:rsidRPr="002D72BF">
              <w:rPr>
                <w:color w:val="000000"/>
                <w:sz w:val="20"/>
              </w:rPr>
              <w:t>1,1</w:t>
            </w:r>
          </w:p>
        </w:tc>
        <w:tc>
          <w:tcPr>
            <w:tcW w:w="797" w:type="dxa"/>
            <w:tcMar>
              <w:top w:w="0" w:type="dxa"/>
              <w:left w:w="108" w:type="dxa"/>
              <w:bottom w:w="0" w:type="dxa"/>
              <w:right w:w="108" w:type="dxa"/>
            </w:tcMar>
            <w:vAlign w:val="center"/>
            <w:hideMark/>
          </w:tcPr>
          <w:p w14:paraId="500A8AD2" w14:textId="77777777" w:rsidR="002D72BF" w:rsidRPr="002D72BF" w:rsidRDefault="002D72BF" w:rsidP="002D72BF">
            <w:pPr>
              <w:ind w:hanging="31"/>
              <w:jc w:val="center"/>
              <w:rPr>
                <w:rFonts w:eastAsia="Calibri"/>
                <w:color w:val="000000"/>
                <w:sz w:val="20"/>
              </w:rPr>
            </w:pPr>
            <w:r w:rsidRPr="002D72BF">
              <w:rPr>
                <w:color w:val="000000"/>
                <w:sz w:val="20"/>
              </w:rPr>
              <w:t>1,2</w:t>
            </w:r>
          </w:p>
        </w:tc>
        <w:tc>
          <w:tcPr>
            <w:tcW w:w="797" w:type="dxa"/>
            <w:tcMar>
              <w:top w:w="0" w:type="dxa"/>
              <w:left w:w="108" w:type="dxa"/>
              <w:bottom w:w="0" w:type="dxa"/>
              <w:right w:w="108" w:type="dxa"/>
            </w:tcMar>
            <w:vAlign w:val="center"/>
            <w:hideMark/>
          </w:tcPr>
          <w:p w14:paraId="3F7C7301" w14:textId="77777777" w:rsidR="002D72BF" w:rsidRPr="002D72BF" w:rsidRDefault="002D72BF" w:rsidP="002D72BF">
            <w:pPr>
              <w:ind w:hanging="31"/>
              <w:jc w:val="center"/>
              <w:rPr>
                <w:rFonts w:eastAsia="Calibri"/>
                <w:color w:val="000000"/>
                <w:sz w:val="20"/>
              </w:rPr>
            </w:pPr>
            <w:r w:rsidRPr="002D72BF">
              <w:rPr>
                <w:color w:val="000000"/>
                <w:sz w:val="20"/>
              </w:rPr>
              <w:t>0,9</w:t>
            </w:r>
          </w:p>
        </w:tc>
        <w:tc>
          <w:tcPr>
            <w:tcW w:w="623" w:type="dxa"/>
            <w:tcMar>
              <w:top w:w="0" w:type="dxa"/>
              <w:left w:w="108" w:type="dxa"/>
              <w:bottom w:w="0" w:type="dxa"/>
              <w:right w:w="108" w:type="dxa"/>
            </w:tcMar>
            <w:vAlign w:val="center"/>
            <w:hideMark/>
          </w:tcPr>
          <w:p w14:paraId="2454C99A" w14:textId="77777777" w:rsidR="002D72BF" w:rsidRPr="002D72BF" w:rsidRDefault="002D72BF" w:rsidP="002D72BF">
            <w:pPr>
              <w:ind w:hanging="31"/>
              <w:jc w:val="center"/>
              <w:rPr>
                <w:rFonts w:eastAsia="Calibri"/>
                <w:color w:val="000000"/>
                <w:sz w:val="20"/>
              </w:rPr>
            </w:pPr>
            <w:r w:rsidRPr="002D72BF">
              <w:rPr>
                <w:color w:val="000000"/>
                <w:sz w:val="20"/>
              </w:rPr>
              <w:t>0,9</w:t>
            </w:r>
          </w:p>
        </w:tc>
      </w:tr>
      <w:tr w:rsidR="002D72BF" w:rsidRPr="002D72BF" w14:paraId="47800848" w14:textId="77777777" w:rsidTr="003F4DE5">
        <w:trPr>
          <w:jc w:val="center"/>
        </w:trPr>
        <w:tc>
          <w:tcPr>
            <w:tcW w:w="4417" w:type="dxa"/>
            <w:tcMar>
              <w:top w:w="0" w:type="dxa"/>
              <w:left w:w="108" w:type="dxa"/>
              <w:bottom w:w="0" w:type="dxa"/>
              <w:right w:w="108" w:type="dxa"/>
            </w:tcMar>
            <w:hideMark/>
          </w:tcPr>
          <w:p w14:paraId="600F9534"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 Kapitāla konts</w:t>
            </w:r>
          </w:p>
        </w:tc>
        <w:tc>
          <w:tcPr>
            <w:tcW w:w="952" w:type="dxa"/>
            <w:tcMar>
              <w:top w:w="0" w:type="dxa"/>
              <w:left w:w="108" w:type="dxa"/>
              <w:bottom w:w="0" w:type="dxa"/>
              <w:right w:w="108" w:type="dxa"/>
            </w:tcMar>
          </w:tcPr>
          <w:p w14:paraId="50DBC61B" w14:textId="77777777" w:rsidR="002D72BF" w:rsidRPr="002D72BF" w:rsidRDefault="002D72BF" w:rsidP="002D72BF">
            <w:pPr>
              <w:spacing w:after="0"/>
              <w:ind w:firstLine="0"/>
              <w:jc w:val="left"/>
              <w:rPr>
                <w:snapToGrid w:val="0"/>
                <w:color w:val="000000"/>
                <w:sz w:val="20"/>
              </w:rPr>
            </w:pPr>
          </w:p>
        </w:tc>
        <w:tc>
          <w:tcPr>
            <w:tcW w:w="797" w:type="dxa"/>
            <w:tcMar>
              <w:top w:w="0" w:type="dxa"/>
              <w:left w:w="108" w:type="dxa"/>
              <w:bottom w:w="0" w:type="dxa"/>
              <w:right w:w="108" w:type="dxa"/>
            </w:tcMar>
            <w:vAlign w:val="center"/>
            <w:hideMark/>
          </w:tcPr>
          <w:p w14:paraId="1A4BC7F6" w14:textId="77777777" w:rsidR="002D72BF" w:rsidRPr="002D72BF" w:rsidRDefault="002D72BF" w:rsidP="002D72BF">
            <w:pPr>
              <w:ind w:hanging="31"/>
              <w:jc w:val="center"/>
              <w:rPr>
                <w:rFonts w:eastAsia="Calibri"/>
                <w:color w:val="000000"/>
                <w:sz w:val="20"/>
              </w:rPr>
            </w:pPr>
            <w:r w:rsidRPr="002D72BF">
              <w:rPr>
                <w:color w:val="000000"/>
                <w:sz w:val="20"/>
              </w:rPr>
              <w:t>3,0</w:t>
            </w:r>
          </w:p>
        </w:tc>
        <w:tc>
          <w:tcPr>
            <w:tcW w:w="797" w:type="dxa"/>
            <w:tcMar>
              <w:top w:w="0" w:type="dxa"/>
              <w:left w:w="108" w:type="dxa"/>
              <w:bottom w:w="0" w:type="dxa"/>
              <w:right w:w="108" w:type="dxa"/>
            </w:tcMar>
            <w:vAlign w:val="center"/>
            <w:hideMark/>
          </w:tcPr>
          <w:p w14:paraId="6842ED26" w14:textId="77777777" w:rsidR="002D72BF" w:rsidRPr="002D72BF" w:rsidRDefault="002D72BF" w:rsidP="002D72BF">
            <w:pPr>
              <w:ind w:hanging="31"/>
              <w:jc w:val="center"/>
              <w:rPr>
                <w:rFonts w:eastAsia="Calibri"/>
                <w:color w:val="000000"/>
                <w:sz w:val="20"/>
              </w:rPr>
            </w:pPr>
            <w:r w:rsidRPr="002D72BF">
              <w:rPr>
                <w:color w:val="000000"/>
                <w:sz w:val="20"/>
              </w:rPr>
              <w:t>3,1</w:t>
            </w:r>
          </w:p>
        </w:tc>
        <w:tc>
          <w:tcPr>
            <w:tcW w:w="797" w:type="dxa"/>
            <w:tcMar>
              <w:top w:w="0" w:type="dxa"/>
              <w:left w:w="108" w:type="dxa"/>
              <w:bottom w:w="0" w:type="dxa"/>
              <w:right w:w="108" w:type="dxa"/>
            </w:tcMar>
            <w:vAlign w:val="center"/>
            <w:hideMark/>
          </w:tcPr>
          <w:p w14:paraId="6A90C144" w14:textId="77777777" w:rsidR="002D72BF" w:rsidRPr="002D72BF" w:rsidRDefault="002D72BF" w:rsidP="002D72BF">
            <w:pPr>
              <w:ind w:hanging="31"/>
              <w:jc w:val="center"/>
              <w:rPr>
                <w:rFonts w:eastAsia="Calibri"/>
                <w:color w:val="000000"/>
                <w:sz w:val="20"/>
              </w:rPr>
            </w:pPr>
            <w:r w:rsidRPr="002D72BF">
              <w:rPr>
                <w:color w:val="000000"/>
                <w:sz w:val="20"/>
              </w:rPr>
              <w:t>3,0</w:t>
            </w:r>
          </w:p>
        </w:tc>
        <w:tc>
          <w:tcPr>
            <w:tcW w:w="797" w:type="dxa"/>
            <w:tcMar>
              <w:top w:w="0" w:type="dxa"/>
              <w:left w:w="108" w:type="dxa"/>
              <w:bottom w:w="0" w:type="dxa"/>
              <w:right w:w="108" w:type="dxa"/>
            </w:tcMar>
            <w:vAlign w:val="center"/>
            <w:hideMark/>
          </w:tcPr>
          <w:p w14:paraId="4E532E36" w14:textId="77777777" w:rsidR="002D72BF" w:rsidRPr="002D72BF" w:rsidRDefault="002D72BF" w:rsidP="002D72BF">
            <w:pPr>
              <w:ind w:hanging="31"/>
              <w:jc w:val="center"/>
              <w:rPr>
                <w:rFonts w:eastAsia="Calibri"/>
                <w:color w:val="000000"/>
                <w:sz w:val="20"/>
              </w:rPr>
            </w:pPr>
            <w:r w:rsidRPr="002D72BF">
              <w:rPr>
                <w:color w:val="000000"/>
                <w:sz w:val="20"/>
              </w:rPr>
              <w:t>1,8</w:t>
            </w:r>
          </w:p>
        </w:tc>
        <w:tc>
          <w:tcPr>
            <w:tcW w:w="623" w:type="dxa"/>
            <w:tcMar>
              <w:top w:w="0" w:type="dxa"/>
              <w:left w:w="108" w:type="dxa"/>
              <w:bottom w:w="0" w:type="dxa"/>
              <w:right w:w="108" w:type="dxa"/>
            </w:tcMar>
            <w:vAlign w:val="center"/>
            <w:hideMark/>
          </w:tcPr>
          <w:p w14:paraId="6820A5A8" w14:textId="77777777" w:rsidR="002D72BF" w:rsidRPr="002D72BF" w:rsidRDefault="002D72BF" w:rsidP="002D72BF">
            <w:pPr>
              <w:ind w:hanging="31"/>
              <w:jc w:val="center"/>
              <w:rPr>
                <w:rFonts w:eastAsia="Calibri"/>
                <w:color w:val="000000"/>
                <w:sz w:val="20"/>
              </w:rPr>
            </w:pPr>
            <w:r w:rsidRPr="002D72BF">
              <w:rPr>
                <w:color w:val="000000"/>
                <w:sz w:val="20"/>
              </w:rPr>
              <w:t>1,9</w:t>
            </w:r>
          </w:p>
        </w:tc>
      </w:tr>
      <w:tr w:rsidR="002D72BF" w:rsidRPr="002D72BF" w14:paraId="51EFCF49" w14:textId="77777777" w:rsidTr="003F4DE5">
        <w:trPr>
          <w:jc w:val="center"/>
        </w:trPr>
        <w:tc>
          <w:tcPr>
            <w:tcW w:w="4417" w:type="dxa"/>
            <w:tcMar>
              <w:top w:w="0" w:type="dxa"/>
              <w:left w:w="108" w:type="dxa"/>
              <w:bottom w:w="0" w:type="dxa"/>
              <w:right w:w="108" w:type="dxa"/>
            </w:tcMar>
            <w:hideMark/>
          </w:tcPr>
          <w:p w14:paraId="15CA7B5D"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2. Neto aizdevumi/ aizņemšanās privātajā sektorā</w:t>
            </w:r>
          </w:p>
        </w:tc>
        <w:tc>
          <w:tcPr>
            <w:tcW w:w="952" w:type="dxa"/>
            <w:tcMar>
              <w:top w:w="0" w:type="dxa"/>
              <w:left w:w="108" w:type="dxa"/>
              <w:bottom w:w="0" w:type="dxa"/>
              <w:right w:w="108" w:type="dxa"/>
            </w:tcMar>
            <w:hideMark/>
          </w:tcPr>
          <w:p w14:paraId="13EB6406"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B.9</w:t>
            </w:r>
          </w:p>
        </w:tc>
        <w:tc>
          <w:tcPr>
            <w:tcW w:w="797" w:type="dxa"/>
            <w:tcMar>
              <w:top w:w="0" w:type="dxa"/>
              <w:left w:w="108" w:type="dxa"/>
              <w:bottom w:w="0" w:type="dxa"/>
              <w:right w:w="108" w:type="dxa"/>
            </w:tcMar>
            <w:vAlign w:val="center"/>
          </w:tcPr>
          <w:p w14:paraId="4868E75C" w14:textId="77777777" w:rsidR="002D72BF" w:rsidRPr="002D72BF" w:rsidRDefault="002D72BF" w:rsidP="002D72BF">
            <w:pPr>
              <w:ind w:firstLine="0"/>
              <w:jc w:val="center"/>
              <w:rPr>
                <w:i/>
                <w:iCs/>
                <w:color w:val="000000"/>
                <w:sz w:val="20"/>
              </w:rPr>
            </w:pPr>
            <w:r w:rsidRPr="002D72BF">
              <w:rPr>
                <w:rFonts w:eastAsia="Calibri"/>
                <w:i/>
                <w:iCs/>
                <w:color w:val="000000"/>
                <w:sz w:val="20"/>
              </w:rPr>
              <w:t>2,5</w:t>
            </w:r>
          </w:p>
        </w:tc>
        <w:tc>
          <w:tcPr>
            <w:tcW w:w="797" w:type="dxa"/>
            <w:tcMar>
              <w:top w:w="0" w:type="dxa"/>
              <w:left w:w="108" w:type="dxa"/>
              <w:bottom w:w="0" w:type="dxa"/>
              <w:right w:w="108" w:type="dxa"/>
            </w:tcMar>
            <w:vAlign w:val="center"/>
          </w:tcPr>
          <w:p w14:paraId="7B80A290" w14:textId="77777777" w:rsidR="002D72BF" w:rsidRPr="002D72BF" w:rsidRDefault="002D72BF" w:rsidP="002D72BF">
            <w:pPr>
              <w:ind w:firstLine="0"/>
              <w:jc w:val="center"/>
              <w:rPr>
                <w:i/>
                <w:iCs/>
                <w:color w:val="000000"/>
                <w:sz w:val="20"/>
              </w:rPr>
            </w:pPr>
            <w:r w:rsidRPr="002D72BF">
              <w:rPr>
                <w:rFonts w:eastAsia="Calibri"/>
                <w:i/>
                <w:iCs/>
                <w:color w:val="000000"/>
                <w:sz w:val="20"/>
              </w:rPr>
              <w:t>1,8</w:t>
            </w:r>
          </w:p>
        </w:tc>
        <w:tc>
          <w:tcPr>
            <w:tcW w:w="797" w:type="dxa"/>
            <w:tcMar>
              <w:top w:w="0" w:type="dxa"/>
              <w:left w:w="108" w:type="dxa"/>
              <w:bottom w:w="0" w:type="dxa"/>
              <w:right w:w="108" w:type="dxa"/>
            </w:tcMar>
            <w:vAlign w:val="center"/>
          </w:tcPr>
          <w:p w14:paraId="10E96EF8" w14:textId="77777777" w:rsidR="002D72BF" w:rsidRPr="002D72BF" w:rsidRDefault="002D72BF" w:rsidP="002D72BF">
            <w:pPr>
              <w:ind w:firstLine="0"/>
              <w:jc w:val="center"/>
              <w:rPr>
                <w:i/>
                <w:iCs/>
                <w:color w:val="000000"/>
                <w:sz w:val="20"/>
              </w:rPr>
            </w:pPr>
            <w:r w:rsidRPr="002D72BF">
              <w:rPr>
                <w:rFonts w:eastAsia="Calibri"/>
                <w:i/>
                <w:iCs/>
                <w:color w:val="000000"/>
                <w:sz w:val="20"/>
              </w:rPr>
              <w:t>1,8</w:t>
            </w:r>
          </w:p>
        </w:tc>
        <w:tc>
          <w:tcPr>
            <w:tcW w:w="797" w:type="dxa"/>
            <w:tcMar>
              <w:top w:w="0" w:type="dxa"/>
              <w:left w:w="108" w:type="dxa"/>
              <w:bottom w:w="0" w:type="dxa"/>
              <w:right w:w="108" w:type="dxa"/>
            </w:tcMar>
            <w:vAlign w:val="center"/>
          </w:tcPr>
          <w:p w14:paraId="6652CEEC" w14:textId="77777777" w:rsidR="002D72BF" w:rsidRPr="002D72BF" w:rsidRDefault="002D72BF" w:rsidP="002D72BF">
            <w:pPr>
              <w:ind w:firstLine="0"/>
              <w:jc w:val="center"/>
              <w:rPr>
                <w:i/>
                <w:iCs/>
                <w:color w:val="000000"/>
                <w:sz w:val="20"/>
              </w:rPr>
            </w:pPr>
            <w:r w:rsidRPr="002D72BF">
              <w:rPr>
                <w:rFonts w:eastAsia="Calibri"/>
                <w:i/>
                <w:iCs/>
                <w:color w:val="000000"/>
                <w:sz w:val="20"/>
              </w:rPr>
              <w:t>0,2</w:t>
            </w:r>
          </w:p>
        </w:tc>
        <w:tc>
          <w:tcPr>
            <w:tcW w:w="623" w:type="dxa"/>
            <w:tcMar>
              <w:top w:w="0" w:type="dxa"/>
              <w:left w:w="108" w:type="dxa"/>
              <w:bottom w:w="0" w:type="dxa"/>
              <w:right w:w="108" w:type="dxa"/>
            </w:tcMar>
            <w:vAlign w:val="center"/>
          </w:tcPr>
          <w:p w14:paraId="11D921BB" w14:textId="77777777" w:rsidR="002D72BF" w:rsidRPr="002D72BF" w:rsidRDefault="002D72BF" w:rsidP="002D72BF">
            <w:pPr>
              <w:ind w:firstLine="0"/>
              <w:jc w:val="center"/>
              <w:rPr>
                <w:i/>
                <w:iCs/>
                <w:color w:val="000000"/>
                <w:sz w:val="20"/>
              </w:rPr>
            </w:pPr>
            <w:r w:rsidRPr="002D72BF">
              <w:rPr>
                <w:rFonts w:eastAsia="Calibri"/>
                <w:i/>
                <w:iCs/>
                <w:color w:val="000000"/>
                <w:sz w:val="20"/>
              </w:rPr>
              <w:t>0,1</w:t>
            </w:r>
          </w:p>
        </w:tc>
      </w:tr>
      <w:tr w:rsidR="002D72BF" w:rsidRPr="002D72BF" w14:paraId="3A165C3F" w14:textId="77777777" w:rsidTr="003F4DE5">
        <w:trPr>
          <w:jc w:val="center"/>
        </w:trPr>
        <w:tc>
          <w:tcPr>
            <w:tcW w:w="4417" w:type="dxa"/>
            <w:tcMar>
              <w:top w:w="0" w:type="dxa"/>
              <w:left w:w="108" w:type="dxa"/>
              <w:bottom w:w="0" w:type="dxa"/>
              <w:right w:w="108" w:type="dxa"/>
            </w:tcMar>
            <w:hideMark/>
          </w:tcPr>
          <w:p w14:paraId="77F000E1"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3. Neto aizdevumi/ aizņemšanās vispārējās valdības sektorā</w:t>
            </w:r>
          </w:p>
        </w:tc>
        <w:tc>
          <w:tcPr>
            <w:tcW w:w="952" w:type="dxa"/>
            <w:tcMar>
              <w:top w:w="0" w:type="dxa"/>
              <w:left w:w="108" w:type="dxa"/>
              <w:bottom w:w="0" w:type="dxa"/>
              <w:right w:w="108" w:type="dxa"/>
            </w:tcMar>
            <w:hideMark/>
          </w:tcPr>
          <w:p w14:paraId="4D5E9E04"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EDP B.9</w:t>
            </w:r>
          </w:p>
        </w:tc>
        <w:tc>
          <w:tcPr>
            <w:tcW w:w="797" w:type="dxa"/>
            <w:tcMar>
              <w:top w:w="0" w:type="dxa"/>
              <w:left w:w="108" w:type="dxa"/>
              <w:bottom w:w="0" w:type="dxa"/>
              <w:right w:w="108" w:type="dxa"/>
            </w:tcMar>
            <w:vAlign w:val="center"/>
          </w:tcPr>
          <w:p w14:paraId="41E0D70B" w14:textId="77777777" w:rsidR="002D72BF" w:rsidRPr="002D72BF" w:rsidRDefault="002D72BF" w:rsidP="002D72BF">
            <w:pPr>
              <w:ind w:firstLine="0"/>
              <w:jc w:val="center"/>
              <w:rPr>
                <w:i/>
                <w:iCs/>
                <w:color w:val="000000"/>
                <w:sz w:val="20"/>
              </w:rPr>
            </w:pPr>
            <w:r w:rsidRPr="002D72BF">
              <w:rPr>
                <w:i/>
                <w:iCs/>
                <w:color w:val="000000"/>
                <w:sz w:val="20"/>
              </w:rPr>
              <w:t>-1,2</w:t>
            </w:r>
          </w:p>
        </w:tc>
        <w:tc>
          <w:tcPr>
            <w:tcW w:w="797" w:type="dxa"/>
            <w:tcMar>
              <w:top w:w="0" w:type="dxa"/>
              <w:left w:w="108" w:type="dxa"/>
              <w:bottom w:w="0" w:type="dxa"/>
              <w:right w:w="108" w:type="dxa"/>
            </w:tcMar>
            <w:vAlign w:val="center"/>
          </w:tcPr>
          <w:p w14:paraId="69A6A7CC" w14:textId="77777777" w:rsidR="002D72BF" w:rsidRPr="002D72BF" w:rsidRDefault="002D72BF" w:rsidP="002D72BF">
            <w:pPr>
              <w:ind w:firstLine="0"/>
              <w:jc w:val="center"/>
              <w:rPr>
                <w:i/>
                <w:iCs/>
                <w:color w:val="000000"/>
                <w:sz w:val="20"/>
              </w:rPr>
            </w:pPr>
            <w:r w:rsidRPr="002D72BF">
              <w:rPr>
                <w:i/>
                <w:iCs/>
                <w:color w:val="000000"/>
                <w:sz w:val="20"/>
              </w:rPr>
              <w:t>-0,9</w:t>
            </w:r>
          </w:p>
        </w:tc>
        <w:tc>
          <w:tcPr>
            <w:tcW w:w="797" w:type="dxa"/>
            <w:tcMar>
              <w:top w:w="0" w:type="dxa"/>
              <w:left w:w="108" w:type="dxa"/>
              <w:bottom w:w="0" w:type="dxa"/>
              <w:right w:w="108" w:type="dxa"/>
            </w:tcMar>
            <w:vAlign w:val="center"/>
          </w:tcPr>
          <w:p w14:paraId="39801F0B" w14:textId="77777777" w:rsidR="002D72BF" w:rsidRPr="002D72BF" w:rsidRDefault="002D72BF" w:rsidP="002D72BF">
            <w:pPr>
              <w:ind w:firstLine="0"/>
              <w:jc w:val="center"/>
              <w:rPr>
                <w:i/>
                <w:iCs/>
                <w:color w:val="000000"/>
                <w:sz w:val="20"/>
              </w:rPr>
            </w:pPr>
            <w:r w:rsidRPr="002D72BF">
              <w:rPr>
                <w:i/>
                <w:iCs/>
                <w:color w:val="000000"/>
                <w:sz w:val="20"/>
              </w:rPr>
              <w:t>-0,9</w:t>
            </w:r>
          </w:p>
        </w:tc>
        <w:tc>
          <w:tcPr>
            <w:tcW w:w="797" w:type="dxa"/>
            <w:tcMar>
              <w:top w:w="0" w:type="dxa"/>
              <w:left w:w="108" w:type="dxa"/>
              <w:bottom w:w="0" w:type="dxa"/>
              <w:right w:w="108" w:type="dxa"/>
            </w:tcMar>
            <w:vAlign w:val="center"/>
          </w:tcPr>
          <w:p w14:paraId="0333ABFC" w14:textId="77777777" w:rsidR="002D72BF" w:rsidRPr="002D72BF" w:rsidRDefault="002D72BF" w:rsidP="002D72BF">
            <w:pPr>
              <w:ind w:firstLine="0"/>
              <w:jc w:val="center"/>
              <w:rPr>
                <w:i/>
                <w:iCs/>
                <w:color w:val="000000"/>
                <w:sz w:val="20"/>
              </w:rPr>
            </w:pPr>
            <w:r w:rsidRPr="002D72BF">
              <w:rPr>
                <w:i/>
                <w:iCs/>
                <w:color w:val="000000"/>
                <w:sz w:val="20"/>
              </w:rPr>
              <w:t>-0,9</w:t>
            </w:r>
          </w:p>
        </w:tc>
        <w:tc>
          <w:tcPr>
            <w:tcW w:w="623" w:type="dxa"/>
            <w:tcMar>
              <w:top w:w="0" w:type="dxa"/>
              <w:left w:w="108" w:type="dxa"/>
              <w:bottom w:w="0" w:type="dxa"/>
              <w:right w:w="108" w:type="dxa"/>
            </w:tcMar>
            <w:vAlign w:val="center"/>
          </w:tcPr>
          <w:p w14:paraId="7059A4DB" w14:textId="77777777" w:rsidR="002D72BF" w:rsidRPr="002D72BF" w:rsidRDefault="002D72BF" w:rsidP="002D72BF">
            <w:pPr>
              <w:ind w:firstLine="0"/>
              <w:jc w:val="center"/>
              <w:rPr>
                <w:i/>
                <w:iCs/>
                <w:color w:val="000000"/>
                <w:sz w:val="20"/>
              </w:rPr>
            </w:pPr>
            <w:r w:rsidRPr="002D72BF">
              <w:rPr>
                <w:i/>
                <w:iCs/>
                <w:color w:val="000000"/>
                <w:sz w:val="20"/>
              </w:rPr>
              <w:t>-0,9</w:t>
            </w:r>
          </w:p>
        </w:tc>
      </w:tr>
      <w:tr w:rsidR="002D72BF" w:rsidRPr="002D72BF" w14:paraId="128E580E" w14:textId="77777777" w:rsidTr="003F4DE5">
        <w:trPr>
          <w:jc w:val="center"/>
        </w:trPr>
        <w:tc>
          <w:tcPr>
            <w:tcW w:w="4417" w:type="dxa"/>
            <w:tcMar>
              <w:top w:w="0" w:type="dxa"/>
              <w:left w:w="108" w:type="dxa"/>
              <w:bottom w:w="0" w:type="dxa"/>
              <w:right w:w="108" w:type="dxa"/>
            </w:tcMar>
            <w:hideMark/>
          </w:tcPr>
          <w:p w14:paraId="06DDC305" w14:textId="77777777" w:rsidR="002D72BF" w:rsidRPr="002D72BF" w:rsidRDefault="002D72BF" w:rsidP="002D72BF">
            <w:pPr>
              <w:spacing w:after="0"/>
              <w:ind w:firstLine="0"/>
              <w:jc w:val="left"/>
              <w:rPr>
                <w:snapToGrid w:val="0"/>
                <w:color w:val="000000"/>
                <w:sz w:val="20"/>
              </w:rPr>
            </w:pPr>
            <w:r w:rsidRPr="002D72BF">
              <w:rPr>
                <w:snapToGrid w:val="0"/>
                <w:color w:val="000000"/>
                <w:sz w:val="20"/>
              </w:rPr>
              <w:t>4. Statistiskā novirze</w:t>
            </w:r>
          </w:p>
        </w:tc>
        <w:tc>
          <w:tcPr>
            <w:tcW w:w="952" w:type="dxa"/>
            <w:tcMar>
              <w:top w:w="0" w:type="dxa"/>
              <w:left w:w="108" w:type="dxa"/>
              <w:bottom w:w="0" w:type="dxa"/>
              <w:right w:w="108" w:type="dxa"/>
            </w:tcMar>
          </w:tcPr>
          <w:p w14:paraId="048F3A09" w14:textId="77777777" w:rsidR="002D72BF" w:rsidRPr="002D72BF" w:rsidRDefault="002D72BF" w:rsidP="002D72BF">
            <w:pPr>
              <w:spacing w:after="0"/>
              <w:ind w:firstLine="0"/>
              <w:jc w:val="left"/>
              <w:rPr>
                <w:snapToGrid w:val="0"/>
                <w:color w:val="000000"/>
                <w:sz w:val="20"/>
              </w:rPr>
            </w:pPr>
          </w:p>
        </w:tc>
        <w:tc>
          <w:tcPr>
            <w:tcW w:w="797" w:type="dxa"/>
            <w:tcMar>
              <w:top w:w="0" w:type="dxa"/>
              <w:left w:w="108" w:type="dxa"/>
              <w:bottom w:w="0" w:type="dxa"/>
              <w:right w:w="108" w:type="dxa"/>
            </w:tcMar>
            <w:vAlign w:val="center"/>
            <w:hideMark/>
          </w:tcPr>
          <w:p w14:paraId="05B22CFC" w14:textId="77777777" w:rsidR="002D72BF" w:rsidRPr="002D72BF" w:rsidRDefault="002D72BF" w:rsidP="002D72BF">
            <w:pPr>
              <w:ind w:hanging="31"/>
              <w:jc w:val="center"/>
              <w:rPr>
                <w:rFonts w:eastAsia="Calibri"/>
                <w:i/>
                <w:color w:val="000000"/>
                <w:sz w:val="20"/>
              </w:rPr>
            </w:pPr>
            <w:r w:rsidRPr="002D72BF">
              <w:rPr>
                <w:i/>
                <w:color w:val="000000"/>
                <w:sz w:val="20"/>
              </w:rPr>
              <w:t>-0,1</w:t>
            </w:r>
          </w:p>
        </w:tc>
        <w:tc>
          <w:tcPr>
            <w:tcW w:w="797" w:type="dxa"/>
            <w:tcMar>
              <w:top w:w="0" w:type="dxa"/>
              <w:left w:w="108" w:type="dxa"/>
              <w:bottom w:w="0" w:type="dxa"/>
              <w:right w:w="108" w:type="dxa"/>
            </w:tcMar>
            <w:vAlign w:val="center"/>
            <w:hideMark/>
          </w:tcPr>
          <w:p w14:paraId="1F747E7D" w14:textId="77777777" w:rsidR="002D72BF" w:rsidRPr="002D72BF" w:rsidRDefault="002D72BF" w:rsidP="002D72BF">
            <w:pPr>
              <w:ind w:hanging="31"/>
              <w:jc w:val="center"/>
              <w:rPr>
                <w:rFonts w:eastAsia="Calibri"/>
                <w:i/>
                <w:color w:val="000000"/>
                <w:sz w:val="20"/>
              </w:rPr>
            </w:pPr>
            <w:r w:rsidRPr="002D72BF">
              <w:rPr>
                <w:i/>
                <w:color w:val="000000"/>
                <w:sz w:val="20"/>
              </w:rPr>
              <w:t>0,0</w:t>
            </w:r>
          </w:p>
        </w:tc>
        <w:tc>
          <w:tcPr>
            <w:tcW w:w="797" w:type="dxa"/>
            <w:tcMar>
              <w:top w:w="0" w:type="dxa"/>
              <w:left w:w="108" w:type="dxa"/>
              <w:bottom w:w="0" w:type="dxa"/>
              <w:right w:w="108" w:type="dxa"/>
            </w:tcMar>
            <w:vAlign w:val="center"/>
            <w:hideMark/>
          </w:tcPr>
          <w:p w14:paraId="53254B10" w14:textId="77777777" w:rsidR="002D72BF" w:rsidRPr="002D72BF" w:rsidRDefault="002D72BF" w:rsidP="002D72BF">
            <w:pPr>
              <w:ind w:hanging="31"/>
              <w:jc w:val="center"/>
              <w:rPr>
                <w:rFonts w:eastAsia="Calibri"/>
                <w:i/>
                <w:color w:val="000000"/>
                <w:sz w:val="20"/>
              </w:rPr>
            </w:pPr>
            <w:r w:rsidRPr="002D72BF">
              <w:rPr>
                <w:i/>
                <w:color w:val="000000"/>
                <w:sz w:val="20"/>
              </w:rPr>
              <w:t>0,0</w:t>
            </w:r>
          </w:p>
        </w:tc>
        <w:tc>
          <w:tcPr>
            <w:tcW w:w="797" w:type="dxa"/>
            <w:tcMar>
              <w:top w:w="0" w:type="dxa"/>
              <w:left w:w="108" w:type="dxa"/>
              <w:bottom w:w="0" w:type="dxa"/>
              <w:right w:w="108" w:type="dxa"/>
            </w:tcMar>
            <w:vAlign w:val="center"/>
            <w:hideMark/>
          </w:tcPr>
          <w:p w14:paraId="58BD93DB" w14:textId="77777777" w:rsidR="002D72BF" w:rsidRPr="002D72BF" w:rsidRDefault="002D72BF" w:rsidP="002D72BF">
            <w:pPr>
              <w:ind w:hanging="31"/>
              <w:jc w:val="center"/>
              <w:rPr>
                <w:rFonts w:eastAsia="Calibri"/>
                <w:i/>
                <w:color w:val="000000"/>
                <w:sz w:val="20"/>
              </w:rPr>
            </w:pPr>
            <w:r w:rsidRPr="002D72BF">
              <w:rPr>
                <w:i/>
                <w:color w:val="000000"/>
                <w:sz w:val="20"/>
              </w:rPr>
              <w:t>0,0</w:t>
            </w:r>
          </w:p>
        </w:tc>
        <w:tc>
          <w:tcPr>
            <w:tcW w:w="623" w:type="dxa"/>
            <w:tcMar>
              <w:top w:w="0" w:type="dxa"/>
              <w:left w:w="108" w:type="dxa"/>
              <w:bottom w:w="0" w:type="dxa"/>
              <w:right w:w="108" w:type="dxa"/>
            </w:tcMar>
            <w:vAlign w:val="center"/>
            <w:hideMark/>
          </w:tcPr>
          <w:p w14:paraId="7BDE19BD" w14:textId="77777777" w:rsidR="002D72BF" w:rsidRPr="002D72BF" w:rsidRDefault="002D72BF" w:rsidP="002D72BF">
            <w:pPr>
              <w:ind w:hanging="31"/>
              <w:jc w:val="center"/>
              <w:rPr>
                <w:rFonts w:eastAsia="Calibri"/>
                <w:i/>
                <w:color w:val="000000"/>
                <w:sz w:val="20"/>
              </w:rPr>
            </w:pPr>
            <w:r w:rsidRPr="002D72BF">
              <w:rPr>
                <w:i/>
                <w:color w:val="000000"/>
                <w:sz w:val="20"/>
              </w:rPr>
              <w:t>0,0</w:t>
            </w:r>
          </w:p>
        </w:tc>
      </w:tr>
    </w:tbl>
    <w:p w14:paraId="79D4D63E" w14:textId="77777777" w:rsidR="002D62B9" w:rsidRPr="001946E0" w:rsidRDefault="002D62B9" w:rsidP="002D62B9">
      <w:pPr>
        <w:pStyle w:val="T"/>
        <w:ind w:left="0"/>
        <w:rPr>
          <w:rFonts w:ascii="Times New Roman" w:hAnsi="Times New Roman"/>
          <w:color w:val="000000"/>
        </w:rPr>
      </w:pPr>
    </w:p>
    <w:p w14:paraId="752BFB76" w14:textId="77777777" w:rsidR="002D62B9" w:rsidRPr="001946E0" w:rsidRDefault="002D62B9" w:rsidP="002D62B9">
      <w:pPr>
        <w:pStyle w:val="T"/>
        <w:rPr>
          <w:rFonts w:ascii="Times New Roman" w:hAnsi="Times New Roman"/>
          <w:color w:val="000000"/>
        </w:rPr>
      </w:pPr>
    </w:p>
    <w:p w14:paraId="335AD049" w14:textId="77777777" w:rsidR="002D62B9" w:rsidRDefault="00203D1A" w:rsidP="002D62B9">
      <w:pPr>
        <w:ind w:firstLine="0"/>
        <w:jc w:val="left"/>
        <w:rPr>
          <w:b/>
          <w:color w:val="000000"/>
          <w:szCs w:val="24"/>
        </w:rPr>
      </w:pPr>
      <w:r>
        <w:rPr>
          <w:b/>
          <w:color w:val="000000"/>
          <w:szCs w:val="24"/>
        </w:rPr>
        <w:br w:type="page"/>
      </w:r>
      <w:r w:rsidR="002D62B9" w:rsidRPr="001946E0">
        <w:rPr>
          <w:b/>
          <w:color w:val="000000"/>
          <w:szCs w:val="24"/>
        </w:rPr>
        <w:lastRenderedPageBreak/>
        <w:t xml:space="preserve">2a. tabula. Vispārējās valdības budžeta attīstība </w:t>
      </w:r>
    </w:p>
    <w:tbl>
      <w:tblPr>
        <w:tblW w:w="9072" w:type="dxa"/>
        <w:tblInd w:w="108" w:type="dxa"/>
        <w:tblLayout w:type="fixed"/>
        <w:tblLook w:val="0000" w:firstRow="0" w:lastRow="0" w:firstColumn="0" w:lastColumn="0" w:noHBand="0" w:noVBand="0"/>
      </w:tblPr>
      <w:tblGrid>
        <w:gridCol w:w="608"/>
        <w:gridCol w:w="2936"/>
        <w:gridCol w:w="1134"/>
        <w:gridCol w:w="992"/>
        <w:gridCol w:w="709"/>
        <w:gridCol w:w="709"/>
        <w:gridCol w:w="709"/>
        <w:gridCol w:w="708"/>
        <w:gridCol w:w="567"/>
      </w:tblGrid>
      <w:tr w:rsidR="00990E4C" w:rsidRPr="001518C9" w14:paraId="21FF61CA" w14:textId="77777777" w:rsidTr="00990E4C">
        <w:trPr>
          <w:cantSplit/>
          <w:tblHeader/>
        </w:trPr>
        <w:tc>
          <w:tcPr>
            <w:tcW w:w="3544" w:type="dxa"/>
            <w:gridSpan w:val="2"/>
            <w:tcBorders>
              <w:top w:val="double" w:sz="4" w:space="0" w:color="auto"/>
              <w:left w:val="double" w:sz="4" w:space="0" w:color="auto"/>
              <w:bottom w:val="single" w:sz="4" w:space="0" w:color="auto"/>
              <w:right w:val="single" w:sz="4" w:space="0" w:color="auto"/>
            </w:tcBorders>
            <w:vAlign w:val="bottom"/>
          </w:tcPr>
          <w:p w14:paraId="3DF54215" w14:textId="77777777" w:rsidR="00990E4C" w:rsidRPr="001518C9" w:rsidRDefault="00990E4C" w:rsidP="00E72E3B">
            <w:pPr>
              <w:pStyle w:val="tabteksts"/>
              <w:jc w:val="center"/>
              <w:rPr>
                <w:b/>
              </w:rPr>
            </w:pPr>
          </w:p>
        </w:tc>
        <w:tc>
          <w:tcPr>
            <w:tcW w:w="1134" w:type="dxa"/>
            <w:tcBorders>
              <w:top w:val="double" w:sz="4" w:space="0" w:color="auto"/>
              <w:left w:val="single" w:sz="4" w:space="0" w:color="auto"/>
              <w:bottom w:val="single" w:sz="4" w:space="0" w:color="auto"/>
              <w:right w:val="double" w:sz="4" w:space="0" w:color="auto"/>
            </w:tcBorders>
            <w:vAlign w:val="bottom"/>
          </w:tcPr>
          <w:p w14:paraId="04F4F700" w14:textId="77777777" w:rsidR="00990E4C" w:rsidRPr="001518C9" w:rsidRDefault="00990E4C" w:rsidP="00E72E3B">
            <w:pPr>
              <w:pStyle w:val="tabteksts"/>
              <w:jc w:val="center"/>
              <w:rPr>
                <w:b/>
              </w:rPr>
            </w:pPr>
          </w:p>
        </w:tc>
        <w:tc>
          <w:tcPr>
            <w:tcW w:w="992" w:type="dxa"/>
            <w:tcBorders>
              <w:top w:val="double" w:sz="4" w:space="0" w:color="auto"/>
              <w:left w:val="double" w:sz="4" w:space="0" w:color="auto"/>
              <w:bottom w:val="single" w:sz="4" w:space="0" w:color="auto"/>
              <w:right w:val="single" w:sz="4" w:space="0" w:color="auto"/>
            </w:tcBorders>
            <w:vAlign w:val="bottom"/>
          </w:tcPr>
          <w:p w14:paraId="44B46689" w14:textId="77777777" w:rsidR="00990E4C" w:rsidRPr="001518C9" w:rsidRDefault="00990E4C" w:rsidP="00E72E3B">
            <w:pPr>
              <w:pStyle w:val="tabteksts"/>
              <w:jc w:val="center"/>
              <w:rPr>
                <w:b/>
              </w:rPr>
            </w:pPr>
            <w:r w:rsidRPr="001518C9">
              <w:rPr>
                <w:b/>
              </w:rPr>
              <w:t>2012</w:t>
            </w:r>
          </w:p>
        </w:tc>
        <w:tc>
          <w:tcPr>
            <w:tcW w:w="709" w:type="dxa"/>
            <w:tcBorders>
              <w:top w:val="double" w:sz="4" w:space="0" w:color="auto"/>
              <w:left w:val="nil"/>
              <w:bottom w:val="single" w:sz="4" w:space="0" w:color="auto"/>
              <w:right w:val="single" w:sz="4" w:space="0" w:color="auto"/>
            </w:tcBorders>
            <w:vAlign w:val="bottom"/>
          </w:tcPr>
          <w:p w14:paraId="57CE5DB3" w14:textId="77777777" w:rsidR="00990E4C" w:rsidRPr="001518C9" w:rsidRDefault="00990E4C" w:rsidP="00E72E3B">
            <w:pPr>
              <w:pStyle w:val="tabteksts"/>
              <w:jc w:val="center"/>
              <w:rPr>
                <w:b/>
              </w:rPr>
            </w:pPr>
            <w:r w:rsidRPr="001518C9">
              <w:rPr>
                <w:b/>
              </w:rPr>
              <w:t>2012</w:t>
            </w:r>
          </w:p>
        </w:tc>
        <w:tc>
          <w:tcPr>
            <w:tcW w:w="709" w:type="dxa"/>
            <w:tcBorders>
              <w:top w:val="double" w:sz="4" w:space="0" w:color="auto"/>
              <w:left w:val="nil"/>
              <w:bottom w:val="single" w:sz="4" w:space="0" w:color="auto"/>
              <w:right w:val="single" w:sz="4" w:space="0" w:color="auto"/>
            </w:tcBorders>
            <w:vAlign w:val="bottom"/>
          </w:tcPr>
          <w:p w14:paraId="22ED8441" w14:textId="77777777" w:rsidR="00990E4C" w:rsidRPr="001518C9" w:rsidRDefault="00990E4C" w:rsidP="00E72E3B">
            <w:pPr>
              <w:pStyle w:val="tabteksts"/>
              <w:jc w:val="center"/>
              <w:rPr>
                <w:b/>
              </w:rPr>
            </w:pPr>
            <w:r w:rsidRPr="001518C9">
              <w:rPr>
                <w:b/>
              </w:rPr>
              <w:t>2013</w:t>
            </w:r>
          </w:p>
        </w:tc>
        <w:tc>
          <w:tcPr>
            <w:tcW w:w="709" w:type="dxa"/>
            <w:tcBorders>
              <w:top w:val="double" w:sz="4" w:space="0" w:color="auto"/>
              <w:left w:val="nil"/>
              <w:bottom w:val="single" w:sz="4" w:space="0" w:color="auto"/>
              <w:right w:val="single" w:sz="4" w:space="0" w:color="auto"/>
            </w:tcBorders>
          </w:tcPr>
          <w:p w14:paraId="0CF77E7E" w14:textId="77777777" w:rsidR="00990E4C" w:rsidRPr="001518C9" w:rsidRDefault="00990E4C" w:rsidP="00E72E3B">
            <w:pPr>
              <w:pStyle w:val="tabteksts"/>
              <w:jc w:val="center"/>
              <w:rPr>
                <w:b/>
              </w:rPr>
            </w:pPr>
            <w:r w:rsidRPr="001518C9">
              <w:rPr>
                <w:b/>
              </w:rPr>
              <w:t>2014</w:t>
            </w:r>
          </w:p>
        </w:tc>
        <w:tc>
          <w:tcPr>
            <w:tcW w:w="708" w:type="dxa"/>
            <w:tcBorders>
              <w:top w:val="double" w:sz="4" w:space="0" w:color="auto"/>
              <w:left w:val="nil"/>
              <w:bottom w:val="single" w:sz="4" w:space="0" w:color="auto"/>
              <w:right w:val="single" w:sz="4" w:space="0" w:color="auto"/>
            </w:tcBorders>
            <w:vAlign w:val="bottom"/>
          </w:tcPr>
          <w:p w14:paraId="0DBC6930" w14:textId="77777777" w:rsidR="00990E4C" w:rsidRPr="001518C9" w:rsidRDefault="00990E4C" w:rsidP="00E72E3B">
            <w:pPr>
              <w:pStyle w:val="tabteksts"/>
              <w:jc w:val="center"/>
              <w:rPr>
                <w:b/>
              </w:rPr>
            </w:pPr>
            <w:r w:rsidRPr="001518C9">
              <w:rPr>
                <w:b/>
              </w:rPr>
              <w:t>2015</w:t>
            </w:r>
          </w:p>
        </w:tc>
        <w:tc>
          <w:tcPr>
            <w:tcW w:w="567" w:type="dxa"/>
            <w:tcBorders>
              <w:top w:val="double" w:sz="4" w:space="0" w:color="auto"/>
              <w:left w:val="single" w:sz="4" w:space="0" w:color="auto"/>
              <w:bottom w:val="single" w:sz="4" w:space="0" w:color="auto"/>
              <w:right w:val="double" w:sz="4" w:space="0" w:color="auto"/>
            </w:tcBorders>
            <w:vAlign w:val="bottom"/>
          </w:tcPr>
          <w:p w14:paraId="101C1FDF" w14:textId="77777777" w:rsidR="00990E4C" w:rsidRPr="001518C9" w:rsidRDefault="00990E4C" w:rsidP="00E72E3B">
            <w:pPr>
              <w:pStyle w:val="tabteksts"/>
              <w:jc w:val="center"/>
              <w:rPr>
                <w:b/>
              </w:rPr>
            </w:pPr>
            <w:r w:rsidRPr="001518C9">
              <w:rPr>
                <w:b/>
              </w:rPr>
              <w:t>2016</w:t>
            </w:r>
          </w:p>
        </w:tc>
      </w:tr>
      <w:tr w:rsidR="00990E4C" w:rsidRPr="007A44FD" w14:paraId="03F00D5B" w14:textId="77777777" w:rsidTr="00990E4C">
        <w:trPr>
          <w:cantSplit/>
          <w:tblHeader/>
        </w:trPr>
        <w:tc>
          <w:tcPr>
            <w:tcW w:w="3544" w:type="dxa"/>
            <w:gridSpan w:val="2"/>
            <w:tcBorders>
              <w:top w:val="single" w:sz="4" w:space="0" w:color="auto"/>
              <w:left w:val="double" w:sz="4" w:space="0" w:color="auto"/>
              <w:bottom w:val="double" w:sz="4" w:space="0" w:color="auto"/>
              <w:right w:val="single" w:sz="4" w:space="0" w:color="auto"/>
            </w:tcBorders>
            <w:vAlign w:val="bottom"/>
          </w:tcPr>
          <w:p w14:paraId="5D574990" w14:textId="77777777" w:rsidR="00990E4C" w:rsidRPr="001518C9" w:rsidRDefault="00990E4C" w:rsidP="00E72E3B">
            <w:pPr>
              <w:pStyle w:val="tabteksts"/>
            </w:pPr>
          </w:p>
        </w:tc>
        <w:tc>
          <w:tcPr>
            <w:tcW w:w="1134" w:type="dxa"/>
            <w:tcBorders>
              <w:top w:val="single" w:sz="4" w:space="0" w:color="auto"/>
              <w:left w:val="single" w:sz="4" w:space="0" w:color="auto"/>
              <w:bottom w:val="double" w:sz="4" w:space="0" w:color="auto"/>
              <w:right w:val="double" w:sz="4" w:space="0" w:color="auto"/>
            </w:tcBorders>
            <w:vAlign w:val="center"/>
          </w:tcPr>
          <w:p w14:paraId="78AE0894" w14:textId="77777777" w:rsidR="00990E4C" w:rsidRPr="001518C9" w:rsidRDefault="00990E4C" w:rsidP="00E72E3B">
            <w:pPr>
              <w:pStyle w:val="tabteksts"/>
              <w:jc w:val="center"/>
            </w:pPr>
            <w:r w:rsidRPr="001518C9">
              <w:t>EKS kods</w:t>
            </w:r>
          </w:p>
        </w:tc>
        <w:tc>
          <w:tcPr>
            <w:tcW w:w="992" w:type="dxa"/>
            <w:tcBorders>
              <w:top w:val="single" w:sz="4" w:space="0" w:color="auto"/>
              <w:left w:val="double" w:sz="4" w:space="0" w:color="auto"/>
              <w:bottom w:val="double" w:sz="4" w:space="0" w:color="auto"/>
              <w:right w:val="single" w:sz="4" w:space="0" w:color="auto"/>
            </w:tcBorders>
            <w:vAlign w:val="center"/>
          </w:tcPr>
          <w:p w14:paraId="478C0BDA" w14:textId="77777777" w:rsidR="00990E4C" w:rsidRPr="001518C9" w:rsidRDefault="00990E4C" w:rsidP="00E72E3B">
            <w:pPr>
              <w:pStyle w:val="tabteksts"/>
              <w:jc w:val="center"/>
              <w:rPr>
                <w:noProof/>
              </w:rPr>
            </w:pPr>
            <w:r w:rsidRPr="001518C9">
              <w:rPr>
                <w:noProof/>
              </w:rPr>
              <w:t>milj. latu</w:t>
            </w:r>
          </w:p>
        </w:tc>
        <w:tc>
          <w:tcPr>
            <w:tcW w:w="3402" w:type="dxa"/>
            <w:gridSpan w:val="5"/>
            <w:tcBorders>
              <w:top w:val="single" w:sz="4" w:space="0" w:color="auto"/>
              <w:left w:val="nil"/>
              <w:bottom w:val="double" w:sz="4" w:space="0" w:color="auto"/>
              <w:right w:val="double" w:sz="4" w:space="0" w:color="auto"/>
            </w:tcBorders>
            <w:vAlign w:val="center"/>
          </w:tcPr>
          <w:p w14:paraId="62AF8E39" w14:textId="77777777" w:rsidR="00990E4C" w:rsidRPr="001518C9" w:rsidRDefault="00990E4C" w:rsidP="00E72E3B">
            <w:pPr>
              <w:pStyle w:val="tabteksts"/>
              <w:jc w:val="center"/>
            </w:pPr>
            <w:r w:rsidRPr="001518C9">
              <w:t>% no IKP</w:t>
            </w:r>
          </w:p>
        </w:tc>
      </w:tr>
      <w:tr w:rsidR="00990E4C" w:rsidRPr="007A44FD" w14:paraId="32D1233B" w14:textId="77777777" w:rsidTr="00990E4C">
        <w:trPr>
          <w:cantSplit/>
        </w:trPr>
        <w:tc>
          <w:tcPr>
            <w:tcW w:w="608" w:type="dxa"/>
            <w:tcBorders>
              <w:top w:val="double" w:sz="4" w:space="0" w:color="auto"/>
              <w:left w:val="double" w:sz="4" w:space="0" w:color="auto"/>
              <w:bottom w:val="single" w:sz="4" w:space="0" w:color="auto"/>
            </w:tcBorders>
          </w:tcPr>
          <w:p w14:paraId="2B3D1E12" w14:textId="77777777" w:rsidR="00990E4C" w:rsidRPr="001518C9" w:rsidRDefault="00990E4C" w:rsidP="00E72E3B">
            <w:pPr>
              <w:pStyle w:val="tabteksts"/>
              <w:jc w:val="center"/>
              <w:rPr>
                <w:b/>
                <w:snapToGrid w:val="0"/>
              </w:rPr>
            </w:pPr>
          </w:p>
        </w:tc>
        <w:tc>
          <w:tcPr>
            <w:tcW w:w="8464" w:type="dxa"/>
            <w:gridSpan w:val="8"/>
            <w:tcBorders>
              <w:top w:val="double" w:sz="4" w:space="0" w:color="auto"/>
              <w:bottom w:val="single" w:sz="4" w:space="0" w:color="auto"/>
              <w:right w:val="double" w:sz="4" w:space="0" w:color="auto"/>
            </w:tcBorders>
            <w:vAlign w:val="bottom"/>
          </w:tcPr>
          <w:p w14:paraId="62B7735A" w14:textId="77777777" w:rsidR="00990E4C" w:rsidRPr="001518C9" w:rsidRDefault="00990E4C" w:rsidP="00E72E3B">
            <w:pPr>
              <w:pStyle w:val="tabteksts"/>
              <w:jc w:val="center"/>
              <w:rPr>
                <w:b/>
                <w:snapToGrid w:val="0"/>
              </w:rPr>
            </w:pPr>
            <w:r w:rsidRPr="001518C9">
              <w:rPr>
                <w:b/>
                <w:snapToGrid w:val="0"/>
              </w:rPr>
              <w:t xml:space="preserve">Neto aizdevumi (EDP B.9) pa </w:t>
            </w:r>
            <w:r w:rsidRPr="001518C9">
              <w:rPr>
                <w:b/>
                <w:noProof/>
                <w:snapToGrid w:val="0"/>
              </w:rPr>
              <w:t>apakšsektoriem</w:t>
            </w:r>
          </w:p>
        </w:tc>
      </w:tr>
      <w:tr w:rsidR="00990E4C" w:rsidRPr="007A44FD" w14:paraId="4047A412"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1C41589D" w14:textId="77777777" w:rsidR="00990E4C" w:rsidRPr="001518C9" w:rsidRDefault="00990E4C" w:rsidP="00E72E3B">
            <w:pPr>
              <w:pStyle w:val="tabteksts"/>
              <w:rPr>
                <w:snapToGrid w:val="0"/>
              </w:rPr>
            </w:pPr>
            <w:r w:rsidRPr="001518C9">
              <w:rPr>
                <w:snapToGrid w:val="0"/>
              </w:rPr>
              <w:t>1. Vispārējā valdība</w:t>
            </w:r>
          </w:p>
        </w:tc>
        <w:tc>
          <w:tcPr>
            <w:tcW w:w="1134" w:type="dxa"/>
            <w:tcBorders>
              <w:top w:val="single" w:sz="4" w:space="0" w:color="auto"/>
              <w:left w:val="single" w:sz="4" w:space="0" w:color="auto"/>
              <w:bottom w:val="single" w:sz="4" w:space="0" w:color="auto"/>
              <w:right w:val="double" w:sz="4" w:space="0" w:color="auto"/>
            </w:tcBorders>
            <w:vAlign w:val="bottom"/>
          </w:tcPr>
          <w:p w14:paraId="11F15222" w14:textId="77777777" w:rsidR="00990E4C" w:rsidRPr="001518C9" w:rsidRDefault="00990E4C" w:rsidP="00E72E3B">
            <w:pPr>
              <w:pStyle w:val="tabteksts"/>
            </w:pPr>
            <w:r w:rsidRPr="001518C9">
              <w:t>S.13</w:t>
            </w:r>
          </w:p>
        </w:tc>
        <w:tc>
          <w:tcPr>
            <w:tcW w:w="992" w:type="dxa"/>
            <w:tcBorders>
              <w:top w:val="single" w:sz="4" w:space="0" w:color="auto"/>
              <w:left w:val="double" w:sz="4" w:space="0" w:color="auto"/>
              <w:bottom w:val="single" w:sz="4" w:space="0" w:color="auto"/>
              <w:right w:val="single" w:sz="4" w:space="0" w:color="auto"/>
            </w:tcBorders>
            <w:vAlign w:val="bottom"/>
          </w:tcPr>
          <w:p w14:paraId="71E8A6AF" w14:textId="77777777" w:rsidR="00990E4C" w:rsidRPr="001518C9" w:rsidRDefault="00990E4C" w:rsidP="00E72E3B">
            <w:pPr>
              <w:pStyle w:val="tabteksts"/>
              <w:jc w:val="right"/>
              <w:rPr>
                <w:snapToGrid w:val="0"/>
              </w:rPr>
            </w:pPr>
            <w:r w:rsidRPr="001518C9">
              <w:rPr>
                <w:snapToGrid w:val="0"/>
              </w:rPr>
              <w:t>-187,2</w:t>
            </w:r>
          </w:p>
        </w:tc>
        <w:tc>
          <w:tcPr>
            <w:tcW w:w="709" w:type="dxa"/>
            <w:tcBorders>
              <w:top w:val="single" w:sz="4" w:space="0" w:color="auto"/>
              <w:left w:val="nil"/>
              <w:bottom w:val="single" w:sz="4" w:space="0" w:color="auto"/>
              <w:right w:val="single" w:sz="4" w:space="0" w:color="auto"/>
            </w:tcBorders>
            <w:vAlign w:val="bottom"/>
          </w:tcPr>
          <w:p w14:paraId="054F7A98" w14:textId="77777777" w:rsidR="00990E4C" w:rsidRPr="001518C9" w:rsidRDefault="00990E4C" w:rsidP="00E72E3B">
            <w:pPr>
              <w:pStyle w:val="tabteksts"/>
              <w:jc w:val="right"/>
              <w:rPr>
                <w:snapToGrid w:val="0"/>
              </w:rPr>
            </w:pPr>
            <w:r w:rsidRPr="001518C9">
              <w:rPr>
                <w:snapToGrid w:val="0"/>
              </w:rPr>
              <w:t>-1,2</w:t>
            </w:r>
          </w:p>
        </w:tc>
        <w:tc>
          <w:tcPr>
            <w:tcW w:w="709" w:type="dxa"/>
            <w:tcBorders>
              <w:top w:val="single" w:sz="4" w:space="0" w:color="auto"/>
              <w:left w:val="nil"/>
              <w:bottom w:val="single" w:sz="4" w:space="0" w:color="auto"/>
              <w:right w:val="single" w:sz="4" w:space="0" w:color="auto"/>
            </w:tcBorders>
            <w:vAlign w:val="bottom"/>
          </w:tcPr>
          <w:p w14:paraId="551EC5CD" w14:textId="77777777" w:rsidR="00990E4C" w:rsidRPr="001518C9" w:rsidRDefault="00990E4C" w:rsidP="00E72E3B">
            <w:pPr>
              <w:pStyle w:val="tabteksts"/>
              <w:jc w:val="right"/>
              <w:rPr>
                <w:snapToGrid w:val="0"/>
              </w:rPr>
            </w:pPr>
            <w:r w:rsidRPr="001518C9">
              <w:rPr>
                <w:snapToGrid w:val="0"/>
              </w:rPr>
              <w:t>-1,1</w:t>
            </w:r>
          </w:p>
        </w:tc>
        <w:tc>
          <w:tcPr>
            <w:tcW w:w="709" w:type="dxa"/>
            <w:tcBorders>
              <w:top w:val="single" w:sz="4" w:space="0" w:color="auto"/>
              <w:left w:val="nil"/>
              <w:bottom w:val="single" w:sz="4" w:space="0" w:color="auto"/>
              <w:right w:val="single" w:sz="4" w:space="0" w:color="auto"/>
            </w:tcBorders>
            <w:vAlign w:val="bottom"/>
          </w:tcPr>
          <w:p w14:paraId="1897263D" w14:textId="77777777" w:rsidR="00990E4C" w:rsidRPr="001518C9" w:rsidRDefault="00990E4C" w:rsidP="00E72E3B">
            <w:pPr>
              <w:pStyle w:val="tabteksts"/>
              <w:jc w:val="right"/>
              <w:rPr>
                <w:snapToGrid w:val="0"/>
              </w:rPr>
            </w:pPr>
            <w:r w:rsidRPr="001518C9">
              <w:rPr>
                <w:snapToGrid w:val="0"/>
              </w:rPr>
              <w:t>-0,9</w:t>
            </w:r>
          </w:p>
        </w:tc>
        <w:tc>
          <w:tcPr>
            <w:tcW w:w="708" w:type="dxa"/>
            <w:tcBorders>
              <w:top w:val="single" w:sz="4" w:space="0" w:color="auto"/>
              <w:left w:val="nil"/>
              <w:bottom w:val="single" w:sz="4" w:space="0" w:color="auto"/>
              <w:right w:val="single" w:sz="4" w:space="0" w:color="auto"/>
            </w:tcBorders>
            <w:vAlign w:val="bottom"/>
          </w:tcPr>
          <w:p w14:paraId="79A2A0B0" w14:textId="77777777" w:rsidR="00990E4C" w:rsidRPr="001518C9" w:rsidRDefault="00990E4C" w:rsidP="00E72E3B">
            <w:pPr>
              <w:pStyle w:val="tabteksts"/>
              <w:jc w:val="right"/>
              <w:rPr>
                <w:snapToGrid w:val="0"/>
              </w:rPr>
            </w:pPr>
            <w:r w:rsidRPr="001518C9">
              <w:rPr>
                <w:snapToGrid w:val="0"/>
              </w:rPr>
              <w:t>-0,9</w:t>
            </w:r>
          </w:p>
        </w:tc>
        <w:tc>
          <w:tcPr>
            <w:tcW w:w="567" w:type="dxa"/>
            <w:tcBorders>
              <w:top w:val="single" w:sz="4" w:space="0" w:color="auto"/>
              <w:left w:val="single" w:sz="4" w:space="0" w:color="auto"/>
              <w:bottom w:val="single" w:sz="4" w:space="0" w:color="auto"/>
              <w:right w:val="double" w:sz="4" w:space="0" w:color="auto"/>
            </w:tcBorders>
            <w:vAlign w:val="bottom"/>
          </w:tcPr>
          <w:p w14:paraId="6EFB786B" w14:textId="77777777" w:rsidR="00990E4C" w:rsidRPr="001518C9" w:rsidRDefault="00990E4C" w:rsidP="00E72E3B">
            <w:pPr>
              <w:pStyle w:val="tabteksts"/>
              <w:jc w:val="right"/>
              <w:rPr>
                <w:snapToGrid w:val="0"/>
              </w:rPr>
            </w:pPr>
            <w:r w:rsidRPr="001518C9">
              <w:rPr>
                <w:snapToGrid w:val="0"/>
              </w:rPr>
              <w:t>-0,9</w:t>
            </w:r>
          </w:p>
        </w:tc>
      </w:tr>
      <w:tr w:rsidR="00990E4C" w:rsidRPr="007A44FD" w14:paraId="08E75EAD"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176E227B" w14:textId="77777777" w:rsidR="00990E4C" w:rsidRPr="001518C9" w:rsidRDefault="00990E4C" w:rsidP="00E72E3B">
            <w:pPr>
              <w:pStyle w:val="tabteksts"/>
              <w:rPr>
                <w:snapToGrid w:val="0"/>
              </w:rPr>
            </w:pPr>
            <w:r w:rsidRPr="001518C9">
              <w:rPr>
                <w:snapToGrid w:val="0"/>
              </w:rPr>
              <w:t>2. Centrālā valdība</w:t>
            </w:r>
          </w:p>
        </w:tc>
        <w:tc>
          <w:tcPr>
            <w:tcW w:w="1134" w:type="dxa"/>
            <w:tcBorders>
              <w:top w:val="single" w:sz="4" w:space="0" w:color="auto"/>
              <w:left w:val="single" w:sz="4" w:space="0" w:color="auto"/>
              <w:bottom w:val="single" w:sz="4" w:space="0" w:color="auto"/>
              <w:right w:val="double" w:sz="4" w:space="0" w:color="auto"/>
            </w:tcBorders>
            <w:vAlign w:val="bottom"/>
          </w:tcPr>
          <w:p w14:paraId="772D7749" w14:textId="77777777" w:rsidR="00990E4C" w:rsidRPr="001518C9" w:rsidRDefault="00990E4C" w:rsidP="00E72E3B">
            <w:pPr>
              <w:pStyle w:val="tabteksts"/>
            </w:pPr>
            <w:r w:rsidRPr="001518C9">
              <w:t>S.1311</w:t>
            </w:r>
          </w:p>
        </w:tc>
        <w:tc>
          <w:tcPr>
            <w:tcW w:w="992" w:type="dxa"/>
            <w:tcBorders>
              <w:top w:val="single" w:sz="4" w:space="0" w:color="auto"/>
              <w:left w:val="double" w:sz="4" w:space="0" w:color="auto"/>
              <w:bottom w:val="single" w:sz="4" w:space="0" w:color="auto"/>
              <w:right w:val="single" w:sz="4" w:space="0" w:color="auto"/>
            </w:tcBorders>
            <w:vAlign w:val="bottom"/>
          </w:tcPr>
          <w:p w14:paraId="26462AF9" w14:textId="77777777" w:rsidR="00990E4C" w:rsidRPr="001518C9" w:rsidRDefault="00990E4C" w:rsidP="00E72E3B">
            <w:pPr>
              <w:pStyle w:val="tabteksts"/>
              <w:jc w:val="right"/>
              <w:rPr>
                <w:snapToGrid w:val="0"/>
              </w:rPr>
            </w:pPr>
            <w:r w:rsidRPr="001518C9">
              <w:rPr>
                <w:snapToGrid w:val="0"/>
              </w:rPr>
              <w:t>-122,2</w:t>
            </w:r>
          </w:p>
        </w:tc>
        <w:tc>
          <w:tcPr>
            <w:tcW w:w="709" w:type="dxa"/>
            <w:tcBorders>
              <w:top w:val="single" w:sz="4" w:space="0" w:color="auto"/>
              <w:left w:val="nil"/>
              <w:bottom w:val="single" w:sz="4" w:space="0" w:color="auto"/>
              <w:right w:val="single" w:sz="4" w:space="0" w:color="auto"/>
            </w:tcBorders>
            <w:vAlign w:val="bottom"/>
          </w:tcPr>
          <w:p w14:paraId="6CEB6B3F" w14:textId="77777777" w:rsidR="00990E4C" w:rsidRPr="001518C9" w:rsidRDefault="00990E4C" w:rsidP="00E72E3B">
            <w:pPr>
              <w:pStyle w:val="tabteksts"/>
              <w:jc w:val="right"/>
              <w:rPr>
                <w:snapToGrid w:val="0"/>
              </w:rPr>
            </w:pPr>
            <w:r w:rsidRPr="001518C9">
              <w:rPr>
                <w:snapToGrid w:val="0"/>
              </w:rPr>
              <w:t>-0,8</w:t>
            </w:r>
          </w:p>
        </w:tc>
        <w:tc>
          <w:tcPr>
            <w:tcW w:w="709" w:type="dxa"/>
            <w:tcBorders>
              <w:top w:val="single" w:sz="4" w:space="0" w:color="auto"/>
              <w:left w:val="nil"/>
              <w:bottom w:val="single" w:sz="4" w:space="0" w:color="auto"/>
              <w:right w:val="single" w:sz="4" w:space="0" w:color="auto"/>
            </w:tcBorders>
            <w:vAlign w:val="bottom"/>
          </w:tcPr>
          <w:p w14:paraId="1E7E3318" w14:textId="77777777" w:rsidR="00990E4C" w:rsidRPr="001518C9" w:rsidRDefault="00990E4C" w:rsidP="00E72E3B">
            <w:pPr>
              <w:pStyle w:val="tabteksts"/>
              <w:jc w:val="right"/>
              <w:rPr>
                <w:snapToGrid w:val="0"/>
              </w:rPr>
            </w:pPr>
            <w:r w:rsidRPr="001518C9">
              <w:rPr>
                <w:snapToGrid w:val="0"/>
              </w:rPr>
              <w:t>-0,6</w:t>
            </w:r>
          </w:p>
        </w:tc>
        <w:tc>
          <w:tcPr>
            <w:tcW w:w="709" w:type="dxa"/>
            <w:tcBorders>
              <w:top w:val="single" w:sz="4" w:space="0" w:color="auto"/>
              <w:left w:val="nil"/>
              <w:bottom w:val="single" w:sz="4" w:space="0" w:color="auto"/>
              <w:right w:val="single" w:sz="4" w:space="0" w:color="auto"/>
            </w:tcBorders>
            <w:vAlign w:val="bottom"/>
          </w:tcPr>
          <w:p w14:paraId="6A7AE613" w14:textId="77777777" w:rsidR="00990E4C" w:rsidRPr="001518C9" w:rsidRDefault="00990E4C" w:rsidP="00E72E3B">
            <w:pPr>
              <w:pStyle w:val="tabteksts"/>
              <w:jc w:val="right"/>
              <w:rPr>
                <w:snapToGrid w:val="0"/>
              </w:rPr>
            </w:pPr>
            <w:r w:rsidRPr="001518C9">
              <w:rPr>
                <w:snapToGrid w:val="0"/>
              </w:rPr>
              <w:t>-1,5</w:t>
            </w:r>
          </w:p>
        </w:tc>
        <w:tc>
          <w:tcPr>
            <w:tcW w:w="708" w:type="dxa"/>
            <w:tcBorders>
              <w:top w:val="single" w:sz="4" w:space="0" w:color="auto"/>
              <w:left w:val="nil"/>
              <w:bottom w:val="single" w:sz="4" w:space="0" w:color="auto"/>
              <w:right w:val="single" w:sz="4" w:space="0" w:color="auto"/>
            </w:tcBorders>
            <w:vAlign w:val="bottom"/>
          </w:tcPr>
          <w:p w14:paraId="07D95640" w14:textId="77777777" w:rsidR="00990E4C" w:rsidRPr="001518C9" w:rsidRDefault="00990E4C" w:rsidP="00E72E3B">
            <w:pPr>
              <w:pStyle w:val="tabteksts"/>
              <w:jc w:val="right"/>
              <w:rPr>
                <w:snapToGrid w:val="0"/>
              </w:rPr>
            </w:pPr>
            <w:r w:rsidRPr="001518C9">
              <w:rPr>
                <w:snapToGrid w:val="0"/>
              </w:rPr>
              <w:t>-1,4</w:t>
            </w:r>
          </w:p>
        </w:tc>
        <w:tc>
          <w:tcPr>
            <w:tcW w:w="567" w:type="dxa"/>
            <w:tcBorders>
              <w:top w:val="single" w:sz="4" w:space="0" w:color="auto"/>
              <w:left w:val="single" w:sz="4" w:space="0" w:color="auto"/>
              <w:bottom w:val="single" w:sz="4" w:space="0" w:color="auto"/>
              <w:right w:val="double" w:sz="4" w:space="0" w:color="auto"/>
            </w:tcBorders>
            <w:vAlign w:val="bottom"/>
          </w:tcPr>
          <w:p w14:paraId="37CE8594" w14:textId="77777777" w:rsidR="00990E4C" w:rsidRPr="001518C9" w:rsidRDefault="00990E4C" w:rsidP="00E72E3B">
            <w:pPr>
              <w:pStyle w:val="tabteksts"/>
              <w:jc w:val="right"/>
              <w:rPr>
                <w:snapToGrid w:val="0"/>
              </w:rPr>
            </w:pPr>
            <w:r w:rsidRPr="001518C9">
              <w:rPr>
                <w:snapToGrid w:val="0"/>
              </w:rPr>
              <w:t>-1,6</w:t>
            </w:r>
          </w:p>
        </w:tc>
      </w:tr>
      <w:tr w:rsidR="00990E4C" w:rsidRPr="007A44FD" w14:paraId="73B8186C" w14:textId="77777777" w:rsidTr="00990E4C">
        <w:trPr>
          <w:cantSplit/>
          <w:trHeight w:val="133"/>
        </w:trPr>
        <w:tc>
          <w:tcPr>
            <w:tcW w:w="3544" w:type="dxa"/>
            <w:gridSpan w:val="2"/>
            <w:tcBorders>
              <w:top w:val="single" w:sz="4" w:space="0" w:color="auto"/>
              <w:left w:val="double" w:sz="4" w:space="0" w:color="auto"/>
              <w:bottom w:val="single" w:sz="4" w:space="0" w:color="auto"/>
              <w:right w:val="single" w:sz="4" w:space="0" w:color="auto"/>
            </w:tcBorders>
          </w:tcPr>
          <w:p w14:paraId="2F27D982" w14:textId="77777777" w:rsidR="00990E4C" w:rsidRPr="001518C9" w:rsidRDefault="00990E4C" w:rsidP="00E72E3B">
            <w:pPr>
              <w:pStyle w:val="tabteksts"/>
              <w:rPr>
                <w:snapToGrid w:val="0"/>
              </w:rPr>
            </w:pPr>
            <w:r w:rsidRPr="001518C9">
              <w:rPr>
                <w:snapToGrid w:val="0"/>
              </w:rPr>
              <w:t>3. Pavalsts valdība</w:t>
            </w:r>
          </w:p>
        </w:tc>
        <w:tc>
          <w:tcPr>
            <w:tcW w:w="1134" w:type="dxa"/>
            <w:tcBorders>
              <w:top w:val="single" w:sz="4" w:space="0" w:color="auto"/>
              <w:left w:val="single" w:sz="4" w:space="0" w:color="auto"/>
              <w:bottom w:val="single" w:sz="4" w:space="0" w:color="auto"/>
              <w:right w:val="double" w:sz="4" w:space="0" w:color="auto"/>
            </w:tcBorders>
            <w:vAlign w:val="bottom"/>
          </w:tcPr>
          <w:p w14:paraId="26D00EB8" w14:textId="77777777" w:rsidR="00990E4C" w:rsidRPr="001518C9" w:rsidRDefault="00990E4C" w:rsidP="00E72E3B">
            <w:pPr>
              <w:pStyle w:val="tabteksts"/>
            </w:pPr>
            <w:r w:rsidRPr="001518C9">
              <w:t>S.1312</w:t>
            </w:r>
          </w:p>
        </w:tc>
        <w:tc>
          <w:tcPr>
            <w:tcW w:w="992" w:type="dxa"/>
            <w:tcBorders>
              <w:top w:val="single" w:sz="4" w:space="0" w:color="auto"/>
              <w:left w:val="double" w:sz="4" w:space="0" w:color="auto"/>
              <w:bottom w:val="single" w:sz="4" w:space="0" w:color="auto"/>
              <w:right w:val="single" w:sz="4" w:space="0" w:color="auto"/>
            </w:tcBorders>
            <w:vAlign w:val="bottom"/>
          </w:tcPr>
          <w:p w14:paraId="16D16F0E" w14:textId="77777777" w:rsidR="00990E4C" w:rsidRPr="001518C9" w:rsidRDefault="00990E4C" w:rsidP="00E72E3B">
            <w:pPr>
              <w:pStyle w:val="tabteksts"/>
              <w:jc w:val="right"/>
              <w:rPr>
                <w:snapToGrid w:val="0"/>
              </w:rPr>
            </w:pPr>
          </w:p>
        </w:tc>
        <w:tc>
          <w:tcPr>
            <w:tcW w:w="709" w:type="dxa"/>
            <w:tcBorders>
              <w:top w:val="single" w:sz="4" w:space="0" w:color="auto"/>
              <w:left w:val="nil"/>
              <w:bottom w:val="single" w:sz="4" w:space="0" w:color="auto"/>
              <w:right w:val="single" w:sz="4" w:space="0" w:color="auto"/>
            </w:tcBorders>
            <w:vAlign w:val="bottom"/>
          </w:tcPr>
          <w:p w14:paraId="7B9E2720" w14:textId="77777777" w:rsidR="00990E4C" w:rsidRPr="001518C9" w:rsidRDefault="00990E4C" w:rsidP="00E72E3B">
            <w:pPr>
              <w:pStyle w:val="tabteksts"/>
              <w:jc w:val="right"/>
              <w:rPr>
                <w:snapToGrid w:val="0"/>
              </w:rPr>
            </w:pPr>
          </w:p>
        </w:tc>
        <w:tc>
          <w:tcPr>
            <w:tcW w:w="709" w:type="dxa"/>
            <w:tcBorders>
              <w:top w:val="single" w:sz="4" w:space="0" w:color="auto"/>
              <w:left w:val="nil"/>
              <w:bottom w:val="single" w:sz="4" w:space="0" w:color="auto"/>
              <w:right w:val="single" w:sz="4" w:space="0" w:color="auto"/>
            </w:tcBorders>
            <w:vAlign w:val="bottom"/>
          </w:tcPr>
          <w:p w14:paraId="7D4FFBEB" w14:textId="77777777" w:rsidR="00990E4C" w:rsidRPr="001518C9" w:rsidRDefault="00990E4C" w:rsidP="00E72E3B">
            <w:pPr>
              <w:pStyle w:val="tabteksts"/>
              <w:jc w:val="right"/>
              <w:rPr>
                <w:snapToGrid w:val="0"/>
              </w:rPr>
            </w:pPr>
          </w:p>
        </w:tc>
        <w:tc>
          <w:tcPr>
            <w:tcW w:w="709" w:type="dxa"/>
            <w:tcBorders>
              <w:top w:val="single" w:sz="4" w:space="0" w:color="auto"/>
              <w:left w:val="nil"/>
              <w:bottom w:val="single" w:sz="4" w:space="0" w:color="auto"/>
              <w:right w:val="single" w:sz="4" w:space="0" w:color="auto"/>
            </w:tcBorders>
            <w:vAlign w:val="bottom"/>
          </w:tcPr>
          <w:p w14:paraId="00806BF9" w14:textId="77777777" w:rsidR="00990E4C" w:rsidRPr="001518C9" w:rsidRDefault="00990E4C" w:rsidP="00E72E3B">
            <w:pPr>
              <w:pStyle w:val="tabteksts"/>
              <w:jc w:val="right"/>
              <w:rPr>
                <w:snapToGrid w:val="0"/>
              </w:rPr>
            </w:pPr>
          </w:p>
        </w:tc>
        <w:tc>
          <w:tcPr>
            <w:tcW w:w="708" w:type="dxa"/>
            <w:tcBorders>
              <w:top w:val="single" w:sz="4" w:space="0" w:color="auto"/>
              <w:left w:val="nil"/>
              <w:bottom w:val="single" w:sz="4" w:space="0" w:color="auto"/>
              <w:right w:val="single" w:sz="4" w:space="0" w:color="auto"/>
            </w:tcBorders>
            <w:vAlign w:val="bottom"/>
          </w:tcPr>
          <w:p w14:paraId="59BADDD6" w14:textId="77777777" w:rsidR="00990E4C" w:rsidRPr="001518C9" w:rsidRDefault="00990E4C" w:rsidP="00E72E3B">
            <w:pPr>
              <w:pStyle w:val="tabteksts"/>
              <w:jc w:val="right"/>
              <w:rPr>
                <w:snapToGrid w:val="0"/>
              </w:rPr>
            </w:pPr>
          </w:p>
        </w:tc>
        <w:tc>
          <w:tcPr>
            <w:tcW w:w="567" w:type="dxa"/>
            <w:tcBorders>
              <w:top w:val="single" w:sz="4" w:space="0" w:color="auto"/>
              <w:left w:val="single" w:sz="4" w:space="0" w:color="auto"/>
              <w:bottom w:val="single" w:sz="4" w:space="0" w:color="auto"/>
              <w:right w:val="double" w:sz="4" w:space="0" w:color="auto"/>
            </w:tcBorders>
            <w:vAlign w:val="bottom"/>
          </w:tcPr>
          <w:p w14:paraId="70DD454A" w14:textId="77777777" w:rsidR="00990E4C" w:rsidRPr="001518C9" w:rsidRDefault="00990E4C" w:rsidP="00E72E3B">
            <w:pPr>
              <w:pStyle w:val="tabteksts"/>
              <w:jc w:val="right"/>
              <w:rPr>
                <w:snapToGrid w:val="0"/>
              </w:rPr>
            </w:pPr>
          </w:p>
        </w:tc>
      </w:tr>
      <w:tr w:rsidR="00990E4C" w:rsidRPr="007A44FD" w14:paraId="1D620488"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788DE0D7" w14:textId="77777777" w:rsidR="00990E4C" w:rsidRPr="001518C9" w:rsidRDefault="00990E4C" w:rsidP="00E72E3B">
            <w:pPr>
              <w:pStyle w:val="tabteksts"/>
              <w:rPr>
                <w:snapToGrid w:val="0"/>
              </w:rPr>
            </w:pPr>
            <w:r w:rsidRPr="001518C9">
              <w:rPr>
                <w:snapToGrid w:val="0"/>
              </w:rPr>
              <w:t>4. Vietējā valdība</w:t>
            </w:r>
          </w:p>
        </w:tc>
        <w:tc>
          <w:tcPr>
            <w:tcW w:w="1134" w:type="dxa"/>
            <w:tcBorders>
              <w:top w:val="single" w:sz="4" w:space="0" w:color="auto"/>
              <w:left w:val="single" w:sz="4" w:space="0" w:color="auto"/>
              <w:bottom w:val="single" w:sz="4" w:space="0" w:color="auto"/>
              <w:right w:val="double" w:sz="4" w:space="0" w:color="auto"/>
            </w:tcBorders>
            <w:vAlign w:val="bottom"/>
          </w:tcPr>
          <w:p w14:paraId="75F790D0" w14:textId="77777777" w:rsidR="00990E4C" w:rsidRPr="001518C9" w:rsidRDefault="00990E4C" w:rsidP="00E72E3B">
            <w:pPr>
              <w:pStyle w:val="tabteksts"/>
            </w:pPr>
            <w:r w:rsidRPr="001518C9">
              <w:t>S.1313</w:t>
            </w:r>
          </w:p>
        </w:tc>
        <w:tc>
          <w:tcPr>
            <w:tcW w:w="992" w:type="dxa"/>
            <w:tcBorders>
              <w:top w:val="single" w:sz="4" w:space="0" w:color="auto"/>
              <w:left w:val="double" w:sz="4" w:space="0" w:color="auto"/>
              <w:bottom w:val="single" w:sz="4" w:space="0" w:color="auto"/>
              <w:right w:val="single" w:sz="4" w:space="0" w:color="auto"/>
            </w:tcBorders>
            <w:vAlign w:val="bottom"/>
          </w:tcPr>
          <w:p w14:paraId="357B6D61" w14:textId="77777777" w:rsidR="00990E4C" w:rsidRPr="001518C9" w:rsidRDefault="00990E4C" w:rsidP="00E72E3B">
            <w:pPr>
              <w:pStyle w:val="tabteksts"/>
              <w:jc w:val="right"/>
              <w:rPr>
                <w:snapToGrid w:val="0"/>
              </w:rPr>
            </w:pPr>
            <w:r w:rsidRPr="001518C9">
              <w:rPr>
                <w:snapToGrid w:val="0"/>
              </w:rPr>
              <w:t>-36,4</w:t>
            </w:r>
          </w:p>
        </w:tc>
        <w:tc>
          <w:tcPr>
            <w:tcW w:w="709" w:type="dxa"/>
            <w:tcBorders>
              <w:top w:val="single" w:sz="4" w:space="0" w:color="auto"/>
              <w:left w:val="nil"/>
              <w:bottom w:val="single" w:sz="4" w:space="0" w:color="auto"/>
              <w:right w:val="single" w:sz="4" w:space="0" w:color="auto"/>
            </w:tcBorders>
            <w:vAlign w:val="bottom"/>
          </w:tcPr>
          <w:p w14:paraId="5B1FF8C7" w14:textId="77777777" w:rsidR="00990E4C" w:rsidRPr="001518C9" w:rsidRDefault="00990E4C" w:rsidP="00E72E3B">
            <w:pPr>
              <w:pStyle w:val="tabteksts"/>
              <w:jc w:val="right"/>
              <w:rPr>
                <w:snapToGrid w:val="0"/>
              </w:rPr>
            </w:pPr>
            <w:r w:rsidRPr="001518C9">
              <w:rPr>
                <w:snapToGrid w:val="0"/>
              </w:rPr>
              <w:t>-0,2</w:t>
            </w:r>
          </w:p>
        </w:tc>
        <w:tc>
          <w:tcPr>
            <w:tcW w:w="709" w:type="dxa"/>
            <w:tcBorders>
              <w:top w:val="single" w:sz="4" w:space="0" w:color="auto"/>
              <w:left w:val="nil"/>
              <w:bottom w:val="single" w:sz="4" w:space="0" w:color="auto"/>
              <w:right w:val="single" w:sz="4" w:space="0" w:color="auto"/>
            </w:tcBorders>
            <w:vAlign w:val="bottom"/>
          </w:tcPr>
          <w:p w14:paraId="7497E2A0" w14:textId="77777777" w:rsidR="00990E4C" w:rsidRPr="001518C9" w:rsidRDefault="00990E4C" w:rsidP="00E72E3B">
            <w:pPr>
              <w:pStyle w:val="tabteksts"/>
              <w:jc w:val="right"/>
              <w:rPr>
                <w:snapToGrid w:val="0"/>
              </w:rPr>
            </w:pPr>
            <w:r w:rsidRPr="001518C9">
              <w:rPr>
                <w:snapToGrid w:val="0"/>
              </w:rPr>
              <w:t>-0,2</w:t>
            </w:r>
          </w:p>
        </w:tc>
        <w:tc>
          <w:tcPr>
            <w:tcW w:w="709" w:type="dxa"/>
            <w:tcBorders>
              <w:top w:val="single" w:sz="4" w:space="0" w:color="auto"/>
              <w:left w:val="nil"/>
              <w:bottom w:val="single" w:sz="4" w:space="0" w:color="auto"/>
              <w:right w:val="single" w:sz="4" w:space="0" w:color="auto"/>
            </w:tcBorders>
            <w:vAlign w:val="bottom"/>
          </w:tcPr>
          <w:p w14:paraId="01DE0964" w14:textId="77777777" w:rsidR="00990E4C" w:rsidRPr="001518C9" w:rsidRDefault="00990E4C" w:rsidP="00E72E3B">
            <w:pPr>
              <w:pStyle w:val="tabteksts"/>
              <w:jc w:val="right"/>
              <w:rPr>
                <w:snapToGrid w:val="0"/>
              </w:rPr>
            </w:pPr>
            <w:r w:rsidRPr="001518C9">
              <w:rPr>
                <w:snapToGrid w:val="0"/>
              </w:rPr>
              <w:t>-0,2</w:t>
            </w:r>
          </w:p>
        </w:tc>
        <w:tc>
          <w:tcPr>
            <w:tcW w:w="708" w:type="dxa"/>
            <w:tcBorders>
              <w:top w:val="single" w:sz="4" w:space="0" w:color="auto"/>
              <w:left w:val="nil"/>
              <w:bottom w:val="single" w:sz="4" w:space="0" w:color="auto"/>
              <w:right w:val="single" w:sz="4" w:space="0" w:color="auto"/>
            </w:tcBorders>
            <w:vAlign w:val="bottom"/>
          </w:tcPr>
          <w:p w14:paraId="3E1AFF25" w14:textId="77777777" w:rsidR="00990E4C" w:rsidRPr="001518C9" w:rsidRDefault="00990E4C" w:rsidP="00E72E3B">
            <w:pPr>
              <w:pStyle w:val="tabteksts"/>
              <w:jc w:val="right"/>
              <w:rPr>
                <w:snapToGrid w:val="0"/>
              </w:rPr>
            </w:pPr>
            <w:r w:rsidRPr="001518C9">
              <w:rPr>
                <w:snapToGrid w:val="0"/>
              </w:rPr>
              <w:t>-0,3</w:t>
            </w:r>
          </w:p>
        </w:tc>
        <w:tc>
          <w:tcPr>
            <w:tcW w:w="567" w:type="dxa"/>
            <w:tcBorders>
              <w:top w:val="single" w:sz="4" w:space="0" w:color="auto"/>
              <w:left w:val="single" w:sz="4" w:space="0" w:color="auto"/>
              <w:bottom w:val="single" w:sz="4" w:space="0" w:color="auto"/>
              <w:right w:val="double" w:sz="4" w:space="0" w:color="auto"/>
            </w:tcBorders>
            <w:vAlign w:val="bottom"/>
          </w:tcPr>
          <w:p w14:paraId="2CBB02AA" w14:textId="77777777" w:rsidR="00990E4C" w:rsidRPr="001518C9" w:rsidRDefault="00990E4C" w:rsidP="00E72E3B">
            <w:pPr>
              <w:pStyle w:val="tabteksts"/>
              <w:jc w:val="right"/>
              <w:rPr>
                <w:snapToGrid w:val="0"/>
              </w:rPr>
            </w:pPr>
            <w:r w:rsidRPr="001518C9">
              <w:rPr>
                <w:snapToGrid w:val="0"/>
              </w:rPr>
              <w:t>-0,2</w:t>
            </w:r>
          </w:p>
        </w:tc>
      </w:tr>
      <w:tr w:rsidR="00990E4C" w:rsidRPr="007A44FD" w14:paraId="25812ADC"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5454A7E7" w14:textId="77777777" w:rsidR="00990E4C" w:rsidRPr="001518C9" w:rsidRDefault="00990E4C" w:rsidP="00E72E3B">
            <w:pPr>
              <w:pStyle w:val="tabteksts"/>
              <w:rPr>
                <w:snapToGrid w:val="0"/>
              </w:rPr>
            </w:pPr>
            <w:r w:rsidRPr="001518C9">
              <w:rPr>
                <w:snapToGrid w:val="0"/>
              </w:rPr>
              <w:t>5. Sociālās nodrošināšanas fondi</w:t>
            </w:r>
          </w:p>
        </w:tc>
        <w:tc>
          <w:tcPr>
            <w:tcW w:w="1134" w:type="dxa"/>
            <w:tcBorders>
              <w:top w:val="single" w:sz="4" w:space="0" w:color="auto"/>
              <w:left w:val="single" w:sz="4" w:space="0" w:color="auto"/>
              <w:bottom w:val="single" w:sz="4" w:space="0" w:color="auto"/>
              <w:right w:val="double" w:sz="4" w:space="0" w:color="auto"/>
            </w:tcBorders>
            <w:vAlign w:val="bottom"/>
          </w:tcPr>
          <w:p w14:paraId="4EBA223B" w14:textId="77777777" w:rsidR="00990E4C" w:rsidRPr="001518C9" w:rsidRDefault="00990E4C" w:rsidP="00E72E3B">
            <w:pPr>
              <w:pStyle w:val="tabteksts"/>
            </w:pPr>
            <w:r w:rsidRPr="001518C9">
              <w:t>S.1314</w:t>
            </w:r>
          </w:p>
        </w:tc>
        <w:tc>
          <w:tcPr>
            <w:tcW w:w="992" w:type="dxa"/>
            <w:tcBorders>
              <w:top w:val="single" w:sz="4" w:space="0" w:color="auto"/>
              <w:left w:val="double" w:sz="4" w:space="0" w:color="auto"/>
              <w:bottom w:val="single" w:sz="4" w:space="0" w:color="auto"/>
              <w:right w:val="single" w:sz="4" w:space="0" w:color="auto"/>
            </w:tcBorders>
            <w:vAlign w:val="bottom"/>
          </w:tcPr>
          <w:p w14:paraId="55C01F0D" w14:textId="77777777" w:rsidR="00990E4C" w:rsidRPr="001518C9" w:rsidRDefault="00990E4C" w:rsidP="00E72E3B">
            <w:pPr>
              <w:pStyle w:val="tabteksts"/>
              <w:jc w:val="right"/>
              <w:rPr>
                <w:snapToGrid w:val="0"/>
              </w:rPr>
            </w:pPr>
            <w:r w:rsidRPr="001518C9">
              <w:rPr>
                <w:snapToGrid w:val="0"/>
              </w:rPr>
              <w:t>-28,6</w:t>
            </w:r>
          </w:p>
        </w:tc>
        <w:tc>
          <w:tcPr>
            <w:tcW w:w="709" w:type="dxa"/>
            <w:tcBorders>
              <w:top w:val="single" w:sz="4" w:space="0" w:color="auto"/>
              <w:left w:val="nil"/>
              <w:bottom w:val="single" w:sz="4" w:space="0" w:color="auto"/>
              <w:right w:val="single" w:sz="4" w:space="0" w:color="auto"/>
            </w:tcBorders>
            <w:vAlign w:val="bottom"/>
          </w:tcPr>
          <w:p w14:paraId="46742BF6" w14:textId="77777777" w:rsidR="00990E4C" w:rsidRPr="001518C9" w:rsidRDefault="00990E4C" w:rsidP="00E72E3B">
            <w:pPr>
              <w:pStyle w:val="tabteksts"/>
              <w:jc w:val="right"/>
              <w:rPr>
                <w:snapToGrid w:val="0"/>
              </w:rPr>
            </w:pPr>
            <w:r w:rsidRPr="001518C9">
              <w:rPr>
                <w:snapToGrid w:val="0"/>
              </w:rPr>
              <w:t>-0,2</w:t>
            </w:r>
          </w:p>
        </w:tc>
        <w:tc>
          <w:tcPr>
            <w:tcW w:w="709" w:type="dxa"/>
            <w:tcBorders>
              <w:top w:val="single" w:sz="4" w:space="0" w:color="auto"/>
              <w:left w:val="nil"/>
              <w:bottom w:val="single" w:sz="4" w:space="0" w:color="auto"/>
              <w:right w:val="single" w:sz="4" w:space="0" w:color="auto"/>
            </w:tcBorders>
            <w:vAlign w:val="bottom"/>
          </w:tcPr>
          <w:p w14:paraId="71C747F8" w14:textId="77777777" w:rsidR="00990E4C" w:rsidRPr="001518C9" w:rsidRDefault="00990E4C" w:rsidP="00E72E3B">
            <w:pPr>
              <w:pStyle w:val="tabteksts"/>
              <w:jc w:val="right"/>
              <w:rPr>
                <w:snapToGrid w:val="0"/>
              </w:rPr>
            </w:pPr>
            <w:r w:rsidRPr="001518C9">
              <w:rPr>
                <w:snapToGrid w:val="0"/>
              </w:rPr>
              <w:t>-0,4</w:t>
            </w:r>
          </w:p>
        </w:tc>
        <w:tc>
          <w:tcPr>
            <w:tcW w:w="709" w:type="dxa"/>
            <w:tcBorders>
              <w:top w:val="single" w:sz="4" w:space="0" w:color="auto"/>
              <w:left w:val="nil"/>
              <w:bottom w:val="single" w:sz="4" w:space="0" w:color="auto"/>
              <w:right w:val="single" w:sz="4" w:space="0" w:color="auto"/>
            </w:tcBorders>
            <w:vAlign w:val="bottom"/>
          </w:tcPr>
          <w:p w14:paraId="0520D980" w14:textId="77777777" w:rsidR="00990E4C" w:rsidRPr="001518C9" w:rsidRDefault="00990E4C" w:rsidP="00E72E3B">
            <w:pPr>
              <w:pStyle w:val="tabteksts"/>
              <w:jc w:val="right"/>
              <w:rPr>
                <w:snapToGrid w:val="0"/>
              </w:rPr>
            </w:pPr>
            <w:r w:rsidRPr="001518C9">
              <w:rPr>
                <w:snapToGrid w:val="0"/>
              </w:rPr>
              <w:t>0,8</w:t>
            </w:r>
          </w:p>
        </w:tc>
        <w:tc>
          <w:tcPr>
            <w:tcW w:w="708" w:type="dxa"/>
            <w:tcBorders>
              <w:top w:val="single" w:sz="4" w:space="0" w:color="auto"/>
              <w:left w:val="nil"/>
              <w:bottom w:val="single" w:sz="4" w:space="0" w:color="auto"/>
              <w:right w:val="single" w:sz="4" w:space="0" w:color="auto"/>
            </w:tcBorders>
            <w:vAlign w:val="bottom"/>
          </w:tcPr>
          <w:p w14:paraId="5844C643" w14:textId="77777777" w:rsidR="00990E4C" w:rsidRPr="001518C9" w:rsidRDefault="00990E4C" w:rsidP="00E72E3B">
            <w:pPr>
              <w:pStyle w:val="tabteksts"/>
              <w:jc w:val="right"/>
              <w:rPr>
                <w:snapToGrid w:val="0"/>
              </w:rPr>
            </w:pPr>
            <w:r w:rsidRPr="001518C9">
              <w:rPr>
                <w:snapToGrid w:val="0"/>
              </w:rPr>
              <w:t>0,7</w:t>
            </w:r>
          </w:p>
        </w:tc>
        <w:tc>
          <w:tcPr>
            <w:tcW w:w="567" w:type="dxa"/>
            <w:tcBorders>
              <w:top w:val="single" w:sz="4" w:space="0" w:color="auto"/>
              <w:left w:val="single" w:sz="4" w:space="0" w:color="auto"/>
              <w:bottom w:val="single" w:sz="4" w:space="0" w:color="auto"/>
              <w:right w:val="double" w:sz="4" w:space="0" w:color="auto"/>
            </w:tcBorders>
            <w:vAlign w:val="bottom"/>
          </w:tcPr>
          <w:p w14:paraId="6176CC1C" w14:textId="77777777" w:rsidR="00990E4C" w:rsidRPr="001518C9" w:rsidRDefault="00990E4C" w:rsidP="00E72E3B">
            <w:pPr>
              <w:pStyle w:val="tabteksts"/>
              <w:jc w:val="right"/>
              <w:rPr>
                <w:snapToGrid w:val="0"/>
              </w:rPr>
            </w:pPr>
            <w:r w:rsidRPr="001518C9">
              <w:rPr>
                <w:snapToGrid w:val="0"/>
              </w:rPr>
              <w:t>0,9</w:t>
            </w:r>
          </w:p>
        </w:tc>
      </w:tr>
      <w:tr w:rsidR="00990E4C" w:rsidRPr="007A44FD" w14:paraId="14C2435E" w14:textId="77777777" w:rsidTr="00990E4C">
        <w:trPr>
          <w:cantSplit/>
        </w:trPr>
        <w:tc>
          <w:tcPr>
            <w:tcW w:w="608" w:type="dxa"/>
            <w:tcBorders>
              <w:top w:val="single" w:sz="4" w:space="0" w:color="auto"/>
              <w:left w:val="double" w:sz="4" w:space="0" w:color="auto"/>
              <w:bottom w:val="single" w:sz="4" w:space="0" w:color="auto"/>
            </w:tcBorders>
          </w:tcPr>
          <w:p w14:paraId="675607D8" w14:textId="77777777" w:rsidR="00990E4C" w:rsidRPr="001518C9" w:rsidRDefault="00990E4C" w:rsidP="00E72E3B">
            <w:pPr>
              <w:pStyle w:val="tabteksts"/>
              <w:jc w:val="center"/>
              <w:rPr>
                <w:b/>
                <w:snapToGrid w:val="0"/>
              </w:rPr>
            </w:pPr>
          </w:p>
        </w:tc>
        <w:tc>
          <w:tcPr>
            <w:tcW w:w="8464" w:type="dxa"/>
            <w:gridSpan w:val="8"/>
            <w:tcBorders>
              <w:top w:val="single" w:sz="4" w:space="0" w:color="auto"/>
              <w:bottom w:val="single" w:sz="4" w:space="0" w:color="auto"/>
              <w:right w:val="double" w:sz="4" w:space="0" w:color="auto"/>
            </w:tcBorders>
            <w:vAlign w:val="bottom"/>
          </w:tcPr>
          <w:p w14:paraId="6A77E612" w14:textId="77777777" w:rsidR="00990E4C" w:rsidRPr="001518C9" w:rsidRDefault="00990E4C" w:rsidP="00E72E3B">
            <w:pPr>
              <w:pStyle w:val="tabteksts"/>
              <w:jc w:val="center"/>
              <w:rPr>
                <w:b/>
                <w:snapToGrid w:val="0"/>
              </w:rPr>
            </w:pPr>
            <w:r w:rsidRPr="001518C9">
              <w:rPr>
                <w:b/>
                <w:snapToGrid w:val="0"/>
              </w:rPr>
              <w:t>Vispārējā valdība (S.13)</w:t>
            </w:r>
          </w:p>
        </w:tc>
      </w:tr>
      <w:tr w:rsidR="00990E4C" w:rsidRPr="009178B4" w14:paraId="331FB617"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7B9F262A" w14:textId="77777777" w:rsidR="00990E4C" w:rsidRPr="009178B4" w:rsidRDefault="00990E4C" w:rsidP="00E72E3B">
            <w:pPr>
              <w:pStyle w:val="tabteksts"/>
              <w:rPr>
                <w:snapToGrid w:val="0"/>
              </w:rPr>
            </w:pPr>
            <w:r w:rsidRPr="009178B4">
              <w:rPr>
                <w:snapToGrid w:val="0"/>
              </w:rPr>
              <w:t xml:space="preserve">6. Kopējie ieņēmumi </w:t>
            </w:r>
          </w:p>
        </w:tc>
        <w:tc>
          <w:tcPr>
            <w:tcW w:w="1134" w:type="dxa"/>
            <w:tcBorders>
              <w:top w:val="single" w:sz="4" w:space="0" w:color="auto"/>
              <w:left w:val="single" w:sz="4" w:space="0" w:color="auto"/>
              <w:bottom w:val="single" w:sz="4" w:space="0" w:color="auto"/>
              <w:right w:val="double" w:sz="4" w:space="0" w:color="auto"/>
            </w:tcBorders>
            <w:vAlign w:val="bottom"/>
          </w:tcPr>
          <w:p w14:paraId="2388223B" w14:textId="77777777" w:rsidR="00990E4C" w:rsidRPr="009178B4" w:rsidRDefault="00990E4C" w:rsidP="00E72E3B">
            <w:pPr>
              <w:pStyle w:val="tabteksts"/>
            </w:pPr>
            <w:r w:rsidRPr="009178B4">
              <w:t>TR</w:t>
            </w:r>
          </w:p>
        </w:tc>
        <w:tc>
          <w:tcPr>
            <w:tcW w:w="992" w:type="dxa"/>
            <w:tcBorders>
              <w:top w:val="single" w:sz="4" w:space="0" w:color="auto"/>
              <w:left w:val="double" w:sz="4" w:space="0" w:color="auto"/>
              <w:bottom w:val="single" w:sz="4" w:space="0" w:color="auto"/>
              <w:right w:val="single" w:sz="4" w:space="0" w:color="auto"/>
            </w:tcBorders>
            <w:vAlign w:val="bottom"/>
          </w:tcPr>
          <w:p w14:paraId="3895E669" w14:textId="77777777" w:rsidR="00990E4C" w:rsidRPr="009178B4" w:rsidRDefault="00990E4C" w:rsidP="00E72E3B">
            <w:pPr>
              <w:pStyle w:val="tabteksts"/>
              <w:jc w:val="right"/>
              <w:rPr>
                <w:snapToGrid w:val="0"/>
              </w:rPr>
            </w:pPr>
            <w:r w:rsidRPr="009178B4">
              <w:rPr>
                <w:snapToGrid w:val="0"/>
              </w:rPr>
              <w:t>5 468,1</w:t>
            </w:r>
          </w:p>
        </w:tc>
        <w:tc>
          <w:tcPr>
            <w:tcW w:w="709" w:type="dxa"/>
            <w:tcBorders>
              <w:top w:val="single" w:sz="4" w:space="0" w:color="auto"/>
              <w:left w:val="nil"/>
              <w:bottom w:val="single" w:sz="4" w:space="0" w:color="auto"/>
              <w:right w:val="single" w:sz="4" w:space="0" w:color="auto"/>
            </w:tcBorders>
            <w:vAlign w:val="bottom"/>
          </w:tcPr>
          <w:p w14:paraId="69B50DBA" w14:textId="77777777" w:rsidR="00990E4C" w:rsidRPr="009178B4" w:rsidRDefault="00990E4C" w:rsidP="00E72E3B">
            <w:pPr>
              <w:pStyle w:val="tabteksts"/>
              <w:jc w:val="right"/>
              <w:rPr>
                <w:snapToGrid w:val="0"/>
              </w:rPr>
            </w:pPr>
            <w:r w:rsidRPr="009178B4">
              <w:rPr>
                <w:snapToGrid w:val="0"/>
              </w:rPr>
              <w:t>35,2</w:t>
            </w:r>
          </w:p>
        </w:tc>
        <w:tc>
          <w:tcPr>
            <w:tcW w:w="709" w:type="dxa"/>
            <w:tcBorders>
              <w:top w:val="single" w:sz="4" w:space="0" w:color="auto"/>
              <w:left w:val="nil"/>
              <w:bottom w:val="single" w:sz="4" w:space="0" w:color="auto"/>
              <w:right w:val="single" w:sz="4" w:space="0" w:color="auto"/>
            </w:tcBorders>
            <w:vAlign w:val="bottom"/>
          </w:tcPr>
          <w:p w14:paraId="61DC92A0" w14:textId="77777777" w:rsidR="00990E4C" w:rsidRPr="009178B4" w:rsidRDefault="00990E4C" w:rsidP="00E72E3B">
            <w:pPr>
              <w:pStyle w:val="tabteksts"/>
              <w:jc w:val="right"/>
              <w:rPr>
                <w:snapToGrid w:val="0"/>
              </w:rPr>
            </w:pPr>
            <w:r w:rsidRPr="009178B4">
              <w:rPr>
                <w:snapToGrid w:val="0"/>
              </w:rPr>
              <w:t>35,2</w:t>
            </w:r>
          </w:p>
        </w:tc>
        <w:tc>
          <w:tcPr>
            <w:tcW w:w="709" w:type="dxa"/>
            <w:tcBorders>
              <w:top w:val="single" w:sz="4" w:space="0" w:color="auto"/>
              <w:left w:val="nil"/>
              <w:bottom w:val="single" w:sz="4" w:space="0" w:color="auto"/>
              <w:right w:val="single" w:sz="4" w:space="0" w:color="auto"/>
            </w:tcBorders>
            <w:vAlign w:val="bottom"/>
          </w:tcPr>
          <w:p w14:paraId="65F20034" w14:textId="77777777" w:rsidR="00990E4C" w:rsidRPr="009178B4" w:rsidRDefault="00990E4C" w:rsidP="00E72E3B">
            <w:pPr>
              <w:pStyle w:val="tabteksts"/>
              <w:jc w:val="right"/>
              <w:rPr>
                <w:snapToGrid w:val="0"/>
              </w:rPr>
            </w:pPr>
            <w:r w:rsidRPr="009178B4">
              <w:rPr>
                <w:snapToGrid w:val="0"/>
              </w:rPr>
              <w:t>33,8</w:t>
            </w:r>
          </w:p>
        </w:tc>
        <w:tc>
          <w:tcPr>
            <w:tcW w:w="708" w:type="dxa"/>
            <w:tcBorders>
              <w:top w:val="single" w:sz="4" w:space="0" w:color="auto"/>
              <w:left w:val="nil"/>
              <w:bottom w:val="single" w:sz="4" w:space="0" w:color="auto"/>
              <w:right w:val="single" w:sz="4" w:space="0" w:color="auto"/>
            </w:tcBorders>
            <w:vAlign w:val="bottom"/>
          </w:tcPr>
          <w:p w14:paraId="0FFEC34E" w14:textId="77777777" w:rsidR="00990E4C" w:rsidRPr="009178B4" w:rsidRDefault="00990E4C" w:rsidP="00E72E3B">
            <w:pPr>
              <w:pStyle w:val="tabteksts"/>
              <w:jc w:val="right"/>
              <w:rPr>
                <w:snapToGrid w:val="0"/>
              </w:rPr>
            </w:pPr>
            <w:r w:rsidRPr="009178B4">
              <w:rPr>
                <w:snapToGrid w:val="0"/>
              </w:rPr>
              <w:t>30,9</w:t>
            </w:r>
          </w:p>
        </w:tc>
        <w:tc>
          <w:tcPr>
            <w:tcW w:w="567" w:type="dxa"/>
            <w:tcBorders>
              <w:top w:val="single" w:sz="4" w:space="0" w:color="auto"/>
              <w:left w:val="single" w:sz="4" w:space="0" w:color="auto"/>
              <w:bottom w:val="single" w:sz="4" w:space="0" w:color="auto"/>
              <w:right w:val="double" w:sz="4" w:space="0" w:color="auto"/>
            </w:tcBorders>
            <w:vAlign w:val="bottom"/>
          </w:tcPr>
          <w:p w14:paraId="3B9736D7" w14:textId="77777777" w:rsidR="00990E4C" w:rsidRPr="009178B4" w:rsidRDefault="00990E4C" w:rsidP="00E72E3B">
            <w:pPr>
              <w:pStyle w:val="tabteksts"/>
              <w:jc w:val="right"/>
              <w:rPr>
                <w:snapToGrid w:val="0"/>
              </w:rPr>
            </w:pPr>
            <w:r w:rsidRPr="009178B4">
              <w:rPr>
                <w:snapToGrid w:val="0"/>
              </w:rPr>
              <w:t>31,2</w:t>
            </w:r>
          </w:p>
        </w:tc>
      </w:tr>
      <w:tr w:rsidR="00990E4C" w:rsidRPr="009178B4" w14:paraId="4CE09B13" w14:textId="77777777" w:rsidTr="00990E4C">
        <w:trPr>
          <w:cantSplit/>
          <w:trHeight w:val="158"/>
        </w:trPr>
        <w:tc>
          <w:tcPr>
            <w:tcW w:w="3544" w:type="dxa"/>
            <w:gridSpan w:val="2"/>
            <w:tcBorders>
              <w:top w:val="single" w:sz="4" w:space="0" w:color="auto"/>
              <w:left w:val="double" w:sz="4" w:space="0" w:color="auto"/>
              <w:bottom w:val="single" w:sz="4" w:space="0" w:color="auto"/>
              <w:right w:val="single" w:sz="4" w:space="0" w:color="auto"/>
            </w:tcBorders>
          </w:tcPr>
          <w:p w14:paraId="62995DFB" w14:textId="77777777" w:rsidR="00990E4C" w:rsidRPr="009178B4" w:rsidRDefault="00990E4C" w:rsidP="00E72E3B">
            <w:pPr>
              <w:pStyle w:val="tabteksts"/>
              <w:rPr>
                <w:snapToGrid w:val="0"/>
              </w:rPr>
            </w:pPr>
            <w:r w:rsidRPr="009178B4">
              <w:rPr>
                <w:snapToGrid w:val="0"/>
              </w:rPr>
              <w:t>7. Kopējie izdevumi</w:t>
            </w:r>
          </w:p>
        </w:tc>
        <w:tc>
          <w:tcPr>
            <w:tcW w:w="1134" w:type="dxa"/>
            <w:tcBorders>
              <w:top w:val="single" w:sz="4" w:space="0" w:color="auto"/>
              <w:left w:val="single" w:sz="4" w:space="0" w:color="auto"/>
              <w:bottom w:val="single" w:sz="4" w:space="0" w:color="auto"/>
              <w:right w:val="double" w:sz="4" w:space="0" w:color="auto"/>
            </w:tcBorders>
            <w:vAlign w:val="bottom"/>
          </w:tcPr>
          <w:p w14:paraId="30B746EB" w14:textId="77777777" w:rsidR="00990E4C" w:rsidRPr="009178B4" w:rsidRDefault="00990E4C" w:rsidP="00E72E3B">
            <w:pPr>
              <w:pStyle w:val="tabteksts"/>
            </w:pPr>
            <w:r w:rsidRPr="009178B4">
              <w:t>TE</w:t>
            </w:r>
          </w:p>
        </w:tc>
        <w:tc>
          <w:tcPr>
            <w:tcW w:w="992" w:type="dxa"/>
            <w:tcBorders>
              <w:top w:val="single" w:sz="4" w:space="0" w:color="auto"/>
              <w:left w:val="double" w:sz="4" w:space="0" w:color="auto"/>
              <w:bottom w:val="single" w:sz="4" w:space="0" w:color="auto"/>
              <w:right w:val="single" w:sz="4" w:space="0" w:color="auto"/>
            </w:tcBorders>
            <w:vAlign w:val="bottom"/>
          </w:tcPr>
          <w:p w14:paraId="02286BF5" w14:textId="77777777" w:rsidR="00990E4C" w:rsidRPr="009178B4" w:rsidRDefault="00990E4C" w:rsidP="00E72E3B">
            <w:pPr>
              <w:pStyle w:val="tabteksts"/>
              <w:jc w:val="right"/>
              <w:rPr>
                <w:snapToGrid w:val="0"/>
              </w:rPr>
            </w:pPr>
            <w:r w:rsidRPr="009178B4">
              <w:rPr>
                <w:snapToGrid w:val="0"/>
              </w:rPr>
              <w:t>5 655,3</w:t>
            </w:r>
          </w:p>
        </w:tc>
        <w:tc>
          <w:tcPr>
            <w:tcW w:w="709" w:type="dxa"/>
            <w:tcBorders>
              <w:top w:val="single" w:sz="4" w:space="0" w:color="auto"/>
              <w:left w:val="nil"/>
              <w:bottom w:val="single" w:sz="4" w:space="0" w:color="auto"/>
              <w:right w:val="single" w:sz="4" w:space="0" w:color="auto"/>
            </w:tcBorders>
            <w:vAlign w:val="bottom"/>
          </w:tcPr>
          <w:p w14:paraId="63C24D86" w14:textId="77777777" w:rsidR="00990E4C" w:rsidRPr="009178B4" w:rsidRDefault="00990E4C" w:rsidP="00E72E3B">
            <w:pPr>
              <w:pStyle w:val="tabteksts"/>
              <w:jc w:val="right"/>
              <w:rPr>
                <w:snapToGrid w:val="0"/>
              </w:rPr>
            </w:pPr>
            <w:r w:rsidRPr="009178B4">
              <w:rPr>
                <w:snapToGrid w:val="0"/>
              </w:rPr>
              <w:t>36,4</w:t>
            </w:r>
          </w:p>
        </w:tc>
        <w:tc>
          <w:tcPr>
            <w:tcW w:w="709" w:type="dxa"/>
            <w:tcBorders>
              <w:top w:val="single" w:sz="4" w:space="0" w:color="auto"/>
              <w:left w:val="nil"/>
              <w:bottom w:val="single" w:sz="4" w:space="0" w:color="auto"/>
              <w:right w:val="single" w:sz="4" w:space="0" w:color="auto"/>
            </w:tcBorders>
            <w:vAlign w:val="bottom"/>
          </w:tcPr>
          <w:p w14:paraId="3024FE60" w14:textId="77777777" w:rsidR="00990E4C" w:rsidRPr="009178B4" w:rsidRDefault="00990E4C" w:rsidP="00E72E3B">
            <w:pPr>
              <w:pStyle w:val="tabteksts"/>
              <w:jc w:val="right"/>
              <w:rPr>
                <w:snapToGrid w:val="0"/>
              </w:rPr>
            </w:pPr>
            <w:r w:rsidRPr="009178B4">
              <w:rPr>
                <w:snapToGrid w:val="0"/>
              </w:rPr>
              <w:t>36,3</w:t>
            </w:r>
          </w:p>
        </w:tc>
        <w:tc>
          <w:tcPr>
            <w:tcW w:w="709" w:type="dxa"/>
            <w:tcBorders>
              <w:top w:val="single" w:sz="4" w:space="0" w:color="auto"/>
              <w:left w:val="nil"/>
              <w:bottom w:val="single" w:sz="4" w:space="0" w:color="auto"/>
              <w:right w:val="single" w:sz="4" w:space="0" w:color="auto"/>
            </w:tcBorders>
            <w:vAlign w:val="bottom"/>
          </w:tcPr>
          <w:p w14:paraId="163F7A8D" w14:textId="77777777" w:rsidR="00990E4C" w:rsidRPr="009178B4" w:rsidRDefault="00990E4C" w:rsidP="00E72E3B">
            <w:pPr>
              <w:pStyle w:val="tabteksts"/>
              <w:jc w:val="right"/>
              <w:rPr>
                <w:snapToGrid w:val="0"/>
              </w:rPr>
            </w:pPr>
            <w:r w:rsidRPr="009178B4">
              <w:rPr>
                <w:snapToGrid w:val="0"/>
              </w:rPr>
              <w:t>34,7</w:t>
            </w:r>
          </w:p>
        </w:tc>
        <w:tc>
          <w:tcPr>
            <w:tcW w:w="708" w:type="dxa"/>
            <w:tcBorders>
              <w:top w:val="single" w:sz="4" w:space="0" w:color="auto"/>
              <w:left w:val="nil"/>
              <w:bottom w:val="single" w:sz="4" w:space="0" w:color="auto"/>
              <w:right w:val="single" w:sz="4" w:space="0" w:color="auto"/>
            </w:tcBorders>
            <w:vAlign w:val="bottom"/>
          </w:tcPr>
          <w:p w14:paraId="1C4D2640" w14:textId="77777777" w:rsidR="00990E4C" w:rsidRPr="009178B4" w:rsidRDefault="00990E4C" w:rsidP="00E72E3B">
            <w:pPr>
              <w:pStyle w:val="tabteksts"/>
              <w:jc w:val="right"/>
              <w:rPr>
                <w:snapToGrid w:val="0"/>
              </w:rPr>
            </w:pPr>
            <w:r w:rsidRPr="009178B4">
              <w:rPr>
                <w:snapToGrid w:val="0"/>
              </w:rPr>
              <w:t>31,9</w:t>
            </w:r>
          </w:p>
        </w:tc>
        <w:tc>
          <w:tcPr>
            <w:tcW w:w="567" w:type="dxa"/>
            <w:tcBorders>
              <w:top w:val="single" w:sz="4" w:space="0" w:color="auto"/>
              <w:left w:val="single" w:sz="4" w:space="0" w:color="auto"/>
              <w:bottom w:val="single" w:sz="4" w:space="0" w:color="auto"/>
              <w:right w:val="double" w:sz="4" w:space="0" w:color="auto"/>
            </w:tcBorders>
            <w:vAlign w:val="bottom"/>
          </w:tcPr>
          <w:p w14:paraId="56C13379" w14:textId="77777777" w:rsidR="00990E4C" w:rsidRPr="009178B4" w:rsidRDefault="00990E4C" w:rsidP="00E72E3B">
            <w:pPr>
              <w:pStyle w:val="tabteksts"/>
              <w:jc w:val="right"/>
              <w:rPr>
                <w:snapToGrid w:val="0"/>
              </w:rPr>
            </w:pPr>
            <w:r w:rsidRPr="009178B4">
              <w:rPr>
                <w:snapToGrid w:val="0"/>
              </w:rPr>
              <w:t>32,0</w:t>
            </w:r>
          </w:p>
        </w:tc>
      </w:tr>
      <w:tr w:rsidR="00990E4C" w:rsidRPr="009178B4" w14:paraId="11F2BCBB"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5FA9F3E1" w14:textId="77777777" w:rsidR="00990E4C" w:rsidRPr="009178B4" w:rsidRDefault="00990E4C" w:rsidP="00E72E3B">
            <w:pPr>
              <w:pStyle w:val="tabteksts"/>
              <w:rPr>
                <w:snapToGrid w:val="0"/>
              </w:rPr>
            </w:pPr>
            <w:r w:rsidRPr="009178B4">
              <w:rPr>
                <w:snapToGrid w:val="0"/>
              </w:rPr>
              <w:t>8. Budžeta bilance</w:t>
            </w:r>
          </w:p>
        </w:tc>
        <w:tc>
          <w:tcPr>
            <w:tcW w:w="1134" w:type="dxa"/>
            <w:tcBorders>
              <w:top w:val="single" w:sz="4" w:space="0" w:color="auto"/>
              <w:left w:val="single" w:sz="4" w:space="0" w:color="auto"/>
              <w:bottom w:val="single" w:sz="4" w:space="0" w:color="auto"/>
              <w:right w:val="double" w:sz="4" w:space="0" w:color="auto"/>
            </w:tcBorders>
            <w:vAlign w:val="bottom"/>
          </w:tcPr>
          <w:p w14:paraId="15FDDFA0" w14:textId="77777777" w:rsidR="00990E4C" w:rsidRPr="009178B4" w:rsidRDefault="00990E4C" w:rsidP="00E72E3B">
            <w:pPr>
              <w:pStyle w:val="tabteksts"/>
            </w:pPr>
            <w:r w:rsidRPr="009178B4">
              <w:t>EDP B.9</w:t>
            </w:r>
          </w:p>
        </w:tc>
        <w:tc>
          <w:tcPr>
            <w:tcW w:w="992" w:type="dxa"/>
            <w:tcBorders>
              <w:top w:val="single" w:sz="4" w:space="0" w:color="auto"/>
              <w:left w:val="double" w:sz="4" w:space="0" w:color="auto"/>
              <w:bottom w:val="single" w:sz="4" w:space="0" w:color="auto"/>
              <w:right w:val="single" w:sz="4" w:space="0" w:color="auto"/>
            </w:tcBorders>
            <w:vAlign w:val="bottom"/>
          </w:tcPr>
          <w:p w14:paraId="4778AB48" w14:textId="77777777" w:rsidR="00990E4C" w:rsidRPr="009178B4" w:rsidRDefault="00990E4C" w:rsidP="00E72E3B">
            <w:pPr>
              <w:pStyle w:val="tabteksts"/>
              <w:jc w:val="right"/>
              <w:rPr>
                <w:snapToGrid w:val="0"/>
              </w:rPr>
            </w:pPr>
            <w:r w:rsidRPr="009178B4">
              <w:rPr>
                <w:snapToGrid w:val="0"/>
              </w:rPr>
              <w:t>-187,2</w:t>
            </w:r>
          </w:p>
        </w:tc>
        <w:tc>
          <w:tcPr>
            <w:tcW w:w="709" w:type="dxa"/>
            <w:tcBorders>
              <w:top w:val="single" w:sz="4" w:space="0" w:color="auto"/>
              <w:left w:val="nil"/>
              <w:bottom w:val="single" w:sz="4" w:space="0" w:color="auto"/>
              <w:right w:val="single" w:sz="4" w:space="0" w:color="auto"/>
            </w:tcBorders>
            <w:vAlign w:val="bottom"/>
          </w:tcPr>
          <w:p w14:paraId="7B4FBECC" w14:textId="77777777" w:rsidR="00990E4C" w:rsidRPr="009178B4" w:rsidRDefault="00990E4C" w:rsidP="00E72E3B">
            <w:pPr>
              <w:pStyle w:val="tabteksts"/>
              <w:jc w:val="right"/>
              <w:rPr>
                <w:snapToGrid w:val="0"/>
              </w:rPr>
            </w:pPr>
            <w:r w:rsidRPr="009178B4">
              <w:rPr>
                <w:snapToGrid w:val="0"/>
              </w:rPr>
              <w:t>-1,2</w:t>
            </w:r>
          </w:p>
        </w:tc>
        <w:tc>
          <w:tcPr>
            <w:tcW w:w="709" w:type="dxa"/>
            <w:tcBorders>
              <w:top w:val="single" w:sz="4" w:space="0" w:color="auto"/>
              <w:left w:val="nil"/>
              <w:bottom w:val="single" w:sz="4" w:space="0" w:color="auto"/>
              <w:right w:val="single" w:sz="4" w:space="0" w:color="auto"/>
            </w:tcBorders>
            <w:vAlign w:val="bottom"/>
          </w:tcPr>
          <w:p w14:paraId="3D57898D" w14:textId="77777777" w:rsidR="00990E4C" w:rsidRPr="009178B4" w:rsidRDefault="00990E4C" w:rsidP="00E72E3B">
            <w:pPr>
              <w:pStyle w:val="tabteksts"/>
              <w:jc w:val="right"/>
              <w:rPr>
                <w:snapToGrid w:val="0"/>
              </w:rPr>
            </w:pPr>
            <w:r w:rsidRPr="009178B4">
              <w:rPr>
                <w:snapToGrid w:val="0"/>
              </w:rPr>
              <w:t>-1,1</w:t>
            </w:r>
          </w:p>
        </w:tc>
        <w:tc>
          <w:tcPr>
            <w:tcW w:w="709" w:type="dxa"/>
            <w:tcBorders>
              <w:top w:val="single" w:sz="4" w:space="0" w:color="auto"/>
              <w:left w:val="nil"/>
              <w:bottom w:val="single" w:sz="4" w:space="0" w:color="auto"/>
              <w:right w:val="single" w:sz="4" w:space="0" w:color="auto"/>
            </w:tcBorders>
            <w:vAlign w:val="bottom"/>
          </w:tcPr>
          <w:p w14:paraId="6244C05C" w14:textId="77777777" w:rsidR="00990E4C" w:rsidRPr="009178B4" w:rsidRDefault="00990E4C" w:rsidP="00E72E3B">
            <w:pPr>
              <w:pStyle w:val="tabteksts"/>
              <w:jc w:val="right"/>
              <w:rPr>
                <w:snapToGrid w:val="0"/>
              </w:rPr>
            </w:pPr>
            <w:r w:rsidRPr="009178B4">
              <w:rPr>
                <w:snapToGrid w:val="0"/>
              </w:rPr>
              <w:t>-0,9</w:t>
            </w:r>
          </w:p>
        </w:tc>
        <w:tc>
          <w:tcPr>
            <w:tcW w:w="708" w:type="dxa"/>
            <w:tcBorders>
              <w:top w:val="single" w:sz="4" w:space="0" w:color="auto"/>
              <w:left w:val="nil"/>
              <w:bottom w:val="single" w:sz="4" w:space="0" w:color="auto"/>
              <w:right w:val="single" w:sz="4" w:space="0" w:color="auto"/>
            </w:tcBorders>
            <w:vAlign w:val="bottom"/>
          </w:tcPr>
          <w:p w14:paraId="029476F9" w14:textId="77777777" w:rsidR="00990E4C" w:rsidRPr="009178B4" w:rsidRDefault="00990E4C" w:rsidP="00E72E3B">
            <w:pPr>
              <w:pStyle w:val="tabteksts"/>
              <w:jc w:val="right"/>
              <w:rPr>
                <w:snapToGrid w:val="0"/>
              </w:rPr>
            </w:pPr>
            <w:r w:rsidRPr="009178B4">
              <w:rPr>
                <w:snapToGrid w:val="0"/>
              </w:rPr>
              <w:t>-0,9</w:t>
            </w:r>
          </w:p>
        </w:tc>
        <w:tc>
          <w:tcPr>
            <w:tcW w:w="567" w:type="dxa"/>
            <w:tcBorders>
              <w:top w:val="single" w:sz="4" w:space="0" w:color="auto"/>
              <w:left w:val="single" w:sz="4" w:space="0" w:color="auto"/>
              <w:bottom w:val="single" w:sz="4" w:space="0" w:color="auto"/>
              <w:right w:val="double" w:sz="4" w:space="0" w:color="auto"/>
            </w:tcBorders>
            <w:vAlign w:val="bottom"/>
          </w:tcPr>
          <w:p w14:paraId="14A4D100" w14:textId="77777777" w:rsidR="00990E4C" w:rsidRPr="009178B4" w:rsidRDefault="00990E4C" w:rsidP="00E72E3B">
            <w:pPr>
              <w:pStyle w:val="tabteksts"/>
              <w:jc w:val="right"/>
              <w:rPr>
                <w:snapToGrid w:val="0"/>
              </w:rPr>
            </w:pPr>
            <w:r w:rsidRPr="009178B4">
              <w:rPr>
                <w:snapToGrid w:val="0"/>
              </w:rPr>
              <w:t>-0,9</w:t>
            </w:r>
          </w:p>
        </w:tc>
      </w:tr>
      <w:tr w:rsidR="00990E4C" w:rsidRPr="009178B4" w14:paraId="71B4D368"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vAlign w:val="center"/>
          </w:tcPr>
          <w:p w14:paraId="283F003E" w14:textId="77777777" w:rsidR="00990E4C" w:rsidRPr="009178B4" w:rsidRDefault="00990E4C" w:rsidP="00E72E3B">
            <w:pPr>
              <w:pStyle w:val="tabteksts"/>
              <w:rPr>
                <w:snapToGrid w:val="0"/>
              </w:rPr>
            </w:pPr>
            <w:r w:rsidRPr="009178B4">
              <w:rPr>
                <w:snapToGrid w:val="0"/>
              </w:rPr>
              <w:t>9. Procentu izdevumi</w:t>
            </w:r>
          </w:p>
        </w:tc>
        <w:tc>
          <w:tcPr>
            <w:tcW w:w="1134" w:type="dxa"/>
            <w:tcBorders>
              <w:top w:val="single" w:sz="4" w:space="0" w:color="auto"/>
              <w:left w:val="single" w:sz="4" w:space="0" w:color="auto"/>
              <w:bottom w:val="single" w:sz="4" w:space="0" w:color="auto"/>
              <w:right w:val="double" w:sz="4" w:space="0" w:color="auto"/>
            </w:tcBorders>
            <w:vAlign w:val="bottom"/>
          </w:tcPr>
          <w:p w14:paraId="13F907BE" w14:textId="77777777" w:rsidR="00990E4C" w:rsidRPr="009178B4" w:rsidRDefault="00990E4C" w:rsidP="00E72E3B">
            <w:pPr>
              <w:pStyle w:val="tabteksts"/>
            </w:pPr>
            <w:r w:rsidRPr="009178B4">
              <w:t xml:space="preserve">EDP D.41 </w:t>
            </w:r>
          </w:p>
        </w:tc>
        <w:tc>
          <w:tcPr>
            <w:tcW w:w="992" w:type="dxa"/>
            <w:tcBorders>
              <w:top w:val="single" w:sz="4" w:space="0" w:color="auto"/>
              <w:left w:val="double" w:sz="4" w:space="0" w:color="auto"/>
              <w:bottom w:val="single" w:sz="4" w:space="0" w:color="auto"/>
              <w:right w:val="single" w:sz="4" w:space="0" w:color="auto"/>
            </w:tcBorders>
            <w:vAlign w:val="bottom"/>
          </w:tcPr>
          <w:p w14:paraId="53AAC6DC" w14:textId="77777777" w:rsidR="00990E4C" w:rsidRPr="009178B4" w:rsidRDefault="00990E4C" w:rsidP="00E72E3B">
            <w:pPr>
              <w:pStyle w:val="tabteksts"/>
              <w:jc w:val="right"/>
              <w:rPr>
                <w:snapToGrid w:val="0"/>
              </w:rPr>
            </w:pPr>
            <w:r w:rsidRPr="009178B4">
              <w:rPr>
                <w:snapToGrid w:val="0"/>
              </w:rPr>
              <w:t>204,5</w:t>
            </w:r>
          </w:p>
        </w:tc>
        <w:tc>
          <w:tcPr>
            <w:tcW w:w="709" w:type="dxa"/>
            <w:tcBorders>
              <w:top w:val="single" w:sz="4" w:space="0" w:color="auto"/>
              <w:left w:val="nil"/>
              <w:bottom w:val="single" w:sz="4" w:space="0" w:color="auto"/>
              <w:right w:val="single" w:sz="4" w:space="0" w:color="auto"/>
            </w:tcBorders>
            <w:vAlign w:val="bottom"/>
          </w:tcPr>
          <w:p w14:paraId="599BC0A9" w14:textId="77777777" w:rsidR="00990E4C" w:rsidRPr="009178B4" w:rsidRDefault="00990E4C" w:rsidP="00E72E3B">
            <w:pPr>
              <w:pStyle w:val="tabteksts"/>
              <w:jc w:val="right"/>
              <w:rPr>
                <w:snapToGrid w:val="0"/>
              </w:rPr>
            </w:pPr>
            <w:r w:rsidRPr="009178B4">
              <w:rPr>
                <w:snapToGrid w:val="0"/>
              </w:rPr>
              <w:t>1,3</w:t>
            </w:r>
          </w:p>
        </w:tc>
        <w:tc>
          <w:tcPr>
            <w:tcW w:w="709" w:type="dxa"/>
            <w:tcBorders>
              <w:top w:val="single" w:sz="4" w:space="0" w:color="auto"/>
              <w:left w:val="nil"/>
              <w:bottom w:val="single" w:sz="4" w:space="0" w:color="auto"/>
              <w:right w:val="single" w:sz="4" w:space="0" w:color="auto"/>
            </w:tcBorders>
            <w:vAlign w:val="bottom"/>
          </w:tcPr>
          <w:p w14:paraId="473AEBF6" w14:textId="77777777" w:rsidR="00990E4C" w:rsidRPr="009178B4" w:rsidRDefault="00990E4C" w:rsidP="00E72E3B">
            <w:pPr>
              <w:pStyle w:val="tabteksts"/>
              <w:jc w:val="right"/>
              <w:rPr>
                <w:snapToGrid w:val="0"/>
              </w:rPr>
            </w:pPr>
            <w:r w:rsidRPr="009178B4">
              <w:rPr>
                <w:snapToGrid w:val="0"/>
              </w:rPr>
              <w:t>1,5</w:t>
            </w:r>
          </w:p>
        </w:tc>
        <w:tc>
          <w:tcPr>
            <w:tcW w:w="709" w:type="dxa"/>
            <w:tcBorders>
              <w:top w:val="single" w:sz="4" w:space="0" w:color="auto"/>
              <w:left w:val="nil"/>
              <w:bottom w:val="single" w:sz="4" w:space="0" w:color="auto"/>
              <w:right w:val="single" w:sz="4" w:space="0" w:color="auto"/>
            </w:tcBorders>
            <w:vAlign w:val="bottom"/>
          </w:tcPr>
          <w:p w14:paraId="3A7B0AAB" w14:textId="77777777" w:rsidR="00990E4C" w:rsidRPr="009178B4" w:rsidRDefault="00990E4C" w:rsidP="00E72E3B">
            <w:pPr>
              <w:pStyle w:val="tabteksts"/>
              <w:jc w:val="right"/>
              <w:rPr>
                <w:snapToGrid w:val="0"/>
              </w:rPr>
            </w:pPr>
            <w:r w:rsidRPr="009178B4">
              <w:rPr>
                <w:snapToGrid w:val="0"/>
              </w:rPr>
              <w:t>1,6</w:t>
            </w:r>
          </w:p>
        </w:tc>
        <w:tc>
          <w:tcPr>
            <w:tcW w:w="708" w:type="dxa"/>
            <w:tcBorders>
              <w:top w:val="single" w:sz="4" w:space="0" w:color="auto"/>
              <w:left w:val="nil"/>
              <w:bottom w:val="single" w:sz="4" w:space="0" w:color="auto"/>
              <w:right w:val="single" w:sz="4" w:space="0" w:color="auto"/>
            </w:tcBorders>
            <w:vAlign w:val="bottom"/>
          </w:tcPr>
          <w:p w14:paraId="1D5514D8" w14:textId="77777777" w:rsidR="00990E4C" w:rsidRPr="009178B4" w:rsidRDefault="00990E4C" w:rsidP="00E72E3B">
            <w:pPr>
              <w:pStyle w:val="tabteksts"/>
              <w:jc w:val="right"/>
              <w:rPr>
                <w:snapToGrid w:val="0"/>
              </w:rPr>
            </w:pPr>
            <w:r w:rsidRPr="009178B4">
              <w:rPr>
                <w:snapToGrid w:val="0"/>
              </w:rPr>
              <w:t>1,5</w:t>
            </w:r>
          </w:p>
        </w:tc>
        <w:tc>
          <w:tcPr>
            <w:tcW w:w="567" w:type="dxa"/>
            <w:tcBorders>
              <w:top w:val="single" w:sz="4" w:space="0" w:color="auto"/>
              <w:left w:val="single" w:sz="4" w:space="0" w:color="auto"/>
              <w:bottom w:val="single" w:sz="4" w:space="0" w:color="auto"/>
              <w:right w:val="double" w:sz="4" w:space="0" w:color="auto"/>
            </w:tcBorders>
            <w:vAlign w:val="bottom"/>
          </w:tcPr>
          <w:p w14:paraId="640D6A53" w14:textId="77777777" w:rsidR="00990E4C" w:rsidRPr="009178B4" w:rsidRDefault="00990E4C" w:rsidP="00E72E3B">
            <w:pPr>
              <w:pStyle w:val="tabteksts"/>
              <w:jc w:val="right"/>
              <w:rPr>
                <w:snapToGrid w:val="0"/>
              </w:rPr>
            </w:pPr>
            <w:r w:rsidRPr="009178B4">
              <w:rPr>
                <w:snapToGrid w:val="0"/>
              </w:rPr>
              <w:t>1,4</w:t>
            </w:r>
          </w:p>
        </w:tc>
      </w:tr>
      <w:tr w:rsidR="00990E4C" w:rsidRPr="009178B4" w14:paraId="1F3D0831"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411F3424" w14:textId="77777777" w:rsidR="00990E4C" w:rsidRPr="009178B4" w:rsidRDefault="00990E4C" w:rsidP="00E72E3B">
            <w:pPr>
              <w:pStyle w:val="tabteksts"/>
              <w:rPr>
                <w:snapToGrid w:val="0"/>
              </w:rPr>
            </w:pPr>
            <w:r w:rsidRPr="009178B4">
              <w:rPr>
                <w:snapToGrid w:val="0"/>
              </w:rPr>
              <w:t>10. Primārā bilance</w:t>
            </w:r>
          </w:p>
        </w:tc>
        <w:tc>
          <w:tcPr>
            <w:tcW w:w="1134" w:type="dxa"/>
            <w:tcBorders>
              <w:top w:val="single" w:sz="4" w:space="0" w:color="auto"/>
              <w:left w:val="single" w:sz="4" w:space="0" w:color="auto"/>
              <w:bottom w:val="single" w:sz="4" w:space="0" w:color="auto"/>
              <w:right w:val="double" w:sz="4" w:space="0" w:color="auto"/>
            </w:tcBorders>
            <w:vAlign w:val="bottom"/>
          </w:tcPr>
          <w:p w14:paraId="6520308D" w14:textId="77777777" w:rsidR="00990E4C" w:rsidRPr="009178B4" w:rsidRDefault="00990E4C" w:rsidP="00E72E3B">
            <w:pPr>
              <w:pStyle w:val="tabteksts"/>
            </w:pPr>
          </w:p>
        </w:tc>
        <w:tc>
          <w:tcPr>
            <w:tcW w:w="992" w:type="dxa"/>
            <w:tcBorders>
              <w:top w:val="single" w:sz="4" w:space="0" w:color="auto"/>
              <w:left w:val="double" w:sz="4" w:space="0" w:color="auto"/>
              <w:bottom w:val="single" w:sz="4" w:space="0" w:color="auto"/>
              <w:right w:val="single" w:sz="4" w:space="0" w:color="auto"/>
            </w:tcBorders>
            <w:vAlign w:val="bottom"/>
          </w:tcPr>
          <w:p w14:paraId="1EF38B82" w14:textId="77777777" w:rsidR="00990E4C" w:rsidRPr="009178B4" w:rsidRDefault="00990E4C" w:rsidP="00E72E3B">
            <w:pPr>
              <w:pStyle w:val="tabteksts"/>
              <w:jc w:val="right"/>
              <w:rPr>
                <w:snapToGrid w:val="0"/>
              </w:rPr>
            </w:pPr>
            <w:r w:rsidRPr="009178B4">
              <w:rPr>
                <w:snapToGrid w:val="0"/>
              </w:rPr>
              <w:t>17,3</w:t>
            </w:r>
          </w:p>
        </w:tc>
        <w:tc>
          <w:tcPr>
            <w:tcW w:w="709" w:type="dxa"/>
            <w:tcBorders>
              <w:top w:val="single" w:sz="4" w:space="0" w:color="auto"/>
              <w:left w:val="nil"/>
              <w:bottom w:val="single" w:sz="4" w:space="0" w:color="auto"/>
              <w:right w:val="single" w:sz="4" w:space="0" w:color="auto"/>
            </w:tcBorders>
            <w:vAlign w:val="bottom"/>
          </w:tcPr>
          <w:p w14:paraId="003BBE7E" w14:textId="77777777" w:rsidR="00990E4C" w:rsidRPr="009178B4" w:rsidRDefault="00990E4C" w:rsidP="00E72E3B">
            <w:pPr>
              <w:pStyle w:val="tabteksts"/>
              <w:jc w:val="right"/>
              <w:rPr>
                <w:snapToGrid w:val="0"/>
              </w:rPr>
            </w:pPr>
            <w:r w:rsidRPr="009178B4">
              <w:rPr>
                <w:snapToGrid w:val="0"/>
              </w:rPr>
              <w:t>0,1</w:t>
            </w:r>
          </w:p>
        </w:tc>
        <w:tc>
          <w:tcPr>
            <w:tcW w:w="709" w:type="dxa"/>
            <w:tcBorders>
              <w:top w:val="single" w:sz="4" w:space="0" w:color="auto"/>
              <w:left w:val="nil"/>
              <w:bottom w:val="single" w:sz="4" w:space="0" w:color="auto"/>
              <w:right w:val="single" w:sz="4" w:space="0" w:color="auto"/>
            </w:tcBorders>
            <w:vAlign w:val="bottom"/>
          </w:tcPr>
          <w:p w14:paraId="0F078719" w14:textId="77777777" w:rsidR="00990E4C" w:rsidRPr="009178B4" w:rsidRDefault="00990E4C" w:rsidP="00E72E3B">
            <w:pPr>
              <w:pStyle w:val="tabteksts"/>
              <w:jc w:val="right"/>
              <w:rPr>
                <w:snapToGrid w:val="0"/>
              </w:rPr>
            </w:pPr>
            <w:r w:rsidRPr="009178B4">
              <w:rPr>
                <w:snapToGrid w:val="0"/>
              </w:rPr>
              <w:t>0,4</w:t>
            </w:r>
          </w:p>
        </w:tc>
        <w:tc>
          <w:tcPr>
            <w:tcW w:w="709" w:type="dxa"/>
            <w:tcBorders>
              <w:top w:val="single" w:sz="4" w:space="0" w:color="auto"/>
              <w:left w:val="nil"/>
              <w:bottom w:val="single" w:sz="4" w:space="0" w:color="auto"/>
              <w:right w:val="single" w:sz="4" w:space="0" w:color="auto"/>
            </w:tcBorders>
            <w:vAlign w:val="bottom"/>
          </w:tcPr>
          <w:p w14:paraId="2ED67AB7" w14:textId="77777777" w:rsidR="00990E4C" w:rsidRPr="009178B4" w:rsidRDefault="00990E4C" w:rsidP="00E72E3B">
            <w:pPr>
              <w:pStyle w:val="tabteksts"/>
              <w:jc w:val="right"/>
              <w:rPr>
                <w:snapToGrid w:val="0"/>
              </w:rPr>
            </w:pPr>
            <w:r w:rsidRPr="009178B4">
              <w:rPr>
                <w:snapToGrid w:val="0"/>
              </w:rPr>
              <w:t>0,8</w:t>
            </w:r>
          </w:p>
        </w:tc>
        <w:tc>
          <w:tcPr>
            <w:tcW w:w="708" w:type="dxa"/>
            <w:tcBorders>
              <w:top w:val="single" w:sz="4" w:space="0" w:color="auto"/>
              <w:left w:val="nil"/>
              <w:bottom w:val="single" w:sz="4" w:space="0" w:color="auto"/>
              <w:right w:val="single" w:sz="4" w:space="0" w:color="auto"/>
            </w:tcBorders>
            <w:vAlign w:val="bottom"/>
          </w:tcPr>
          <w:p w14:paraId="752E7BE6" w14:textId="77777777" w:rsidR="00990E4C" w:rsidRPr="009178B4" w:rsidRDefault="00990E4C" w:rsidP="00E72E3B">
            <w:pPr>
              <w:pStyle w:val="tabteksts"/>
              <w:jc w:val="right"/>
              <w:rPr>
                <w:snapToGrid w:val="0"/>
              </w:rPr>
            </w:pPr>
            <w:r w:rsidRPr="009178B4">
              <w:rPr>
                <w:snapToGrid w:val="0"/>
              </w:rPr>
              <w:t>0,6</w:t>
            </w:r>
          </w:p>
        </w:tc>
        <w:tc>
          <w:tcPr>
            <w:tcW w:w="567" w:type="dxa"/>
            <w:tcBorders>
              <w:top w:val="single" w:sz="4" w:space="0" w:color="auto"/>
              <w:left w:val="single" w:sz="4" w:space="0" w:color="auto"/>
              <w:bottom w:val="single" w:sz="4" w:space="0" w:color="auto"/>
              <w:right w:val="double" w:sz="4" w:space="0" w:color="auto"/>
            </w:tcBorders>
            <w:vAlign w:val="bottom"/>
          </w:tcPr>
          <w:p w14:paraId="13542C88" w14:textId="77777777" w:rsidR="00990E4C" w:rsidRPr="009178B4" w:rsidRDefault="00990E4C" w:rsidP="00E72E3B">
            <w:pPr>
              <w:pStyle w:val="tabteksts"/>
              <w:jc w:val="right"/>
              <w:rPr>
                <w:snapToGrid w:val="0"/>
              </w:rPr>
            </w:pPr>
            <w:r w:rsidRPr="009178B4">
              <w:rPr>
                <w:snapToGrid w:val="0"/>
              </w:rPr>
              <w:t>0,6</w:t>
            </w:r>
          </w:p>
        </w:tc>
      </w:tr>
      <w:tr w:rsidR="00990E4C" w:rsidRPr="007A44FD" w14:paraId="2D317C07" w14:textId="77777777" w:rsidTr="00990E4C">
        <w:trPr>
          <w:cantSplit/>
        </w:trPr>
        <w:tc>
          <w:tcPr>
            <w:tcW w:w="3544" w:type="dxa"/>
            <w:gridSpan w:val="2"/>
            <w:tcBorders>
              <w:top w:val="single" w:sz="4" w:space="0" w:color="auto"/>
              <w:left w:val="double" w:sz="4" w:space="0" w:color="auto"/>
              <w:bottom w:val="double" w:sz="4" w:space="0" w:color="auto"/>
              <w:right w:val="single" w:sz="4" w:space="0" w:color="auto"/>
            </w:tcBorders>
          </w:tcPr>
          <w:p w14:paraId="03700EC7" w14:textId="77777777" w:rsidR="00990E4C" w:rsidRPr="009178B4" w:rsidRDefault="00990E4C" w:rsidP="00E72E3B">
            <w:pPr>
              <w:pStyle w:val="tabteksts"/>
              <w:rPr>
                <w:snapToGrid w:val="0"/>
              </w:rPr>
            </w:pPr>
            <w:r w:rsidRPr="009178B4">
              <w:rPr>
                <w:snapToGrid w:val="0"/>
              </w:rPr>
              <w:t xml:space="preserve">11. Vienreizējie un citi pagaidu pasākumi </w:t>
            </w:r>
          </w:p>
        </w:tc>
        <w:tc>
          <w:tcPr>
            <w:tcW w:w="1134" w:type="dxa"/>
            <w:tcBorders>
              <w:top w:val="single" w:sz="4" w:space="0" w:color="auto"/>
              <w:left w:val="single" w:sz="4" w:space="0" w:color="auto"/>
              <w:bottom w:val="double" w:sz="4" w:space="0" w:color="auto"/>
              <w:right w:val="double" w:sz="4" w:space="0" w:color="auto"/>
            </w:tcBorders>
            <w:vAlign w:val="bottom"/>
          </w:tcPr>
          <w:p w14:paraId="7CF3AD00" w14:textId="77777777" w:rsidR="00990E4C" w:rsidRPr="009178B4" w:rsidRDefault="00990E4C" w:rsidP="00E72E3B">
            <w:pPr>
              <w:pStyle w:val="tabteksts"/>
            </w:pPr>
          </w:p>
        </w:tc>
        <w:tc>
          <w:tcPr>
            <w:tcW w:w="992" w:type="dxa"/>
            <w:tcBorders>
              <w:top w:val="single" w:sz="4" w:space="0" w:color="auto"/>
              <w:left w:val="double" w:sz="4" w:space="0" w:color="auto"/>
              <w:bottom w:val="double" w:sz="4" w:space="0" w:color="auto"/>
              <w:right w:val="single" w:sz="4" w:space="0" w:color="auto"/>
            </w:tcBorders>
            <w:vAlign w:val="bottom"/>
          </w:tcPr>
          <w:p w14:paraId="2B40C87F" w14:textId="77777777" w:rsidR="00990E4C" w:rsidRPr="009178B4" w:rsidRDefault="00990E4C" w:rsidP="00E72E3B">
            <w:pPr>
              <w:pStyle w:val="tabteksts"/>
              <w:jc w:val="right"/>
              <w:rPr>
                <w:snapToGrid w:val="0"/>
              </w:rPr>
            </w:pPr>
            <w:r w:rsidRPr="009178B4">
              <w:rPr>
                <w:snapToGrid w:val="0"/>
              </w:rPr>
              <w:t>81,3</w:t>
            </w:r>
          </w:p>
        </w:tc>
        <w:tc>
          <w:tcPr>
            <w:tcW w:w="709" w:type="dxa"/>
            <w:tcBorders>
              <w:top w:val="single" w:sz="4" w:space="0" w:color="auto"/>
              <w:left w:val="nil"/>
              <w:bottom w:val="double" w:sz="4" w:space="0" w:color="auto"/>
              <w:right w:val="single" w:sz="4" w:space="0" w:color="auto"/>
            </w:tcBorders>
            <w:vAlign w:val="bottom"/>
          </w:tcPr>
          <w:p w14:paraId="6F586E66" w14:textId="77777777" w:rsidR="00990E4C" w:rsidRPr="009178B4" w:rsidRDefault="00990E4C" w:rsidP="00E72E3B">
            <w:pPr>
              <w:pStyle w:val="tabteksts"/>
              <w:jc w:val="right"/>
              <w:rPr>
                <w:snapToGrid w:val="0"/>
              </w:rPr>
            </w:pPr>
            <w:r w:rsidRPr="009178B4">
              <w:rPr>
                <w:snapToGrid w:val="0"/>
              </w:rPr>
              <w:t>0,5</w:t>
            </w:r>
          </w:p>
        </w:tc>
        <w:tc>
          <w:tcPr>
            <w:tcW w:w="709" w:type="dxa"/>
            <w:tcBorders>
              <w:top w:val="single" w:sz="4" w:space="0" w:color="auto"/>
              <w:left w:val="nil"/>
              <w:bottom w:val="double" w:sz="4" w:space="0" w:color="auto"/>
              <w:right w:val="single" w:sz="4" w:space="0" w:color="auto"/>
            </w:tcBorders>
            <w:vAlign w:val="bottom"/>
          </w:tcPr>
          <w:p w14:paraId="2E903D16" w14:textId="77777777" w:rsidR="00990E4C" w:rsidRPr="009178B4" w:rsidRDefault="00990E4C" w:rsidP="00E72E3B">
            <w:pPr>
              <w:pStyle w:val="tabteksts"/>
              <w:jc w:val="right"/>
              <w:rPr>
                <w:snapToGrid w:val="0"/>
              </w:rPr>
            </w:pPr>
            <w:r w:rsidRPr="009178B4">
              <w:rPr>
                <w:snapToGrid w:val="0"/>
              </w:rPr>
              <w:t>0,0</w:t>
            </w:r>
          </w:p>
        </w:tc>
        <w:tc>
          <w:tcPr>
            <w:tcW w:w="709" w:type="dxa"/>
            <w:tcBorders>
              <w:top w:val="single" w:sz="4" w:space="0" w:color="auto"/>
              <w:left w:val="nil"/>
              <w:bottom w:val="double" w:sz="4" w:space="0" w:color="auto"/>
              <w:right w:val="single" w:sz="4" w:space="0" w:color="auto"/>
            </w:tcBorders>
            <w:vAlign w:val="bottom"/>
          </w:tcPr>
          <w:p w14:paraId="6E843C8C" w14:textId="77777777" w:rsidR="00990E4C" w:rsidRPr="009178B4" w:rsidRDefault="00990E4C" w:rsidP="00E72E3B">
            <w:pPr>
              <w:pStyle w:val="tabteksts"/>
              <w:jc w:val="right"/>
              <w:rPr>
                <w:snapToGrid w:val="0"/>
              </w:rPr>
            </w:pPr>
            <w:r w:rsidRPr="009178B4">
              <w:rPr>
                <w:snapToGrid w:val="0"/>
              </w:rPr>
              <w:t>0,0</w:t>
            </w:r>
          </w:p>
        </w:tc>
        <w:tc>
          <w:tcPr>
            <w:tcW w:w="708" w:type="dxa"/>
            <w:tcBorders>
              <w:top w:val="single" w:sz="4" w:space="0" w:color="auto"/>
              <w:left w:val="nil"/>
              <w:bottom w:val="double" w:sz="4" w:space="0" w:color="auto"/>
              <w:right w:val="single" w:sz="4" w:space="0" w:color="auto"/>
            </w:tcBorders>
            <w:vAlign w:val="bottom"/>
          </w:tcPr>
          <w:p w14:paraId="6213B29B" w14:textId="77777777" w:rsidR="00990E4C" w:rsidRPr="009178B4" w:rsidRDefault="00990E4C" w:rsidP="00E72E3B">
            <w:pPr>
              <w:pStyle w:val="tabteksts"/>
              <w:jc w:val="right"/>
              <w:rPr>
                <w:snapToGrid w:val="0"/>
              </w:rPr>
            </w:pPr>
            <w:r w:rsidRPr="009178B4">
              <w:rPr>
                <w:snapToGrid w:val="0"/>
              </w:rPr>
              <w:t>0,0</w:t>
            </w:r>
          </w:p>
        </w:tc>
        <w:tc>
          <w:tcPr>
            <w:tcW w:w="567" w:type="dxa"/>
            <w:tcBorders>
              <w:top w:val="single" w:sz="4" w:space="0" w:color="auto"/>
              <w:left w:val="single" w:sz="4" w:space="0" w:color="auto"/>
              <w:bottom w:val="double" w:sz="4" w:space="0" w:color="auto"/>
              <w:right w:val="double" w:sz="4" w:space="0" w:color="auto"/>
            </w:tcBorders>
            <w:vAlign w:val="bottom"/>
          </w:tcPr>
          <w:p w14:paraId="28B7C5F1" w14:textId="77777777" w:rsidR="00990E4C" w:rsidRPr="009178B4" w:rsidRDefault="00990E4C" w:rsidP="00E72E3B">
            <w:pPr>
              <w:pStyle w:val="tabteksts"/>
              <w:jc w:val="right"/>
              <w:rPr>
                <w:snapToGrid w:val="0"/>
              </w:rPr>
            </w:pPr>
            <w:r w:rsidRPr="009178B4">
              <w:rPr>
                <w:snapToGrid w:val="0"/>
              </w:rPr>
              <w:t>0,0</w:t>
            </w:r>
          </w:p>
        </w:tc>
      </w:tr>
      <w:tr w:rsidR="00990E4C" w:rsidRPr="007A44FD" w14:paraId="64EF5418" w14:textId="77777777" w:rsidTr="00990E4C">
        <w:trPr>
          <w:cantSplit/>
        </w:trPr>
        <w:tc>
          <w:tcPr>
            <w:tcW w:w="608" w:type="dxa"/>
            <w:tcBorders>
              <w:top w:val="double" w:sz="4" w:space="0" w:color="auto"/>
              <w:left w:val="double" w:sz="4" w:space="0" w:color="auto"/>
              <w:bottom w:val="single" w:sz="4" w:space="0" w:color="auto"/>
            </w:tcBorders>
          </w:tcPr>
          <w:p w14:paraId="5E6FEB56" w14:textId="77777777" w:rsidR="00990E4C" w:rsidRPr="009178B4" w:rsidRDefault="00990E4C" w:rsidP="00E72E3B">
            <w:pPr>
              <w:pStyle w:val="tabteksts"/>
              <w:jc w:val="center"/>
              <w:rPr>
                <w:b/>
                <w:snapToGrid w:val="0"/>
              </w:rPr>
            </w:pPr>
          </w:p>
        </w:tc>
        <w:tc>
          <w:tcPr>
            <w:tcW w:w="8464" w:type="dxa"/>
            <w:gridSpan w:val="8"/>
            <w:tcBorders>
              <w:top w:val="double" w:sz="4" w:space="0" w:color="auto"/>
              <w:bottom w:val="single" w:sz="4" w:space="0" w:color="auto"/>
              <w:right w:val="double" w:sz="4" w:space="0" w:color="auto"/>
            </w:tcBorders>
            <w:vAlign w:val="bottom"/>
          </w:tcPr>
          <w:p w14:paraId="06A4376F" w14:textId="77777777" w:rsidR="00990E4C" w:rsidRPr="009178B4" w:rsidRDefault="00990E4C" w:rsidP="00E72E3B">
            <w:pPr>
              <w:pStyle w:val="tabteksts"/>
              <w:jc w:val="center"/>
              <w:rPr>
                <w:b/>
                <w:snapToGrid w:val="0"/>
              </w:rPr>
            </w:pPr>
            <w:r w:rsidRPr="009178B4">
              <w:rPr>
                <w:b/>
                <w:snapToGrid w:val="0"/>
              </w:rPr>
              <w:t>Ieņēmumu sadaļas</w:t>
            </w:r>
          </w:p>
        </w:tc>
      </w:tr>
      <w:tr w:rsidR="00990E4C" w:rsidRPr="007A44FD" w14:paraId="782CD9C8" w14:textId="77777777" w:rsidTr="00990E4C">
        <w:trPr>
          <w:cantSplit/>
          <w:trHeight w:val="189"/>
        </w:trPr>
        <w:tc>
          <w:tcPr>
            <w:tcW w:w="3544" w:type="dxa"/>
            <w:gridSpan w:val="2"/>
            <w:tcBorders>
              <w:top w:val="single" w:sz="4" w:space="0" w:color="auto"/>
              <w:left w:val="double" w:sz="4" w:space="0" w:color="auto"/>
              <w:bottom w:val="single" w:sz="4" w:space="0" w:color="auto"/>
              <w:right w:val="single" w:sz="4" w:space="0" w:color="auto"/>
            </w:tcBorders>
          </w:tcPr>
          <w:p w14:paraId="4C7A1474" w14:textId="77777777" w:rsidR="00990E4C" w:rsidRPr="009178B4" w:rsidRDefault="00990E4C" w:rsidP="00E72E3B">
            <w:pPr>
              <w:pStyle w:val="tabteksts"/>
              <w:rPr>
                <w:snapToGrid w:val="0"/>
              </w:rPr>
            </w:pPr>
            <w:r w:rsidRPr="009178B4">
              <w:rPr>
                <w:snapToGrid w:val="0"/>
              </w:rPr>
              <w:t>12. Nodokļi kopā (12=12a+12b</w:t>
            </w:r>
            <w:r w:rsidR="004B05F4">
              <w:rPr>
                <w:snapToGrid w:val="0"/>
              </w:rPr>
              <w:t>+12c</w:t>
            </w:r>
            <w:r w:rsidRPr="009178B4">
              <w:rPr>
                <w:snapToGrid w:val="0"/>
              </w:rPr>
              <w:t>)</w:t>
            </w:r>
          </w:p>
        </w:tc>
        <w:tc>
          <w:tcPr>
            <w:tcW w:w="1134" w:type="dxa"/>
            <w:tcBorders>
              <w:top w:val="single" w:sz="4" w:space="0" w:color="auto"/>
              <w:left w:val="single" w:sz="4" w:space="0" w:color="auto"/>
              <w:bottom w:val="single" w:sz="4" w:space="0" w:color="auto"/>
              <w:right w:val="double" w:sz="4" w:space="0" w:color="auto"/>
            </w:tcBorders>
            <w:vAlign w:val="bottom"/>
          </w:tcPr>
          <w:p w14:paraId="026F8A06" w14:textId="77777777" w:rsidR="00990E4C" w:rsidRPr="009178B4" w:rsidRDefault="00990E4C" w:rsidP="00E72E3B">
            <w:pPr>
              <w:pStyle w:val="tabteksts"/>
            </w:pPr>
          </w:p>
        </w:tc>
        <w:tc>
          <w:tcPr>
            <w:tcW w:w="992" w:type="dxa"/>
            <w:tcBorders>
              <w:top w:val="single" w:sz="4" w:space="0" w:color="auto"/>
              <w:left w:val="double" w:sz="4" w:space="0" w:color="auto"/>
              <w:bottom w:val="single" w:sz="4" w:space="0" w:color="auto"/>
              <w:right w:val="single" w:sz="4" w:space="0" w:color="auto"/>
            </w:tcBorders>
            <w:vAlign w:val="bottom"/>
          </w:tcPr>
          <w:p w14:paraId="0C0EC087" w14:textId="77777777" w:rsidR="00990E4C" w:rsidRPr="009178B4" w:rsidRDefault="00990E4C" w:rsidP="00E72E3B">
            <w:pPr>
              <w:pStyle w:val="tabteksts"/>
              <w:jc w:val="right"/>
              <w:rPr>
                <w:snapToGrid w:val="0"/>
              </w:rPr>
            </w:pPr>
            <w:r w:rsidRPr="00561773">
              <w:rPr>
                <w:snapToGrid w:val="0"/>
              </w:rPr>
              <w:t>2</w:t>
            </w:r>
            <w:r>
              <w:rPr>
                <w:snapToGrid w:val="0"/>
              </w:rPr>
              <w:t> 987,1</w:t>
            </w:r>
          </w:p>
        </w:tc>
        <w:tc>
          <w:tcPr>
            <w:tcW w:w="709" w:type="dxa"/>
            <w:tcBorders>
              <w:top w:val="single" w:sz="4" w:space="0" w:color="auto"/>
              <w:left w:val="nil"/>
              <w:bottom w:val="single" w:sz="4" w:space="0" w:color="auto"/>
              <w:right w:val="single" w:sz="4" w:space="0" w:color="auto"/>
            </w:tcBorders>
            <w:vAlign w:val="bottom"/>
          </w:tcPr>
          <w:p w14:paraId="2CFCC54D" w14:textId="77777777" w:rsidR="00990E4C" w:rsidRPr="009178B4" w:rsidRDefault="00990E4C" w:rsidP="00E72E3B">
            <w:pPr>
              <w:pStyle w:val="tabteksts"/>
              <w:jc w:val="right"/>
              <w:rPr>
                <w:snapToGrid w:val="0"/>
              </w:rPr>
            </w:pPr>
            <w:r w:rsidRPr="009178B4">
              <w:rPr>
                <w:snapToGrid w:val="0"/>
              </w:rPr>
              <w:t>19,</w:t>
            </w:r>
            <w:r>
              <w:rPr>
                <w:snapToGrid w:val="0"/>
              </w:rPr>
              <w:t>2</w:t>
            </w:r>
          </w:p>
        </w:tc>
        <w:tc>
          <w:tcPr>
            <w:tcW w:w="709" w:type="dxa"/>
            <w:tcBorders>
              <w:top w:val="single" w:sz="4" w:space="0" w:color="auto"/>
              <w:left w:val="nil"/>
              <w:bottom w:val="single" w:sz="4" w:space="0" w:color="auto"/>
              <w:right w:val="single" w:sz="4" w:space="0" w:color="auto"/>
            </w:tcBorders>
            <w:vAlign w:val="bottom"/>
          </w:tcPr>
          <w:p w14:paraId="7829E5AA" w14:textId="77777777" w:rsidR="00990E4C" w:rsidRPr="009178B4" w:rsidRDefault="00990E4C" w:rsidP="00E72E3B">
            <w:pPr>
              <w:pStyle w:val="tabteksts"/>
              <w:jc w:val="right"/>
              <w:rPr>
                <w:snapToGrid w:val="0"/>
              </w:rPr>
            </w:pPr>
            <w:r w:rsidRPr="009178B4">
              <w:rPr>
                <w:snapToGrid w:val="0"/>
              </w:rPr>
              <w:t>18,9</w:t>
            </w:r>
          </w:p>
        </w:tc>
        <w:tc>
          <w:tcPr>
            <w:tcW w:w="709" w:type="dxa"/>
            <w:tcBorders>
              <w:top w:val="single" w:sz="4" w:space="0" w:color="auto"/>
              <w:left w:val="nil"/>
              <w:bottom w:val="single" w:sz="4" w:space="0" w:color="auto"/>
              <w:right w:val="single" w:sz="4" w:space="0" w:color="auto"/>
            </w:tcBorders>
            <w:vAlign w:val="bottom"/>
          </w:tcPr>
          <w:p w14:paraId="7A5C9F61" w14:textId="77777777" w:rsidR="00990E4C" w:rsidRPr="009178B4" w:rsidRDefault="00990E4C" w:rsidP="00E72E3B">
            <w:pPr>
              <w:pStyle w:val="tabteksts"/>
              <w:jc w:val="right"/>
              <w:rPr>
                <w:snapToGrid w:val="0"/>
              </w:rPr>
            </w:pPr>
            <w:r w:rsidRPr="009178B4">
              <w:rPr>
                <w:snapToGrid w:val="0"/>
              </w:rPr>
              <w:t>18,3</w:t>
            </w:r>
          </w:p>
        </w:tc>
        <w:tc>
          <w:tcPr>
            <w:tcW w:w="708" w:type="dxa"/>
            <w:tcBorders>
              <w:top w:val="single" w:sz="4" w:space="0" w:color="auto"/>
              <w:left w:val="nil"/>
              <w:bottom w:val="single" w:sz="4" w:space="0" w:color="auto"/>
              <w:right w:val="single" w:sz="4" w:space="0" w:color="auto"/>
            </w:tcBorders>
            <w:vAlign w:val="bottom"/>
          </w:tcPr>
          <w:p w14:paraId="4E5B5522" w14:textId="77777777" w:rsidR="00990E4C" w:rsidRPr="009178B4" w:rsidRDefault="00990E4C" w:rsidP="00E72E3B">
            <w:pPr>
              <w:pStyle w:val="tabteksts"/>
              <w:jc w:val="right"/>
              <w:rPr>
                <w:snapToGrid w:val="0"/>
              </w:rPr>
            </w:pPr>
            <w:r w:rsidRPr="009178B4">
              <w:rPr>
                <w:snapToGrid w:val="0"/>
              </w:rPr>
              <w:t>17,7</w:t>
            </w:r>
          </w:p>
        </w:tc>
        <w:tc>
          <w:tcPr>
            <w:tcW w:w="567" w:type="dxa"/>
            <w:tcBorders>
              <w:top w:val="single" w:sz="4" w:space="0" w:color="auto"/>
              <w:left w:val="single" w:sz="4" w:space="0" w:color="auto"/>
              <w:bottom w:val="single" w:sz="4" w:space="0" w:color="auto"/>
              <w:right w:val="double" w:sz="4" w:space="0" w:color="auto"/>
            </w:tcBorders>
            <w:vAlign w:val="bottom"/>
          </w:tcPr>
          <w:p w14:paraId="20DDCDCC" w14:textId="77777777" w:rsidR="00990E4C" w:rsidRPr="009178B4" w:rsidRDefault="00990E4C" w:rsidP="00E72E3B">
            <w:pPr>
              <w:pStyle w:val="tabteksts"/>
              <w:jc w:val="right"/>
              <w:rPr>
                <w:snapToGrid w:val="0"/>
              </w:rPr>
            </w:pPr>
            <w:r w:rsidRPr="009178B4">
              <w:rPr>
                <w:snapToGrid w:val="0"/>
              </w:rPr>
              <w:t>17,4</w:t>
            </w:r>
          </w:p>
        </w:tc>
      </w:tr>
      <w:tr w:rsidR="00990E4C" w:rsidRPr="007A44FD" w14:paraId="12E1D193"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6BABC337" w14:textId="77777777" w:rsidR="00990E4C" w:rsidRPr="009178B4" w:rsidRDefault="00990E4C" w:rsidP="00E72E3B">
            <w:pPr>
              <w:pStyle w:val="tabteksts"/>
              <w:rPr>
                <w:snapToGrid w:val="0"/>
              </w:rPr>
            </w:pPr>
            <w:r w:rsidRPr="009178B4">
              <w:rPr>
                <w:snapToGrid w:val="0"/>
              </w:rPr>
              <w:t>12a. Ražošanas un importa nodokļi</w:t>
            </w:r>
          </w:p>
        </w:tc>
        <w:tc>
          <w:tcPr>
            <w:tcW w:w="1134" w:type="dxa"/>
            <w:tcBorders>
              <w:top w:val="single" w:sz="4" w:space="0" w:color="auto"/>
              <w:left w:val="single" w:sz="4" w:space="0" w:color="auto"/>
              <w:bottom w:val="single" w:sz="4" w:space="0" w:color="auto"/>
              <w:right w:val="double" w:sz="4" w:space="0" w:color="auto"/>
            </w:tcBorders>
            <w:vAlign w:val="bottom"/>
          </w:tcPr>
          <w:p w14:paraId="376D1509" w14:textId="77777777" w:rsidR="00990E4C" w:rsidRPr="009178B4" w:rsidRDefault="00990E4C" w:rsidP="00E72E3B">
            <w:pPr>
              <w:pStyle w:val="tabteksts"/>
            </w:pPr>
            <w:r w:rsidRPr="009178B4">
              <w:t>D.2</w:t>
            </w:r>
          </w:p>
        </w:tc>
        <w:tc>
          <w:tcPr>
            <w:tcW w:w="992" w:type="dxa"/>
            <w:tcBorders>
              <w:top w:val="single" w:sz="4" w:space="0" w:color="auto"/>
              <w:left w:val="double" w:sz="4" w:space="0" w:color="auto"/>
              <w:bottom w:val="single" w:sz="4" w:space="0" w:color="auto"/>
              <w:right w:val="single" w:sz="4" w:space="0" w:color="auto"/>
            </w:tcBorders>
            <w:vAlign w:val="bottom"/>
          </w:tcPr>
          <w:p w14:paraId="6ECCBE14" w14:textId="77777777" w:rsidR="00990E4C" w:rsidRPr="009178B4" w:rsidRDefault="00990E4C" w:rsidP="00E72E3B">
            <w:pPr>
              <w:pStyle w:val="tabteksts"/>
              <w:jc w:val="right"/>
              <w:rPr>
                <w:snapToGrid w:val="0"/>
              </w:rPr>
            </w:pPr>
            <w:r>
              <w:rPr>
                <w:snapToGrid w:val="0"/>
              </w:rPr>
              <w:t>1 792,7</w:t>
            </w:r>
          </w:p>
        </w:tc>
        <w:tc>
          <w:tcPr>
            <w:tcW w:w="709" w:type="dxa"/>
            <w:tcBorders>
              <w:top w:val="single" w:sz="4" w:space="0" w:color="auto"/>
              <w:left w:val="nil"/>
              <w:bottom w:val="single" w:sz="4" w:space="0" w:color="auto"/>
              <w:right w:val="single" w:sz="4" w:space="0" w:color="auto"/>
            </w:tcBorders>
            <w:vAlign w:val="bottom"/>
          </w:tcPr>
          <w:p w14:paraId="3FA4EDDE" w14:textId="77777777" w:rsidR="00990E4C" w:rsidRPr="009178B4" w:rsidRDefault="00990E4C" w:rsidP="00E72E3B">
            <w:pPr>
              <w:pStyle w:val="tabteksts"/>
              <w:jc w:val="right"/>
              <w:rPr>
                <w:snapToGrid w:val="0"/>
              </w:rPr>
            </w:pPr>
            <w:r w:rsidRPr="009178B4">
              <w:rPr>
                <w:snapToGrid w:val="0"/>
              </w:rPr>
              <w:t>11,6</w:t>
            </w:r>
          </w:p>
        </w:tc>
        <w:tc>
          <w:tcPr>
            <w:tcW w:w="709" w:type="dxa"/>
            <w:tcBorders>
              <w:top w:val="single" w:sz="4" w:space="0" w:color="auto"/>
              <w:left w:val="nil"/>
              <w:bottom w:val="single" w:sz="4" w:space="0" w:color="auto"/>
              <w:right w:val="single" w:sz="4" w:space="0" w:color="auto"/>
            </w:tcBorders>
            <w:vAlign w:val="bottom"/>
          </w:tcPr>
          <w:p w14:paraId="35462701" w14:textId="77777777" w:rsidR="00990E4C" w:rsidRPr="009178B4" w:rsidRDefault="00990E4C" w:rsidP="00E72E3B">
            <w:pPr>
              <w:pStyle w:val="tabteksts"/>
              <w:jc w:val="right"/>
              <w:rPr>
                <w:snapToGrid w:val="0"/>
              </w:rPr>
            </w:pPr>
            <w:r w:rsidRPr="009178B4">
              <w:rPr>
                <w:snapToGrid w:val="0"/>
              </w:rPr>
              <w:t>11,4</w:t>
            </w:r>
          </w:p>
        </w:tc>
        <w:tc>
          <w:tcPr>
            <w:tcW w:w="709" w:type="dxa"/>
            <w:tcBorders>
              <w:top w:val="single" w:sz="4" w:space="0" w:color="auto"/>
              <w:left w:val="nil"/>
              <w:bottom w:val="single" w:sz="4" w:space="0" w:color="auto"/>
              <w:right w:val="single" w:sz="4" w:space="0" w:color="auto"/>
            </w:tcBorders>
            <w:vAlign w:val="bottom"/>
          </w:tcPr>
          <w:p w14:paraId="5F532488" w14:textId="77777777" w:rsidR="00990E4C" w:rsidRPr="009178B4" w:rsidRDefault="00990E4C" w:rsidP="00E72E3B">
            <w:pPr>
              <w:pStyle w:val="tabteksts"/>
              <w:jc w:val="right"/>
              <w:rPr>
                <w:snapToGrid w:val="0"/>
              </w:rPr>
            </w:pPr>
            <w:r w:rsidRPr="009178B4">
              <w:rPr>
                <w:snapToGrid w:val="0"/>
              </w:rPr>
              <w:t>11,2</w:t>
            </w:r>
          </w:p>
        </w:tc>
        <w:tc>
          <w:tcPr>
            <w:tcW w:w="708" w:type="dxa"/>
            <w:tcBorders>
              <w:top w:val="single" w:sz="4" w:space="0" w:color="auto"/>
              <w:left w:val="nil"/>
              <w:bottom w:val="single" w:sz="4" w:space="0" w:color="auto"/>
              <w:right w:val="single" w:sz="4" w:space="0" w:color="auto"/>
            </w:tcBorders>
            <w:vAlign w:val="bottom"/>
          </w:tcPr>
          <w:p w14:paraId="13AD6713" w14:textId="77777777" w:rsidR="00990E4C" w:rsidRPr="009178B4" w:rsidRDefault="00990E4C" w:rsidP="00E72E3B">
            <w:pPr>
              <w:pStyle w:val="tabteksts"/>
              <w:jc w:val="right"/>
              <w:rPr>
                <w:snapToGrid w:val="0"/>
              </w:rPr>
            </w:pPr>
            <w:r w:rsidRPr="009178B4">
              <w:rPr>
                <w:snapToGrid w:val="0"/>
              </w:rPr>
              <w:t>11,0</w:t>
            </w:r>
          </w:p>
        </w:tc>
        <w:tc>
          <w:tcPr>
            <w:tcW w:w="567" w:type="dxa"/>
            <w:tcBorders>
              <w:top w:val="single" w:sz="4" w:space="0" w:color="auto"/>
              <w:left w:val="single" w:sz="4" w:space="0" w:color="auto"/>
              <w:bottom w:val="single" w:sz="4" w:space="0" w:color="auto"/>
              <w:right w:val="double" w:sz="4" w:space="0" w:color="auto"/>
            </w:tcBorders>
            <w:vAlign w:val="bottom"/>
          </w:tcPr>
          <w:p w14:paraId="7E580C6E" w14:textId="77777777" w:rsidR="00990E4C" w:rsidRPr="009178B4" w:rsidRDefault="00990E4C" w:rsidP="00E72E3B">
            <w:pPr>
              <w:pStyle w:val="tabteksts"/>
              <w:jc w:val="right"/>
              <w:rPr>
                <w:snapToGrid w:val="0"/>
              </w:rPr>
            </w:pPr>
            <w:r w:rsidRPr="009178B4">
              <w:rPr>
                <w:snapToGrid w:val="0"/>
              </w:rPr>
              <w:t>10,8</w:t>
            </w:r>
          </w:p>
        </w:tc>
      </w:tr>
      <w:tr w:rsidR="00990E4C" w:rsidRPr="007A44FD" w14:paraId="7D03ED73"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7C31A062" w14:textId="77777777" w:rsidR="00990E4C" w:rsidRPr="009178B4" w:rsidRDefault="00990E4C" w:rsidP="00E72E3B">
            <w:pPr>
              <w:pStyle w:val="tabteksts"/>
              <w:rPr>
                <w:snapToGrid w:val="0"/>
              </w:rPr>
            </w:pPr>
            <w:r w:rsidRPr="009178B4">
              <w:rPr>
                <w:snapToGrid w:val="0"/>
              </w:rPr>
              <w:t>12b. Ienākuma un mantas kārtējie nodokļi</w:t>
            </w:r>
          </w:p>
        </w:tc>
        <w:tc>
          <w:tcPr>
            <w:tcW w:w="1134" w:type="dxa"/>
            <w:tcBorders>
              <w:top w:val="single" w:sz="4" w:space="0" w:color="auto"/>
              <w:left w:val="single" w:sz="4" w:space="0" w:color="auto"/>
              <w:bottom w:val="single" w:sz="4" w:space="0" w:color="auto"/>
              <w:right w:val="double" w:sz="4" w:space="0" w:color="auto"/>
            </w:tcBorders>
            <w:vAlign w:val="bottom"/>
          </w:tcPr>
          <w:p w14:paraId="16E2C158" w14:textId="77777777" w:rsidR="00990E4C" w:rsidRPr="009178B4" w:rsidRDefault="00990E4C" w:rsidP="00E72E3B">
            <w:pPr>
              <w:pStyle w:val="tabteksts"/>
            </w:pPr>
            <w:r w:rsidRPr="009178B4">
              <w:t>D.5</w:t>
            </w:r>
          </w:p>
        </w:tc>
        <w:tc>
          <w:tcPr>
            <w:tcW w:w="992" w:type="dxa"/>
            <w:tcBorders>
              <w:top w:val="single" w:sz="4" w:space="0" w:color="auto"/>
              <w:left w:val="double" w:sz="4" w:space="0" w:color="auto"/>
              <w:bottom w:val="single" w:sz="4" w:space="0" w:color="auto"/>
              <w:right w:val="single" w:sz="4" w:space="0" w:color="auto"/>
            </w:tcBorders>
            <w:vAlign w:val="bottom"/>
          </w:tcPr>
          <w:p w14:paraId="14201C9F" w14:textId="77777777" w:rsidR="00990E4C" w:rsidRPr="009178B4" w:rsidRDefault="00990E4C" w:rsidP="00E72E3B">
            <w:pPr>
              <w:pStyle w:val="tabteksts"/>
              <w:jc w:val="right"/>
              <w:rPr>
                <w:snapToGrid w:val="0"/>
              </w:rPr>
            </w:pPr>
            <w:r w:rsidRPr="009178B4">
              <w:rPr>
                <w:snapToGrid w:val="0"/>
              </w:rPr>
              <w:t>1 192,9</w:t>
            </w:r>
          </w:p>
        </w:tc>
        <w:tc>
          <w:tcPr>
            <w:tcW w:w="709" w:type="dxa"/>
            <w:tcBorders>
              <w:top w:val="single" w:sz="4" w:space="0" w:color="auto"/>
              <w:left w:val="nil"/>
              <w:bottom w:val="single" w:sz="4" w:space="0" w:color="auto"/>
              <w:right w:val="single" w:sz="4" w:space="0" w:color="auto"/>
            </w:tcBorders>
            <w:vAlign w:val="bottom"/>
          </w:tcPr>
          <w:p w14:paraId="2EF6B676" w14:textId="77777777" w:rsidR="00990E4C" w:rsidRPr="009178B4" w:rsidRDefault="00990E4C" w:rsidP="00E72E3B">
            <w:pPr>
              <w:pStyle w:val="tabteksts"/>
              <w:jc w:val="right"/>
              <w:rPr>
                <w:snapToGrid w:val="0"/>
              </w:rPr>
            </w:pPr>
            <w:r w:rsidRPr="009178B4">
              <w:rPr>
                <w:snapToGrid w:val="0"/>
              </w:rPr>
              <w:t>7,7</w:t>
            </w:r>
          </w:p>
        </w:tc>
        <w:tc>
          <w:tcPr>
            <w:tcW w:w="709" w:type="dxa"/>
            <w:tcBorders>
              <w:top w:val="single" w:sz="4" w:space="0" w:color="auto"/>
              <w:left w:val="nil"/>
              <w:bottom w:val="single" w:sz="4" w:space="0" w:color="auto"/>
              <w:right w:val="single" w:sz="4" w:space="0" w:color="auto"/>
            </w:tcBorders>
            <w:vAlign w:val="bottom"/>
          </w:tcPr>
          <w:p w14:paraId="49C29745" w14:textId="77777777" w:rsidR="00990E4C" w:rsidRPr="009178B4" w:rsidRDefault="00990E4C" w:rsidP="00E72E3B">
            <w:pPr>
              <w:pStyle w:val="tabteksts"/>
              <w:jc w:val="right"/>
              <w:rPr>
                <w:snapToGrid w:val="0"/>
              </w:rPr>
            </w:pPr>
            <w:r w:rsidRPr="009178B4">
              <w:rPr>
                <w:snapToGrid w:val="0"/>
              </w:rPr>
              <w:t>7,6</w:t>
            </w:r>
          </w:p>
        </w:tc>
        <w:tc>
          <w:tcPr>
            <w:tcW w:w="709" w:type="dxa"/>
            <w:tcBorders>
              <w:top w:val="single" w:sz="4" w:space="0" w:color="auto"/>
              <w:left w:val="nil"/>
              <w:bottom w:val="single" w:sz="4" w:space="0" w:color="auto"/>
              <w:right w:val="single" w:sz="4" w:space="0" w:color="auto"/>
            </w:tcBorders>
            <w:vAlign w:val="bottom"/>
          </w:tcPr>
          <w:p w14:paraId="49321A11" w14:textId="77777777" w:rsidR="00990E4C" w:rsidRPr="009178B4" w:rsidRDefault="00990E4C" w:rsidP="00E72E3B">
            <w:pPr>
              <w:pStyle w:val="tabteksts"/>
              <w:jc w:val="right"/>
              <w:rPr>
                <w:snapToGrid w:val="0"/>
              </w:rPr>
            </w:pPr>
            <w:r w:rsidRPr="009178B4">
              <w:rPr>
                <w:snapToGrid w:val="0"/>
              </w:rPr>
              <w:t>7,1</w:t>
            </w:r>
          </w:p>
        </w:tc>
        <w:tc>
          <w:tcPr>
            <w:tcW w:w="708" w:type="dxa"/>
            <w:tcBorders>
              <w:top w:val="single" w:sz="4" w:space="0" w:color="auto"/>
              <w:left w:val="nil"/>
              <w:bottom w:val="single" w:sz="4" w:space="0" w:color="auto"/>
              <w:right w:val="single" w:sz="4" w:space="0" w:color="auto"/>
            </w:tcBorders>
            <w:vAlign w:val="bottom"/>
          </w:tcPr>
          <w:p w14:paraId="221EDC83" w14:textId="77777777" w:rsidR="00990E4C" w:rsidRPr="009178B4" w:rsidRDefault="00990E4C" w:rsidP="00E72E3B">
            <w:pPr>
              <w:pStyle w:val="tabteksts"/>
              <w:jc w:val="right"/>
              <w:rPr>
                <w:snapToGrid w:val="0"/>
              </w:rPr>
            </w:pPr>
            <w:r w:rsidRPr="009178B4">
              <w:rPr>
                <w:snapToGrid w:val="0"/>
              </w:rPr>
              <w:t>6,7</w:t>
            </w:r>
          </w:p>
        </w:tc>
        <w:tc>
          <w:tcPr>
            <w:tcW w:w="567" w:type="dxa"/>
            <w:tcBorders>
              <w:top w:val="single" w:sz="4" w:space="0" w:color="auto"/>
              <w:left w:val="single" w:sz="4" w:space="0" w:color="auto"/>
              <w:bottom w:val="single" w:sz="4" w:space="0" w:color="auto"/>
              <w:right w:val="double" w:sz="4" w:space="0" w:color="auto"/>
            </w:tcBorders>
            <w:vAlign w:val="bottom"/>
          </w:tcPr>
          <w:p w14:paraId="14FE5B5E" w14:textId="77777777" w:rsidR="00990E4C" w:rsidRPr="009178B4" w:rsidRDefault="00990E4C" w:rsidP="00E72E3B">
            <w:pPr>
              <w:pStyle w:val="tabteksts"/>
              <w:jc w:val="right"/>
              <w:rPr>
                <w:snapToGrid w:val="0"/>
              </w:rPr>
            </w:pPr>
            <w:r w:rsidRPr="009178B4">
              <w:rPr>
                <w:snapToGrid w:val="0"/>
              </w:rPr>
              <w:t>6,6</w:t>
            </w:r>
          </w:p>
        </w:tc>
      </w:tr>
      <w:tr w:rsidR="00990E4C" w:rsidRPr="007A44FD" w14:paraId="592E26F7"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1AB95FD9" w14:textId="77777777" w:rsidR="00990E4C" w:rsidRPr="009178B4" w:rsidRDefault="00990E4C" w:rsidP="00E72E3B">
            <w:pPr>
              <w:pStyle w:val="tabteksts"/>
              <w:rPr>
                <w:snapToGrid w:val="0"/>
              </w:rPr>
            </w:pPr>
            <w:r w:rsidRPr="009178B4">
              <w:rPr>
                <w:snapToGrid w:val="0"/>
              </w:rPr>
              <w:t>12c . Kapitāla nodokļi</w:t>
            </w:r>
          </w:p>
        </w:tc>
        <w:tc>
          <w:tcPr>
            <w:tcW w:w="1134" w:type="dxa"/>
            <w:tcBorders>
              <w:top w:val="single" w:sz="4" w:space="0" w:color="auto"/>
              <w:left w:val="single" w:sz="4" w:space="0" w:color="auto"/>
              <w:bottom w:val="single" w:sz="4" w:space="0" w:color="auto"/>
              <w:right w:val="double" w:sz="4" w:space="0" w:color="auto"/>
            </w:tcBorders>
            <w:vAlign w:val="bottom"/>
          </w:tcPr>
          <w:p w14:paraId="549EC01A" w14:textId="77777777" w:rsidR="00990E4C" w:rsidRPr="009178B4" w:rsidRDefault="00990E4C" w:rsidP="00E72E3B">
            <w:pPr>
              <w:pStyle w:val="tabteksts"/>
            </w:pPr>
            <w:r w:rsidRPr="009178B4">
              <w:t>D.91</w:t>
            </w:r>
          </w:p>
        </w:tc>
        <w:tc>
          <w:tcPr>
            <w:tcW w:w="992" w:type="dxa"/>
            <w:tcBorders>
              <w:top w:val="single" w:sz="4" w:space="0" w:color="auto"/>
              <w:left w:val="double" w:sz="4" w:space="0" w:color="auto"/>
              <w:bottom w:val="single" w:sz="4" w:space="0" w:color="auto"/>
              <w:right w:val="single" w:sz="4" w:space="0" w:color="auto"/>
            </w:tcBorders>
            <w:vAlign w:val="bottom"/>
          </w:tcPr>
          <w:p w14:paraId="693C8F18" w14:textId="77777777" w:rsidR="00990E4C" w:rsidRPr="009178B4" w:rsidRDefault="00990E4C" w:rsidP="00E72E3B">
            <w:pPr>
              <w:pStyle w:val="tabteksts"/>
              <w:jc w:val="right"/>
              <w:rPr>
                <w:snapToGrid w:val="0"/>
              </w:rPr>
            </w:pPr>
            <w:r w:rsidRPr="009178B4">
              <w:rPr>
                <w:snapToGrid w:val="0"/>
              </w:rPr>
              <w:t>1,5</w:t>
            </w:r>
          </w:p>
        </w:tc>
        <w:tc>
          <w:tcPr>
            <w:tcW w:w="709" w:type="dxa"/>
            <w:tcBorders>
              <w:top w:val="single" w:sz="4" w:space="0" w:color="auto"/>
              <w:left w:val="nil"/>
              <w:bottom w:val="single" w:sz="4" w:space="0" w:color="auto"/>
              <w:right w:val="single" w:sz="4" w:space="0" w:color="auto"/>
            </w:tcBorders>
            <w:vAlign w:val="bottom"/>
          </w:tcPr>
          <w:p w14:paraId="534A69E7" w14:textId="77777777" w:rsidR="00990E4C" w:rsidRPr="009178B4" w:rsidRDefault="00990E4C" w:rsidP="00E72E3B">
            <w:pPr>
              <w:pStyle w:val="tabteksts"/>
              <w:jc w:val="right"/>
              <w:rPr>
                <w:snapToGrid w:val="0"/>
              </w:rPr>
            </w:pPr>
            <w:r w:rsidRPr="009178B4">
              <w:rPr>
                <w:snapToGrid w:val="0"/>
              </w:rPr>
              <w:t>0,0</w:t>
            </w:r>
          </w:p>
        </w:tc>
        <w:tc>
          <w:tcPr>
            <w:tcW w:w="709" w:type="dxa"/>
            <w:tcBorders>
              <w:top w:val="single" w:sz="4" w:space="0" w:color="auto"/>
              <w:left w:val="nil"/>
              <w:bottom w:val="single" w:sz="4" w:space="0" w:color="auto"/>
              <w:right w:val="single" w:sz="4" w:space="0" w:color="auto"/>
            </w:tcBorders>
            <w:vAlign w:val="bottom"/>
          </w:tcPr>
          <w:p w14:paraId="68CDA91E" w14:textId="77777777" w:rsidR="00990E4C" w:rsidRPr="009178B4" w:rsidRDefault="00990E4C" w:rsidP="00E72E3B">
            <w:pPr>
              <w:pStyle w:val="tabteksts"/>
              <w:jc w:val="right"/>
              <w:rPr>
                <w:snapToGrid w:val="0"/>
              </w:rPr>
            </w:pPr>
            <w:r w:rsidRPr="009178B4">
              <w:rPr>
                <w:snapToGrid w:val="0"/>
              </w:rPr>
              <w:t>0,0</w:t>
            </w:r>
          </w:p>
        </w:tc>
        <w:tc>
          <w:tcPr>
            <w:tcW w:w="709" w:type="dxa"/>
            <w:tcBorders>
              <w:top w:val="single" w:sz="4" w:space="0" w:color="auto"/>
              <w:left w:val="nil"/>
              <w:bottom w:val="single" w:sz="4" w:space="0" w:color="auto"/>
              <w:right w:val="single" w:sz="4" w:space="0" w:color="auto"/>
            </w:tcBorders>
            <w:vAlign w:val="bottom"/>
          </w:tcPr>
          <w:p w14:paraId="34DDDAD0" w14:textId="77777777" w:rsidR="00990E4C" w:rsidRPr="009178B4" w:rsidRDefault="00990E4C" w:rsidP="00E72E3B">
            <w:pPr>
              <w:pStyle w:val="tabteksts"/>
              <w:jc w:val="right"/>
              <w:rPr>
                <w:snapToGrid w:val="0"/>
              </w:rPr>
            </w:pPr>
            <w:r w:rsidRPr="009178B4">
              <w:rPr>
                <w:snapToGrid w:val="0"/>
              </w:rPr>
              <w:t>0,0</w:t>
            </w:r>
          </w:p>
        </w:tc>
        <w:tc>
          <w:tcPr>
            <w:tcW w:w="708" w:type="dxa"/>
            <w:tcBorders>
              <w:top w:val="single" w:sz="4" w:space="0" w:color="auto"/>
              <w:left w:val="nil"/>
              <w:bottom w:val="single" w:sz="4" w:space="0" w:color="auto"/>
              <w:right w:val="single" w:sz="4" w:space="0" w:color="auto"/>
            </w:tcBorders>
            <w:vAlign w:val="bottom"/>
          </w:tcPr>
          <w:p w14:paraId="3E201B27" w14:textId="77777777" w:rsidR="00990E4C" w:rsidRPr="009178B4" w:rsidRDefault="00990E4C" w:rsidP="00E72E3B">
            <w:pPr>
              <w:pStyle w:val="tabteksts"/>
              <w:jc w:val="right"/>
              <w:rPr>
                <w:snapToGrid w:val="0"/>
              </w:rPr>
            </w:pPr>
            <w:r w:rsidRPr="009178B4">
              <w:rPr>
                <w:snapToGrid w:val="0"/>
              </w:rPr>
              <w:t>0,0</w:t>
            </w:r>
          </w:p>
        </w:tc>
        <w:tc>
          <w:tcPr>
            <w:tcW w:w="567" w:type="dxa"/>
            <w:tcBorders>
              <w:top w:val="single" w:sz="4" w:space="0" w:color="auto"/>
              <w:left w:val="single" w:sz="4" w:space="0" w:color="auto"/>
              <w:bottom w:val="single" w:sz="4" w:space="0" w:color="auto"/>
              <w:right w:val="double" w:sz="4" w:space="0" w:color="auto"/>
            </w:tcBorders>
            <w:vAlign w:val="bottom"/>
          </w:tcPr>
          <w:p w14:paraId="70BE8CD8" w14:textId="77777777" w:rsidR="00990E4C" w:rsidRPr="009178B4" w:rsidRDefault="00990E4C" w:rsidP="00E72E3B">
            <w:pPr>
              <w:pStyle w:val="tabteksts"/>
              <w:jc w:val="right"/>
              <w:rPr>
                <w:snapToGrid w:val="0"/>
              </w:rPr>
            </w:pPr>
            <w:r w:rsidRPr="009178B4">
              <w:rPr>
                <w:snapToGrid w:val="0"/>
              </w:rPr>
              <w:t>0,0</w:t>
            </w:r>
          </w:p>
        </w:tc>
      </w:tr>
      <w:tr w:rsidR="00990E4C" w:rsidRPr="007A44FD" w14:paraId="281C09A1"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5A99AC2B" w14:textId="77777777" w:rsidR="00990E4C" w:rsidRPr="009178B4" w:rsidRDefault="00990E4C" w:rsidP="00E72E3B">
            <w:pPr>
              <w:pStyle w:val="tabteksts"/>
              <w:rPr>
                <w:snapToGrid w:val="0"/>
              </w:rPr>
            </w:pPr>
            <w:r w:rsidRPr="009178B4">
              <w:rPr>
                <w:snapToGrid w:val="0"/>
              </w:rPr>
              <w:t xml:space="preserve">13. Sociālās iemaksas </w:t>
            </w:r>
          </w:p>
        </w:tc>
        <w:tc>
          <w:tcPr>
            <w:tcW w:w="1134" w:type="dxa"/>
            <w:tcBorders>
              <w:top w:val="single" w:sz="4" w:space="0" w:color="auto"/>
              <w:left w:val="single" w:sz="4" w:space="0" w:color="auto"/>
              <w:bottom w:val="single" w:sz="4" w:space="0" w:color="auto"/>
              <w:right w:val="double" w:sz="4" w:space="0" w:color="auto"/>
            </w:tcBorders>
            <w:vAlign w:val="bottom"/>
          </w:tcPr>
          <w:p w14:paraId="546ED0AD" w14:textId="77777777" w:rsidR="00990E4C" w:rsidRPr="009178B4" w:rsidRDefault="00990E4C" w:rsidP="00E72E3B">
            <w:pPr>
              <w:pStyle w:val="tabteksts"/>
            </w:pPr>
            <w:r w:rsidRPr="009178B4">
              <w:t>D.61</w:t>
            </w:r>
          </w:p>
        </w:tc>
        <w:tc>
          <w:tcPr>
            <w:tcW w:w="992" w:type="dxa"/>
            <w:tcBorders>
              <w:top w:val="single" w:sz="4" w:space="0" w:color="auto"/>
              <w:left w:val="double" w:sz="4" w:space="0" w:color="auto"/>
              <w:bottom w:val="single" w:sz="4" w:space="0" w:color="auto"/>
              <w:right w:val="single" w:sz="4" w:space="0" w:color="auto"/>
            </w:tcBorders>
            <w:vAlign w:val="bottom"/>
          </w:tcPr>
          <w:p w14:paraId="3A485BA2" w14:textId="77777777" w:rsidR="00990E4C" w:rsidRPr="009178B4" w:rsidRDefault="00990E4C" w:rsidP="00E72E3B">
            <w:pPr>
              <w:pStyle w:val="tabteksts"/>
              <w:jc w:val="right"/>
              <w:rPr>
                <w:snapToGrid w:val="0"/>
              </w:rPr>
            </w:pPr>
            <w:r>
              <w:rPr>
                <w:snapToGrid w:val="0"/>
              </w:rPr>
              <w:t>1 341,3</w:t>
            </w:r>
          </w:p>
        </w:tc>
        <w:tc>
          <w:tcPr>
            <w:tcW w:w="709" w:type="dxa"/>
            <w:tcBorders>
              <w:top w:val="single" w:sz="4" w:space="0" w:color="auto"/>
              <w:left w:val="nil"/>
              <w:bottom w:val="single" w:sz="4" w:space="0" w:color="auto"/>
              <w:right w:val="single" w:sz="4" w:space="0" w:color="auto"/>
            </w:tcBorders>
            <w:vAlign w:val="bottom"/>
          </w:tcPr>
          <w:p w14:paraId="04F02714" w14:textId="77777777" w:rsidR="00990E4C" w:rsidRPr="009178B4" w:rsidRDefault="00990E4C" w:rsidP="00E72E3B">
            <w:pPr>
              <w:pStyle w:val="tabteksts"/>
              <w:jc w:val="right"/>
              <w:rPr>
                <w:snapToGrid w:val="0"/>
              </w:rPr>
            </w:pPr>
            <w:r w:rsidRPr="009178B4">
              <w:rPr>
                <w:snapToGrid w:val="0"/>
              </w:rPr>
              <w:t>8,6</w:t>
            </w:r>
          </w:p>
        </w:tc>
        <w:tc>
          <w:tcPr>
            <w:tcW w:w="709" w:type="dxa"/>
            <w:tcBorders>
              <w:top w:val="single" w:sz="4" w:space="0" w:color="auto"/>
              <w:left w:val="nil"/>
              <w:bottom w:val="single" w:sz="4" w:space="0" w:color="auto"/>
              <w:right w:val="single" w:sz="4" w:space="0" w:color="auto"/>
            </w:tcBorders>
            <w:vAlign w:val="bottom"/>
          </w:tcPr>
          <w:p w14:paraId="0C17D9D9" w14:textId="77777777" w:rsidR="00990E4C" w:rsidRPr="009178B4" w:rsidRDefault="00990E4C" w:rsidP="00E72E3B">
            <w:pPr>
              <w:pStyle w:val="tabteksts"/>
              <w:jc w:val="right"/>
              <w:rPr>
                <w:snapToGrid w:val="0"/>
              </w:rPr>
            </w:pPr>
            <w:r w:rsidRPr="009178B4">
              <w:rPr>
                <w:snapToGrid w:val="0"/>
              </w:rPr>
              <w:t>8,</w:t>
            </w:r>
            <w:r>
              <w:rPr>
                <w:snapToGrid w:val="0"/>
              </w:rPr>
              <w:t>2</w:t>
            </w:r>
          </w:p>
        </w:tc>
        <w:tc>
          <w:tcPr>
            <w:tcW w:w="709" w:type="dxa"/>
            <w:tcBorders>
              <w:top w:val="single" w:sz="4" w:space="0" w:color="auto"/>
              <w:left w:val="nil"/>
              <w:bottom w:val="single" w:sz="4" w:space="0" w:color="auto"/>
              <w:right w:val="single" w:sz="4" w:space="0" w:color="auto"/>
            </w:tcBorders>
            <w:vAlign w:val="bottom"/>
          </w:tcPr>
          <w:p w14:paraId="0A0D1A6D" w14:textId="77777777" w:rsidR="00990E4C" w:rsidRPr="009178B4" w:rsidRDefault="00990E4C" w:rsidP="00E72E3B">
            <w:pPr>
              <w:pStyle w:val="tabteksts"/>
              <w:jc w:val="right"/>
              <w:rPr>
                <w:snapToGrid w:val="0"/>
              </w:rPr>
            </w:pPr>
            <w:r w:rsidRPr="009178B4">
              <w:rPr>
                <w:snapToGrid w:val="0"/>
              </w:rPr>
              <w:t>8,1</w:t>
            </w:r>
          </w:p>
        </w:tc>
        <w:tc>
          <w:tcPr>
            <w:tcW w:w="708" w:type="dxa"/>
            <w:tcBorders>
              <w:top w:val="single" w:sz="4" w:space="0" w:color="auto"/>
              <w:left w:val="nil"/>
              <w:bottom w:val="single" w:sz="4" w:space="0" w:color="auto"/>
              <w:right w:val="single" w:sz="4" w:space="0" w:color="auto"/>
            </w:tcBorders>
            <w:vAlign w:val="bottom"/>
          </w:tcPr>
          <w:p w14:paraId="33BB6ABD" w14:textId="77777777" w:rsidR="00990E4C" w:rsidRPr="009178B4" w:rsidRDefault="00990E4C" w:rsidP="00E72E3B">
            <w:pPr>
              <w:pStyle w:val="tabteksts"/>
              <w:jc w:val="right"/>
              <w:rPr>
                <w:snapToGrid w:val="0"/>
              </w:rPr>
            </w:pPr>
            <w:r w:rsidRPr="009178B4">
              <w:rPr>
                <w:snapToGrid w:val="0"/>
              </w:rPr>
              <w:t>7,</w:t>
            </w:r>
            <w:r>
              <w:rPr>
                <w:snapToGrid w:val="0"/>
              </w:rPr>
              <w:t>7</w:t>
            </w:r>
          </w:p>
        </w:tc>
        <w:tc>
          <w:tcPr>
            <w:tcW w:w="567" w:type="dxa"/>
            <w:tcBorders>
              <w:top w:val="single" w:sz="4" w:space="0" w:color="auto"/>
              <w:left w:val="single" w:sz="4" w:space="0" w:color="auto"/>
              <w:bottom w:val="single" w:sz="4" w:space="0" w:color="auto"/>
              <w:right w:val="double" w:sz="4" w:space="0" w:color="auto"/>
            </w:tcBorders>
            <w:vAlign w:val="bottom"/>
          </w:tcPr>
          <w:p w14:paraId="37FAB5C5" w14:textId="77777777" w:rsidR="00990E4C" w:rsidRPr="009178B4" w:rsidRDefault="00990E4C" w:rsidP="00E72E3B">
            <w:pPr>
              <w:pStyle w:val="tabteksts"/>
              <w:jc w:val="right"/>
              <w:rPr>
                <w:snapToGrid w:val="0"/>
              </w:rPr>
            </w:pPr>
            <w:r w:rsidRPr="009178B4">
              <w:rPr>
                <w:snapToGrid w:val="0"/>
              </w:rPr>
              <w:t>7,</w:t>
            </w:r>
            <w:r>
              <w:rPr>
                <w:snapToGrid w:val="0"/>
              </w:rPr>
              <w:t>5</w:t>
            </w:r>
          </w:p>
        </w:tc>
      </w:tr>
      <w:tr w:rsidR="00990E4C" w:rsidRPr="007A44FD" w14:paraId="3C8D16EF"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56AA2EC4" w14:textId="77777777" w:rsidR="00990E4C" w:rsidRPr="009178B4" w:rsidRDefault="00990E4C" w:rsidP="00E72E3B">
            <w:pPr>
              <w:pStyle w:val="tabteksts"/>
              <w:rPr>
                <w:snapToGrid w:val="0"/>
              </w:rPr>
            </w:pPr>
            <w:r w:rsidRPr="009178B4">
              <w:rPr>
                <w:snapToGrid w:val="0"/>
              </w:rPr>
              <w:t>14. Īpašuma ienākumi</w:t>
            </w:r>
          </w:p>
        </w:tc>
        <w:tc>
          <w:tcPr>
            <w:tcW w:w="1134" w:type="dxa"/>
            <w:tcBorders>
              <w:top w:val="single" w:sz="4" w:space="0" w:color="auto"/>
              <w:left w:val="single" w:sz="4" w:space="0" w:color="auto"/>
              <w:bottom w:val="single" w:sz="4" w:space="0" w:color="auto"/>
              <w:right w:val="double" w:sz="4" w:space="0" w:color="auto"/>
            </w:tcBorders>
            <w:vAlign w:val="bottom"/>
          </w:tcPr>
          <w:p w14:paraId="59D107C4" w14:textId="77777777" w:rsidR="00990E4C" w:rsidRPr="009178B4" w:rsidRDefault="00990E4C" w:rsidP="00E72E3B">
            <w:pPr>
              <w:pStyle w:val="tabteksts"/>
            </w:pPr>
            <w:r w:rsidRPr="009178B4">
              <w:t>D.4</w:t>
            </w:r>
          </w:p>
        </w:tc>
        <w:tc>
          <w:tcPr>
            <w:tcW w:w="992" w:type="dxa"/>
            <w:tcBorders>
              <w:top w:val="single" w:sz="4" w:space="0" w:color="auto"/>
              <w:left w:val="double" w:sz="4" w:space="0" w:color="auto"/>
              <w:bottom w:val="single" w:sz="4" w:space="0" w:color="auto"/>
              <w:right w:val="single" w:sz="4" w:space="0" w:color="auto"/>
            </w:tcBorders>
            <w:vAlign w:val="bottom"/>
          </w:tcPr>
          <w:p w14:paraId="4323DFFE" w14:textId="77777777" w:rsidR="00990E4C" w:rsidRPr="009178B4" w:rsidRDefault="00990E4C" w:rsidP="00E72E3B">
            <w:pPr>
              <w:pStyle w:val="tabteksts"/>
              <w:jc w:val="right"/>
              <w:rPr>
                <w:snapToGrid w:val="0"/>
              </w:rPr>
            </w:pPr>
            <w:r>
              <w:rPr>
                <w:snapToGrid w:val="0"/>
              </w:rPr>
              <w:t>175,2</w:t>
            </w:r>
          </w:p>
        </w:tc>
        <w:tc>
          <w:tcPr>
            <w:tcW w:w="709" w:type="dxa"/>
            <w:tcBorders>
              <w:top w:val="single" w:sz="4" w:space="0" w:color="auto"/>
              <w:left w:val="nil"/>
              <w:bottom w:val="single" w:sz="4" w:space="0" w:color="auto"/>
              <w:right w:val="single" w:sz="4" w:space="0" w:color="auto"/>
            </w:tcBorders>
            <w:vAlign w:val="bottom"/>
          </w:tcPr>
          <w:p w14:paraId="5254DB6E" w14:textId="77777777" w:rsidR="00990E4C" w:rsidRPr="009178B4" w:rsidRDefault="00990E4C" w:rsidP="00E72E3B">
            <w:pPr>
              <w:pStyle w:val="tabteksts"/>
              <w:jc w:val="right"/>
              <w:rPr>
                <w:snapToGrid w:val="0"/>
              </w:rPr>
            </w:pPr>
            <w:r w:rsidRPr="009178B4">
              <w:rPr>
                <w:snapToGrid w:val="0"/>
              </w:rPr>
              <w:t>1,1</w:t>
            </w:r>
          </w:p>
        </w:tc>
        <w:tc>
          <w:tcPr>
            <w:tcW w:w="709" w:type="dxa"/>
            <w:tcBorders>
              <w:top w:val="single" w:sz="4" w:space="0" w:color="auto"/>
              <w:left w:val="nil"/>
              <w:bottom w:val="single" w:sz="4" w:space="0" w:color="auto"/>
              <w:right w:val="single" w:sz="4" w:space="0" w:color="auto"/>
            </w:tcBorders>
            <w:vAlign w:val="bottom"/>
          </w:tcPr>
          <w:p w14:paraId="1C72E1BB" w14:textId="77777777" w:rsidR="00990E4C" w:rsidRPr="009178B4" w:rsidRDefault="00990E4C" w:rsidP="00E72E3B">
            <w:pPr>
              <w:pStyle w:val="tabteksts"/>
              <w:jc w:val="right"/>
              <w:rPr>
                <w:snapToGrid w:val="0"/>
              </w:rPr>
            </w:pPr>
            <w:r w:rsidRPr="009178B4">
              <w:rPr>
                <w:snapToGrid w:val="0"/>
              </w:rPr>
              <w:t>0,9</w:t>
            </w:r>
          </w:p>
        </w:tc>
        <w:tc>
          <w:tcPr>
            <w:tcW w:w="709" w:type="dxa"/>
            <w:tcBorders>
              <w:top w:val="single" w:sz="4" w:space="0" w:color="auto"/>
              <w:left w:val="nil"/>
              <w:bottom w:val="single" w:sz="4" w:space="0" w:color="auto"/>
              <w:right w:val="single" w:sz="4" w:space="0" w:color="auto"/>
            </w:tcBorders>
            <w:vAlign w:val="bottom"/>
          </w:tcPr>
          <w:p w14:paraId="7E4A8372" w14:textId="77777777" w:rsidR="00990E4C" w:rsidRPr="009178B4" w:rsidRDefault="00990E4C" w:rsidP="00E72E3B">
            <w:pPr>
              <w:pStyle w:val="tabteksts"/>
              <w:jc w:val="right"/>
              <w:rPr>
                <w:snapToGrid w:val="0"/>
              </w:rPr>
            </w:pPr>
            <w:r w:rsidRPr="009178B4">
              <w:rPr>
                <w:snapToGrid w:val="0"/>
              </w:rPr>
              <w:t>0,6</w:t>
            </w:r>
          </w:p>
        </w:tc>
        <w:tc>
          <w:tcPr>
            <w:tcW w:w="708" w:type="dxa"/>
            <w:tcBorders>
              <w:top w:val="single" w:sz="4" w:space="0" w:color="auto"/>
              <w:left w:val="nil"/>
              <w:bottom w:val="single" w:sz="4" w:space="0" w:color="auto"/>
              <w:right w:val="single" w:sz="4" w:space="0" w:color="auto"/>
            </w:tcBorders>
            <w:vAlign w:val="bottom"/>
          </w:tcPr>
          <w:p w14:paraId="0BA19551" w14:textId="77777777" w:rsidR="00990E4C" w:rsidRPr="009178B4" w:rsidRDefault="00990E4C" w:rsidP="00E72E3B">
            <w:pPr>
              <w:pStyle w:val="tabteksts"/>
              <w:jc w:val="right"/>
              <w:rPr>
                <w:snapToGrid w:val="0"/>
              </w:rPr>
            </w:pPr>
            <w:r w:rsidRPr="009178B4">
              <w:rPr>
                <w:snapToGrid w:val="0"/>
              </w:rPr>
              <w:t>0,6</w:t>
            </w:r>
          </w:p>
        </w:tc>
        <w:tc>
          <w:tcPr>
            <w:tcW w:w="567" w:type="dxa"/>
            <w:tcBorders>
              <w:top w:val="single" w:sz="4" w:space="0" w:color="auto"/>
              <w:left w:val="single" w:sz="4" w:space="0" w:color="auto"/>
              <w:bottom w:val="single" w:sz="4" w:space="0" w:color="auto"/>
              <w:right w:val="double" w:sz="4" w:space="0" w:color="auto"/>
            </w:tcBorders>
            <w:vAlign w:val="bottom"/>
          </w:tcPr>
          <w:p w14:paraId="50EA034A" w14:textId="77777777" w:rsidR="00990E4C" w:rsidRPr="009178B4" w:rsidRDefault="00990E4C" w:rsidP="00E72E3B">
            <w:pPr>
              <w:pStyle w:val="tabteksts"/>
              <w:jc w:val="right"/>
              <w:rPr>
                <w:snapToGrid w:val="0"/>
              </w:rPr>
            </w:pPr>
            <w:r w:rsidRPr="009178B4">
              <w:rPr>
                <w:snapToGrid w:val="0"/>
              </w:rPr>
              <w:t>0,3</w:t>
            </w:r>
          </w:p>
        </w:tc>
      </w:tr>
      <w:tr w:rsidR="00990E4C" w:rsidRPr="007A44FD" w14:paraId="3B8F1684"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0BB59BA1" w14:textId="77777777" w:rsidR="00990E4C" w:rsidRPr="009178B4" w:rsidRDefault="00990E4C" w:rsidP="00E72E3B">
            <w:pPr>
              <w:pStyle w:val="tabteksts"/>
              <w:rPr>
                <w:snapToGrid w:val="0"/>
              </w:rPr>
            </w:pPr>
            <w:r w:rsidRPr="009178B4">
              <w:rPr>
                <w:snapToGrid w:val="0"/>
              </w:rPr>
              <w:t>15. Pārējie ieņēmumi</w:t>
            </w:r>
          </w:p>
        </w:tc>
        <w:tc>
          <w:tcPr>
            <w:tcW w:w="1134" w:type="dxa"/>
            <w:tcBorders>
              <w:top w:val="single" w:sz="4" w:space="0" w:color="auto"/>
              <w:left w:val="single" w:sz="4" w:space="0" w:color="auto"/>
              <w:bottom w:val="single" w:sz="4" w:space="0" w:color="auto"/>
              <w:right w:val="double" w:sz="4" w:space="0" w:color="auto"/>
            </w:tcBorders>
            <w:vAlign w:val="bottom"/>
          </w:tcPr>
          <w:p w14:paraId="512029EE" w14:textId="77777777" w:rsidR="00990E4C" w:rsidRPr="009178B4" w:rsidRDefault="00990E4C" w:rsidP="00E72E3B">
            <w:pPr>
              <w:pStyle w:val="tabteksts"/>
            </w:pPr>
            <w:r w:rsidRPr="009178B4">
              <w:t> </w:t>
            </w:r>
          </w:p>
        </w:tc>
        <w:tc>
          <w:tcPr>
            <w:tcW w:w="992" w:type="dxa"/>
            <w:tcBorders>
              <w:top w:val="single" w:sz="4" w:space="0" w:color="auto"/>
              <w:left w:val="double" w:sz="4" w:space="0" w:color="auto"/>
              <w:bottom w:val="single" w:sz="4" w:space="0" w:color="auto"/>
              <w:right w:val="single" w:sz="4" w:space="0" w:color="auto"/>
            </w:tcBorders>
            <w:vAlign w:val="bottom"/>
          </w:tcPr>
          <w:p w14:paraId="59F58360" w14:textId="77777777" w:rsidR="00990E4C" w:rsidRPr="009178B4" w:rsidRDefault="00990E4C" w:rsidP="00E72E3B">
            <w:pPr>
              <w:pStyle w:val="tabteksts"/>
              <w:jc w:val="right"/>
              <w:rPr>
                <w:snapToGrid w:val="0"/>
              </w:rPr>
            </w:pPr>
            <w:r w:rsidRPr="009178B4">
              <w:rPr>
                <w:snapToGrid w:val="0"/>
              </w:rPr>
              <w:t>964,5</w:t>
            </w:r>
          </w:p>
        </w:tc>
        <w:tc>
          <w:tcPr>
            <w:tcW w:w="709" w:type="dxa"/>
            <w:tcBorders>
              <w:top w:val="single" w:sz="4" w:space="0" w:color="auto"/>
              <w:left w:val="nil"/>
              <w:bottom w:val="single" w:sz="4" w:space="0" w:color="auto"/>
              <w:right w:val="single" w:sz="4" w:space="0" w:color="auto"/>
            </w:tcBorders>
            <w:vAlign w:val="bottom"/>
          </w:tcPr>
          <w:p w14:paraId="3ABDD3A4" w14:textId="77777777" w:rsidR="00990E4C" w:rsidRPr="009178B4" w:rsidRDefault="00990E4C" w:rsidP="00E72E3B">
            <w:pPr>
              <w:pStyle w:val="tabteksts"/>
              <w:jc w:val="right"/>
              <w:rPr>
                <w:snapToGrid w:val="0"/>
              </w:rPr>
            </w:pPr>
            <w:r w:rsidRPr="009178B4">
              <w:rPr>
                <w:snapToGrid w:val="0"/>
              </w:rPr>
              <w:t>6,2</w:t>
            </w:r>
          </w:p>
        </w:tc>
        <w:tc>
          <w:tcPr>
            <w:tcW w:w="709" w:type="dxa"/>
            <w:tcBorders>
              <w:top w:val="single" w:sz="4" w:space="0" w:color="auto"/>
              <w:left w:val="nil"/>
              <w:bottom w:val="single" w:sz="4" w:space="0" w:color="auto"/>
              <w:right w:val="single" w:sz="4" w:space="0" w:color="auto"/>
            </w:tcBorders>
            <w:vAlign w:val="bottom"/>
          </w:tcPr>
          <w:p w14:paraId="1F6D0549" w14:textId="77777777" w:rsidR="00990E4C" w:rsidRPr="009178B4" w:rsidRDefault="00990E4C" w:rsidP="00E72E3B">
            <w:pPr>
              <w:pStyle w:val="tabteksts"/>
              <w:jc w:val="right"/>
              <w:rPr>
                <w:snapToGrid w:val="0"/>
              </w:rPr>
            </w:pPr>
            <w:r w:rsidRPr="009178B4">
              <w:rPr>
                <w:snapToGrid w:val="0"/>
              </w:rPr>
              <w:t>7,</w:t>
            </w:r>
            <w:r w:rsidR="006E7576">
              <w:rPr>
                <w:snapToGrid w:val="0"/>
              </w:rPr>
              <w:t>1</w:t>
            </w:r>
          </w:p>
        </w:tc>
        <w:tc>
          <w:tcPr>
            <w:tcW w:w="709" w:type="dxa"/>
            <w:tcBorders>
              <w:top w:val="single" w:sz="4" w:space="0" w:color="auto"/>
              <w:left w:val="nil"/>
              <w:bottom w:val="single" w:sz="4" w:space="0" w:color="auto"/>
              <w:right w:val="single" w:sz="4" w:space="0" w:color="auto"/>
            </w:tcBorders>
            <w:vAlign w:val="bottom"/>
          </w:tcPr>
          <w:p w14:paraId="347078AB" w14:textId="77777777" w:rsidR="00990E4C" w:rsidRPr="009178B4" w:rsidRDefault="00990E4C" w:rsidP="00E72E3B">
            <w:pPr>
              <w:pStyle w:val="tabteksts"/>
              <w:jc w:val="right"/>
              <w:rPr>
                <w:snapToGrid w:val="0"/>
              </w:rPr>
            </w:pPr>
            <w:r>
              <w:rPr>
                <w:snapToGrid w:val="0"/>
              </w:rPr>
              <w:t>6,8</w:t>
            </w:r>
          </w:p>
        </w:tc>
        <w:tc>
          <w:tcPr>
            <w:tcW w:w="708" w:type="dxa"/>
            <w:tcBorders>
              <w:top w:val="single" w:sz="4" w:space="0" w:color="auto"/>
              <w:left w:val="nil"/>
              <w:bottom w:val="single" w:sz="4" w:space="0" w:color="auto"/>
              <w:right w:val="single" w:sz="4" w:space="0" w:color="auto"/>
            </w:tcBorders>
            <w:vAlign w:val="bottom"/>
          </w:tcPr>
          <w:p w14:paraId="59D205F8" w14:textId="77777777" w:rsidR="00990E4C" w:rsidRPr="009178B4" w:rsidRDefault="00990E4C" w:rsidP="00E72E3B">
            <w:pPr>
              <w:pStyle w:val="tabteksts"/>
              <w:jc w:val="right"/>
              <w:rPr>
                <w:snapToGrid w:val="0"/>
              </w:rPr>
            </w:pPr>
            <w:r w:rsidRPr="009178B4">
              <w:rPr>
                <w:snapToGrid w:val="0"/>
              </w:rPr>
              <w:t>4,</w:t>
            </w:r>
            <w:r>
              <w:rPr>
                <w:snapToGrid w:val="0"/>
              </w:rPr>
              <w:t>9</w:t>
            </w:r>
          </w:p>
        </w:tc>
        <w:tc>
          <w:tcPr>
            <w:tcW w:w="567" w:type="dxa"/>
            <w:tcBorders>
              <w:top w:val="single" w:sz="4" w:space="0" w:color="auto"/>
              <w:left w:val="single" w:sz="4" w:space="0" w:color="auto"/>
              <w:bottom w:val="single" w:sz="4" w:space="0" w:color="auto"/>
              <w:right w:val="double" w:sz="4" w:space="0" w:color="auto"/>
            </w:tcBorders>
            <w:vAlign w:val="bottom"/>
          </w:tcPr>
          <w:p w14:paraId="693BF0BB" w14:textId="77777777" w:rsidR="00990E4C" w:rsidRPr="009178B4" w:rsidRDefault="00990E4C" w:rsidP="00E72E3B">
            <w:pPr>
              <w:pStyle w:val="tabteksts"/>
              <w:jc w:val="right"/>
              <w:rPr>
                <w:snapToGrid w:val="0"/>
              </w:rPr>
            </w:pPr>
            <w:r>
              <w:rPr>
                <w:snapToGrid w:val="0"/>
              </w:rPr>
              <w:t>6,0</w:t>
            </w:r>
          </w:p>
        </w:tc>
      </w:tr>
      <w:tr w:rsidR="00990E4C" w:rsidRPr="007A44FD" w14:paraId="62B61B2A"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7B5FA4F5" w14:textId="77777777" w:rsidR="00990E4C" w:rsidRPr="009178B4" w:rsidRDefault="00990E4C" w:rsidP="00E72E3B">
            <w:pPr>
              <w:pStyle w:val="tabteksts"/>
              <w:rPr>
                <w:snapToGrid w:val="0"/>
              </w:rPr>
            </w:pPr>
            <w:r w:rsidRPr="009178B4">
              <w:rPr>
                <w:snapToGrid w:val="0"/>
              </w:rPr>
              <w:t>16. Kopējie ieņēmumi</w:t>
            </w:r>
          </w:p>
        </w:tc>
        <w:tc>
          <w:tcPr>
            <w:tcW w:w="1134" w:type="dxa"/>
            <w:tcBorders>
              <w:top w:val="single" w:sz="4" w:space="0" w:color="auto"/>
              <w:left w:val="single" w:sz="4" w:space="0" w:color="auto"/>
              <w:bottom w:val="single" w:sz="4" w:space="0" w:color="auto"/>
              <w:right w:val="double" w:sz="4" w:space="0" w:color="auto"/>
            </w:tcBorders>
            <w:vAlign w:val="bottom"/>
          </w:tcPr>
          <w:p w14:paraId="1F48577F" w14:textId="77777777" w:rsidR="00990E4C" w:rsidRPr="009178B4" w:rsidRDefault="00990E4C" w:rsidP="00E72E3B">
            <w:pPr>
              <w:pStyle w:val="tabteksts"/>
            </w:pPr>
            <w:r w:rsidRPr="009178B4">
              <w:t>TR</w:t>
            </w:r>
          </w:p>
        </w:tc>
        <w:tc>
          <w:tcPr>
            <w:tcW w:w="992" w:type="dxa"/>
            <w:tcBorders>
              <w:top w:val="single" w:sz="4" w:space="0" w:color="auto"/>
              <w:left w:val="double" w:sz="4" w:space="0" w:color="auto"/>
              <w:bottom w:val="single" w:sz="4" w:space="0" w:color="auto"/>
              <w:right w:val="single" w:sz="4" w:space="0" w:color="auto"/>
            </w:tcBorders>
            <w:vAlign w:val="bottom"/>
          </w:tcPr>
          <w:p w14:paraId="35516CCB" w14:textId="77777777" w:rsidR="00990E4C" w:rsidRPr="009178B4" w:rsidRDefault="00990E4C" w:rsidP="00E72E3B">
            <w:pPr>
              <w:pStyle w:val="tabteksts"/>
              <w:jc w:val="right"/>
              <w:rPr>
                <w:snapToGrid w:val="0"/>
              </w:rPr>
            </w:pPr>
            <w:r w:rsidRPr="009178B4">
              <w:rPr>
                <w:snapToGrid w:val="0"/>
              </w:rPr>
              <w:t>5 468,1</w:t>
            </w:r>
          </w:p>
        </w:tc>
        <w:tc>
          <w:tcPr>
            <w:tcW w:w="709" w:type="dxa"/>
            <w:tcBorders>
              <w:top w:val="single" w:sz="4" w:space="0" w:color="auto"/>
              <w:left w:val="nil"/>
              <w:bottom w:val="single" w:sz="4" w:space="0" w:color="auto"/>
              <w:right w:val="single" w:sz="4" w:space="0" w:color="auto"/>
            </w:tcBorders>
            <w:vAlign w:val="bottom"/>
          </w:tcPr>
          <w:p w14:paraId="0FC7706E" w14:textId="77777777" w:rsidR="00990E4C" w:rsidRPr="009178B4" w:rsidRDefault="00990E4C" w:rsidP="00E72E3B">
            <w:pPr>
              <w:pStyle w:val="tabteksts"/>
              <w:jc w:val="right"/>
              <w:rPr>
                <w:snapToGrid w:val="0"/>
              </w:rPr>
            </w:pPr>
            <w:r w:rsidRPr="009178B4">
              <w:rPr>
                <w:snapToGrid w:val="0"/>
              </w:rPr>
              <w:t>35,2</w:t>
            </w:r>
          </w:p>
        </w:tc>
        <w:tc>
          <w:tcPr>
            <w:tcW w:w="709" w:type="dxa"/>
            <w:tcBorders>
              <w:top w:val="single" w:sz="4" w:space="0" w:color="auto"/>
              <w:left w:val="nil"/>
              <w:bottom w:val="single" w:sz="4" w:space="0" w:color="auto"/>
              <w:right w:val="single" w:sz="4" w:space="0" w:color="auto"/>
            </w:tcBorders>
            <w:vAlign w:val="bottom"/>
          </w:tcPr>
          <w:p w14:paraId="7130E6C7" w14:textId="77777777" w:rsidR="00990E4C" w:rsidRPr="009178B4" w:rsidRDefault="00990E4C" w:rsidP="00E72E3B">
            <w:pPr>
              <w:pStyle w:val="tabteksts"/>
              <w:jc w:val="right"/>
              <w:rPr>
                <w:snapToGrid w:val="0"/>
              </w:rPr>
            </w:pPr>
            <w:r w:rsidRPr="009178B4">
              <w:rPr>
                <w:snapToGrid w:val="0"/>
              </w:rPr>
              <w:t>35,2</w:t>
            </w:r>
          </w:p>
        </w:tc>
        <w:tc>
          <w:tcPr>
            <w:tcW w:w="709" w:type="dxa"/>
            <w:tcBorders>
              <w:top w:val="single" w:sz="4" w:space="0" w:color="auto"/>
              <w:left w:val="nil"/>
              <w:bottom w:val="single" w:sz="4" w:space="0" w:color="auto"/>
              <w:right w:val="single" w:sz="4" w:space="0" w:color="auto"/>
            </w:tcBorders>
            <w:vAlign w:val="bottom"/>
          </w:tcPr>
          <w:p w14:paraId="7C1250AF" w14:textId="77777777" w:rsidR="00990E4C" w:rsidRPr="009178B4" w:rsidRDefault="00990E4C" w:rsidP="00E72E3B">
            <w:pPr>
              <w:pStyle w:val="tabteksts"/>
              <w:jc w:val="right"/>
              <w:rPr>
                <w:snapToGrid w:val="0"/>
              </w:rPr>
            </w:pPr>
            <w:r w:rsidRPr="009178B4">
              <w:rPr>
                <w:snapToGrid w:val="0"/>
              </w:rPr>
              <w:t>33,8</w:t>
            </w:r>
          </w:p>
        </w:tc>
        <w:tc>
          <w:tcPr>
            <w:tcW w:w="708" w:type="dxa"/>
            <w:tcBorders>
              <w:top w:val="single" w:sz="4" w:space="0" w:color="auto"/>
              <w:left w:val="nil"/>
              <w:bottom w:val="single" w:sz="4" w:space="0" w:color="auto"/>
              <w:right w:val="single" w:sz="4" w:space="0" w:color="auto"/>
            </w:tcBorders>
            <w:vAlign w:val="bottom"/>
          </w:tcPr>
          <w:p w14:paraId="65AE3518" w14:textId="77777777" w:rsidR="00990E4C" w:rsidRPr="009178B4" w:rsidRDefault="00990E4C" w:rsidP="00E72E3B">
            <w:pPr>
              <w:pStyle w:val="tabteksts"/>
              <w:jc w:val="right"/>
              <w:rPr>
                <w:snapToGrid w:val="0"/>
              </w:rPr>
            </w:pPr>
            <w:r w:rsidRPr="009178B4">
              <w:rPr>
                <w:snapToGrid w:val="0"/>
              </w:rPr>
              <w:t>30,9</w:t>
            </w:r>
          </w:p>
        </w:tc>
        <w:tc>
          <w:tcPr>
            <w:tcW w:w="567" w:type="dxa"/>
            <w:tcBorders>
              <w:top w:val="single" w:sz="4" w:space="0" w:color="auto"/>
              <w:left w:val="single" w:sz="4" w:space="0" w:color="auto"/>
              <w:bottom w:val="single" w:sz="4" w:space="0" w:color="auto"/>
              <w:right w:val="double" w:sz="4" w:space="0" w:color="auto"/>
            </w:tcBorders>
            <w:vAlign w:val="bottom"/>
          </w:tcPr>
          <w:p w14:paraId="6737CCBB" w14:textId="77777777" w:rsidR="00990E4C" w:rsidRPr="009178B4" w:rsidRDefault="00990E4C" w:rsidP="00E72E3B">
            <w:pPr>
              <w:pStyle w:val="tabteksts"/>
              <w:jc w:val="right"/>
              <w:rPr>
                <w:snapToGrid w:val="0"/>
              </w:rPr>
            </w:pPr>
            <w:r w:rsidRPr="009178B4">
              <w:rPr>
                <w:snapToGrid w:val="0"/>
              </w:rPr>
              <w:t>31,2</w:t>
            </w:r>
          </w:p>
        </w:tc>
      </w:tr>
      <w:tr w:rsidR="00990E4C" w:rsidRPr="007A44FD" w14:paraId="5B397F8D" w14:textId="77777777" w:rsidTr="00990E4C">
        <w:trPr>
          <w:cantSplit/>
        </w:trPr>
        <w:tc>
          <w:tcPr>
            <w:tcW w:w="3544" w:type="dxa"/>
            <w:gridSpan w:val="2"/>
            <w:tcBorders>
              <w:top w:val="single" w:sz="4" w:space="0" w:color="auto"/>
              <w:left w:val="double" w:sz="4" w:space="0" w:color="auto"/>
              <w:bottom w:val="double" w:sz="4" w:space="0" w:color="auto"/>
              <w:right w:val="single" w:sz="4" w:space="0" w:color="auto"/>
            </w:tcBorders>
          </w:tcPr>
          <w:p w14:paraId="7F3D1669" w14:textId="77777777" w:rsidR="00990E4C" w:rsidRPr="009178B4" w:rsidRDefault="00990E4C" w:rsidP="00E72E3B">
            <w:pPr>
              <w:pStyle w:val="tabteksts"/>
              <w:rPr>
                <w:snapToGrid w:val="0"/>
                <w:vertAlign w:val="superscript"/>
              </w:rPr>
            </w:pPr>
            <w:r w:rsidRPr="009178B4">
              <w:rPr>
                <w:snapToGrid w:val="0"/>
              </w:rPr>
              <w:t xml:space="preserve"> Nodokļu slogs (D.2+D.5+D.61+D.91 – D.995)</w:t>
            </w:r>
          </w:p>
        </w:tc>
        <w:tc>
          <w:tcPr>
            <w:tcW w:w="1134" w:type="dxa"/>
            <w:tcBorders>
              <w:top w:val="single" w:sz="4" w:space="0" w:color="auto"/>
              <w:left w:val="single" w:sz="4" w:space="0" w:color="auto"/>
              <w:bottom w:val="double" w:sz="4" w:space="0" w:color="auto"/>
              <w:right w:val="double" w:sz="4" w:space="0" w:color="auto"/>
            </w:tcBorders>
            <w:vAlign w:val="bottom"/>
          </w:tcPr>
          <w:p w14:paraId="6591B985" w14:textId="77777777" w:rsidR="00990E4C" w:rsidRPr="009178B4" w:rsidRDefault="00990E4C" w:rsidP="00E72E3B">
            <w:pPr>
              <w:pStyle w:val="tabteksts"/>
            </w:pPr>
          </w:p>
        </w:tc>
        <w:tc>
          <w:tcPr>
            <w:tcW w:w="992" w:type="dxa"/>
            <w:tcBorders>
              <w:top w:val="single" w:sz="4" w:space="0" w:color="auto"/>
              <w:left w:val="double" w:sz="4" w:space="0" w:color="auto"/>
              <w:bottom w:val="double" w:sz="4" w:space="0" w:color="auto"/>
              <w:right w:val="single" w:sz="4" w:space="0" w:color="auto"/>
            </w:tcBorders>
            <w:vAlign w:val="bottom"/>
          </w:tcPr>
          <w:p w14:paraId="22871B6E" w14:textId="77777777" w:rsidR="00990E4C" w:rsidRPr="009178B4" w:rsidRDefault="00990E4C" w:rsidP="00E72E3B">
            <w:pPr>
              <w:pStyle w:val="tabteksts"/>
              <w:jc w:val="right"/>
              <w:rPr>
                <w:snapToGrid w:val="0"/>
              </w:rPr>
            </w:pPr>
            <w:r w:rsidRPr="009178B4">
              <w:rPr>
                <w:snapToGrid w:val="0"/>
              </w:rPr>
              <w:t>4 372,0</w:t>
            </w:r>
          </w:p>
        </w:tc>
        <w:tc>
          <w:tcPr>
            <w:tcW w:w="709" w:type="dxa"/>
            <w:tcBorders>
              <w:top w:val="single" w:sz="4" w:space="0" w:color="auto"/>
              <w:left w:val="nil"/>
              <w:bottom w:val="double" w:sz="4" w:space="0" w:color="auto"/>
              <w:right w:val="single" w:sz="4" w:space="0" w:color="auto"/>
            </w:tcBorders>
            <w:vAlign w:val="bottom"/>
          </w:tcPr>
          <w:p w14:paraId="343404F5" w14:textId="77777777" w:rsidR="00990E4C" w:rsidRPr="009178B4" w:rsidRDefault="00990E4C" w:rsidP="00E72E3B">
            <w:pPr>
              <w:pStyle w:val="tabteksts"/>
              <w:jc w:val="right"/>
              <w:rPr>
                <w:snapToGrid w:val="0"/>
              </w:rPr>
            </w:pPr>
            <w:r w:rsidRPr="009178B4">
              <w:rPr>
                <w:snapToGrid w:val="0"/>
              </w:rPr>
              <w:t>28,2</w:t>
            </w:r>
          </w:p>
        </w:tc>
        <w:tc>
          <w:tcPr>
            <w:tcW w:w="709" w:type="dxa"/>
            <w:tcBorders>
              <w:top w:val="single" w:sz="4" w:space="0" w:color="auto"/>
              <w:left w:val="nil"/>
              <w:bottom w:val="double" w:sz="4" w:space="0" w:color="auto"/>
              <w:right w:val="single" w:sz="4" w:space="0" w:color="auto"/>
            </w:tcBorders>
            <w:vAlign w:val="bottom"/>
          </w:tcPr>
          <w:p w14:paraId="4AAEF51C" w14:textId="77777777" w:rsidR="00990E4C" w:rsidRPr="009178B4" w:rsidRDefault="00990E4C" w:rsidP="00E72E3B">
            <w:pPr>
              <w:pStyle w:val="tabteksts"/>
              <w:jc w:val="right"/>
              <w:rPr>
                <w:snapToGrid w:val="0"/>
              </w:rPr>
            </w:pPr>
            <w:r w:rsidRPr="009178B4">
              <w:rPr>
                <w:snapToGrid w:val="0"/>
              </w:rPr>
              <w:t>27,</w:t>
            </w:r>
            <w:r>
              <w:rPr>
                <w:snapToGrid w:val="0"/>
              </w:rPr>
              <w:t>3</w:t>
            </w:r>
          </w:p>
        </w:tc>
        <w:tc>
          <w:tcPr>
            <w:tcW w:w="709" w:type="dxa"/>
            <w:tcBorders>
              <w:top w:val="single" w:sz="4" w:space="0" w:color="auto"/>
              <w:left w:val="nil"/>
              <w:bottom w:val="double" w:sz="4" w:space="0" w:color="auto"/>
              <w:right w:val="single" w:sz="4" w:space="0" w:color="auto"/>
            </w:tcBorders>
            <w:vAlign w:val="bottom"/>
          </w:tcPr>
          <w:p w14:paraId="34FDFF4D" w14:textId="77777777" w:rsidR="00990E4C" w:rsidRPr="009178B4" w:rsidRDefault="00990E4C" w:rsidP="00E72E3B">
            <w:pPr>
              <w:pStyle w:val="tabteksts"/>
              <w:jc w:val="right"/>
              <w:rPr>
                <w:snapToGrid w:val="0"/>
              </w:rPr>
            </w:pPr>
            <w:r w:rsidRPr="009178B4">
              <w:rPr>
                <w:snapToGrid w:val="0"/>
              </w:rPr>
              <w:t>26,</w:t>
            </w:r>
            <w:r>
              <w:rPr>
                <w:snapToGrid w:val="0"/>
              </w:rPr>
              <w:t>6</w:t>
            </w:r>
          </w:p>
        </w:tc>
        <w:tc>
          <w:tcPr>
            <w:tcW w:w="708" w:type="dxa"/>
            <w:tcBorders>
              <w:top w:val="single" w:sz="4" w:space="0" w:color="auto"/>
              <w:left w:val="nil"/>
              <w:bottom w:val="double" w:sz="4" w:space="0" w:color="auto"/>
              <w:right w:val="single" w:sz="4" w:space="0" w:color="auto"/>
            </w:tcBorders>
            <w:vAlign w:val="bottom"/>
          </w:tcPr>
          <w:p w14:paraId="0F37F56E" w14:textId="77777777" w:rsidR="00990E4C" w:rsidRPr="009178B4" w:rsidRDefault="00990E4C" w:rsidP="00E72E3B">
            <w:pPr>
              <w:pStyle w:val="tabteksts"/>
              <w:jc w:val="right"/>
              <w:rPr>
                <w:snapToGrid w:val="0"/>
              </w:rPr>
            </w:pPr>
            <w:r w:rsidRPr="009178B4">
              <w:rPr>
                <w:snapToGrid w:val="0"/>
              </w:rPr>
              <w:t>25,</w:t>
            </w:r>
            <w:r>
              <w:rPr>
                <w:snapToGrid w:val="0"/>
              </w:rPr>
              <w:t>6</w:t>
            </w:r>
          </w:p>
        </w:tc>
        <w:tc>
          <w:tcPr>
            <w:tcW w:w="567" w:type="dxa"/>
            <w:tcBorders>
              <w:top w:val="single" w:sz="4" w:space="0" w:color="auto"/>
              <w:left w:val="single" w:sz="4" w:space="0" w:color="auto"/>
              <w:bottom w:val="double" w:sz="4" w:space="0" w:color="auto"/>
              <w:right w:val="double" w:sz="4" w:space="0" w:color="auto"/>
            </w:tcBorders>
            <w:vAlign w:val="bottom"/>
          </w:tcPr>
          <w:p w14:paraId="70CF493C" w14:textId="77777777" w:rsidR="00990E4C" w:rsidRPr="009178B4" w:rsidRDefault="00990E4C" w:rsidP="00E72E3B">
            <w:pPr>
              <w:pStyle w:val="tabteksts"/>
              <w:jc w:val="right"/>
              <w:rPr>
                <w:snapToGrid w:val="0"/>
              </w:rPr>
            </w:pPr>
            <w:r w:rsidRPr="009178B4">
              <w:rPr>
                <w:snapToGrid w:val="0"/>
              </w:rPr>
              <w:t>25,</w:t>
            </w:r>
            <w:r>
              <w:rPr>
                <w:snapToGrid w:val="0"/>
              </w:rPr>
              <w:t>1</w:t>
            </w:r>
          </w:p>
        </w:tc>
      </w:tr>
      <w:tr w:rsidR="00990E4C" w:rsidRPr="007A44FD" w14:paraId="5C34CB2A" w14:textId="77777777" w:rsidTr="00990E4C">
        <w:trPr>
          <w:cantSplit/>
        </w:trPr>
        <w:tc>
          <w:tcPr>
            <w:tcW w:w="608" w:type="dxa"/>
            <w:tcBorders>
              <w:top w:val="double" w:sz="4" w:space="0" w:color="auto"/>
              <w:left w:val="double" w:sz="4" w:space="0" w:color="auto"/>
              <w:bottom w:val="single" w:sz="4" w:space="0" w:color="auto"/>
            </w:tcBorders>
          </w:tcPr>
          <w:p w14:paraId="47DF2EB2" w14:textId="77777777" w:rsidR="00990E4C" w:rsidRPr="009178B4" w:rsidRDefault="00990E4C" w:rsidP="00E72E3B">
            <w:pPr>
              <w:pStyle w:val="tabteksts"/>
              <w:jc w:val="center"/>
              <w:rPr>
                <w:b/>
                <w:snapToGrid w:val="0"/>
              </w:rPr>
            </w:pPr>
          </w:p>
        </w:tc>
        <w:tc>
          <w:tcPr>
            <w:tcW w:w="8464" w:type="dxa"/>
            <w:gridSpan w:val="8"/>
            <w:tcBorders>
              <w:top w:val="double" w:sz="4" w:space="0" w:color="auto"/>
              <w:bottom w:val="single" w:sz="4" w:space="0" w:color="auto"/>
              <w:right w:val="double" w:sz="4" w:space="0" w:color="auto"/>
            </w:tcBorders>
            <w:vAlign w:val="bottom"/>
          </w:tcPr>
          <w:p w14:paraId="580F40C6" w14:textId="77777777" w:rsidR="00990E4C" w:rsidRPr="009178B4" w:rsidRDefault="00990E4C" w:rsidP="00E72E3B">
            <w:pPr>
              <w:pStyle w:val="tabteksts"/>
              <w:jc w:val="center"/>
              <w:rPr>
                <w:b/>
                <w:snapToGrid w:val="0"/>
              </w:rPr>
            </w:pPr>
            <w:r w:rsidRPr="009178B4">
              <w:rPr>
                <w:b/>
                <w:snapToGrid w:val="0"/>
              </w:rPr>
              <w:t>Izdevumu sadaļas</w:t>
            </w:r>
          </w:p>
        </w:tc>
      </w:tr>
      <w:tr w:rsidR="00990E4C" w:rsidRPr="007A44FD" w14:paraId="4A6D2040"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7062DEED" w14:textId="77777777" w:rsidR="00990E4C" w:rsidRPr="009178B4" w:rsidRDefault="00990E4C" w:rsidP="00E72E3B">
            <w:pPr>
              <w:pStyle w:val="tabteksts"/>
              <w:rPr>
                <w:snapToGrid w:val="0"/>
              </w:rPr>
            </w:pPr>
            <w:r w:rsidRPr="009178B4">
              <w:rPr>
                <w:snapToGrid w:val="0"/>
              </w:rPr>
              <w:t>17. Atlīdzība nodarbinātajiem un starppatēriņš</w:t>
            </w:r>
          </w:p>
        </w:tc>
        <w:tc>
          <w:tcPr>
            <w:tcW w:w="1134" w:type="dxa"/>
            <w:tcBorders>
              <w:top w:val="single" w:sz="4" w:space="0" w:color="auto"/>
              <w:left w:val="single" w:sz="4" w:space="0" w:color="auto"/>
              <w:bottom w:val="single" w:sz="4" w:space="0" w:color="auto"/>
              <w:right w:val="double" w:sz="4" w:space="0" w:color="auto"/>
            </w:tcBorders>
            <w:vAlign w:val="bottom"/>
          </w:tcPr>
          <w:p w14:paraId="1C0F0DAE" w14:textId="77777777" w:rsidR="00990E4C" w:rsidRPr="009178B4" w:rsidRDefault="00990E4C" w:rsidP="00E72E3B">
            <w:pPr>
              <w:pStyle w:val="tabteksts"/>
            </w:pPr>
            <w:r w:rsidRPr="009178B4">
              <w:t>D.1+P.2</w:t>
            </w:r>
          </w:p>
        </w:tc>
        <w:tc>
          <w:tcPr>
            <w:tcW w:w="992" w:type="dxa"/>
            <w:tcBorders>
              <w:top w:val="single" w:sz="4" w:space="0" w:color="auto"/>
              <w:left w:val="double" w:sz="4" w:space="0" w:color="auto"/>
              <w:bottom w:val="single" w:sz="4" w:space="0" w:color="auto"/>
              <w:right w:val="single" w:sz="4" w:space="0" w:color="auto"/>
            </w:tcBorders>
            <w:vAlign w:val="bottom"/>
          </w:tcPr>
          <w:p w14:paraId="088C8F20" w14:textId="77777777" w:rsidR="00990E4C" w:rsidRPr="009178B4" w:rsidRDefault="00990E4C" w:rsidP="00E72E3B">
            <w:pPr>
              <w:pStyle w:val="tabteksts"/>
              <w:jc w:val="right"/>
              <w:rPr>
                <w:snapToGrid w:val="0"/>
              </w:rPr>
            </w:pPr>
            <w:r w:rsidRPr="009178B4">
              <w:rPr>
                <w:snapToGrid w:val="0"/>
              </w:rPr>
              <w:t>2 455,4</w:t>
            </w:r>
          </w:p>
        </w:tc>
        <w:tc>
          <w:tcPr>
            <w:tcW w:w="709" w:type="dxa"/>
            <w:tcBorders>
              <w:top w:val="single" w:sz="4" w:space="0" w:color="auto"/>
              <w:left w:val="nil"/>
              <w:bottom w:val="single" w:sz="4" w:space="0" w:color="auto"/>
              <w:right w:val="single" w:sz="4" w:space="0" w:color="auto"/>
            </w:tcBorders>
            <w:vAlign w:val="bottom"/>
          </w:tcPr>
          <w:p w14:paraId="135B79F9" w14:textId="77777777" w:rsidR="00990E4C" w:rsidRPr="009178B4" w:rsidRDefault="00990E4C" w:rsidP="00E72E3B">
            <w:pPr>
              <w:pStyle w:val="tabteksts"/>
              <w:jc w:val="right"/>
              <w:rPr>
                <w:snapToGrid w:val="0"/>
              </w:rPr>
            </w:pPr>
            <w:r w:rsidRPr="009178B4">
              <w:rPr>
                <w:snapToGrid w:val="0"/>
              </w:rPr>
              <w:t>15,8</w:t>
            </w:r>
          </w:p>
        </w:tc>
        <w:tc>
          <w:tcPr>
            <w:tcW w:w="709" w:type="dxa"/>
            <w:tcBorders>
              <w:top w:val="single" w:sz="4" w:space="0" w:color="auto"/>
              <w:left w:val="nil"/>
              <w:bottom w:val="single" w:sz="4" w:space="0" w:color="auto"/>
              <w:right w:val="single" w:sz="4" w:space="0" w:color="auto"/>
            </w:tcBorders>
            <w:vAlign w:val="bottom"/>
          </w:tcPr>
          <w:p w14:paraId="3762F38A" w14:textId="77777777" w:rsidR="00990E4C" w:rsidRPr="009178B4" w:rsidRDefault="00990E4C" w:rsidP="00E72E3B">
            <w:pPr>
              <w:pStyle w:val="tabteksts"/>
              <w:jc w:val="right"/>
              <w:rPr>
                <w:snapToGrid w:val="0"/>
              </w:rPr>
            </w:pPr>
            <w:r w:rsidRPr="009178B4">
              <w:rPr>
                <w:snapToGrid w:val="0"/>
              </w:rPr>
              <w:t>14,7</w:t>
            </w:r>
          </w:p>
        </w:tc>
        <w:tc>
          <w:tcPr>
            <w:tcW w:w="709" w:type="dxa"/>
            <w:tcBorders>
              <w:top w:val="single" w:sz="4" w:space="0" w:color="auto"/>
              <w:left w:val="nil"/>
              <w:bottom w:val="single" w:sz="4" w:space="0" w:color="auto"/>
              <w:right w:val="single" w:sz="4" w:space="0" w:color="auto"/>
            </w:tcBorders>
            <w:vAlign w:val="bottom"/>
          </w:tcPr>
          <w:p w14:paraId="6A25C3CE" w14:textId="77777777" w:rsidR="00990E4C" w:rsidRPr="009178B4" w:rsidRDefault="00990E4C" w:rsidP="00E72E3B">
            <w:pPr>
              <w:pStyle w:val="tabteksts"/>
              <w:jc w:val="right"/>
              <w:rPr>
                <w:snapToGrid w:val="0"/>
              </w:rPr>
            </w:pPr>
            <w:r w:rsidRPr="009178B4">
              <w:rPr>
                <w:snapToGrid w:val="0"/>
              </w:rPr>
              <w:t>14,0</w:t>
            </w:r>
          </w:p>
        </w:tc>
        <w:tc>
          <w:tcPr>
            <w:tcW w:w="708" w:type="dxa"/>
            <w:tcBorders>
              <w:top w:val="single" w:sz="4" w:space="0" w:color="auto"/>
              <w:left w:val="nil"/>
              <w:bottom w:val="single" w:sz="4" w:space="0" w:color="auto"/>
              <w:right w:val="single" w:sz="4" w:space="0" w:color="auto"/>
            </w:tcBorders>
            <w:vAlign w:val="bottom"/>
          </w:tcPr>
          <w:p w14:paraId="45D5AB66" w14:textId="77777777" w:rsidR="00990E4C" w:rsidRPr="009178B4" w:rsidRDefault="00990E4C" w:rsidP="00E72E3B">
            <w:pPr>
              <w:pStyle w:val="tabteksts"/>
              <w:jc w:val="right"/>
              <w:rPr>
                <w:snapToGrid w:val="0"/>
              </w:rPr>
            </w:pPr>
            <w:r w:rsidRPr="009178B4">
              <w:rPr>
                <w:snapToGrid w:val="0"/>
              </w:rPr>
              <w:t>13,2</w:t>
            </w:r>
          </w:p>
        </w:tc>
        <w:tc>
          <w:tcPr>
            <w:tcW w:w="567" w:type="dxa"/>
            <w:tcBorders>
              <w:top w:val="single" w:sz="4" w:space="0" w:color="auto"/>
              <w:left w:val="single" w:sz="4" w:space="0" w:color="auto"/>
              <w:bottom w:val="single" w:sz="4" w:space="0" w:color="auto"/>
              <w:right w:val="double" w:sz="4" w:space="0" w:color="auto"/>
            </w:tcBorders>
            <w:vAlign w:val="bottom"/>
          </w:tcPr>
          <w:p w14:paraId="311D41AC" w14:textId="77777777" w:rsidR="00990E4C" w:rsidRPr="009178B4" w:rsidRDefault="00990E4C" w:rsidP="00E72E3B">
            <w:pPr>
              <w:pStyle w:val="tabteksts"/>
              <w:jc w:val="right"/>
              <w:rPr>
                <w:snapToGrid w:val="0"/>
              </w:rPr>
            </w:pPr>
            <w:r w:rsidRPr="009178B4">
              <w:rPr>
                <w:snapToGrid w:val="0"/>
              </w:rPr>
              <w:t>12,4</w:t>
            </w:r>
          </w:p>
        </w:tc>
      </w:tr>
      <w:tr w:rsidR="00990E4C" w:rsidRPr="007A44FD" w14:paraId="248DA5BF"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577B1D00" w14:textId="77777777" w:rsidR="00990E4C" w:rsidRPr="009178B4" w:rsidRDefault="00990E4C" w:rsidP="00E72E3B">
            <w:pPr>
              <w:pStyle w:val="tabteksts"/>
              <w:rPr>
                <w:snapToGrid w:val="0"/>
              </w:rPr>
            </w:pPr>
            <w:r w:rsidRPr="009178B4">
              <w:rPr>
                <w:snapToGrid w:val="0"/>
              </w:rPr>
              <w:t>17a. Atlīdzība nodarbinātajiem</w:t>
            </w:r>
          </w:p>
        </w:tc>
        <w:tc>
          <w:tcPr>
            <w:tcW w:w="1134" w:type="dxa"/>
            <w:tcBorders>
              <w:top w:val="single" w:sz="4" w:space="0" w:color="auto"/>
              <w:left w:val="single" w:sz="4" w:space="0" w:color="auto"/>
              <w:bottom w:val="single" w:sz="4" w:space="0" w:color="auto"/>
              <w:right w:val="double" w:sz="4" w:space="0" w:color="auto"/>
            </w:tcBorders>
            <w:vAlign w:val="bottom"/>
          </w:tcPr>
          <w:p w14:paraId="29147C77" w14:textId="77777777" w:rsidR="00990E4C" w:rsidRPr="009178B4" w:rsidRDefault="00990E4C" w:rsidP="00E72E3B">
            <w:pPr>
              <w:pStyle w:val="tabteksts"/>
            </w:pPr>
            <w:r w:rsidRPr="009178B4">
              <w:t>D.1</w:t>
            </w:r>
          </w:p>
        </w:tc>
        <w:tc>
          <w:tcPr>
            <w:tcW w:w="992" w:type="dxa"/>
            <w:tcBorders>
              <w:top w:val="single" w:sz="4" w:space="0" w:color="auto"/>
              <w:left w:val="double" w:sz="4" w:space="0" w:color="auto"/>
              <w:bottom w:val="single" w:sz="4" w:space="0" w:color="auto"/>
              <w:right w:val="single" w:sz="4" w:space="0" w:color="auto"/>
            </w:tcBorders>
            <w:vAlign w:val="bottom"/>
          </w:tcPr>
          <w:p w14:paraId="11F7B78D" w14:textId="77777777" w:rsidR="00990E4C" w:rsidRPr="009178B4" w:rsidRDefault="00990E4C" w:rsidP="00E72E3B">
            <w:pPr>
              <w:pStyle w:val="tabteksts"/>
              <w:jc w:val="right"/>
              <w:rPr>
                <w:snapToGrid w:val="0"/>
              </w:rPr>
            </w:pPr>
            <w:r w:rsidRPr="009178B4">
              <w:rPr>
                <w:snapToGrid w:val="0"/>
              </w:rPr>
              <w:t>1 407,1</w:t>
            </w:r>
          </w:p>
        </w:tc>
        <w:tc>
          <w:tcPr>
            <w:tcW w:w="709" w:type="dxa"/>
            <w:tcBorders>
              <w:top w:val="single" w:sz="4" w:space="0" w:color="auto"/>
              <w:left w:val="nil"/>
              <w:bottom w:val="single" w:sz="4" w:space="0" w:color="auto"/>
              <w:right w:val="single" w:sz="4" w:space="0" w:color="auto"/>
            </w:tcBorders>
            <w:vAlign w:val="bottom"/>
          </w:tcPr>
          <w:p w14:paraId="6749594A" w14:textId="77777777" w:rsidR="00990E4C" w:rsidRPr="009178B4" w:rsidRDefault="00990E4C" w:rsidP="00E72E3B">
            <w:pPr>
              <w:pStyle w:val="tabteksts"/>
              <w:jc w:val="right"/>
              <w:rPr>
                <w:snapToGrid w:val="0"/>
              </w:rPr>
            </w:pPr>
            <w:r w:rsidRPr="009178B4">
              <w:rPr>
                <w:snapToGrid w:val="0"/>
              </w:rPr>
              <w:t>9,1</w:t>
            </w:r>
          </w:p>
        </w:tc>
        <w:tc>
          <w:tcPr>
            <w:tcW w:w="709" w:type="dxa"/>
            <w:tcBorders>
              <w:top w:val="single" w:sz="4" w:space="0" w:color="auto"/>
              <w:left w:val="nil"/>
              <w:bottom w:val="single" w:sz="4" w:space="0" w:color="auto"/>
              <w:right w:val="single" w:sz="4" w:space="0" w:color="auto"/>
            </w:tcBorders>
            <w:vAlign w:val="bottom"/>
          </w:tcPr>
          <w:p w14:paraId="03F34726" w14:textId="77777777" w:rsidR="00990E4C" w:rsidRPr="009178B4" w:rsidRDefault="00990E4C" w:rsidP="00E72E3B">
            <w:pPr>
              <w:pStyle w:val="tabteksts"/>
              <w:jc w:val="right"/>
              <w:rPr>
                <w:snapToGrid w:val="0"/>
              </w:rPr>
            </w:pPr>
            <w:r w:rsidRPr="009178B4">
              <w:rPr>
                <w:snapToGrid w:val="0"/>
              </w:rPr>
              <w:t>8,7</w:t>
            </w:r>
          </w:p>
        </w:tc>
        <w:tc>
          <w:tcPr>
            <w:tcW w:w="709" w:type="dxa"/>
            <w:tcBorders>
              <w:top w:val="single" w:sz="4" w:space="0" w:color="auto"/>
              <w:left w:val="nil"/>
              <w:bottom w:val="single" w:sz="4" w:space="0" w:color="auto"/>
              <w:right w:val="single" w:sz="4" w:space="0" w:color="auto"/>
            </w:tcBorders>
            <w:vAlign w:val="bottom"/>
          </w:tcPr>
          <w:p w14:paraId="26FD396C" w14:textId="77777777" w:rsidR="00990E4C" w:rsidRPr="009178B4" w:rsidRDefault="00990E4C" w:rsidP="00E72E3B">
            <w:pPr>
              <w:pStyle w:val="tabteksts"/>
              <w:jc w:val="right"/>
              <w:rPr>
                <w:snapToGrid w:val="0"/>
              </w:rPr>
            </w:pPr>
            <w:r w:rsidRPr="009178B4">
              <w:rPr>
                <w:snapToGrid w:val="0"/>
              </w:rPr>
              <w:t>8,4</w:t>
            </w:r>
          </w:p>
        </w:tc>
        <w:tc>
          <w:tcPr>
            <w:tcW w:w="708" w:type="dxa"/>
            <w:tcBorders>
              <w:top w:val="single" w:sz="4" w:space="0" w:color="auto"/>
              <w:left w:val="nil"/>
              <w:bottom w:val="single" w:sz="4" w:space="0" w:color="auto"/>
              <w:right w:val="single" w:sz="4" w:space="0" w:color="auto"/>
            </w:tcBorders>
            <w:vAlign w:val="bottom"/>
          </w:tcPr>
          <w:p w14:paraId="5B90BC0D" w14:textId="77777777" w:rsidR="00990E4C" w:rsidRPr="009178B4" w:rsidRDefault="00990E4C" w:rsidP="00E72E3B">
            <w:pPr>
              <w:pStyle w:val="tabteksts"/>
              <w:jc w:val="right"/>
              <w:rPr>
                <w:snapToGrid w:val="0"/>
              </w:rPr>
            </w:pPr>
            <w:r w:rsidRPr="009178B4">
              <w:rPr>
                <w:snapToGrid w:val="0"/>
              </w:rPr>
              <w:t>7,9</w:t>
            </w:r>
          </w:p>
        </w:tc>
        <w:tc>
          <w:tcPr>
            <w:tcW w:w="567" w:type="dxa"/>
            <w:tcBorders>
              <w:top w:val="single" w:sz="4" w:space="0" w:color="auto"/>
              <w:left w:val="single" w:sz="4" w:space="0" w:color="auto"/>
              <w:bottom w:val="single" w:sz="4" w:space="0" w:color="auto"/>
              <w:right w:val="double" w:sz="4" w:space="0" w:color="auto"/>
            </w:tcBorders>
            <w:vAlign w:val="bottom"/>
          </w:tcPr>
          <w:p w14:paraId="5A8B1411" w14:textId="77777777" w:rsidR="00990E4C" w:rsidRPr="009178B4" w:rsidRDefault="00990E4C" w:rsidP="00E72E3B">
            <w:pPr>
              <w:pStyle w:val="tabteksts"/>
              <w:jc w:val="right"/>
              <w:rPr>
                <w:snapToGrid w:val="0"/>
              </w:rPr>
            </w:pPr>
            <w:r w:rsidRPr="009178B4">
              <w:rPr>
                <w:snapToGrid w:val="0"/>
              </w:rPr>
              <w:t>7,5</w:t>
            </w:r>
          </w:p>
        </w:tc>
      </w:tr>
      <w:tr w:rsidR="00990E4C" w:rsidRPr="007A44FD" w14:paraId="25DE7470"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691C547F" w14:textId="77777777" w:rsidR="00990E4C" w:rsidRPr="009178B4" w:rsidRDefault="00990E4C" w:rsidP="00E72E3B">
            <w:pPr>
              <w:pStyle w:val="tabteksts"/>
              <w:rPr>
                <w:snapToGrid w:val="0"/>
              </w:rPr>
            </w:pPr>
            <w:r w:rsidRPr="009178B4">
              <w:rPr>
                <w:snapToGrid w:val="0"/>
              </w:rPr>
              <w:t>17b. Starppatēriņš</w:t>
            </w:r>
          </w:p>
        </w:tc>
        <w:tc>
          <w:tcPr>
            <w:tcW w:w="1134" w:type="dxa"/>
            <w:tcBorders>
              <w:top w:val="single" w:sz="4" w:space="0" w:color="auto"/>
              <w:left w:val="single" w:sz="4" w:space="0" w:color="auto"/>
              <w:bottom w:val="single" w:sz="4" w:space="0" w:color="auto"/>
              <w:right w:val="double" w:sz="4" w:space="0" w:color="auto"/>
            </w:tcBorders>
            <w:vAlign w:val="bottom"/>
          </w:tcPr>
          <w:p w14:paraId="7EE26A3E" w14:textId="77777777" w:rsidR="00990E4C" w:rsidRPr="009178B4" w:rsidRDefault="00990E4C" w:rsidP="00E72E3B">
            <w:pPr>
              <w:pStyle w:val="tabteksts"/>
            </w:pPr>
            <w:r w:rsidRPr="009178B4">
              <w:t>P.2</w:t>
            </w:r>
          </w:p>
        </w:tc>
        <w:tc>
          <w:tcPr>
            <w:tcW w:w="992" w:type="dxa"/>
            <w:tcBorders>
              <w:top w:val="single" w:sz="4" w:space="0" w:color="auto"/>
              <w:left w:val="double" w:sz="4" w:space="0" w:color="auto"/>
              <w:bottom w:val="single" w:sz="4" w:space="0" w:color="auto"/>
              <w:right w:val="single" w:sz="4" w:space="0" w:color="auto"/>
            </w:tcBorders>
            <w:vAlign w:val="bottom"/>
          </w:tcPr>
          <w:p w14:paraId="4F12D21F" w14:textId="77777777" w:rsidR="00990E4C" w:rsidRPr="009178B4" w:rsidRDefault="00990E4C" w:rsidP="00E72E3B">
            <w:pPr>
              <w:pStyle w:val="tabteksts"/>
              <w:jc w:val="right"/>
              <w:rPr>
                <w:snapToGrid w:val="0"/>
              </w:rPr>
            </w:pPr>
            <w:r w:rsidRPr="009178B4">
              <w:rPr>
                <w:snapToGrid w:val="0"/>
              </w:rPr>
              <w:t>1 048,2</w:t>
            </w:r>
          </w:p>
        </w:tc>
        <w:tc>
          <w:tcPr>
            <w:tcW w:w="709" w:type="dxa"/>
            <w:tcBorders>
              <w:top w:val="single" w:sz="4" w:space="0" w:color="auto"/>
              <w:left w:val="nil"/>
              <w:bottom w:val="single" w:sz="4" w:space="0" w:color="auto"/>
              <w:right w:val="single" w:sz="4" w:space="0" w:color="auto"/>
            </w:tcBorders>
            <w:vAlign w:val="bottom"/>
          </w:tcPr>
          <w:p w14:paraId="2013C402" w14:textId="77777777" w:rsidR="00990E4C" w:rsidRPr="009178B4" w:rsidRDefault="00990E4C" w:rsidP="00E72E3B">
            <w:pPr>
              <w:pStyle w:val="tabteksts"/>
              <w:jc w:val="right"/>
              <w:rPr>
                <w:snapToGrid w:val="0"/>
              </w:rPr>
            </w:pPr>
            <w:r w:rsidRPr="009178B4">
              <w:rPr>
                <w:snapToGrid w:val="0"/>
              </w:rPr>
              <w:t>6,8</w:t>
            </w:r>
          </w:p>
        </w:tc>
        <w:tc>
          <w:tcPr>
            <w:tcW w:w="709" w:type="dxa"/>
            <w:tcBorders>
              <w:top w:val="single" w:sz="4" w:space="0" w:color="auto"/>
              <w:left w:val="nil"/>
              <w:bottom w:val="single" w:sz="4" w:space="0" w:color="auto"/>
              <w:right w:val="single" w:sz="4" w:space="0" w:color="auto"/>
            </w:tcBorders>
            <w:vAlign w:val="bottom"/>
          </w:tcPr>
          <w:p w14:paraId="315344EA" w14:textId="77777777" w:rsidR="00990E4C" w:rsidRPr="009178B4" w:rsidRDefault="00990E4C" w:rsidP="00E72E3B">
            <w:pPr>
              <w:pStyle w:val="tabteksts"/>
              <w:jc w:val="right"/>
              <w:rPr>
                <w:snapToGrid w:val="0"/>
              </w:rPr>
            </w:pPr>
            <w:r w:rsidRPr="009178B4">
              <w:rPr>
                <w:snapToGrid w:val="0"/>
              </w:rPr>
              <w:t>5,9</w:t>
            </w:r>
          </w:p>
        </w:tc>
        <w:tc>
          <w:tcPr>
            <w:tcW w:w="709" w:type="dxa"/>
            <w:tcBorders>
              <w:top w:val="single" w:sz="4" w:space="0" w:color="auto"/>
              <w:left w:val="nil"/>
              <w:bottom w:val="single" w:sz="4" w:space="0" w:color="auto"/>
              <w:right w:val="single" w:sz="4" w:space="0" w:color="auto"/>
            </w:tcBorders>
            <w:vAlign w:val="bottom"/>
          </w:tcPr>
          <w:p w14:paraId="628783B9" w14:textId="77777777" w:rsidR="00990E4C" w:rsidRPr="009178B4" w:rsidRDefault="00990E4C" w:rsidP="00E72E3B">
            <w:pPr>
              <w:pStyle w:val="tabteksts"/>
              <w:jc w:val="right"/>
              <w:rPr>
                <w:snapToGrid w:val="0"/>
              </w:rPr>
            </w:pPr>
            <w:r w:rsidRPr="009178B4">
              <w:rPr>
                <w:snapToGrid w:val="0"/>
              </w:rPr>
              <w:t>5,7</w:t>
            </w:r>
          </w:p>
        </w:tc>
        <w:tc>
          <w:tcPr>
            <w:tcW w:w="708" w:type="dxa"/>
            <w:tcBorders>
              <w:top w:val="single" w:sz="4" w:space="0" w:color="auto"/>
              <w:left w:val="nil"/>
              <w:bottom w:val="single" w:sz="4" w:space="0" w:color="auto"/>
              <w:right w:val="single" w:sz="4" w:space="0" w:color="auto"/>
            </w:tcBorders>
            <w:vAlign w:val="bottom"/>
          </w:tcPr>
          <w:p w14:paraId="03D52B53" w14:textId="77777777" w:rsidR="00990E4C" w:rsidRPr="009178B4" w:rsidRDefault="00990E4C" w:rsidP="00E72E3B">
            <w:pPr>
              <w:pStyle w:val="tabteksts"/>
              <w:jc w:val="right"/>
              <w:rPr>
                <w:snapToGrid w:val="0"/>
              </w:rPr>
            </w:pPr>
            <w:r w:rsidRPr="009178B4">
              <w:rPr>
                <w:snapToGrid w:val="0"/>
              </w:rPr>
              <w:t>5,3</w:t>
            </w:r>
          </w:p>
        </w:tc>
        <w:tc>
          <w:tcPr>
            <w:tcW w:w="567" w:type="dxa"/>
            <w:tcBorders>
              <w:top w:val="single" w:sz="4" w:space="0" w:color="auto"/>
              <w:left w:val="single" w:sz="4" w:space="0" w:color="auto"/>
              <w:bottom w:val="single" w:sz="4" w:space="0" w:color="auto"/>
              <w:right w:val="double" w:sz="4" w:space="0" w:color="auto"/>
            </w:tcBorders>
            <w:vAlign w:val="bottom"/>
          </w:tcPr>
          <w:p w14:paraId="23EBBDD6" w14:textId="77777777" w:rsidR="00990E4C" w:rsidRPr="009178B4" w:rsidRDefault="00990E4C" w:rsidP="00E72E3B">
            <w:pPr>
              <w:pStyle w:val="tabteksts"/>
              <w:jc w:val="right"/>
              <w:rPr>
                <w:snapToGrid w:val="0"/>
              </w:rPr>
            </w:pPr>
            <w:r w:rsidRPr="009178B4">
              <w:rPr>
                <w:snapToGrid w:val="0"/>
              </w:rPr>
              <w:t>4,9</w:t>
            </w:r>
          </w:p>
        </w:tc>
      </w:tr>
      <w:tr w:rsidR="00990E4C" w:rsidRPr="007A44FD" w14:paraId="3BD6B17B"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6225C148" w14:textId="77777777" w:rsidR="00990E4C" w:rsidRPr="009178B4" w:rsidRDefault="00990E4C" w:rsidP="00E72E3B">
            <w:pPr>
              <w:pStyle w:val="tabteksts"/>
              <w:rPr>
                <w:snapToGrid w:val="0"/>
              </w:rPr>
            </w:pPr>
            <w:r w:rsidRPr="009178B4">
              <w:rPr>
                <w:snapToGrid w:val="0"/>
              </w:rPr>
              <w:t xml:space="preserve">18. Sociālie maksājumi (18=18a+18b) </w:t>
            </w:r>
          </w:p>
        </w:tc>
        <w:tc>
          <w:tcPr>
            <w:tcW w:w="1134" w:type="dxa"/>
            <w:tcBorders>
              <w:top w:val="single" w:sz="4" w:space="0" w:color="auto"/>
              <w:left w:val="single" w:sz="4" w:space="0" w:color="auto"/>
              <w:bottom w:val="single" w:sz="4" w:space="0" w:color="auto"/>
              <w:right w:val="double" w:sz="4" w:space="0" w:color="auto"/>
            </w:tcBorders>
            <w:vAlign w:val="bottom"/>
          </w:tcPr>
          <w:p w14:paraId="5D74C3C4" w14:textId="77777777" w:rsidR="00990E4C" w:rsidRPr="009178B4" w:rsidRDefault="00990E4C" w:rsidP="00E72E3B">
            <w:pPr>
              <w:pStyle w:val="tabteksts"/>
            </w:pPr>
          </w:p>
        </w:tc>
        <w:tc>
          <w:tcPr>
            <w:tcW w:w="992" w:type="dxa"/>
            <w:tcBorders>
              <w:top w:val="single" w:sz="4" w:space="0" w:color="auto"/>
              <w:left w:val="double" w:sz="4" w:space="0" w:color="auto"/>
              <w:bottom w:val="single" w:sz="4" w:space="0" w:color="auto"/>
              <w:right w:val="single" w:sz="4" w:space="0" w:color="auto"/>
            </w:tcBorders>
            <w:vAlign w:val="bottom"/>
          </w:tcPr>
          <w:p w14:paraId="63872386" w14:textId="77777777" w:rsidR="00990E4C" w:rsidRPr="009178B4" w:rsidRDefault="00990E4C" w:rsidP="00E72E3B">
            <w:pPr>
              <w:pStyle w:val="tabteksts"/>
              <w:jc w:val="right"/>
              <w:rPr>
                <w:snapToGrid w:val="0"/>
              </w:rPr>
            </w:pPr>
            <w:r w:rsidRPr="009178B4">
              <w:rPr>
                <w:snapToGrid w:val="0"/>
              </w:rPr>
              <w:t>1 603,0</w:t>
            </w:r>
          </w:p>
        </w:tc>
        <w:tc>
          <w:tcPr>
            <w:tcW w:w="709" w:type="dxa"/>
            <w:tcBorders>
              <w:top w:val="single" w:sz="4" w:space="0" w:color="auto"/>
              <w:left w:val="nil"/>
              <w:bottom w:val="single" w:sz="4" w:space="0" w:color="auto"/>
              <w:right w:val="single" w:sz="4" w:space="0" w:color="auto"/>
            </w:tcBorders>
            <w:vAlign w:val="bottom"/>
          </w:tcPr>
          <w:p w14:paraId="526AA60B" w14:textId="77777777" w:rsidR="00990E4C" w:rsidRPr="009178B4" w:rsidRDefault="00990E4C" w:rsidP="00E72E3B">
            <w:pPr>
              <w:pStyle w:val="tabteksts"/>
              <w:jc w:val="right"/>
              <w:rPr>
                <w:snapToGrid w:val="0"/>
              </w:rPr>
            </w:pPr>
            <w:r w:rsidRPr="009178B4">
              <w:rPr>
                <w:snapToGrid w:val="0"/>
              </w:rPr>
              <w:t>10,3</w:t>
            </w:r>
          </w:p>
        </w:tc>
        <w:tc>
          <w:tcPr>
            <w:tcW w:w="709" w:type="dxa"/>
            <w:tcBorders>
              <w:top w:val="single" w:sz="4" w:space="0" w:color="auto"/>
              <w:left w:val="nil"/>
              <w:bottom w:val="single" w:sz="4" w:space="0" w:color="auto"/>
              <w:right w:val="single" w:sz="4" w:space="0" w:color="auto"/>
            </w:tcBorders>
            <w:vAlign w:val="bottom"/>
          </w:tcPr>
          <w:p w14:paraId="6070D015" w14:textId="77777777" w:rsidR="00990E4C" w:rsidRPr="009178B4" w:rsidRDefault="00990E4C" w:rsidP="00E72E3B">
            <w:pPr>
              <w:pStyle w:val="tabteksts"/>
              <w:jc w:val="right"/>
              <w:rPr>
                <w:snapToGrid w:val="0"/>
              </w:rPr>
            </w:pPr>
            <w:r w:rsidRPr="009178B4">
              <w:rPr>
                <w:snapToGrid w:val="0"/>
              </w:rPr>
              <w:t>10,4</w:t>
            </w:r>
          </w:p>
        </w:tc>
        <w:tc>
          <w:tcPr>
            <w:tcW w:w="709" w:type="dxa"/>
            <w:tcBorders>
              <w:top w:val="single" w:sz="4" w:space="0" w:color="auto"/>
              <w:left w:val="nil"/>
              <w:bottom w:val="single" w:sz="4" w:space="0" w:color="auto"/>
              <w:right w:val="single" w:sz="4" w:space="0" w:color="auto"/>
            </w:tcBorders>
            <w:vAlign w:val="bottom"/>
          </w:tcPr>
          <w:p w14:paraId="62EB9888" w14:textId="77777777" w:rsidR="00990E4C" w:rsidRPr="009178B4" w:rsidRDefault="00990E4C" w:rsidP="00E72E3B">
            <w:pPr>
              <w:pStyle w:val="tabteksts"/>
              <w:jc w:val="right"/>
              <w:rPr>
                <w:snapToGrid w:val="0"/>
              </w:rPr>
            </w:pPr>
            <w:r w:rsidRPr="009178B4">
              <w:rPr>
                <w:snapToGrid w:val="0"/>
              </w:rPr>
              <w:t>9,8</w:t>
            </w:r>
          </w:p>
        </w:tc>
        <w:tc>
          <w:tcPr>
            <w:tcW w:w="708" w:type="dxa"/>
            <w:tcBorders>
              <w:top w:val="single" w:sz="4" w:space="0" w:color="auto"/>
              <w:left w:val="nil"/>
              <w:bottom w:val="single" w:sz="4" w:space="0" w:color="auto"/>
              <w:right w:val="single" w:sz="4" w:space="0" w:color="auto"/>
            </w:tcBorders>
            <w:vAlign w:val="bottom"/>
          </w:tcPr>
          <w:p w14:paraId="0347909F" w14:textId="77777777" w:rsidR="00990E4C" w:rsidRPr="009178B4" w:rsidRDefault="00990E4C" w:rsidP="00E72E3B">
            <w:pPr>
              <w:pStyle w:val="tabteksts"/>
              <w:jc w:val="right"/>
              <w:rPr>
                <w:snapToGrid w:val="0"/>
              </w:rPr>
            </w:pPr>
            <w:r w:rsidRPr="009178B4">
              <w:rPr>
                <w:snapToGrid w:val="0"/>
              </w:rPr>
              <w:t>9,4</w:t>
            </w:r>
          </w:p>
        </w:tc>
        <w:tc>
          <w:tcPr>
            <w:tcW w:w="567" w:type="dxa"/>
            <w:tcBorders>
              <w:top w:val="single" w:sz="4" w:space="0" w:color="auto"/>
              <w:left w:val="single" w:sz="4" w:space="0" w:color="auto"/>
              <w:bottom w:val="single" w:sz="4" w:space="0" w:color="auto"/>
              <w:right w:val="double" w:sz="4" w:space="0" w:color="auto"/>
            </w:tcBorders>
            <w:vAlign w:val="bottom"/>
          </w:tcPr>
          <w:p w14:paraId="6B83D6DC" w14:textId="77777777" w:rsidR="00990E4C" w:rsidRPr="009178B4" w:rsidRDefault="00990E4C" w:rsidP="00E72E3B">
            <w:pPr>
              <w:pStyle w:val="tabteksts"/>
              <w:jc w:val="right"/>
              <w:rPr>
                <w:snapToGrid w:val="0"/>
              </w:rPr>
            </w:pPr>
            <w:r w:rsidRPr="009178B4">
              <w:rPr>
                <w:snapToGrid w:val="0"/>
              </w:rPr>
              <w:t>8,7</w:t>
            </w:r>
          </w:p>
        </w:tc>
      </w:tr>
      <w:tr w:rsidR="00990E4C" w:rsidRPr="007A44FD" w14:paraId="75A450C1"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vAlign w:val="center"/>
          </w:tcPr>
          <w:p w14:paraId="36639A52" w14:textId="77777777" w:rsidR="00990E4C" w:rsidRPr="009178B4" w:rsidRDefault="00990E4C" w:rsidP="00E72E3B">
            <w:pPr>
              <w:pStyle w:val="tabteksts"/>
              <w:rPr>
                <w:snapToGrid w:val="0"/>
              </w:rPr>
            </w:pPr>
            <w:r w:rsidRPr="009178B4">
              <w:rPr>
                <w:snapToGrid w:val="0"/>
              </w:rPr>
              <w:t xml:space="preserve">        tai skaitā bezdarbnieku pabalsti</w:t>
            </w:r>
          </w:p>
        </w:tc>
        <w:tc>
          <w:tcPr>
            <w:tcW w:w="1134" w:type="dxa"/>
            <w:tcBorders>
              <w:top w:val="single" w:sz="4" w:space="0" w:color="auto"/>
              <w:left w:val="single" w:sz="4" w:space="0" w:color="auto"/>
              <w:bottom w:val="single" w:sz="4" w:space="0" w:color="auto"/>
              <w:right w:val="double" w:sz="4" w:space="0" w:color="auto"/>
            </w:tcBorders>
            <w:vAlign w:val="center"/>
          </w:tcPr>
          <w:p w14:paraId="2623FF14" w14:textId="77777777" w:rsidR="00990E4C" w:rsidRPr="009178B4" w:rsidRDefault="00990E4C" w:rsidP="00E72E3B">
            <w:pPr>
              <w:pStyle w:val="tabteksts"/>
            </w:pPr>
          </w:p>
        </w:tc>
        <w:tc>
          <w:tcPr>
            <w:tcW w:w="992" w:type="dxa"/>
            <w:tcBorders>
              <w:top w:val="single" w:sz="4" w:space="0" w:color="auto"/>
              <w:left w:val="double" w:sz="4" w:space="0" w:color="auto"/>
              <w:bottom w:val="single" w:sz="4" w:space="0" w:color="auto"/>
              <w:right w:val="single" w:sz="4" w:space="0" w:color="auto"/>
            </w:tcBorders>
            <w:vAlign w:val="bottom"/>
          </w:tcPr>
          <w:p w14:paraId="4DFD5A16" w14:textId="77777777" w:rsidR="00990E4C" w:rsidRPr="009178B4" w:rsidRDefault="00990E4C" w:rsidP="00E72E3B">
            <w:pPr>
              <w:pStyle w:val="tabteksts"/>
              <w:jc w:val="right"/>
              <w:rPr>
                <w:snapToGrid w:val="0"/>
              </w:rPr>
            </w:pPr>
            <w:r w:rsidRPr="009178B4">
              <w:rPr>
                <w:snapToGrid w:val="0"/>
              </w:rPr>
              <w:t>40,9</w:t>
            </w:r>
          </w:p>
        </w:tc>
        <w:tc>
          <w:tcPr>
            <w:tcW w:w="709" w:type="dxa"/>
            <w:tcBorders>
              <w:top w:val="single" w:sz="4" w:space="0" w:color="auto"/>
              <w:left w:val="nil"/>
              <w:bottom w:val="single" w:sz="4" w:space="0" w:color="auto"/>
              <w:right w:val="single" w:sz="4" w:space="0" w:color="auto"/>
            </w:tcBorders>
            <w:vAlign w:val="bottom"/>
          </w:tcPr>
          <w:p w14:paraId="0B75E433" w14:textId="77777777" w:rsidR="00990E4C" w:rsidRPr="009178B4" w:rsidRDefault="00990E4C" w:rsidP="00E72E3B">
            <w:pPr>
              <w:pStyle w:val="tabteksts"/>
              <w:jc w:val="right"/>
              <w:rPr>
                <w:snapToGrid w:val="0"/>
              </w:rPr>
            </w:pPr>
            <w:r w:rsidRPr="009178B4">
              <w:rPr>
                <w:snapToGrid w:val="0"/>
              </w:rPr>
              <w:t>0,3</w:t>
            </w:r>
          </w:p>
        </w:tc>
        <w:tc>
          <w:tcPr>
            <w:tcW w:w="709" w:type="dxa"/>
            <w:tcBorders>
              <w:top w:val="single" w:sz="4" w:space="0" w:color="auto"/>
              <w:left w:val="nil"/>
              <w:bottom w:val="single" w:sz="4" w:space="0" w:color="auto"/>
              <w:right w:val="single" w:sz="4" w:space="0" w:color="auto"/>
            </w:tcBorders>
            <w:vAlign w:val="bottom"/>
          </w:tcPr>
          <w:p w14:paraId="44C022B6" w14:textId="77777777" w:rsidR="00990E4C" w:rsidRPr="009178B4" w:rsidRDefault="00990E4C" w:rsidP="00E72E3B">
            <w:pPr>
              <w:pStyle w:val="tabteksts"/>
              <w:jc w:val="right"/>
              <w:rPr>
                <w:snapToGrid w:val="0"/>
              </w:rPr>
            </w:pPr>
            <w:r w:rsidRPr="009178B4">
              <w:rPr>
                <w:snapToGrid w:val="0"/>
              </w:rPr>
              <w:t>0,3</w:t>
            </w:r>
          </w:p>
        </w:tc>
        <w:tc>
          <w:tcPr>
            <w:tcW w:w="709" w:type="dxa"/>
            <w:tcBorders>
              <w:top w:val="single" w:sz="4" w:space="0" w:color="auto"/>
              <w:left w:val="nil"/>
              <w:bottom w:val="single" w:sz="4" w:space="0" w:color="auto"/>
              <w:right w:val="single" w:sz="4" w:space="0" w:color="auto"/>
            </w:tcBorders>
            <w:vAlign w:val="bottom"/>
          </w:tcPr>
          <w:p w14:paraId="1A008413" w14:textId="77777777" w:rsidR="00990E4C" w:rsidRPr="009178B4" w:rsidRDefault="00990E4C" w:rsidP="00E72E3B">
            <w:pPr>
              <w:pStyle w:val="tabteksts"/>
              <w:jc w:val="right"/>
              <w:rPr>
                <w:snapToGrid w:val="0"/>
              </w:rPr>
            </w:pPr>
            <w:r w:rsidRPr="009178B4">
              <w:rPr>
                <w:snapToGrid w:val="0"/>
              </w:rPr>
              <w:t>0,3</w:t>
            </w:r>
          </w:p>
        </w:tc>
        <w:tc>
          <w:tcPr>
            <w:tcW w:w="708" w:type="dxa"/>
            <w:tcBorders>
              <w:top w:val="single" w:sz="4" w:space="0" w:color="auto"/>
              <w:left w:val="nil"/>
              <w:bottom w:val="single" w:sz="4" w:space="0" w:color="auto"/>
              <w:right w:val="single" w:sz="4" w:space="0" w:color="auto"/>
            </w:tcBorders>
            <w:vAlign w:val="bottom"/>
          </w:tcPr>
          <w:p w14:paraId="20D78C38" w14:textId="77777777" w:rsidR="00990E4C" w:rsidRPr="009178B4" w:rsidRDefault="00990E4C" w:rsidP="00E72E3B">
            <w:pPr>
              <w:pStyle w:val="tabteksts"/>
              <w:jc w:val="right"/>
              <w:rPr>
                <w:snapToGrid w:val="0"/>
              </w:rPr>
            </w:pPr>
            <w:r w:rsidRPr="009178B4">
              <w:rPr>
                <w:snapToGrid w:val="0"/>
              </w:rPr>
              <w:t>0,3</w:t>
            </w:r>
          </w:p>
        </w:tc>
        <w:tc>
          <w:tcPr>
            <w:tcW w:w="567" w:type="dxa"/>
            <w:tcBorders>
              <w:top w:val="single" w:sz="4" w:space="0" w:color="auto"/>
              <w:left w:val="single" w:sz="4" w:space="0" w:color="auto"/>
              <w:bottom w:val="single" w:sz="4" w:space="0" w:color="auto"/>
              <w:right w:val="double" w:sz="4" w:space="0" w:color="auto"/>
            </w:tcBorders>
            <w:vAlign w:val="bottom"/>
          </w:tcPr>
          <w:p w14:paraId="082B067B" w14:textId="77777777" w:rsidR="00990E4C" w:rsidRPr="009178B4" w:rsidRDefault="00990E4C" w:rsidP="00E72E3B">
            <w:pPr>
              <w:pStyle w:val="tabteksts"/>
              <w:jc w:val="right"/>
              <w:rPr>
                <w:snapToGrid w:val="0"/>
              </w:rPr>
            </w:pPr>
            <w:r w:rsidRPr="009178B4">
              <w:rPr>
                <w:snapToGrid w:val="0"/>
              </w:rPr>
              <w:t>0,2</w:t>
            </w:r>
          </w:p>
        </w:tc>
      </w:tr>
      <w:tr w:rsidR="00990E4C" w:rsidRPr="007A44FD" w14:paraId="2E5107C4"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vAlign w:val="center"/>
          </w:tcPr>
          <w:p w14:paraId="3BBB0588" w14:textId="77777777" w:rsidR="00990E4C" w:rsidRPr="009178B4" w:rsidRDefault="00990E4C" w:rsidP="00E72E3B">
            <w:pPr>
              <w:pStyle w:val="tabteksts"/>
              <w:rPr>
                <w:snapToGrid w:val="0"/>
              </w:rPr>
            </w:pPr>
            <w:r w:rsidRPr="009178B4">
              <w:rPr>
                <w:snapToGrid w:val="0"/>
              </w:rPr>
              <w:t xml:space="preserve">18a. Sociālie pārvedumi piegādāti caur tirgus ražotājiem </w:t>
            </w:r>
          </w:p>
        </w:tc>
        <w:tc>
          <w:tcPr>
            <w:tcW w:w="1134" w:type="dxa"/>
            <w:tcBorders>
              <w:top w:val="single" w:sz="4" w:space="0" w:color="auto"/>
              <w:left w:val="single" w:sz="4" w:space="0" w:color="auto"/>
              <w:bottom w:val="single" w:sz="4" w:space="0" w:color="auto"/>
              <w:right w:val="double" w:sz="4" w:space="0" w:color="auto"/>
            </w:tcBorders>
            <w:vAlign w:val="center"/>
          </w:tcPr>
          <w:p w14:paraId="10D01158" w14:textId="77777777" w:rsidR="00990E4C" w:rsidRPr="009178B4" w:rsidRDefault="00990E4C" w:rsidP="00E72E3B">
            <w:pPr>
              <w:pStyle w:val="tabteksts"/>
            </w:pPr>
            <w:r w:rsidRPr="009178B4">
              <w:t>D.6311,</w:t>
            </w:r>
          </w:p>
          <w:p w14:paraId="193615C4" w14:textId="77777777" w:rsidR="00990E4C" w:rsidRPr="009178B4" w:rsidRDefault="00990E4C" w:rsidP="00E72E3B">
            <w:pPr>
              <w:pStyle w:val="tabteksts"/>
            </w:pPr>
            <w:r w:rsidRPr="009178B4">
              <w:t>D.63121,</w:t>
            </w:r>
          </w:p>
          <w:p w14:paraId="4AEDCDE7" w14:textId="77777777" w:rsidR="00990E4C" w:rsidRPr="009178B4" w:rsidRDefault="00990E4C" w:rsidP="00E72E3B">
            <w:pPr>
              <w:pStyle w:val="tabteksts"/>
            </w:pPr>
            <w:r w:rsidRPr="009178B4">
              <w:t xml:space="preserve">D.63131 </w:t>
            </w:r>
          </w:p>
        </w:tc>
        <w:tc>
          <w:tcPr>
            <w:tcW w:w="992" w:type="dxa"/>
            <w:tcBorders>
              <w:top w:val="single" w:sz="4" w:space="0" w:color="auto"/>
              <w:left w:val="double" w:sz="4" w:space="0" w:color="auto"/>
              <w:bottom w:val="single" w:sz="4" w:space="0" w:color="auto"/>
              <w:right w:val="single" w:sz="4" w:space="0" w:color="auto"/>
            </w:tcBorders>
            <w:vAlign w:val="bottom"/>
          </w:tcPr>
          <w:p w14:paraId="2000FE9F" w14:textId="77777777" w:rsidR="00990E4C" w:rsidRPr="009178B4" w:rsidRDefault="00990E4C" w:rsidP="00E72E3B">
            <w:pPr>
              <w:pStyle w:val="tabteksts"/>
              <w:jc w:val="right"/>
              <w:rPr>
                <w:snapToGrid w:val="0"/>
              </w:rPr>
            </w:pPr>
            <w:r w:rsidRPr="009178B4">
              <w:rPr>
                <w:snapToGrid w:val="0"/>
              </w:rPr>
              <w:t>80,0</w:t>
            </w:r>
          </w:p>
        </w:tc>
        <w:tc>
          <w:tcPr>
            <w:tcW w:w="709" w:type="dxa"/>
            <w:tcBorders>
              <w:top w:val="single" w:sz="4" w:space="0" w:color="auto"/>
              <w:left w:val="nil"/>
              <w:bottom w:val="single" w:sz="4" w:space="0" w:color="auto"/>
              <w:right w:val="single" w:sz="4" w:space="0" w:color="auto"/>
            </w:tcBorders>
            <w:vAlign w:val="bottom"/>
          </w:tcPr>
          <w:p w14:paraId="6134DC39" w14:textId="77777777" w:rsidR="00990E4C" w:rsidRPr="009178B4" w:rsidRDefault="00990E4C" w:rsidP="00E72E3B">
            <w:pPr>
              <w:pStyle w:val="tabteksts"/>
              <w:jc w:val="right"/>
              <w:rPr>
                <w:snapToGrid w:val="0"/>
              </w:rPr>
            </w:pPr>
            <w:r w:rsidRPr="009178B4">
              <w:rPr>
                <w:snapToGrid w:val="0"/>
              </w:rPr>
              <w:t>0,5</w:t>
            </w:r>
          </w:p>
        </w:tc>
        <w:tc>
          <w:tcPr>
            <w:tcW w:w="709" w:type="dxa"/>
            <w:tcBorders>
              <w:top w:val="single" w:sz="4" w:space="0" w:color="auto"/>
              <w:left w:val="nil"/>
              <w:bottom w:val="single" w:sz="4" w:space="0" w:color="auto"/>
              <w:right w:val="single" w:sz="4" w:space="0" w:color="auto"/>
            </w:tcBorders>
            <w:vAlign w:val="bottom"/>
          </w:tcPr>
          <w:p w14:paraId="43F154F8" w14:textId="77777777" w:rsidR="00990E4C" w:rsidRPr="009178B4" w:rsidRDefault="00990E4C" w:rsidP="00E72E3B">
            <w:pPr>
              <w:pStyle w:val="tabteksts"/>
              <w:jc w:val="right"/>
              <w:rPr>
                <w:snapToGrid w:val="0"/>
              </w:rPr>
            </w:pPr>
            <w:r w:rsidRPr="009178B4">
              <w:rPr>
                <w:snapToGrid w:val="0"/>
              </w:rPr>
              <w:t>0,9</w:t>
            </w:r>
          </w:p>
        </w:tc>
        <w:tc>
          <w:tcPr>
            <w:tcW w:w="709" w:type="dxa"/>
            <w:tcBorders>
              <w:top w:val="single" w:sz="4" w:space="0" w:color="auto"/>
              <w:left w:val="nil"/>
              <w:bottom w:val="single" w:sz="4" w:space="0" w:color="auto"/>
              <w:right w:val="single" w:sz="4" w:space="0" w:color="auto"/>
            </w:tcBorders>
            <w:vAlign w:val="bottom"/>
          </w:tcPr>
          <w:p w14:paraId="1C5574E7" w14:textId="77777777" w:rsidR="00990E4C" w:rsidRPr="009178B4" w:rsidRDefault="00990E4C" w:rsidP="00E72E3B">
            <w:pPr>
              <w:pStyle w:val="tabteksts"/>
              <w:jc w:val="right"/>
              <w:rPr>
                <w:snapToGrid w:val="0"/>
              </w:rPr>
            </w:pPr>
            <w:r w:rsidRPr="009178B4">
              <w:rPr>
                <w:snapToGrid w:val="0"/>
              </w:rPr>
              <w:t>0,8</w:t>
            </w:r>
          </w:p>
        </w:tc>
        <w:tc>
          <w:tcPr>
            <w:tcW w:w="708" w:type="dxa"/>
            <w:tcBorders>
              <w:top w:val="single" w:sz="4" w:space="0" w:color="auto"/>
              <w:left w:val="nil"/>
              <w:bottom w:val="single" w:sz="4" w:space="0" w:color="auto"/>
              <w:right w:val="single" w:sz="4" w:space="0" w:color="auto"/>
            </w:tcBorders>
            <w:vAlign w:val="bottom"/>
          </w:tcPr>
          <w:p w14:paraId="15728E59" w14:textId="77777777" w:rsidR="00990E4C" w:rsidRPr="009178B4" w:rsidRDefault="00990E4C" w:rsidP="00E72E3B">
            <w:pPr>
              <w:pStyle w:val="tabteksts"/>
              <w:jc w:val="right"/>
              <w:rPr>
                <w:snapToGrid w:val="0"/>
              </w:rPr>
            </w:pPr>
            <w:r w:rsidRPr="009178B4">
              <w:rPr>
                <w:snapToGrid w:val="0"/>
              </w:rPr>
              <w:t>0,7</w:t>
            </w:r>
          </w:p>
        </w:tc>
        <w:tc>
          <w:tcPr>
            <w:tcW w:w="567" w:type="dxa"/>
            <w:tcBorders>
              <w:top w:val="single" w:sz="4" w:space="0" w:color="auto"/>
              <w:left w:val="single" w:sz="4" w:space="0" w:color="auto"/>
              <w:bottom w:val="single" w:sz="4" w:space="0" w:color="auto"/>
              <w:right w:val="double" w:sz="4" w:space="0" w:color="auto"/>
            </w:tcBorders>
            <w:vAlign w:val="bottom"/>
          </w:tcPr>
          <w:p w14:paraId="66CBAA4C" w14:textId="77777777" w:rsidR="00990E4C" w:rsidRPr="009178B4" w:rsidRDefault="00990E4C" w:rsidP="00E72E3B">
            <w:pPr>
              <w:pStyle w:val="tabteksts"/>
              <w:jc w:val="right"/>
              <w:rPr>
                <w:snapToGrid w:val="0"/>
              </w:rPr>
            </w:pPr>
            <w:r w:rsidRPr="009178B4">
              <w:rPr>
                <w:snapToGrid w:val="0"/>
              </w:rPr>
              <w:t>0,7</w:t>
            </w:r>
          </w:p>
        </w:tc>
      </w:tr>
      <w:tr w:rsidR="00990E4C" w:rsidRPr="007A44FD" w14:paraId="1AD6009A"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vAlign w:val="center"/>
          </w:tcPr>
          <w:p w14:paraId="75A3C217" w14:textId="77777777" w:rsidR="00990E4C" w:rsidRPr="009178B4" w:rsidRDefault="00990E4C" w:rsidP="00E72E3B">
            <w:pPr>
              <w:pStyle w:val="tabteksts"/>
              <w:rPr>
                <w:snapToGrid w:val="0"/>
              </w:rPr>
            </w:pPr>
            <w:r w:rsidRPr="009178B4">
              <w:rPr>
                <w:snapToGrid w:val="0"/>
              </w:rPr>
              <w:t>18b. Sociālie pārvedumi, kas nav sociālie pārvedumi natūrā</w:t>
            </w:r>
          </w:p>
        </w:tc>
        <w:tc>
          <w:tcPr>
            <w:tcW w:w="1134" w:type="dxa"/>
            <w:tcBorders>
              <w:top w:val="single" w:sz="4" w:space="0" w:color="auto"/>
              <w:left w:val="single" w:sz="4" w:space="0" w:color="auto"/>
              <w:bottom w:val="single" w:sz="4" w:space="0" w:color="auto"/>
              <w:right w:val="double" w:sz="4" w:space="0" w:color="auto"/>
            </w:tcBorders>
            <w:vAlign w:val="center"/>
          </w:tcPr>
          <w:p w14:paraId="2659EF08" w14:textId="77777777" w:rsidR="00990E4C" w:rsidRPr="009178B4" w:rsidRDefault="00990E4C" w:rsidP="00E72E3B">
            <w:pPr>
              <w:pStyle w:val="tabteksts"/>
            </w:pPr>
            <w:r w:rsidRPr="009178B4">
              <w:t xml:space="preserve">D.62 </w:t>
            </w:r>
          </w:p>
        </w:tc>
        <w:tc>
          <w:tcPr>
            <w:tcW w:w="992" w:type="dxa"/>
            <w:tcBorders>
              <w:top w:val="single" w:sz="4" w:space="0" w:color="auto"/>
              <w:left w:val="double" w:sz="4" w:space="0" w:color="auto"/>
              <w:bottom w:val="single" w:sz="4" w:space="0" w:color="auto"/>
              <w:right w:val="single" w:sz="4" w:space="0" w:color="auto"/>
            </w:tcBorders>
            <w:vAlign w:val="bottom"/>
          </w:tcPr>
          <w:p w14:paraId="6333D75A" w14:textId="77777777" w:rsidR="00990E4C" w:rsidRPr="009178B4" w:rsidRDefault="00990E4C" w:rsidP="00E72E3B">
            <w:pPr>
              <w:pStyle w:val="tabteksts"/>
              <w:jc w:val="right"/>
              <w:rPr>
                <w:snapToGrid w:val="0"/>
              </w:rPr>
            </w:pPr>
            <w:r w:rsidRPr="009178B4">
              <w:rPr>
                <w:snapToGrid w:val="0"/>
              </w:rPr>
              <w:t>1 523,0</w:t>
            </w:r>
          </w:p>
        </w:tc>
        <w:tc>
          <w:tcPr>
            <w:tcW w:w="709" w:type="dxa"/>
            <w:tcBorders>
              <w:top w:val="single" w:sz="4" w:space="0" w:color="auto"/>
              <w:left w:val="nil"/>
              <w:bottom w:val="single" w:sz="4" w:space="0" w:color="auto"/>
              <w:right w:val="single" w:sz="4" w:space="0" w:color="auto"/>
            </w:tcBorders>
            <w:vAlign w:val="bottom"/>
          </w:tcPr>
          <w:p w14:paraId="56D9828B" w14:textId="77777777" w:rsidR="00990E4C" w:rsidRPr="009178B4" w:rsidRDefault="00990E4C" w:rsidP="00E72E3B">
            <w:pPr>
              <w:pStyle w:val="tabteksts"/>
              <w:jc w:val="right"/>
              <w:rPr>
                <w:snapToGrid w:val="0"/>
              </w:rPr>
            </w:pPr>
            <w:r w:rsidRPr="009178B4">
              <w:rPr>
                <w:snapToGrid w:val="0"/>
              </w:rPr>
              <w:t>9,8</w:t>
            </w:r>
          </w:p>
        </w:tc>
        <w:tc>
          <w:tcPr>
            <w:tcW w:w="709" w:type="dxa"/>
            <w:tcBorders>
              <w:top w:val="single" w:sz="4" w:space="0" w:color="auto"/>
              <w:left w:val="nil"/>
              <w:bottom w:val="single" w:sz="4" w:space="0" w:color="auto"/>
              <w:right w:val="single" w:sz="4" w:space="0" w:color="auto"/>
            </w:tcBorders>
            <w:vAlign w:val="bottom"/>
          </w:tcPr>
          <w:p w14:paraId="7171E915" w14:textId="77777777" w:rsidR="00990E4C" w:rsidRPr="009178B4" w:rsidRDefault="00990E4C" w:rsidP="00E72E3B">
            <w:pPr>
              <w:pStyle w:val="tabteksts"/>
              <w:jc w:val="right"/>
              <w:rPr>
                <w:snapToGrid w:val="0"/>
              </w:rPr>
            </w:pPr>
            <w:r w:rsidRPr="009178B4">
              <w:rPr>
                <w:snapToGrid w:val="0"/>
              </w:rPr>
              <w:t>9,5</w:t>
            </w:r>
          </w:p>
        </w:tc>
        <w:tc>
          <w:tcPr>
            <w:tcW w:w="709" w:type="dxa"/>
            <w:tcBorders>
              <w:top w:val="single" w:sz="4" w:space="0" w:color="auto"/>
              <w:left w:val="nil"/>
              <w:bottom w:val="single" w:sz="4" w:space="0" w:color="auto"/>
              <w:right w:val="single" w:sz="4" w:space="0" w:color="auto"/>
            </w:tcBorders>
            <w:vAlign w:val="bottom"/>
          </w:tcPr>
          <w:p w14:paraId="3A07BB9F" w14:textId="77777777" w:rsidR="00990E4C" w:rsidRPr="009178B4" w:rsidRDefault="00990E4C" w:rsidP="00E72E3B">
            <w:pPr>
              <w:pStyle w:val="tabteksts"/>
              <w:jc w:val="right"/>
              <w:rPr>
                <w:snapToGrid w:val="0"/>
              </w:rPr>
            </w:pPr>
            <w:r w:rsidRPr="009178B4">
              <w:rPr>
                <w:snapToGrid w:val="0"/>
              </w:rPr>
              <w:t>9,0</w:t>
            </w:r>
          </w:p>
        </w:tc>
        <w:tc>
          <w:tcPr>
            <w:tcW w:w="708" w:type="dxa"/>
            <w:tcBorders>
              <w:top w:val="single" w:sz="4" w:space="0" w:color="auto"/>
              <w:left w:val="nil"/>
              <w:bottom w:val="single" w:sz="4" w:space="0" w:color="auto"/>
              <w:right w:val="single" w:sz="4" w:space="0" w:color="auto"/>
            </w:tcBorders>
            <w:vAlign w:val="bottom"/>
          </w:tcPr>
          <w:p w14:paraId="55B5994E" w14:textId="77777777" w:rsidR="00990E4C" w:rsidRPr="009178B4" w:rsidRDefault="00990E4C" w:rsidP="00E72E3B">
            <w:pPr>
              <w:pStyle w:val="tabteksts"/>
              <w:jc w:val="right"/>
              <w:rPr>
                <w:snapToGrid w:val="0"/>
              </w:rPr>
            </w:pPr>
            <w:r w:rsidRPr="009178B4">
              <w:rPr>
                <w:snapToGrid w:val="0"/>
              </w:rPr>
              <w:t>8,7</w:t>
            </w:r>
          </w:p>
        </w:tc>
        <w:tc>
          <w:tcPr>
            <w:tcW w:w="567" w:type="dxa"/>
            <w:tcBorders>
              <w:top w:val="single" w:sz="4" w:space="0" w:color="auto"/>
              <w:left w:val="single" w:sz="4" w:space="0" w:color="auto"/>
              <w:bottom w:val="single" w:sz="4" w:space="0" w:color="auto"/>
              <w:right w:val="double" w:sz="4" w:space="0" w:color="auto"/>
            </w:tcBorders>
            <w:vAlign w:val="bottom"/>
          </w:tcPr>
          <w:p w14:paraId="32C7174F" w14:textId="77777777" w:rsidR="00990E4C" w:rsidRPr="009178B4" w:rsidRDefault="00990E4C" w:rsidP="00E72E3B">
            <w:pPr>
              <w:pStyle w:val="tabteksts"/>
              <w:jc w:val="right"/>
              <w:rPr>
                <w:snapToGrid w:val="0"/>
              </w:rPr>
            </w:pPr>
            <w:r w:rsidRPr="009178B4">
              <w:rPr>
                <w:snapToGrid w:val="0"/>
              </w:rPr>
              <w:t>8,1</w:t>
            </w:r>
          </w:p>
        </w:tc>
      </w:tr>
      <w:tr w:rsidR="00990E4C" w:rsidRPr="007A44FD" w14:paraId="3AD89369"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vAlign w:val="center"/>
          </w:tcPr>
          <w:p w14:paraId="1EE1D1B0" w14:textId="77777777" w:rsidR="00990E4C" w:rsidRPr="009178B4" w:rsidRDefault="00990E4C" w:rsidP="00E72E3B">
            <w:pPr>
              <w:pStyle w:val="tabteksts"/>
              <w:rPr>
                <w:snapToGrid w:val="0"/>
              </w:rPr>
            </w:pPr>
            <w:r w:rsidRPr="009178B4">
              <w:rPr>
                <w:snapToGrid w:val="0"/>
              </w:rPr>
              <w:t xml:space="preserve">19.=9. Procentu izdevumi </w:t>
            </w:r>
          </w:p>
        </w:tc>
        <w:tc>
          <w:tcPr>
            <w:tcW w:w="1134" w:type="dxa"/>
            <w:tcBorders>
              <w:top w:val="single" w:sz="4" w:space="0" w:color="auto"/>
              <w:left w:val="single" w:sz="4" w:space="0" w:color="auto"/>
              <w:bottom w:val="single" w:sz="4" w:space="0" w:color="auto"/>
              <w:right w:val="double" w:sz="4" w:space="0" w:color="auto"/>
            </w:tcBorders>
            <w:vAlign w:val="center"/>
          </w:tcPr>
          <w:p w14:paraId="58361A30" w14:textId="77777777" w:rsidR="00990E4C" w:rsidRPr="009178B4" w:rsidRDefault="00990E4C" w:rsidP="00E72E3B">
            <w:pPr>
              <w:pStyle w:val="tabteksts"/>
              <w:rPr>
                <w:snapToGrid w:val="0"/>
              </w:rPr>
            </w:pPr>
            <w:r w:rsidRPr="009178B4">
              <w:rPr>
                <w:snapToGrid w:val="0"/>
              </w:rPr>
              <w:t xml:space="preserve">EDP D.41 </w:t>
            </w:r>
          </w:p>
        </w:tc>
        <w:tc>
          <w:tcPr>
            <w:tcW w:w="992" w:type="dxa"/>
            <w:tcBorders>
              <w:top w:val="single" w:sz="4" w:space="0" w:color="auto"/>
              <w:left w:val="double" w:sz="4" w:space="0" w:color="auto"/>
              <w:bottom w:val="single" w:sz="4" w:space="0" w:color="auto"/>
              <w:right w:val="single" w:sz="4" w:space="0" w:color="auto"/>
            </w:tcBorders>
            <w:vAlign w:val="bottom"/>
          </w:tcPr>
          <w:p w14:paraId="2E9787B1" w14:textId="77777777" w:rsidR="00990E4C" w:rsidRPr="009178B4" w:rsidRDefault="00990E4C" w:rsidP="00E72E3B">
            <w:pPr>
              <w:pStyle w:val="tabteksts"/>
              <w:jc w:val="right"/>
              <w:rPr>
                <w:snapToGrid w:val="0"/>
              </w:rPr>
            </w:pPr>
            <w:r w:rsidRPr="009178B4">
              <w:rPr>
                <w:snapToGrid w:val="0"/>
              </w:rPr>
              <w:t>204,5</w:t>
            </w:r>
          </w:p>
        </w:tc>
        <w:tc>
          <w:tcPr>
            <w:tcW w:w="709" w:type="dxa"/>
            <w:tcBorders>
              <w:top w:val="single" w:sz="4" w:space="0" w:color="auto"/>
              <w:left w:val="nil"/>
              <w:bottom w:val="single" w:sz="4" w:space="0" w:color="auto"/>
              <w:right w:val="single" w:sz="4" w:space="0" w:color="auto"/>
            </w:tcBorders>
            <w:vAlign w:val="bottom"/>
          </w:tcPr>
          <w:p w14:paraId="063D6C7E" w14:textId="77777777" w:rsidR="00990E4C" w:rsidRPr="009178B4" w:rsidRDefault="00990E4C" w:rsidP="00E72E3B">
            <w:pPr>
              <w:pStyle w:val="tabteksts"/>
              <w:jc w:val="right"/>
              <w:rPr>
                <w:snapToGrid w:val="0"/>
              </w:rPr>
            </w:pPr>
            <w:r w:rsidRPr="009178B4">
              <w:rPr>
                <w:snapToGrid w:val="0"/>
              </w:rPr>
              <w:t>1,3</w:t>
            </w:r>
          </w:p>
        </w:tc>
        <w:tc>
          <w:tcPr>
            <w:tcW w:w="709" w:type="dxa"/>
            <w:tcBorders>
              <w:top w:val="single" w:sz="4" w:space="0" w:color="auto"/>
              <w:left w:val="nil"/>
              <w:bottom w:val="single" w:sz="4" w:space="0" w:color="auto"/>
              <w:right w:val="single" w:sz="4" w:space="0" w:color="auto"/>
            </w:tcBorders>
            <w:vAlign w:val="bottom"/>
          </w:tcPr>
          <w:p w14:paraId="7D77D36B" w14:textId="77777777" w:rsidR="00990E4C" w:rsidRPr="009178B4" w:rsidRDefault="00990E4C" w:rsidP="00E72E3B">
            <w:pPr>
              <w:pStyle w:val="tabteksts"/>
              <w:jc w:val="right"/>
              <w:rPr>
                <w:snapToGrid w:val="0"/>
              </w:rPr>
            </w:pPr>
            <w:r w:rsidRPr="009178B4">
              <w:rPr>
                <w:snapToGrid w:val="0"/>
              </w:rPr>
              <w:t>1,5</w:t>
            </w:r>
          </w:p>
        </w:tc>
        <w:tc>
          <w:tcPr>
            <w:tcW w:w="709" w:type="dxa"/>
            <w:tcBorders>
              <w:top w:val="single" w:sz="4" w:space="0" w:color="auto"/>
              <w:left w:val="nil"/>
              <w:bottom w:val="single" w:sz="4" w:space="0" w:color="auto"/>
              <w:right w:val="single" w:sz="4" w:space="0" w:color="auto"/>
            </w:tcBorders>
            <w:vAlign w:val="bottom"/>
          </w:tcPr>
          <w:p w14:paraId="78F6B22B" w14:textId="77777777" w:rsidR="00990E4C" w:rsidRPr="009178B4" w:rsidRDefault="00990E4C" w:rsidP="00E72E3B">
            <w:pPr>
              <w:pStyle w:val="tabteksts"/>
              <w:jc w:val="right"/>
              <w:rPr>
                <w:snapToGrid w:val="0"/>
              </w:rPr>
            </w:pPr>
            <w:r w:rsidRPr="009178B4">
              <w:rPr>
                <w:snapToGrid w:val="0"/>
              </w:rPr>
              <w:t>1,6</w:t>
            </w:r>
          </w:p>
        </w:tc>
        <w:tc>
          <w:tcPr>
            <w:tcW w:w="708" w:type="dxa"/>
            <w:tcBorders>
              <w:top w:val="single" w:sz="4" w:space="0" w:color="auto"/>
              <w:left w:val="nil"/>
              <w:bottom w:val="single" w:sz="4" w:space="0" w:color="auto"/>
              <w:right w:val="single" w:sz="4" w:space="0" w:color="auto"/>
            </w:tcBorders>
            <w:vAlign w:val="bottom"/>
          </w:tcPr>
          <w:p w14:paraId="2B1E1708" w14:textId="77777777" w:rsidR="00990E4C" w:rsidRPr="009178B4" w:rsidRDefault="00990E4C" w:rsidP="00E72E3B">
            <w:pPr>
              <w:pStyle w:val="tabteksts"/>
              <w:jc w:val="right"/>
              <w:rPr>
                <w:snapToGrid w:val="0"/>
              </w:rPr>
            </w:pPr>
            <w:r w:rsidRPr="009178B4">
              <w:rPr>
                <w:snapToGrid w:val="0"/>
              </w:rPr>
              <w:t>1,5</w:t>
            </w:r>
          </w:p>
        </w:tc>
        <w:tc>
          <w:tcPr>
            <w:tcW w:w="567" w:type="dxa"/>
            <w:tcBorders>
              <w:top w:val="single" w:sz="4" w:space="0" w:color="auto"/>
              <w:left w:val="single" w:sz="4" w:space="0" w:color="auto"/>
              <w:bottom w:val="single" w:sz="4" w:space="0" w:color="auto"/>
              <w:right w:val="double" w:sz="4" w:space="0" w:color="auto"/>
            </w:tcBorders>
            <w:vAlign w:val="bottom"/>
          </w:tcPr>
          <w:p w14:paraId="3C6647AD" w14:textId="77777777" w:rsidR="00990E4C" w:rsidRPr="009178B4" w:rsidRDefault="00990E4C" w:rsidP="00E72E3B">
            <w:pPr>
              <w:pStyle w:val="tabteksts"/>
              <w:jc w:val="right"/>
              <w:rPr>
                <w:snapToGrid w:val="0"/>
              </w:rPr>
            </w:pPr>
            <w:r w:rsidRPr="009178B4">
              <w:rPr>
                <w:snapToGrid w:val="0"/>
              </w:rPr>
              <w:t>1,4</w:t>
            </w:r>
          </w:p>
        </w:tc>
      </w:tr>
      <w:tr w:rsidR="00990E4C" w:rsidRPr="007A44FD" w14:paraId="3EAC39DC"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219BFBA3" w14:textId="77777777" w:rsidR="00990E4C" w:rsidRPr="009178B4" w:rsidRDefault="00990E4C" w:rsidP="00E72E3B">
            <w:pPr>
              <w:pStyle w:val="tabteksts"/>
              <w:rPr>
                <w:snapToGrid w:val="0"/>
              </w:rPr>
            </w:pPr>
            <w:r w:rsidRPr="009178B4">
              <w:rPr>
                <w:snapToGrid w:val="0"/>
              </w:rPr>
              <w:t>20. Subsīdijas</w:t>
            </w:r>
          </w:p>
        </w:tc>
        <w:tc>
          <w:tcPr>
            <w:tcW w:w="1134" w:type="dxa"/>
            <w:tcBorders>
              <w:top w:val="single" w:sz="4" w:space="0" w:color="auto"/>
              <w:left w:val="single" w:sz="4" w:space="0" w:color="auto"/>
              <w:bottom w:val="single" w:sz="4" w:space="0" w:color="auto"/>
              <w:right w:val="double" w:sz="4" w:space="0" w:color="auto"/>
            </w:tcBorders>
            <w:vAlign w:val="bottom"/>
          </w:tcPr>
          <w:p w14:paraId="7811638B" w14:textId="77777777" w:rsidR="00990E4C" w:rsidRPr="009178B4" w:rsidRDefault="00990E4C" w:rsidP="00E72E3B">
            <w:pPr>
              <w:pStyle w:val="tabteksts"/>
            </w:pPr>
            <w:r w:rsidRPr="009178B4">
              <w:t>D.3</w:t>
            </w:r>
          </w:p>
        </w:tc>
        <w:tc>
          <w:tcPr>
            <w:tcW w:w="992" w:type="dxa"/>
            <w:tcBorders>
              <w:top w:val="single" w:sz="4" w:space="0" w:color="auto"/>
              <w:left w:val="double" w:sz="4" w:space="0" w:color="auto"/>
              <w:bottom w:val="single" w:sz="4" w:space="0" w:color="auto"/>
              <w:right w:val="single" w:sz="4" w:space="0" w:color="auto"/>
            </w:tcBorders>
            <w:vAlign w:val="bottom"/>
          </w:tcPr>
          <w:p w14:paraId="4E24C8B3" w14:textId="77777777" w:rsidR="00990E4C" w:rsidRPr="009178B4" w:rsidRDefault="00990E4C" w:rsidP="00E72E3B">
            <w:pPr>
              <w:pStyle w:val="tabteksts"/>
              <w:jc w:val="right"/>
              <w:rPr>
                <w:snapToGrid w:val="0"/>
              </w:rPr>
            </w:pPr>
            <w:r w:rsidRPr="009178B4">
              <w:rPr>
                <w:snapToGrid w:val="0"/>
              </w:rPr>
              <w:t>125,1</w:t>
            </w:r>
          </w:p>
        </w:tc>
        <w:tc>
          <w:tcPr>
            <w:tcW w:w="709" w:type="dxa"/>
            <w:tcBorders>
              <w:top w:val="single" w:sz="4" w:space="0" w:color="auto"/>
              <w:left w:val="nil"/>
              <w:bottom w:val="single" w:sz="4" w:space="0" w:color="auto"/>
              <w:right w:val="single" w:sz="4" w:space="0" w:color="auto"/>
            </w:tcBorders>
            <w:vAlign w:val="bottom"/>
          </w:tcPr>
          <w:p w14:paraId="743468F2" w14:textId="77777777" w:rsidR="00990E4C" w:rsidRPr="009178B4" w:rsidRDefault="00990E4C" w:rsidP="00E72E3B">
            <w:pPr>
              <w:pStyle w:val="tabteksts"/>
              <w:jc w:val="right"/>
              <w:rPr>
                <w:snapToGrid w:val="0"/>
              </w:rPr>
            </w:pPr>
            <w:r w:rsidRPr="009178B4">
              <w:rPr>
                <w:snapToGrid w:val="0"/>
              </w:rPr>
              <w:t>0,8</w:t>
            </w:r>
          </w:p>
        </w:tc>
        <w:tc>
          <w:tcPr>
            <w:tcW w:w="709" w:type="dxa"/>
            <w:tcBorders>
              <w:top w:val="single" w:sz="4" w:space="0" w:color="auto"/>
              <w:left w:val="nil"/>
              <w:bottom w:val="single" w:sz="4" w:space="0" w:color="auto"/>
              <w:right w:val="single" w:sz="4" w:space="0" w:color="auto"/>
            </w:tcBorders>
            <w:vAlign w:val="bottom"/>
          </w:tcPr>
          <w:p w14:paraId="19AAF7AA" w14:textId="77777777" w:rsidR="00990E4C" w:rsidRPr="009178B4" w:rsidRDefault="00990E4C" w:rsidP="00E72E3B">
            <w:pPr>
              <w:pStyle w:val="tabteksts"/>
              <w:jc w:val="right"/>
              <w:rPr>
                <w:snapToGrid w:val="0"/>
              </w:rPr>
            </w:pPr>
            <w:r w:rsidRPr="009178B4">
              <w:rPr>
                <w:snapToGrid w:val="0"/>
              </w:rPr>
              <w:t>0,7</w:t>
            </w:r>
          </w:p>
        </w:tc>
        <w:tc>
          <w:tcPr>
            <w:tcW w:w="709" w:type="dxa"/>
            <w:tcBorders>
              <w:top w:val="single" w:sz="4" w:space="0" w:color="auto"/>
              <w:left w:val="nil"/>
              <w:bottom w:val="single" w:sz="4" w:space="0" w:color="auto"/>
              <w:right w:val="single" w:sz="4" w:space="0" w:color="auto"/>
            </w:tcBorders>
            <w:vAlign w:val="bottom"/>
          </w:tcPr>
          <w:p w14:paraId="4EEBF007" w14:textId="77777777" w:rsidR="00990E4C" w:rsidRPr="009178B4" w:rsidRDefault="00990E4C" w:rsidP="00E72E3B">
            <w:pPr>
              <w:pStyle w:val="tabteksts"/>
              <w:jc w:val="right"/>
              <w:rPr>
                <w:snapToGrid w:val="0"/>
              </w:rPr>
            </w:pPr>
            <w:r w:rsidRPr="009178B4">
              <w:rPr>
                <w:snapToGrid w:val="0"/>
              </w:rPr>
              <w:t>0,9</w:t>
            </w:r>
          </w:p>
        </w:tc>
        <w:tc>
          <w:tcPr>
            <w:tcW w:w="708" w:type="dxa"/>
            <w:tcBorders>
              <w:top w:val="single" w:sz="4" w:space="0" w:color="auto"/>
              <w:left w:val="nil"/>
              <w:bottom w:val="single" w:sz="4" w:space="0" w:color="auto"/>
              <w:right w:val="single" w:sz="4" w:space="0" w:color="auto"/>
            </w:tcBorders>
            <w:vAlign w:val="bottom"/>
          </w:tcPr>
          <w:p w14:paraId="4C640A05" w14:textId="77777777" w:rsidR="00990E4C" w:rsidRPr="009178B4" w:rsidRDefault="00990E4C" w:rsidP="00E72E3B">
            <w:pPr>
              <w:pStyle w:val="tabteksts"/>
              <w:jc w:val="right"/>
              <w:rPr>
                <w:snapToGrid w:val="0"/>
              </w:rPr>
            </w:pPr>
            <w:r w:rsidRPr="009178B4">
              <w:rPr>
                <w:snapToGrid w:val="0"/>
              </w:rPr>
              <w:t>0,8</w:t>
            </w:r>
          </w:p>
        </w:tc>
        <w:tc>
          <w:tcPr>
            <w:tcW w:w="567" w:type="dxa"/>
            <w:tcBorders>
              <w:top w:val="single" w:sz="4" w:space="0" w:color="auto"/>
              <w:left w:val="single" w:sz="4" w:space="0" w:color="auto"/>
              <w:bottom w:val="single" w:sz="4" w:space="0" w:color="auto"/>
              <w:right w:val="double" w:sz="4" w:space="0" w:color="auto"/>
            </w:tcBorders>
            <w:vAlign w:val="bottom"/>
          </w:tcPr>
          <w:p w14:paraId="34E1349D" w14:textId="77777777" w:rsidR="00990E4C" w:rsidRPr="009178B4" w:rsidRDefault="00990E4C" w:rsidP="00E72E3B">
            <w:pPr>
              <w:pStyle w:val="tabteksts"/>
              <w:jc w:val="right"/>
              <w:rPr>
                <w:snapToGrid w:val="0"/>
              </w:rPr>
            </w:pPr>
            <w:r w:rsidRPr="009178B4">
              <w:rPr>
                <w:snapToGrid w:val="0"/>
              </w:rPr>
              <w:t>1,0</w:t>
            </w:r>
          </w:p>
        </w:tc>
      </w:tr>
      <w:tr w:rsidR="00990E4C" w:rsidRPr="007A44FD" w14:paraId="6DB40C79"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70348A0E" w14:textId="77777777" w:rsidR="00990E4C" w:rsidRPr="009178B4" w:rsidRDefault="00990E4C" w:rsidP="00E72E3B">
            <w:pPr>
              <w:pStyle w:val="tabteksts"/>
              <w:rPr>
                <w:snapToGrid w:val="0"/>
              </w:rPr>
            </w:pPr>
            <w:r w:rsidRPr="009178B4">
              <w:rPr>
                <w:snapToGrid w:val="0"/>
              </w:rPr>
              <w:t>21. Bruto kopējā pamatkapitāla veidošana</w:t>
            </w:r>
          </w:p>
        </w:tc>
        <w:tc>
          <w:tcPr>
            <w:tcW w:w="1134" w:type="dxa"/>
            <w:tcBorders>
              <w:top w:val="single" w:sz="4" w:space="0" w:color="auto"/>
              <w:left w:val="single" w:sz="4" w:space="0" w:color="auto"/>
              <w:bottom w:val="single" w:sz="4" w:space="0" w:color="auto"/>
              <w:right w:val="double" w:sz="4" w:space="0" w:color="auto"/>
            </w:tcBorders>
            <w:vAlign w:val="bottom"/>
          </w:tcPr>
          <w:p w14:paraId="2AA132D3" w14:textId="77777777" w:rsidR="00990E4C" w:rsidRPr="009178B4" w:rsidRDefault="00990E4C" w:rsidP="00E72E3B">
            <w:pPr>
              <w:pStyle w:val="tabteksts"/>
            </w:pPr>
            <w:r w:rsidRPr="009178B4">
              <w:t>P.51</w:t>
            </w:r>
          </w:p>
        </w:tc>
        <w:tc>
          <w:tcPr>
            <w:tcW w:w="992" w:type="dxa"/>
            <w:tcBorders>
              <w:top w:val="single" w:sz="4" w:space="0" w:color="auto"/>
              <w:left w:val="double" w:sz="4" w:space="0" w:color="auto"/>
              <w:bottom w:val="single" w:sz="4" w:space="0" w:color="auto"/>
              <w:right w:val="single" w:sz="4" w:space="0" w:color="auto"/>
            </w:tcBorders>
            <w:vAlign w:val="bottom"/>
          </w:tcPr>
          <w:p w14:paraId="05278652" w14:textId="77777777" w:rsidR="00990E4C" w:rsidRPr="009178B4" w:rsidRDefault="00990E4C" w:rsidP="00E72E3B">
            <w:pPr>
              <w:pStyle w:val="tabteksts"/>
              <w:jc w:val="right"/>
              <w:rPr>
                <w:snapToGrid w:val="0"/>
              </w:rPr>
            </w:pPr>
            <w:r w:rsidRPr="009178B4">
              <w:rPr>
                <w:snapToGrid w:val="0"/>
              </w:rPr>
              <w:t>607,4</w:t>
            </w:r>
          </w:p>
        </w:tc>
        <w:tc>
          <w:tcPr>
            <w:tcW w:w="709" w:type="dxa"/>
            <w:tcBorders>
              <w:top w:val="single" w:sz="4" w:space="0" w:color="auto"/>
              <w:left w:val="nil"/>
              <w:bottom w:val="single" w:sz="4" w:space="0" w:color="auto"/>
              <w:right w:val="single" w:sz="4" w:space="0" w:color="auto"/>
            </w:tcBorders>
            <w:vAlign w:val="bottom"/>
          </w:tcPr>
          <w:p w14:paraId="5858BE12" w14:textId="77777777" w:rsidR="00990E4C" w:rsidRPr="009178B4" w:rsidRDefault="00990E4C" w:rsidP="00E72E3B">
            <w:pPr>
              <w:pStyle w:val="tabteksts"/>
              <w:jc w:val="right"/>
              <w:rPr>
                <w:snapToGrid w:val="0"/>
              </w:rPr>
            </w:pPr>
            <w:r w:rsidRPr="009178B4">
              <w:rPr>
                <w:snapToGrid w:val="0"/>
              </w:rPr>
              <w:t>3,9</w:t>
            </w:r>
          </w:p>
        </w:tc>
        <w:tc>
          <w:tcPr>
            <w:tcW w:w="709" w:type="dxa"/>
            <w:tcBorders>
              <w:top w:val="single" w:sz="4" w:space="0" w:color="auto"/>
              <w:left w:val="nil"/>
              <w:bottom w:val="single" w:sz="4" w:space="0" w:color="auto"/>
              <w:right w:val="single" w:sz="4" w:space="0" w:color="auto"/>
            </w:tcBorders>
            <w:vAlign w:val="bottom"/>
          </w:tcPr>
          <w:p w14:paraId="5F80A0EA" w14:textId="77777777" w:rsidR="00990E4C" w:rsidRPr="009178B4" w:rsidRDefault="00990E4C" w:rsidP="00E72E3B">
            <w:pPr>
              <w:pStyle w:val="tabteksts"/>
              <w:jc w:val="right"/>
              <w:rPr>
                <w:snapToGrid w:val="0"/>
              </w:rPr>
            </w:pPr>
            <w:r w:rsidRPr="009178B4">
              <w:rPr>
                <w:snapToGrid w:val="0"/>
              </w:rPr>
              <w:t>3,5</w:t>
            </w:r>
          </w:p>
        </w:tc>
        <w:tc>
          <w:tcPr>
            <w:tcW w:w="709" w:type="dxa"/>
            <w:tcBorders>
              <w:top w:val="single" w:sz="4" w:space="0" w:color="auto"/>
              <w:left w:val="nil"/>
              <w:bottom w:val="single" w:sz="4" w:space="0" w:color="auto"/>
              <w:right w:val="single" w:sz="4" w:space="0" w:color="auto"/>
            </w:tcBorders>
            <w:vAlign w:val="bottom"/>
          </w:tcPr>
          <w:p w14:paraId="64AA0BD2" w14:textId="77777777" w:rsidR="00990E4C" w:rsidRPr="009178B4" w:rsidRDefault="00990E4C" w:rsidP="00E72E3B">
            <w:pPr>
              <w:pStyle w:val="tabteksts"/>
              <w:jc w:val="right"/>
              <w:rPr>
                <w:snapToGrid w:val="0"/>
              </w:rPr>
            </w:pPr>
            <w:r w:rsidRPr="009178B4">
              <w:rPr>
                <w:snapToGrid w:val="0"/>
              </w:rPr>
              <w:t>2,9</w:t>
            </w:r>
          </w:p>
        </w:tc>
        <w:tc>
          <w:tcPr>
            <w:tcW w:w="708" w:type="dxa"/>
            <w:tcBorders>
              <w:top w:val="single" w:sz="4" w:space="0" w:color="auto"/>
              <w:left w:val="nil"/>
              <w:bottom w:val="single" w:sz="4" w:space="0" w:color="auto"/>
              <w:right w:val="single" w:sz="4" w:space="0" w:color="auto"/>
            </w:tcBorders>
            <w:vAlign w:val="bottom"/>
          </w:tcPr>
          <w:p w14:paraId="6A9456D2" w14:textId="77777777" w:rsidR="00990E4C" w:rsidRPr="009178B4" w:rsidRDefault="00990E4C" w:rsidP="00E72E3B">
            <w:pPr>
              <w:pStyle w:val="tabteksts"/>
              <w:jc w:val="right"/>
              <w:rPr>
                <w:snapToGrid w:val="0"/>
              </w:rPr>
            </w:pPr>
            <w:r w:rsidRPr="009178B4">
              <w:rPr>
                <w:snapToGrid w:val="0"/>
              </w:rPr>
              <w:t>2,3</w:t>
            </w:r>
          </w:p>
        </w:tc>
        <w:tc>
          <w:tcPr>
            <w:tcW w:w="567" w:type="dxa"/>
            <w:tcBorders>
              <w:top w:val="single" w:sz="4" w:space="0" w:color="auto"/>
              <w:left w:val="single" w:sz="4" w:space="0" w:color="auto"/>
              <w:bottom w:val="single" w:sz="4" w:space="0" w:color="auto"/>
              <w:right w:val="double" w:sz="4" w:space="0" w:color="auto"/>
            </w:tcBorders>
            <w:vAlign w:val="bottom"/>
          </w:tcPr>
          <w:p w14:paraId="57D3A6D5" w14:textId="77777777" w:rsidR="00990E4C" w:rsidRPr="009178B4" w:rsidRDefault="00990E4C" w:rsidP="00E72E3B">
            <w:pPr>
              <w:pStyle w:val="tabteksts"/>
              <w:jc w:val="right"/>
              <w:rPr>
                <w:snapToGrid w:val="0"/>
              </w:rPr>
            </w:pPr>
            <w:r w:rsidRPr="009178B4">
              <w:rPr>
                <w:snapToGrid w:val="0"/>
              </w:rPr>
              <w:t>2,2</w:t>
            </w:r>
          </w:p>
        </w:tc>
      </w:tr>
      <w:tr w:rsidR="00990E4C" w:rsidRPr="007A44FD" w14:paraId="4B37EB9A"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2F4F68A8" w14:textId="77777777" w:rsidR="00990E4C" w:rsidRPr="009178B4" w:rsidRDefault="00990E4C" w:rsidP="00E72E3B">
            <w:pPr>
              <w:pStyle w:val="tabteksts"/>
              <w:rPr>
                <w:snapToGrid w:val="0"/>
              </w:rPr>
            </w:pPr>
            <w:r w:rsidRPr="009178B4">
              <w:rPr>
                <w:snapToGrid w:val="0"/>
              </w:rPr>
              <w:t>22. Kapitālo izdevumu transferti</w:t>
            </w:r>
          </w:p>
        </w:tc>
        <w:tc>
          <w:tcPr>
            <w:tcW w:w="1134" w:type="dxa"/>
            <w:tcBorders>
              <w:top w:val="single" w:sz="4" w:space="0" w:color="auto"/>
              <w:left w:val="single" w:sz="4" w:space="0" w:color="auto"/>
              <w:bottom w:val="single" w:sz="4" w:space="0" w:color="auto"/>
              <w:right w:val="double" w:sz="4" w:space="0" w:color="auto"/>
            </w:tcBorders>
            <w:vAlign w:val="bottom"/>
          </w:tcPr>
          <w:p w14:paraId="146EC1B0" w14:textId="77777777" w:rsidR="00990E4C" w:rsidRPr="009178B4" w:rsidRDefault="00990E4C" w:rsidP="00E72E3B">
            <w:pPr>
              <w:pStyle w:val="tabteksts"/>
            </w:pPr>
            <w:r w:rsidRPr="009178B4">
              <w:t>D.9</w:t>
            </w:r>
          </w:p>
        </w:tc>
        <w:tc>
          <w:tcPr>
            <w:tcW w:w="992" w:type="dxa"/>
            <w:tcBorders>
              <w:top w:val="single" w:sz="4" w:space="0" w:color="auto"/>
              <w:left w:val="double" w:sz="4" w:space="0" w:color="auto"/>
              <w:bottom w:val="single" w:sz="4" w:space="0" w:color="auto"/>
              <w:right w:val="single" w:sz="4" w:space="0" w:color="auto"/>
            </w:tcBorders>
            <w:vAlign w:val="bottom"/>
          </w:tcPr>
          <w:p w14:paraId="78092971" w14:textId="77777777" w:rsidR="00990E4C" w:rsidRPr="009178B4" w:rsidRDefault="00990E4C" w:rsidP="00E72E3B">
            <w:pPr>
              <w:pStyle w:val="tabteksts"/>
              <w:jc w:val="right"/>
              <w:rPr>
                <w:snapToGrid w:val="0"/>
              </w:rPr>
            </w:pPr>
            <w:r w:rsidRPr="009178B4">
              <w:rPr>
                <w:snapToGrid w:val="0"/>
              </w:rPr>
              <w:t>135,4</w:t>
            </w:r>
          </w:p>
        </w:tc>
        <w:tc>
          <w:tcPr>
            <w:tcW w:w="709" w:type="dxa"/>
            <w:tcBorders>
              <w:top w:val="single" w:sz="4" w:space="0" w:color="auto"/>
              <w:left w:val="nil"/>
              <w:bottom w:val="single" w:sz="4" w:space="0" w:color="auto"/>
              <w:right w:val="single" w:sz="4" w:space="0" w:color="auto"/>
            </w:tcBorders>
            <w:vAlign w:val="bottom"/>
          </w:tcPr>
          <w:p w14:paraId="1287D036" w14:textId="77777777" w:rsidR="00990E4C" w:rsidRPr="009178B4" w:rsidRDefault="00990E4C" w:rsidP="00E72E3B">
            <w:pPr>
              <w:pStyle w:val="tabteksts"/>
              <w:jc w:val="right"/>
              <w:rPr>
                <w:snapToGrid w:val="0"/>
              </w:rPr>
            </w:pPr>
            <w:r w:rsidRPr="009178B4">
              <w:rPr>
                <w:snapToGrid w:val="0"/>
              </w:rPr>
              <w:t>0,9</w:t>
            </w:r>
          </w:p>
        </w:tc>
        <w:tc>
          <w:tcPr>
            <w:tcW w:w="709" w:type="dxa"/>
            <w:tcBorders>
              <w:top w:val="single" w:sz="4" w:space="0" w:color="auto"/>
              <w:left w:val="nil"/>
              <w:bottom w:val="single" w:sz="4" w:space="0" w:color="auto"/>
              <w:right w:val="single" w:sz="4" w:space="0" w:color="auto"/>
            </w:tcBorders>
            <w:vAlign w:val="bottom"/>
          </w:tcPr>
          <w:p w14:paraId="7F4B5A57" w14:textId="77777777" w:rsidR="00990E4C" w:rsidRPr="009178B4" w:rsidRDefault="00990E4C" w:rsidP="00E72E3B">
            <w:pPr>
              <w:pStyle w:val="tabteksts"/>
              <w:jc w:val="right"/>
              <w:rPr>
                <w:snapToGrid w:val="0"/>
              </w:rPr>
            </w:pPr>
            <w:r w:rsidRPr="009178B4">
              <w:rPr>
                <w:snapToGrid w:val="0"/>
              </w:rPr>
              <w:t>0,2</w:t>
            </w:r>
          </w:p>
        </w:tc>
        <w:tc>
          <w:tcPr>
            <w:tcW w:w="709" w:type="dxa"/>
            <w:tcBorders>
              <w:top w:val="single" w:sz="4" w:space="0" w:color="auto"/>
              <w:left w:val="nil"/>
              <w:bottom w:val="single" w:sz="4" w:space="0" w:color="auto"/>
              <w:right w:val="single" w:sz="4" w:space="0" w:color="auto"/>
            </w:tcBorders>
            <w:vAlign w:val="bottom"/>
          </w:tcPr>
          <w:p w14:paraId="08D5BAB0" w14:textId="77777777" w:rsidR="00990E4C" w:rsidRPr="009178B4" w:rsidRDefault="00990E4C" w:rsidP="00E72E3B">
            <w:pPr>
              <w:pStyle w:val="tabteksts"/>
              <w:jc w:val="right"/>
              <w:rPr>
                <w:snapToGrid w:val="0"/>
              </w:rPr>
            </w:pPr>
            <w:r w:rsidRPr="009178B4">
              <w:rPr>
                <w:snapToGrid w:val="0"/>
              </w:rPr>
              <w:t>0,0</w:t>
            </w:r>
          </w:p>
        </w:tc>
        <w:tc>
          <w:tcPr>
            <w:tcW w:w="708" w:type="dxa"/>
            <w:tcBorders>
              <w:top w:val="single" w:sz="4" w:space="0" w:color="auto"/>
              <w:left w:val="nil"/>
              <w:bottom w:val="single" w:sz="4" w:space="0" w:color="auto"/>
              <w:right w:val="single" w:sz="4" w:space="0" w:color="auto"/>
            </w:tcBorders>
            <w:vAlign w:val="bottom"/>
          </w:tcPr>
          <w:p w14:paraId="0A67A7D1" w14:textId="77777777" w:rsidR="00990E4C" w:rsidRPr="009178B4" w:rsidRDefault="00990E4C" w:rsidP="00E72E3B">
            <w:pPr>
              <w:pStyle w:val="tabteksts"/>
              <w:jc w:val="right"/>
              <w:rPr>
                <w:snapToGrid w:val="0"/>
              </w:rPr>
            </w:pPr>
            <w:r w:rsidRPr="009178B4">
              <w:rPr>
                <w:snapToGrid w:val="0"/>
              </w:rPr>
              <w:t>0,0</w:t>
            </w:r>
          </w:p>
        </w:tc>
        <w:tc>
          <w:tcPr>
            <w:tcW w:w="567" w:type="dxa"/>
            <w:tcBorders>
              <w:top w:val="single" w:sz="4" w:space="0" w:color="auto"/>
              <w:left w:val="single" w:sz="4" w:space="0" w:color="auto"/>
              <w:bottom w:val="single" w:sz="4" w:space="0" w:color="auto"/>
              <w:right w:val="double" w:sz="4" w:space="0" w:color="auto"/>
            </w:tcBorders>
            <w:vAlign w:val="bottom"/>
          </w:tcPr>
          <w:p w14:paraId="459DA10B" w14:textId="77777777" w:rsidR="00990E4C" w:rsidRPr="009178B4" w:rsidRDefault="00990E4C" w:rsidP="00E72E3B">
            <w:pPr>
              <w:pStyle w:val="tabteksts"/>
              <w:jc w:val="right"/>
              <w:rPr>
                <w:snapToGrid w:val="0"/>
              </w:rPr>
            </w:pPr>
            <w:r w:rsidRPr="009178B4">
              <w:rPr>
                <w:snapToGrid w:val="0"/>
              </w:rPr>
              <w:t>0,0</w:t>
            </w:r>
          </w:p>
        </w:tc>
      </w:tr>
      <w:tr w:rsidR="00990E4C" w:rsidRPr="007A44FD" w14:paraId="14FDF5B6" w14:textId="77777777" w:rsidTr="00990E4C">
        <w:trPr>
          <w:cantSplit/>
        </w:trPr>
        <w:tc>
          <w:tcPr>
            <w:tcW w:w="3544" w:type="dxa"/>
            <w:gridSpan w:val="2"/>
            <w:tcBorders>
              <w:top w:val="single" w:sz="4" w:space="0" w:color="auto"/>
              <w:left w:val="double" w:sz="4" w:space="0" w:color="auto"/>
              <w:bottom w:val="single" w:sz="4" w:space="0" w:color="auto"/>
              <w:right w:val="single" w:sz="4" w:space="0" w:color="auto"/>
            </w:tcBorders>
          </w:tcPr>
          <w:p w14:paraId="3B564D29" w14:textId="77777777" w:rsidR="00990E4C" w:rsidRPr="009178B4" w:rsidRDefault="00990E4C" w:rsidP="00E72E3B">
            <w:pPr>
              <w:pStyle w:val="tabteksts"/>
              <w:rPr>
                <w:snapToGrid w:val="0"/>
              </w:rPr>
            </w:pPr>
            <w:r w:rsidRPr="009178B4">
              <w:rPr>
                <w:snapToGrid w:val="0"/>
              </w:rPr>
              <w:t>23. Pārējie izdevumi</w:t>
            </w:r>
          </w:p>
        </w:tc>
        <w:tc>
          <w:tcPr>
            <w:tcW w:w="1134" w:type="dxa"/>
            <w:tcBorders>
              <w:top w:val="single" w:sz="4" w:space="0" w:color="auto"/>
              <w:left w:val="single" w:sz="4" w:space="0" w:color="auto"/>
              <w:bottom w:val="single" w:sz="4" w:space="0" w:color="auto"/>
              <w:right w:val="double" w:sz="4" w:space="0" w:color="auto"/>
            </w:tcBorders>
            <w:vAlign w:val="bottom"/>
          </w:tcPr>
          <w:p w14:paraId="78DAEC0B" w14:textId="77777777" w:rsidR="00990E4C" w:rsidRPr="009178B4" w:rsidRDefault="00990E4C" w:rsidP="00E72E3B">
            <w:pPr>
              <w:pStyle w:val="tabteksts"/>
            </w:pPr>
          </w:p>
        </w:tc>
        <w:tc>
          <w:tcPr>
            <w:tcW w:w="992" w:type="dxa"/>
            <w:tcBorders>
              <w:top w:val="single" w:sz="4" w:space="0" w:color="auto"/>
              <w:left w:val="double" w:sz="4" w:space="0" w:color="auto"/>
              <w:bottom w:val="single" w:sz="4" w:space="0" w:color="auto"/>
              <w:right w:val="single" w:sz="4" w:space="0" w:color="auto"/>
            </w:tcBorders>
            <w:vAlign w:val="bottom"/>
          </w:tcPr>
          <w:p w14:paraId="019E4D26" w14:textId="77777777" w:rsidR="00990E4C" w:rsidRPr="009178B4" w:rsidRDefault="00990E4C" w:rsidP="00E72E3B">
            <w:pPr>
              <w:pStyle w:val="tabteksts"/>
              <w:jc w:val="right"/>
              <w:rPr>
                <w:snapToGrid w:val="0"/>
              </w:rPr>
            </w:pPr>
            <w:r w:rsidRPr="009178B4">
              <w:rPr>
                <w:snapToGrid w:val="0"/>
              </w:rPr>
              <w:t>524,6</w:t>
            </w:r>
          </w:p>
        </w:tc>
        <w:tc>
          <w:tcPr>
            <w:tcW w:w="709" w:type="dxa"/>
            <w:tcBorders>
              <w:top w:val="single" w:sz="4" w:space="0" w:color="auto"/>
              <w:left w:val="nil"/>
              <w:bottom w:val="single" w:sz="4" w:space="0" w:color="auto"/>
              <w:right w:val="single" w:sz="4" w:space="0" w:color="auto"/>
            </w:tcBorders>
            <w:vAlign w:val="bottom"/>
          </w:tcPr>
          <w:p w14:paraId="310254B1" w14:textId="77777777" w:rsidR="00990E4C" w:rsidRPr="009178B4" w:rsidRDefault="00990E4C" w:rsidP="00E72E3B">
            <w:pPr>
              <w:pStyle w:val="tabteksts"/>
              <w:jc w:val="right"/>
              <w:rPr>
                <w:snapToGrid w:val="0"/>
              </w:rPr>
            </w:pPr>
            <w:r w:rsidRPr="009178B4">
              <w:rPr>
                <w:snapToGrid w:val="0"/>
              </w:rPr>
              <w:t>3,4</w:t>
            </w:r>
          </w:p>
        </w:tc>
        <w:tc>
          <w:tcPr>
            <w:tcW w:w="709" w:type="dxa"/>
            <w:tcBorders>
              <w:top w:val="single" w:sz="4" w:space="0" w:color="auto"/>
              <w:left w:val="nil"/>
              <w:bottom w:val="single" w:sz="4" w:space="0" w:color="auto"/>
              <w:right w:val="single" w:sz="4" w:space="0" w:color="auto"/>
            </w:tcBorders>
            <w:vAlign w:val="bottom"/>
          </w:tcPr>
          <w:p w14:paraId="4177D262" w14:textId="77777777" w:rsidR="00990E4C" w:rsidRPr="009178B4" w:rsidRDefault="00990E4C" w:rsidP="00E72E3B">
            <w:pPr>
              <w:pStyle w:val="tabteksts"/>
              <w:jc w:val="right"/>
              <w:rPr>
                <w:snapToGrid w:val="0"/>
              </w:rPr>
            </w:pPr>
            <w:r w:rsidRPr="009178B4">
              <w:rPr>
                <w:snapToGrid w:val="0"/>
              </w:rPr>
              <w:t>5,3</w:t>
            </w:r>
          </w:p>
        </w:tc>
        <w:tc>
          <w:tcPr>
            <w:tcW w:w="709" w:type="dxa"/>
            <w:tcBorders>
              <w:top w:val="single" w:sz="4" w:space="0" w:color="auto"/>
              <w:left w:val="nil"/>
              <w:bottom w:val="single" w:sz="4" w:space="0" w:color="auto"/>
              <w:right w:val="single" w:sz="4" w:space="0" w:color="auto"/>
            </w:tcBorders>
            <w:vAlign w:val="bottom"/>
          </w:tcPr>
          <w:p w14:paraId="2CCED4E7" w14:textId="77777777" w:rsidR="00990E4C" w:rsidRPr="009178B4" w:rsidRDefault="00990E4C" w:rsidP="00E72E3B">
            <w:pPr>
              <w:pStyle w:val="tabteksts"/>
              <w:jc w:val="right"/>
              <w:rPr>
                <w:snapToGrid w:val="0"/>
              </w:rPr>
            </w:pPr>
            <w:r w:rsidRPr="009178B4">
              <w:rPr>
                <w:snapToGrid w:val="0"/>
              </w:rPr>
              <w:t>5,5</w:t>
            </w:r>
          </w:p>
        </w:tc>
        <w:tc>
          <w:tcPr>
            <w:tcW w:w="708" w:type="dxa"/>
            <w:tcBorders>
              <w:top w:val="single" w:sz="4" w:space="0" w:color="auto"/>
              <w:left w:val="nil"/>
              <w:bottom w:val="single" w:sz="4" w:space="0" w:color="auto"/>
              <w:right w:val="single" w:sz="4" w:space="0" w:color="auto"/>
            </w:tcBorders>
            <w:vAlign w:val="bottom"/>
          </w:tcPr>
          <w:p w14:paraId="15CA753E" w14:textId="77777777" w:rsidR="00990E4C" w:rsidRPr="009178B4" w:rsidRDefault="00990E4C" w:rsidP="00E72E3B">
            <w:pPr>
              <w:pStyle w:val="tabteksts"/>
              <w:jc w:val="right"/>
              <w:rPr>
                <w:snapToGrid w:val="0"/>
              </w:rPr>
            </w:pPr>
            <w:r w:rsidRPr="009178B4">
              <w:rPr>
                <w:snapToGrid w:val="0"/>
              </w:rPr>
              <w:t>4,6</w:t>
            </w:r>
          </w:p>
        </w:tc>
        <w:tc>
          <w:tcPr>
            <w:tcW w:w="567" w:type="dxa"/>
            <w:tcBorders>
              <w:top w:val="single" w:sz="4" w:space="0" w:color="auto"/>
              <w:left w:val="single" w:sz="4" w:space="0" w:color="auto"/>
              <w:bottom w:val="single" w:sz="4" w:space="0" w:color="auto"/>
              <w:right w:val="double" w:sz="4" w:space="0" w:color="auto"/>
            </w:tcBorders>
            <w:vAlign w:val="bottom"/>
          </w:tcPr>
          <w:p w14:paraId="13007E67" w14:textId="77777777" w:rsidR="00990E4C" w:rsidRPr="009178B4" w:rsidRDefault="00990E4C" w:rsidP="00E72E3B">
            <w:pPr>
              <w:pStyle w:val="tabteksts"/>
              <w:jc w:val="right"/>
              <w:rPr>
                <w:snapToGrid w:val="0"/>
              </w:rPr>
            </w:pPr>
            <w:r w:rsidRPr="009178B4">
              <w:rPr>
                <w:snapToGrid w:val="0"/>
              </w:rPr>
              <w:t>6,2</w:t>
            </w:r>
          </w:p>
        </w:tc>
      </w:tr>
      <w:tr w:rsidR="00990E4C" w:rsidRPr="007A44FD" w14:paraId="434DC809" w14:textId="77777777" w:rsidTr="00990E4C">
        <w:trPr>
          <w:cantSplit/>
          <w:trHeight w:val="135"/>
        </w:trPr>
        <w:tc>
          <w:tcPr>
            <w:tcW w:w="3544" w:type="dxa"/>
            <w:gridSpan w:val="2"/>
            <w:tcBorders>
              <w:top w:val="single" w:sz="4" w:space="0" w:color="auto"/>
              <w:left w:val="double" w:sz="4" w:space="0" w:color="auto"/>
              <w:bottom w:val="single" w:sz="4" w:space="0" w:color="auto"/>
              <w:right w:val="single" w:sz="4" w:space="0" w:color="auto"/>
            </w:tcBorders>
          </w:tcPr>
          <w:p w14:paraId="6DC7F4BF" w14:textId="77777777" w:rsidR="00990E4C" w:rsidRPr="009178B4" w:rsidRDefault="00990E4C" w:rsidP="00E72E3B">
            <w:pPr>
              <w:pStyle w:val="tabteksts"/>
              <w:rPr>
                <w:snapToGrid w:val="0"/>
              </w:rPr>
            </w:pPr>
            <w:r w:rsidRPr="009178B4">
              <w:rPr>
                <w:snapToGrid w:val="0"/>
              </w:rPr>
              <w:t>24.=7. Kopējie izdevumi</w:t>
            </w:r>
          </w:p>
        </w:tc>
        <w:tc>
          <w:tcPr>
            <w:tcW w:w="1134" w:type="dxa"/>
            <w:tcBorders>
              <w:top w:val="single" w:sz="4" w:space="0" w:color="auto"/>
              <w:left w:val="single" w:sz="4" w:space="0" w:color="auto"/>
              <w:bottom w:val="single" w:sz="4" w:space="0" w:color="auto"/>
              <w:right w:val="double" w:sz="4" w:space="0" w:color="auto"/>
            </w:tcBorders>
            <w:vAlign w:val="bottom"/>
          </w:tcPr>
          <w:p w14:paraId="2B0534FB" w14:textId="77777777" w:rsidR="00990E4C" w:rsidRPr="009178B4" w:rsidRDefault="00990E4C" w:rsidP="00E72E3B">
            <w:pPr>
              <w:pStyle w:val="tabteksts"/>
            </w:pPr>
            <w:r w:rsidRPr="009178B4">
              <w:t>TE</w:t>
            </w:r>
          </w:p>
        </w:tc>
        <w:tc>
          <w:tcPr>
            <w:tcW w:w="992" w:type="dxa"/>
            <w:tcBorders>
              <w:top w:val="single" w:sz="4" w:space="0" w:color="auto"/>
              <w:left w:val="double" w:sz="4" w:space="0" w:color="auto"/>
              <w:bottom w:val="single" w:sz="4" w:space="0" w:color="auto"/>
              <w:right w:val="single" w:sz="4" w:space="0" w:color="auto"/>
            </w:tcBorders>
            <w:vAlign w:val="bottom"/>
          </w:tcPr>
          <w:p w14:paraId="01CE42C0" w14:textId="77777777" w:rsidR="00990E4C" w:rsidRPr="009178B4" w:rsidRDefault="00990E4C" w:rsidP="00E72E3B">
            <w:pPr>
              <w:pStyle w:val="tabteksts"/>
              <w:jc w:val="right"/>
              <w:rPr>
                <w:snapToGrid w:val="0"/>
              </w:rPr>
            </w:pPr>
            <w:r w:rsidRPr="009178B4">
              <w:rPr>
                <w:snapToGrid w:val="0"/>
              </w:rPr>
              <w:t>5 655,3</w:t>
            </w:r>
          </w:p>
        </w:tc>
        <w:tc>
          <w:tcPr>
            <w:tcW w:w="709" w:type="dxa"/>
            <w:tcBorders>
              <w:top w:val="single" w:sz="4" w:space="0" w:color="auto"/>
              <w:left w:val="nil"/>
              <w:bottom w:val="single" w:sz="4" w:space="0" w:color="auto"/>
              <w:right w:val="single" w:sz="4" w:space="0" w:color="auto"/>
            </w:tcBorders>
            <w:vAlign w:val="bottom"/>
          </w:tcPr>
          <w:p w14:paraId="60E370C0" w14:textId="77777777" w:rsidR="00990E4C" w:rsidRPr="009178B4" w:rsidRDefault="00990E4C" w:rsidP="00E72E3B">
            <w:pPr>
              <w:pStyle w:val="tabteksts"/>
              <w:jc w:val="right"/>
              <w:rPr>
                <w:snapToGrid w:val="0"/>
              </w:rPr>
            </w:pPr>
            <w:r w:rsidRPr="009178B4">
              <w:rPr>
                <w:snapToGrid w:val="0"/>
              </w:rPr>
              <w:t>36,4</w:t>
            </w:r>
          </w:p>
        </w:tc>
        <w:tc>
          <w:tcPr>
            <w:tcW w:w="709" w:type="dxa"/>
            <w:tcBorders>
              <w:top w:val="single" w:sz="4" w:space="0" w:color="auto"/>
              <w:left w:val="nil"/>
              <w:bottom w:val="single" w:sz="4" w:space="0" w:color="auto"/>
              <w:right w:val="single" w:sz="4" w:space="0" w:color="auto"/>
            </w:tcBorders>
            <w:vAlign w:val="bottom"/>
          </w:tcPr>
          <w:p w14:paraId="10696E04" w14:textId="77777777" w:rsidR="00990E4C" w:rsidRPr="009178B4" w:rsidRDefault="00990E4C" w:rsidP="00E72E3B">
            <w:pPr>
              <w:pStyle w:val="tabteksts"/>
              <w:jc w:val="right"/>
              <w:rPr>
                <w:snapToGrid w:val="0"/>
              </w:rPr>
            </w:pPr>
            <w:r w:rsidRPr="009178B4">
              <w:rPr>
                <w:snapToGrid w:val="0"/>
              </w:rPr>
              <w:t>36,3</w:t>
            </w:r>
          </w:p>
        </w:tc>
        <w:tc>
          <w:tcPr>
            <w:tcW w:w="709" w:type="dxa"/>
            <w:tcBorders>
              <w:top w:val="single" w:sz="4" w:space="0" w:color="auto"/>
              <w:left w:val="nil"/>
              <w:bottom w:val="single" w:sz="4" w:space="0" w:color="auto"/>
              <w:right w:val="single" w:sz="4" w:space="0" w:color="auto"/>
            </w:tcBorders>
            <w:vAlign w:val="bottom"/>
          </w:tcPr>
          <w:p w14:paraId="37AE4806" w14:textId="77777777" w:rsidR="00990E4C" w:rsidRPr="009178B4" w:rsidRDefault="00990E4C" w:rsidP="00E72E3B">
            <w:pPr>
              <w:pStyle w:val="tabteksts"/>
              <w:jc w:val="right"/>
              <w:rPr>
                <w:snapToGrid w:val="0"/>
              </w:rPr>
            </w:pPr>
            <w:r w:rsidRPr="009178B4">
              <w:rPr>
                <w:snapToGrid w:val="0"/>
              </w:rPr>
              <w:t>34,7</w:t>
            </w:r>
          </w:p>
        </w:tc>
        <w:tc>
          <w:tcPr>
            <w:tcW w:w="708" w:type="dxa"/>
            <w:tcBorders>
              <w:top w:val="single" w:sz="4" w:space="0" w:color="auto"/>
              <w:left w:val="nil"/>
              <w:bottom w:val="single" w:sz="4" w:space="0" w:color="auto"/>
              <w:right w:val="single" w:sz="4" w:space="0" w:color="auto"/>
            </w:tcBorders>
            <w:vAlign w:val="bottom"/>
          </w:tcPr>
          <w:p w14:paraId="340DED57" w14:textId="77777777" w:rsidR="00990E4C" w:rsidRPr="009178B4" w:rsidRDefault="00990E4C" w:rsidP="00E72E3B">
            <w:pPr>
              <w:pStyle w:val="tabteksts"/>
              <w:jc w:val="right"/>
              <w:rPr>
                <w:snapToGrid w:val="0"/>
              </w:rPr>
            </w:pPr>
            <w:r w:rsidRPr="009178B4">
              <w:rPr>
                <w:snapToGrid w:val="0"/>
              </w:rPr>
              <w:t>31,9</w:t>
            </w:r>
          </w:p>
        </w:tc>
        <w:tc>
          <w:tcPr>
            <w:tcW w:w="567" w:type="dxa"/>
            <w:tcBorders>
              <w:top w:val="single" w:sz="4" w:space="0" w:color="auto"/>
              <w:left w:val="single" w:sz="4" w:space="0" w:color="auto"/>
              <w:bottom w:val="single" w:sz="4" w:space="0" w:color="auto"/>
              <w:right w:val="double" w:sz="4" w:space="0" w:color="auto"/>
            </w:tcBorders>
            <w:vAlign w:val="bottom"/>
          </w:tcPr>
          <w:p w14:paraId="1556F04F" w14:textId="77777777" w:rsidR="00990E4C" w:rsidRPr="009178B4" w:rsidRDefault="00990E4C" w:rsidP="00E72E3B">
            <w:pPr>
              <w:pStyle w:val="tabteksts"/>
              <w:jc w:val="right"/>
              <w:rPr>
                <w:snapToGrid w:val="0"/>
              </w:rPr>
            </w:pPr>
            <w:r w:rsidRPr="009178B4">
              <w:rPr>
                <w:snapToGrid w:val="0"/>
              </w:rPr>
              <w:t>32,0</w:t>
            </w:r>
          </w:p>
        </w:tc>
      </w:tr>
      <w:tr w:rsidR="00990E4C" w:rsidRPr="007A44FD" w14:paraId="42259878" w14:textId="77777777" w:rsidTr="00990E4C">
        <w:trPr>
          <w:cantSplit/>
        </w:trPr>
        <w:tc>
          <w:tcPr>
            <w:tcW w:w="3544" w:type="dxa"/>
            <w:gridSpan w:val="2"/>
            <w:tcBorders>
              <w:top w:val="single" w:sz="4" w:space="0" w:color="auto"/>
              <w:left w:val="double" w:sz="4" w:space="0" w:color="auto"/>
              <w:bottom w:val="double" w:sz="4" w:space="0" w:color="auto"/>
              <w:right w:val="single" w:sz="4" w:space="0" w:color="auto"/>
            </w:tcBorders>
          </w:tcPr>
          <w:p w14:paraId="19FFEA19" w14:textId="77777777" w:rsidR="00990E4C" w:rsidRPr="009178B4" w:rsidRDefault="00990E4C" w:rsidP="00E72E3B">
            <w:pPr>
              <w:pStyle w:val="tabteksts"/>
              <w:rPr>
                <w:snapToGrid w:val="0"/>
              </w:rPr>
            </w:pPr>
            <w:r w:rsidRPr="009178B4">
              <w:rPr>
                <w:snapToGrid w:val="0"/>
              </w:rPr>
              <w:t>Valdības patēriņš</w:t>
            </w:r>
          </w:p>
        </w:tc>
        <w:tc>
          <w:tcPr>
            <w:tcW w:w="1134" w:type="dxa"/>
            <w:tcBorders>
              <w:top w:val="single" w:sz="4" w:space="0" w:color="auto"/>
              <w:left w:val="single" w:sz="4" w:space="0" w:color="auto"/>
              <w:bottom w:val="double" w:sz="4" w:space="0" w:color="auto"/>
              <w:right w:val="double" w:sz="4" w:space="0" w:color="auto"/>
            </w:tcBorders>
            <w:vAlign w:val="bottom"/>
          </w:tcPr>
          <w:p w14:paraId="09C478FB" w14:textId="77777777" w:rsidR="00990E4C" w:rsidRPr="009178B4" w:rsidRDefault="00990E4C" w:rsidP="00E72E3B">
            <w:pPr>
              <w:pStyle w:val="tabteksts"/>
            </w:pPr>
            <w:r w:rsidRPr="009178B4">
              <w:t>P.3</w:t>
            </w:r>
          </w:p>
        </w:tc>
        <w:tc>
          <w:tcPr>
            <w:tcW w:w="992" w:type="dxa"/>
            <w:tcBorders>
              <w:top w:val="single" w:sz="4" w:space="0" w:color="auto"/>
              <w:left w:val="double" w:sz="4" w:space="0" w:color="auto"/>
              <w:bottom w:val="double" w:sz="4" w:space="0" w:color="auto"/>
              <w:right w:val="single" w:sz="4" w:space="0" w:color="auto"/>
            </w:tcBorders>
            <w:vAlign w:val="bottom"/>
          </w:tcPr>
          <w:p w14:paraId="5161FBFD" w14:textId="77777777" w:rsidR="00990E4C" w:rsidRPr="009178B4" w:rsidRDefault="00990E4C" w:rsidP="00E72E3B">
            <w:pPr>
              <w:pStyle w:val="tabteksts"/>
              <w:jc w:val="right"/>
              <w:rPr>
                <w:snapToGrid w:val="0"/>
              </w:rPr>
            </w:pPr>
            <w:r w:rsidRPr="009178B4">
              <w:rPr>
                <w:snapToGrid w:val="0"/>
              </w:rPr>
              <w:t>2 375,0</w:t>
            </w:r>
          </w:p>
        </w:tc>
        <w:tc>
          <w:tcPr>
            <w:tcW w:w="709" w:type="dxa"/>
            <w:tcBorders>
              <w:top w:val="single" w:sz="4" w:space="0" w:color="auto"/>
              <w:left w:val="nil"/>
              <w:bottom w:val="double" w:sz="4" w:space="0" w:color="auto"/>
              <w:right w:val="single" w:sz="4" w:space="0" w:color="auto"/>
            </w:tcBorders>
            <w:vAlign w:val="bottom"/>
          </w:tcPr>
          <w:p w14:paraId="370D0BB3" w14:textId="77777777" w:rsidR="00990E4C" w:rsidRPr="009178B4" w:rsidRDefault="00990E4C" w:rsidP="00E72E3B">
            <w:pPr>
              <w:pStyle w:val="tabteksts"/>
              <w:jc w:val="right"/>
              <w:rPr>
                <w:snapToGrid w:val="0"/>
              </w:rPr>
            </w:pPr>
            <w:r w:rsidRPr="009178B4">
              <w:rPr>
                <w:snapToGrid w:val="0"/>
              </w:rPr>
              <w:t>15,3</w:t>
            </w:r>
          </w:p>
        </w:tc>
        <w:tc>
          <w:tcPr>
            <w:tcW w:w="709" w:type="dxa"/>
            <w:tcBorders>
              <w:top w:val="single" w:sz="4" w:space="0" w:color="auto"/>
              <w:left w:val="nil"/>
              <w:bottom w:val="double" w:sz="4" w:space="0" w:color="auto"/>
              <w:right w:val="single" w:sz="4" w:space="0" w:color="auto"/>
            </w:tcBorders>
            <w:vAlign w:val="bottom"/>
          </w:tcPr>
          <w:p w14:paraId="0A86B65C" w14:textId="77777777" w:rsidR="00990E4C" w:rsidRPr="009178B4" w:rsidRDefault="00990E4C" w:rsidP="00E72E3B">
            <w:pPr>
              <w:pStyle w:val="tabteksts"/>
              <w:jc w:val="right"/>
              <w:rPr>
                <w:snapToGrid w:val="0"/>
              </w:rPr>
            </w:pPr>
            <w:r w:rsidRPr="009178B4">
              <w:rPr>
                <w:snapToGrid w:val="0"/>
              </w:rPr>
              <w:t>15,5</w:t>
            </w:r>
          </w:p>
        </w:tc>
        <w:tc>
          <w:tcPr>
            <w:tcW w:w="709" w:type="dxa"/>
            <w:tcBorders>
              <w:top w:val="single" w:sz="4" w:space="0" w:color="auto"/>
              <w:left w:val="nil"/>
              <w:bottom w:val="double" w:sz="4" w:space="0" w:color="auto"/>
              <w:right w:val="single" w:sz="4" w:space="0" w:color="auto"/>
            </w:tcBorders>
            <w:vAlign w:val="bottom"/>
          </w:tcPr>
          <w:p w14:paraId="6D0EA336" w14:textId="77777777" w:rsidR="00990E4C" w:rsidRPr="009178B4" w:rsidRDefault="00990E4C" w:rsidP="00E72E3B">
            <w:pPr>
              <w:pStyle w:val="tabteksts"/>
              <w:jc w:val="right"/>
              <w:rPr>
                <w:snapToGrid w:val="0"/>
              </w:rPr>
            </w:pPr>
            <w:r w:rsidRPr="009178B4">
              <w:rPr>
                <w:snapToGrid w:val="0"/>
              </w:rPr>
              <w:t>14,8</w:t>
            </w:r>
          </w:p>
        </w:tc>
        <w:tc>
          <w:tcPr>
            <w:tcW w:w="708" w:type="dxa"/>
            <w:tcBorders>
              <w:top w:val="single" w:sz="4" w:space="0" w:color="auto"/>
              <w:left w:val="nil"/>
              <w:bottom w:val="double" w:sz="4" w:space="0" w:color="auto"/>
              <w:right w:val="single" w:sz="4" w:space="0" w:color="auto"/>
            </w:tcBorders>
            <w:vAlign w:val="bottom"/>
          </w:tcPr>
          <w:p w14:paraId="65984CDF" w14:textId="77777777" w:rsidR="00990E4C" w:rsidRPr="009178B4" w:rsidRDefault="00990E4C" w:rsidP="00E72E3B">
            <w:pPr>
              <w:pStyle w:val="tabteksts"/>
              <w:jc w:val="right"/>
              <w:rPr>
                <w:snapToGrid w:val="0"/>
              </w:rPr>
            </w:pPr>
            <w:r w:rsidRPr="009178B4">
              <w:rPr>
                <w:snapToGrid w:val="0"/>
              </w:rPr>
              <w:t>13,9</w:t>
            </w:r>
          </w:p>
        </w:tc>
        <w:tc>
          <w:tcPr>
            <w:tcW w:w="567" w:type="dxa"/>
            <w:tcBorders>
              <w:top w:val="single" w:sz="4" w:space="0" w:color="auto"/>
              <w:left w:val="single" w:sz="4" w:space="0" w:color="auto"/>
              <w:bottom w:val="double" w:sz="4" w:space="0" w:color="auto"/>
              <w:right w:val="double" w:sz="4" w:space="0" w:color="auto"/>
            </w:tcBorders>
            <w:vAlign w:val="bottom"/>
          </w:tcPr>
          <w:p w14:paraId="1EC9E367" w14:textId="77777777" w:rsidR="00990E4C" w:rsidRPr="009178B4" w:rsidRDefault="00990E4C" w:rsidP="00E72E3B">
            <w:pPr>
              <w:pStyle w:val="tabteksts"/>
              <w:jc w:val="right"/>
              <w:rPr>
                <w:snapToGrid w:val="0"/>
              </w:rPr>
            </w:pPr>
            <w:r w:rsidRPr="009178B4">
              <w:rPr>
                <w:snapToGrid w:val="0"/>
              </w:rPr>
              <w:t>13,1</w:t>
            </w:r>
          </w:p>
        </w:tc>
      </w:tr>
    </w:tbl>
    <w:p w14:paraId="37571A52" w14:textId="77777777" w:rsidR="003A2E39" w:rsidRDefault="003A2E39" w:rsidP="002D62B9">
      <w:pPr>
        <w:ind w:firstLine="0"/>
        <w:jc w:val="left"/>
        <w:rPr>
          <w:b/>
          <w:color w:val="000000"/>
          <w:szCs w:val="24"/>
        </w:rPr>
      </w:pPr>
    </w:p>
    <w:p w14:paraId="239996C1" w14:textId="77777777" w:rsidR="002D62B9" w:rsidRPr="001946E0" w:rsidRDefault="005D6CAC" w:rsidP="002D62B9">
      <w:pPr>
        <w:pStyle w:val="T"/>
        <w:ind w:left="0"/>
        <w:rPr>
          <w:rFonts w:ascii="Times New Roman" w:hAnsi="Times New Roman"/>
          <w:color w:val="000000"/>
          <w:szCs w:val="24"/>
        </w:rPr>
      </w:pPr>
      <w:r>
        <w:rPr>
          <w:rFonts w:ascii="Times New Roman" w:hAnsi="Times New Roman"/>
          <w:color w:val="000000"/>
          <w:szCs w:val="24"/>
        </w:rPr>
        <w:t xml:space="preserve"> </w:t>
      </w:r>
      <w:r>
        <w:rPr>
          <w:rFonts w:ascii="Times New Roman" w:hAnsi="Times New Roman"/>
          <w:color w:val="000000"/>
          <w:szCs w:val="24"/>
        </w:rPr>
        <w:br w:type="page"/>
      </w:r>
    </w:p>
    <w:p w14:paraId="56393138" w14:textId="77777777" w:rsidR="003A2E39" w:rsidRPr="009178B4" w:rsidRDefault="003A2E39" w:rsidP="003A2E39">
      <w:pPr>
        <w:ind w:firstLine="0"/>
        <w:jc w:val="left"/>
        <w:rPr>
          <w:b/>
          <w:szCs w:val="24"/>
        </w:rPr>
      </w:pPr>
      <w:r w:rsidRPr="009178B4">
        <w:rPr>
          <w:b/>
          <w:szCs w:val="24"/>
        </w:rPr>
        <w:t>2b. tabula. Prognozes pie nemainīgas politikas</w:t>
      </w:r>
    </w:p>
    <w:tbl>
      <w:tblPr>
        <w:tblW w:w="9072" w:type="dxa"/>
        <w:tblInd w:w="108" w:type="dxa"/>
        <w:tblLayout w:type="fixed"/>
        <w:tblLook w:val="0000" w:firstRow="0" w:lastRow="0" w:firstColumn="0" w:lastColumn="0" w:noHBand="0" w:noVBand="0"/>
      </w:tblPr>
      <w:tblGrid>
        <w:gridCol w:w="3544"/>
        <w:gridCol w:w="1418"/>
        <w:gridCol w:w="708"/>
        <w:gridCol w:w="993"/>
        <w:gridCol w:w="708"/>
        <w:gridCol w:w="851"/>
        <w:gridCol w:w="850"/>
      </w:tblGrid>
      <w:tr w:rsidR="003A2E39" w:rsidRPr="009178B4" w14:paraId="17C544A0" w14:textId="77777777" w:rsidTr="008C7F19">
        <w:trPr>
          <w:cantSplit/>
          <w:tblHeader/>
        </w:trPr>
        <w:tc>
          <w:tcPr>
            <w:tcW w:w="3544" w:type="dxa"/>
            <w:tcBorders>
              <w:top w:val="double" w:sz="4" w:space="0" w:color="auto"/>
              <w:left w:val="double" w:sz="4" w:space="0" w:color="auto"/>
              <w:bottom w:val="single" w:sz="4" w:space="0" w:color="auto"/>
              <w:right w:val="double" w:sz="4" w:space="0" w:color="auto"/>
            </w:tcBorders>
            <w:vAlign w:val="bottom"/>
          </w:tcPr>
          <w:p w14:paraId="6B2219A4" w14:textId="77777777" w:rsidR="003A2E39" w:rsidRPr="009178B4" w:rsidRDefault="003A2E39" w:rsidP="00F46473">
            <w:pPr>
              <w:pStyle w:val="tabteksts"/>
              <w:jc w:val="center"/>
              <w:rPr>
                <w:b/>
              </w:rPr>
            </w:pPr>
          </w:p>
        </w:tc>
        <w:tc>
          <w:tcPr>
            <w:tcW w:w="1418" w:type="dxa"/>
            <w:tcBorders>
              <w:top w:val="double" w:sz="4" w:space="0" w:color="auto"/>
              <w:left w:val="nil"/>
              <w:bottom w:val="single" w:sz="4" w:space="0" w:color="auto"/>
              <w:right w:val="single" w:sz="4" w:space="0" w:color="auto"/>
            </w:tcBorders>
            <w:vAlign w:val="bottom"/>
          </w:tcPr>
          <w:p w14:paraId="163EA2CA" w14:textId="77777777" w:rsidR="003A2E39" w:rsidRPr="009178B4" w:rsidRDefault="003A2E39" w:rsidP="00F46473">
            <w:pPr>
              <w:pStyle w:val="tabteksts"/>
              <w:jc w:val="center"/>
              <w:rPr>
                <w:b/>
              </w:rPr>
            </w:pPr>
            <w:r w:rsidRPr="009178B4">
              <w:rPr>
                <w:b/>
              </w:rPr>
              <w:t>2012</w:t>
            </w:r>
          </w:p>
        </w:tc>
        <w:tc>
          <w:tcPr>
            <w:tcW w:w="708" w:type="dxa"/>
            <w:tcBorders>
              <w:top w:val="double" w:sz="4" w:space="0" w:color="auto"/>
              <w:left w:val="nil"/>
              <w:bottom w:val="single" w:sz="4" w:space="0" w:color="auto"/>
              <w:right w:val="single" w:sz="4" w:space="0" w:color="auto"/>
            </w:tcBorders>
            <w:vAlign w:val="bottom"/>
          </w:tcPr>
          <w:p w14:paraId="7BF7DCBF" w14:textId="77777777" w:rsidR="003A2E39" w:rsidRPr="009178B4" w:rsidRDefault="003A2E39" w:rsidP="00F46473">
            <w:pPr>
              <w:pStyle w:val="tabteksts"/>
              <w:jc w:val="center"/>
              <w:rPr>
                <w:b/>
              </w:rPr>
            </w:pPr>
            <w:r w:rsidRPr="009178B4">
              <w:rPr>
                <w:b/>
              </w:rPr>
              <w:t>2012</w:t>
            </w:r>
          </w:p>
        </w:tc>
        <w:tc>
          <w:tcPr>
            <w:tcW w:w="993" w:type="dxa"/>
            <w:tcBorders>
              <w:top w:val="double" w:sz="4" w:space="0" w:color="auto"/>
              <w:left w:val="nil"/>
              <w:bottom w:val="single" w:sz="4" w:space="0" w:color="auto"/>
              <w:right w:val="single" w:sz="4" w:space="0" w:color="auto"/>
            </w:tcBorders>
            <w:vAlign w:val="bottom"/>
          </w:tcPr>
          <w:p w14:paraId="6EDC8285" w14:textId="77777777" w:rsidR="003A2E39" w:rsidRPr="009178B4" w:rsidRDefault="003A2E39" w:rsidP="00F46473">
            <w:pPr>
              <w:pStyle w:val="tabteksts"/>
              <w:jc w:val="center"/>
              <w:rPr>
                <w:b/>
              </w:rPr>
            </w:pPr>
            <w:r w:rsidRPr="009178B4">
              <w:rPr>
                <w:b/>
              </w:rPr>
              <w:t>2013</w:t>
            </w:r>
          </w:p>
        </w:tc>
        <w:tc>
          <w:tcPr>
            <w:tcW w:w="708" w:type="dxa"/>
            <w:tcBorders>
              <w:top w:val="double" w:sz="4" w:space="0" w:color="auto"/>
              <w:left w:val="nil"/>
              <w:bottom w:val="single" w:sz="4" w:space="0" w:color="auto"/>
              <w:right w:val="single" w:sz="4" w:space="0" w:color="auto"/>
            </w:tcBorders>
          </w:tcPr>
          <w:p w14:paraId="1C882154" w14:textId="77777777" w:rsidR="003A2E39" w:rsidRPr="009178B4" w:rsidRDefault="003A2E39" w:rsidP="00F46473">
            <w:pPr>
              <w:pStyle w:val="tabteksts"/>
              <w:jc w:val="center"/>
              <w:rPr>
                <w:b/>
              </w:rPr>
            </w:pPr>
            <w:r w:rsidRPr="009178B4">
              <w:rPr>
                <w:b/>
              </w:rPr>
              <w:t>2014</w:t>
            </w:r>
          </w:p>
        </w:tc>
        <w:tc>
          <w:tcPr>
            <w:tcW w:w="851" w:type="dxa"/>
            <w:tcBorders>
              <w:top w:val="double" w:sz="4" w:space="0" w:color="auto"/>
              <w:left w:val="nil"/>
              <w:bottom w:val="single" w:sz="4" w:space="0" w:color="auto"/>
              <w:right w:val="single" w:sz="4" w:space="0" w:color="auto"/>
            </w:tcBorders>
            <w:vAlign w:val="bottom"/>
          </w:tcPr>
          <w:p w14:paraId="2D73547B" w14:textId="77777777" w:rsidR="003A2E39" w:rsidRPr="009178B4" w:rsidRDefault="003A2E39" w:rsidP="00F46473">
            <w:pPr>
              <w:pStyle w:val="tabteksts"/>
              <w:jc w:val="center"/>
              <w:rPr>
                <w:b/>
              </w:rPr>
            </w:pPr>
            <w:r w:rsidRPr="009178B4">
              <w:rPr>
                <w:b/>
              </w:rPr>
              <w:t>2015</w:t>
            </w:r>
          </w:p>
        </w:tc>
        <w:tc>
          <w:tcPr>
            <w:tcW w:w="850" w:type="dxa"/>
            <w:tcBorders>
              <w:top w:val="double" w:sz="4" w:space="0" w:color="auto"/>
              <w:left w:val="single" w:sz="4" w:space="0" w:color="auto"/>
              <w:bottom w:val="single" w:sz="4" w:space="0" w:color="auto"/>
              <w:right w:val="double" w:sz="4" w:space="0" w:color="auto"/>
            </w:tcBorders>
            <w:vAlign w:val="bottom"/>
          </w:tcPr>
          <w:p w14:paraId="3C7CB8AB" w14:textId="77777777" w:rsidR="003A2E39" w:rsidRPr="009178B4" w:rsidRDefault="003A2E39" w:rsidP="00F46473">
            <w:pPr>
              <w:pStyle w:val="tabteksts"/>
              <w:jc w:val="center"/>
              <w:rPr>
                <w:b/>
              </w:rPr>
            </w:pPr>
            <w:r w:rsidRPr="009178B4">
              <w:rPr>
                <w:b/>
              </w:rPr>
              <w:t>2016</w:t>
            </w:r>
          </w:p>
        </w:tc>
      </w:tr>
      <w:tr w:rsidR="003A2E39" w:rsidRPr="009178B4" w14:paraId="1A507301" w14:textId="77777777" w:rsidTr="008C7F19">
        <w:trPr>
          <w:cantSplit/>
          <w:tblHeader/>
        </w:trPr>
        <w:tc>
          <w:tcPr>
            <w:tcW w:w="3544" w:type="dxa"/>
            <w:tcBorders>
              <w:top w:val="single" w:sz="4" w:space="0" w:color="auto"/>
              <w:left w:val="double" w:sz="4" w:space="0" w:color="auto"/>
              <w:bottom w:val="single" w:sz="4" w:space="0" w:color="auto"/>
              <w:right w:val="double" w:sz="4" w:space="0" w:color="auto"/>
            </w:tcBorders>
            <w:vAlign w:val="bottom"/>
          </w:tcPr>
          <w:p w14:paraId="05E67310" w14:textId="77777777" w:rsidR="003A2E39" w:rsidRPr="009178B4" w:rsidRDefault="003A2E39" w:rsidP="00F46473">
            <w:pPr>
              <w:pStyle w:val="tabteksts"/>
            </w:pPr>
          </w:p>
        </w:tc>
        <w:tc>
          <w:tcPr>
            <w:tcW w:w="1418" w:type="dxa"/>
            <w:tcBorders>
              <w:top w:val="single" w:sz="4" w:space="0" w:color="auto"/>
              <w:left w:val="nil"/>
              <w:bottom w:val="single" w:sz="4" w:space="0" w:color="auto"/>
              <w:right w:val="single" w:sz="4" w:space="0" w:color="auto"/>
            </w:tcBorders>
            <w:vAlign w:val="center"/>
          </w:tcPr>
          <w:p w14:paraId="74D8E47B" w14:textId="77777777" w:rsidR="003A2E39" w:rsidRPr="009178B4" w:rsidRDefault="003A2E39" w:rsidP="00F46473">
            <w:pPr>
              <w:pStyle w:val="tabteksts"/>
              <w:jc w:val="center"/>
              <w:rPr>
                <w:noProof/>
              </w:rPr>
            </w:pPr>
            <w:r w:rsidRPr="009178B4">
              <w:rPr>
                <w:noProof/>
              </w:rPr>
              <w:t>milj. latu</w:t>
            </w:r>
          </w:p>
        </w:tc>
        <w:tc>
          <w:tcPr>
            <w:tcW w:w="4110" w:type="dxa"/>
            <w:gridSpan w:val="5"/>
            <w:tcBorders>
              <w:top w:val="single" w:sz="4" w:space="0" w:color="auto"/>
              <w:left w:val="nil"/>
              <w:bottom w:val="single" w:sz="4" w:space="0" w:color="auto"/>
              <w:right w:val="double" w:sz="4" w:space="0" w:color="auto"/>
            </w:tcBorders>
            <w:vAlign w:val="center"/>
          </w:tcPr>
          <w:p w14:paraId="3FC24150" w14:textId="77777777" w:rsidR="003A2E39" w:rsidRPr="009178B4" w:rsidRDefault="003A2E39" w:rsidP="00F46473">
            <w:pPr>
              <w:pStyle w:val="tabteksts"/>
              <w:jc w:val="center"/>
            </w:pPr>
            <w:r w:rsidRPr="009178B4">
              <w:t>% no IKP</w:t>
            </w:r>
          </w:p>
        </w:tc>
      </w:tr>
      <w:tr w:rsidR="003A2E39" w:rsidRPr="009178B4" w14:paraId="7C62CB20" w14:textId="77777777" w:rsidTr="008C7F19">
        <w:trPr>
          <w:cantSplit/>
        </w:trPr>
        <w:tc>
          <w:tcPr>
            <w:tcW w:w="3544" w:type="dxa"/>
            <w:tcBorders>
              <w:top w:val="single" w:sz="4" w:space="0" w:color="auto"/>
              <w:left w:val="double" w:sz="4" w:space="0" w:color="auto"/>
              <w:bottom w:val="single" w:sz="4" w:space="0" w:color="auto"/>
              <w:right w:val="double" w:sz="4" w:space="0" w:color="auto"/>
            </w:tcBorders>
          </w:tcPr>
          <w:p w14:paraId="1B58B825" w14:textId="77777777" w:rsidR="003A2E39" w:rsidRPr="009178B4" w:rsidRDefault="003A2E39" w:rsidP="00F46473">
            <w:pPr>
              <w:pStyle w:val="tabteksts"/>
              <w:rPr>
                <w:snapToGrid w:val="0"/>
              </w:rPr>
            </w:pPr>
            <w:r w:rsidRPr="009178B4">
              <w:rPr>
                <w:snapToGrid w:val="0"/>
              </w:rPr>
              <w:t>1. Kopējie ieņēmumi pie nemainīgas politikas</w:t>
            </w:r>
          </w:p>
        </w:tc>
        <w:tc>
          <w:tcPr>
            <w:tcW w:w="1418" w:type="dxa"/>
            <w:tcBorders>
              <w:top w:val="single" w:sz="4" w:space="0" w:color="auto"/>
              <w:left w:val="nil"/>
              <w:bottom w:val="single" w:sz="4" w:space="0" w:color="auto"/>
              <w:right w:val="single" w:sz="4" w:space="0" w:color="auto"/>
            </w:tcBorders>
            <w:vAlign w:val="bottom"/>
          </w:tcPr>
          <w:p w14:paraId="359D218F" w14:textId="77777777" w:rsidR="003A2E39" w:rsidRPr="009178B4" w:rsidRDefault="003A2E39" w:rsidP="00F46473">
            <w:pPr>
              <w:pStyle w:val="tabteksts"/>
              <w:jc w:val="right"/>
              <w:rPr>
                <w:snapToGrid w:val="0"/>
              </w:rPr>
            </w:pPr>
            <w:r w:rsidRPr="009178B4">
              <w:rPr>
                <w:snapToGrid w:val="0"/>
              </w:rPr>
              <w:t>5 468,1</w:t>
            </w:r>
          </w:p>
        </w:tc>
        <w:tc>
          <w:tcPr>
            <w:tcW w:w="708" w:type="dxa"/>
            <w:tcBorders>
              <w:top w:val="single" w:sz="4" w:space="0" w:color="auto"/>
              <w:left w:val="nil"/>
              <w:bottom w:val="single" w:sz="4" w:space="0" w:color="auto"/>
              <w:right w:val="single" w:sz="4" w:space="0" w:color="auto"/>
            </w:tcBorders>
            <w:vAlign w:val="bottom"/>
          </w:tcPr>
          <w:p w14:paraId="681D34AD" w14:textId="77777777" w:rsidR="003A2E39" w:rsidRPr="009178B4" w:rsidRDefault="003A2E39" w:rsidP="00F46473">
            <w:pPr>
              <w:pStyle w:val="tabteksts"/>
              <w:jc w:val="right"/>
              <w:rPr>
                <w:snapToGrid w:val="0"/>
              </w:rPr>
            </w:pPr>
            <w:r w:rsidRPr="009178B4">
              <w:rPr>
                <w:snapToGrid w:val="0"/>
              </w:rPr>
              <w:t>35,2</w:t>
            </w:r>
          </w:p>
        </w:tc>
        <w:tc>
          <w:tcPr>
            <w:tcW w:w="993" w:type="dxa"/>
            <w:tcBorders>
              <w:top w:val="single" w:sz="4" w:space="0" w:color="auto"/>
              <w:left w:val="nil"/>
              <w:bottom w:val="single" w:sz="4" w:space="0" w:color="auto"/>
              <w:right w:val="single" w:sz="4" w:space="0" w:color="auto"/>
            </w:tcBorders>
            <w:vAlign w:val="bottom"/>
          </w:tcPr>
          <w:p w14:paraId="437AC6DC" w14:textId="77777777" w:rsidR="003A2E39" w:rsidRPr="009178B4" w:rsidRDefault="003A2E39" w:rsidP="00F46473">
            <w:pPr>
              <w:pStyle w:val="tabteksts"/>
              <w:jc w:val="right"/>
              <w:rPr>
                <w:snapToGrid w:val="0"/>
              </w:rPr>
            </w:pPr>
            <w:r w:rsidRPr="009178B4">
              <w:rPr>
                <w:snapToGrid w:val="0"/>
              </w:rPr>
              <w:t>35,2</w:t>
            </w:r>
          </w:p>
        </w:tc>
        <w:tc>
          <w:tcPr>
            <w:tcW w:w="708" w:type="dxa"/>
            <w:tcBorders>
              <w:top w:val="single" w:sz="4" w:space="0" w:color="auto"/>
              <w:left w:val="nil"/>
              <w:bottom w:val="single" w:sz="4" w:space="0" w:color="auto"/>
              <w:right w:val="single" w:sz="4" w:space="0" w:color="auto"/>
            </w:tcBorders>
            <w:vAlign w:val="bottom"/>
          </w:tcPr>
          <w:p w14:paraId="582BC2FB" w14:textId="77777777" w:rsidR="003A2E39" w:rsidRPr="009178B4" w:rsidRDefault="003A2E39" w:rsidP="00F46473">
            <w:pPr>
              <w:pStyle w:val="tabteksts"/>
              <w:jc w:val="right"/>
              <w:rPr>
                <w:snapToGrid w:val="0"/>
              </w:rPr>
            </w:pPr>
            <w:r w:rsidRPr="009178B4">
              <w:rPr>
                <w:snapToGrid w:val="0"/>
              </w:rPr>
              <w:t>33,8</w:t>
            </w:r>
          </w:p>
        </w:tc>
        <w:tc>
          <w:tcPr>
            <w:tcW w:w="851" w:type="dxa"/>
            <w:tcBorders>
              <w:top w:val="single" w:sz="4" w:space="0" w:color="auto"/>
              <w:left w:val="nil"/>
              <w:bottom w:val="single" w:sz="4" w:space="0" w:color="auto"/>
              <w:right w:val="single" w:sz="4" w:space="0" w:color="auto"/>
            </w:tcBorders>
            <w:vAlign w:val="bottom"/>
          </w:tcPr>
          <w:p w14:paraId="21E407F4" w14:textId="77777777" w:rsidR="003A2E39" w:rsidRPr="009178B4" w:rsidRDefault="003A2E39" w:rsidP="00F46473">
            <w:pPr>
              <w:pStyle w:val="tabteksts"/>
              <w:jc w:val="right"/>
              <w:rPr>
                <w:snapToGrid w:val="0"/>
              </w:rPr>
            </w:pPr>
            <w:r w:rsidRPr="009178B4">
              <w:rPr>
                <w:snapToGrid w:val="0"/>
              </w:rPr>
              <w:t>30,9</w:t>
            </w:r>
          </w:p>
        </w:tc>
        <w:tc>
          <w:tcPr>
            <w:tcW w:w="850" w:type="dxa"/>
            <w:tcBorders>
              <w:top w:val="single" w:sz="4" w:space="0" w:color="auto"/>
              <w:left w:val="single" w:sz="4" w:space="0" w:color="auto"/>
              <w:bottom w:val="single" w:sz="4" w:space="0" w:color="auto"/>
              <w:right w:val="double" w:sz="4" w:space="0" w:color="auto"/>
            </w:tcBorders>
            <w:vAlign w:val="bottom"/>
          </w:tcPr>
          <w:p w14:paraId="4411DD47" w14:textId="77777777" w:rsidR="003A2E39" w:rsidRPr="009178B4" w:rsidRDefault="003A2E39" w:rsidP="00F46473">
            <w:pPr>
              <w:pStyle w:val="tabteksts"/>
              <w:jc w:val="right"/>
              <w:rPr>
                <w:snapToGrid w:val="0"/>
              </w:rPr>
            </w:pPr>
            <w:r w:rsidRPr="009178B4">
              <w:rPr>
                <w:snapToGrid w:val="0"/>
              </w:rPr>
              <w:t>31,2</w:t>
            </w:r>
          </w:p>
        </w:tc>
      </w:tr>
      <w:tr w:rsidR="003A2E39" w:rsidRPr="007A44FD" w14:paraId="2069FF65" w14:textId="77777777" w:rsidTr="008C7F19">
        <w:trPr>
          <w:cantSplit/>
        </w:trPr>
        <w:tc>
          <w:tcPr>
            <w:tcW w:w="3544" w:type="dxa"/>
            <w:tcBorders>
              <w:top w:val="single" w:sz="4" w:space="0" w:color="auto"/>
              <w:left w:val="double" w:sz="4" w:space="0" w:color="auto"/>
              <w:bottom w:val="double" w:sz="4" w:space="0" w:color="auto"/>
              <w:right w:val="double" w:sz="4" w:space="0" w:color="auto"/>
            </w:tcBorders>
          </w:tcPr>
          <w:p w14:paraId="75177EC3" w14:textId="77777777" w:rsidR="003A2E39" w:rsidRPr="009178B4" w:rsidRDefault="003A2E39" w:rsidP="00F46473">
            <w:pPr>
              <w:pStyle w:val="tabteksts"/>
              <w:rPr>
                <w:snapToGrid w:val="0"/>
              </w:rPr>
            </w:pPr>
            <w:r w:rsidRPr="009178B4">
              <w:rPr>
                <w:snapToGrid w:val="0"/>
              </w:rPr>
              <w:t>2. Kopējie izdevumi pie nemainīgas politikas</w:t>
            </w:r>
          </w:p>
        </w:tc>
        <w:tc>
          <w:tcPr>
            <w:tcW w:w="1418" w:type="dxa"/>
            <w:tcBorders>
              <w:top w:val="single" w:sz="4" w:space="0" w:color="auto"/>
              <w:left w:val="nil"/>
              <w:bottom w:val="double" w:sz="4" w:space="0" w:color="auto"/>
              <w:right w:val="single" w:sz="4" w:space="0" w:color="auto"/>
            </w:tcBorders>
            <w:vAlign w:val="bottom"/>
          </w:tcPr>
          <w:p w14:paraId="2166EDA9" w14:textId="77777777" w:rsidR="003A2E39" w:rsidRPr="009178B4" w:rsidRDefault="003A2E39" w:rsidP="00F46473">
            <w:pPr>
              <w:pStyle w:val="tabteksts"/>
              <w:jc w:val="right"/>
              <w:rPr>
                <w:snapToGrid w:val="0"/>
              </w:rPr>
            </w:pPr>
            <w:r w:rsidRPr="009178B4">
              <w:rPr>
                <w:snapToGrid w:val="0"/>
              </w:rPr>
              <w:t>5 655,3</w:t>
            </w:r>
          </w:p>
        </w:tc>
        <w:tc>
          <w:tcPr>
            <w:tcW w:w="708" w:type="dxa"/>
            <w:tcBorders>
              <w:top w:val="single" w:sz="4" w:space="0" w:color="auto"/>
              <w:left w:val="nil"/>
              <w:bottom w:val="double" w:sz="4" w:space="0" w:color="auto"/>
              <w:right w:val="single" w:sz="4" w:space="0" w:color="auto"/>
            </w:tcBorders>
            <w:vAlign w:val="bottom"/>
          </w:tcPr>
          <w:p w14:paraId="04B838C0" w14:textId="77777777" w:rsidR="003A2E39" w:rsidRPr="009178B4" w:rsidRDefault="003A2E39" w:rsidP="00F46473">
            <w:pPr>
              <w:pStyle w:val="tabteksts"/>
              <w:jc w:val="right"/>
              <w:rPr>
                <w:snapToGrid w:val="0"/>
              </w:rPr>
            </w:pPr>
            <w:r w:rsidRPr="009178B4">
              <w:rPr>
                <w:snapToGrid w:val="0"/>
              </w:rPr>
              <w:t>36,4</w:t>
            </w:r>
          </w:p>
        </w:tc>
        <w:tc>
          <w:tcPr>
            <w:tcW w:w="993" w:type="dxa"/>
            <w:tcBorders>
              <w:top w:val="single" w:sz="4" w:space="0" w:color="auto"/>
              <w:left w:val="nil"/>
              <w:bottom w:val="double" w:sz="4" w:space="0" w:color="auto"/>
              <w:right w:val="single" w:sz="4" w:space="0" w:color="auto"/>
            </w:tcBorders>
            <w:vAlign w:val="bottom"/>
          </w:tcPr>
          <w:p w14:paraId="2A65D4C0" w14:textId="77777777" w:rsidR="003A2E39" w:rsidRPr="009178B4" w:rsidRDefault="003A2E39" w:rsidP="00F46473">
            <w:pPr>
              <w:pStyle w:val="tabteksts"/>
              <w:jc w:val="right"/>
              <w:rPr>
                <w:snapToGrid w:val="0"/>
              </w:rPr>
            </w:pPr>
            <w:r w:rsidRPr="009178B4">
              <w:rPr>
                <w:snapToGrid w:val="0"/>
              </w:rPr>
              <w:t>36,3</w:t>
            </w:r>
          </w:p>
        </w:tc>
        <w:tc>
          <w:tcPr>
            <w:tcW w:w="708" w:type="dxa"/>
            <w:tcBorders>
              <w:top w:val="single" w:sz="4" w:space="0" w:color="auto"/>
              <w:left w:val="nil"/>
              <w:bottom w:val="double" w:sz="4" w:space="0" w:color="auto"/>
              <w:right w:val="single" w:sz="4" w:space="0" w:color="auto"/>
            </w:tcBorders>
            <w:vAlign w:val="bottom"/>
          </w:tcPr>
          <w:p w14:paraId="1F9F89AB" w14:textId="77777777" w:rsidR="003A2E39" w:rsidRPr="009178B4" w:rsidRDefault="003A2E39" w:rsidP="00F46473">
            <w:pPr>
              <w:pStyle w:val="tabteksts"/>
              <w:jc w:val="right"/>
              <w:rPr>
                <w:snapToGrid w:val="0"/>
              </w:rPr>
            </w:pPr>
            <w:r w:rsidRPr="009178B4">
              <w:rPr>
                <w:snapToGrid w:val="0"/>
              </w:rPr>
              <w:t>34,4</w:t>
            </w:r>
          </w:p>
        </w:tc>
        <w:tc>
          <w:tcPr>
            <w:tcW w:w="851" w:type="dxa"/>
            <w:tcBorders>
              <w:top w:val="single" w:sz="4" w:space="0" w:color="auto"/>
              <w:left w:val="nil"/>
              <w:bottom w:val="double" w:sz="4" w:space="0" w:color="auto"/>
              <w:right w:val="single" w:sz="4" w:space="0" w:color="auto"/>
            </w:tcBorders>
            <w:vAlign w:val="bottom"/>
          </w:tcPr>
          <w:p w14:paraId="46711646" w14:textId="77777777" w:rsidR="003A2E39" w:rsidRPr="009178B4" w:rsidRDefault="003A2E39" w:rsidP="00F46473">
            <w:pPr>
              <w:pStyle w:val="tabteksts"/>
              <w:jc w:val="right"/>
              <w:rPr>
                <w:snapToGrid w:val="0"/>
              </w:rPr>
            </w:pPr>
            <w:r w:rsidRPr="009178B4">
              <w:rPr>
                <w:snapToGrid w:val="0"/>
              </w:rPr>
              <w:t>31,3</w:t>
            </w:r>
          </w:p>
        </w:tc>
        <w:tc>
          <w:tcPr>
            <w:tcW w:w="850" w:type="dxa"/>
            <w:tcBorders>
              <w:top w:val="single" w:sz="4" w:space="0" w:color="auto"/>
              <w:left w:val="single" w:sz="4" w:space="0" w:color="auto"/>
              <w:bottom w:val="double" w:sz="4" w:space="0" w:color="auto"/>
              <w:right w:val="double" w:sz="4" w:space="0" w:color="auto"/>
            </w:tcBorders>
            <w:vAlign w:val="bottom"/>
          </w:tcPr>
          <w:p w14:paraId="7B705B42" w14:textId="77777777" w:rsidR="003A2E39" w:rsidRPr="009178B4" w:rsidRDefault="003A2E39" w:rsidP="00F46473">
            <w:pPr>
              <w:pStyle w:val="tabteksts"/>
              <w:jc w:val="right"/>
              <w:rPr>
                <w:snapToGrid w:val="0"/>
              </w:rPr>
            </w:pPr>
            <w:r w:rsidRPr="009178B4">
              <w:rPr>
                <w:snapToGrid w:val="0"/>
              </w:rPr>
              <w:t>30,5</w:t>
            </w:r>
          </w:p>
        </w:tc>
      </w:tr>
    </w:tbl>
    <w:p w14:paraId="1D778874" w14:textId="77777777" w:rsidR="002D62B9" w:rsidRDefault="002D62B9" w:rsidP="002D62B9">
      <w:pPr>
        <w:rPr>
          <w:color w:val="000000"/>
          <w:szCs w:val="24"/>
        </w:rPr>
      </w:pPr>
    </w:p>
    <w:p w14:paraId="0DBA9DEA" w14:textId="77777777" w:rsidR="00203D1A" w:rsidRPr="001946E0" w:rsidRDefault="00203D1A" w:rsidP="002D62B9">
      <w:pPr>
        <w:rPr>
          <w:color w:val="000000"/>
          <w:szCs w:val="24"/>
        </w:rPr>
      </w:pPr>
    </w:p>
    <w:p w14:paraId="4B48D055" w14:textId="77777777" w:rsidR="003A2E39" w:rsidRPr="005A6F44" w:rsidRDefault="003A2E39" w:rsidP="003A2E39">
      <w:pPr>
        <w:ind w:firstLine="0"/>
        <w:jc w:val="left"/>
        <w:rPr>
          <w:b/>
          <w:szCs w:val="24"/>
        </w:rPr>
      </w:pPr>
      <w:r w:rsidRPr="005A6F44">
        <w:rPr>
          <w:b/>
          <w:szCs w:val="24"/>
        </w:rPr>
        <w:t>2c. tabula. Izdevumi, kas tiek izslēgti no izdevumu kritērija</w:t>
      </w:r>
    </w:p>
    <w:tbl>
      <w:tblPr>
        <w:tblW w:w="9072" w:type="dxa"/>
        <w:tblInd w:w="108" w:type="dxa"/>
        <w:tblLayout w:type="fixed"/>
        <w:tblLook w:val="0000" w:firstRow="0" w:lastRow="0" w:firstColumn="0" w:lastColumn="0" w:noHBand="0" w:noVBand="0"/>
      </w:tblPr>
      <w:tblGrid>
        <w:gridCol w:w="3544"/>
        <w:gridCol w:w="992"/>
        <w:gridCol w:w="993"/>
        <w:gridCol w:w="850"/>
        <w:gridCol w:w="709"/>
        <w:gridCol w:w="850"/>
        <w:gridCol w:w="1134"/>
      </w:tblGrid>
      <w:tr w:rsidR="003F4DE5" w:rsidRPr="005A6F44" w14:paraId="461D9B99" w14:textId="77777777" w:rsidTr="008C7F19">
        <w:trPr>
          <w:cantSplit/>
          <w:tblHeader/>
        </w:trPr>
        <w:tc>
          <w:tcPr>
            <w:tcW w:w="3544" w:type="dxa"/>
            <w:tcBorders>
              <w:top w:val="double" w:sz="4" w:space="0" w:color="auto"/>
              <w:left w:val="double" w:sz="4" w:space="0" w:color="auto"/>
              <w:bottom w:val="single" w:sz="4" w:space="0" w:color="auto"/>
              <w:right w:val="double" w:sz="4" w:space="0" w:color="auto"/>
            </w:tcBorders>
            <w:vAlign w:val="bottom"/>
          </w:tcPr>
          <w:p w14:paraId="436D1ACE" w14:textId="77777777" w:rsidR="003F4DE5" w:rsidRPr="005A6F44" w:rsidRDefault="003F4DE5" w:rsidP="00112D09">
            <w:pPr>
              <w:pStyle w:val="tabteksts"/>
              <w:jc w:val="center"/>
              <w:rPr>
                <w:b/>
              </w:rPr>
            </w:pPr>
          </w:p>
        </w:tc>
        <w:tc>
          <w:tcPr>
            <w:tcW w:w="992" w:type="dxa"/>
            <w:tcBorders>
              <w:top w:val="double" w:sz="4" w:space="0" w:color="auto"/>
              <w:left w:val="nil"/>
              <w:bottom w:val="single" w:sz="4" w:space="0" w:color="auto"/>
              <w:right w:val="single" w:sz="4" w:space="0" w:color="auto"/>
            </w:tcBorders>
            <w:vAlign w:val="bottom"/>
          </w:tcPr>
          <w:p w14:paraId="4BAA2714" w14:textId="77777777" w:rsidR="003F4DE5" w:rsidRPr="005A6F44" w:rsidRDefault="003F4DE5" w:rsidP="00112D09">
            <w:pPr>
              <w:pStyle w:val="tabteksts"/>
              <w:jc w:val="center"/>
              <w:rPr>
                <w:b/>
              </w:rPr>
            </w:pPr>
            <w:r w:rsidRPr="005A6F44">
              <w:rPr>
                <w:b/>
              </w:rPr>
              <w:t>2012</w:t>
            </w:r>
          </w:p>
        </w:tc>
        <w:tc>
          <w:tcPr>
            <w:tcW w:w="993" w:type="dxa"/>
            <w:tcBorders>
              <w:top w:val="double" w:sz="4" w:space="0" w:color="auto"/>
              <w:left w:val="nil"/>
              <w:bottom w:val="single" w:sz="4" w:space="0" w:color="auto"/>
              <w:right w:val="single" w:sz="4" w:space="0" w:color="auto"/>
            </w:tcBorders>
            <w:vAlign w:val="bottom"/>
          </w:tcPr>
          <w:p w14:paraId="59AA06BA" w14:textId="77777777" w:rsidR="003F4DE5" w:rsidRPr="005A6F44" w:rsidRDefault="003F4DE5" w:rsidP="00112D09">
            <w:pPr>
              <w:pStyle w:val="tabteksts"/>
              <w:jc w:val="center"/>
              <w:rPr>
                <w:b/>
              </w:rPr>
            </w:pPr>
            <w:r w:rsidRPr="005A6F44">
              <w:rPr>
                <w:b/>
              </w:rPr>
              <w:t>2012</w:t>
            </w:r>
          </w:p>
        </w:tc>
        <w:tc>
          <w:tcPr>
            <w:tcW w:w="850" w:type="dxa"/>
            <w:tcBorders>
              <w:top w:val="double" w:sz="4" w:space="0" w:color="auto"/>
              <w:left w:val="nil"/>
              <w:bottom w:val="single" w:sz="4" w:space="0" w:color="auto"/>
              <w:right w:val="single" w:sz="4" w:space="0" w:color="auto"/>
            </w:tcBorders>
            <w:vAlign w:val="bottom"/>
          </w:tcPr>
          <w:p w14:paraId="6AD0ECF4" w14:textId="77777777" w:rsidR="003F4DE5" w:rsidRPr="005A6F44" w:rsidRDefault="003F4DE5" w:rsidP="00112D09">
            <w:pPr>
              <w:pStyle w:val="tabteksts"/>
              <w:jc w:val="center"/>
              <w:rPr>
                <w:b/>
              </w:rPr>
            </w:pPr>
            <w:r w:rsidRPr="005A6F44">
              <w:rPr>
                <w:b/>
              </w:rPr>
              <w:t>2013</w:t>
            </w:r>
          </w:p>
        </w:tc>
        <w:tc>
          <w:tcPr>
            <w:tcW w:w="709" w:type="dxa"/>
            <w:tcBorders>
              <w:top w:val="double" w:sz="4" w:space="0" w:color="auto"/>
              <w:left w:val="nil"/>
              <w:bottom w:val="single" w:sz="4" w:space="0" w:color="auto"/>
              <w:right w:val="single" w:sz="4" w:space="0" w:color="auto"/>
            </w:tcBorders>
          </w:tcPr>
          <w:p w14:paraId="6C1F2F3E" w14:textId="77777777" w:rsidR="003F4DE5" w:rsidRPr="005A6F44" w:rsidRDefault="003F4DE5" w:rsidP="00112D09">
            <w:pPr>
              <w:pStyle w:val="tabteksts"/>
              <w:jc w:val="center"/>
              <w:rPr>
                <w:b/>
              </w:rPr>
            </w:pPr>
            <w:r w:rsidRPr="005A6F44">
              <w:rPr>
                <w:b/>
              </w:rPr>
              <w:t>2014</w:t>
            </w:r>
          </w:p>
        </w:tc>
        <w:tc>
          <w:tcPr>
            <w:tcW w:w="850" w:type="dxa"/>
            <w:tcBorders>
              <w:top w:val="double" w:sz="4" w:space="0" w:color="auto"/>
              <w:left w:val="nil"/>
              <w:bottom w:val="single" w:sz="4" w:space="0" w:color="auto"/>
              <w:right w:val="single" w:sz="4" w:space="0" w:color="auto"/>
            </w:tcBorders>
            <w:vAlign w:val="bottom"/>
          </w:tcPr>
          <w:p w14:paraId="03645F3A" w14:textId="77777777" w:rsidR="003F4DE5" w:rsidRPr="005A6F44" w:rsidRDefault="003F4DE5" w:rsidP="00112D09">
            <w:pPr>
              <w:pStyle w:val="tabteksts"/>
              <w:jc w:val="center"/>
              <w:rPr>
                <w:b/>
              </w:rPr>
            </w:pPr>
            <w:r w:rsidRPr="005A6F44">
              <w:rPr>
                <w:b/>
              </w:rPr>
              <w:t>2015</w:t>
            </w:r>
          </w:p>
        </w:tc>
        <w:tc>
          <w:tcPr>
            <w:tcW w:w="1134" w:type="dxa"/>
            <w:tcBorders>
              <w:top w:val="double" w:sz="4" w:space="0" w:color="auto"/>
              <w:left w:val="single" w:sz="4" w:space="0" w:color="auto"/>
              <w:bottom w:val="single" w:sz="4" w:space="0" w:color="auto"/>
              <w:right w:val="double" w:sz="4" w:space="0" w:color="auto"/>
            </w:tcBorders>
            <w:vAlign w:val="bottom"/>
          </w:tcPr>
          <w:p w14:paraId="3CA5F7BB" w14:textId="77777777" w:rsidR="003F4DE5" w:rsidRPr="005A6F44" w:rsidRDefault="003F4DE5" w:rsidP="00112D09">
            <w:pPr>
              <w:pStyle w:val="tabteksts"/>
              <w:jc w:val="center"/>
              <w:rPr>
                <w:b/>
              </w:rPr>
            </w:pPr>
            <w:r w:rsidRPr="005A6F44">
              <w:rPr>
                <w:b/>
              </w:rPr>
              <w:t>2016</w:t>
            </w:r>
          </w:p>
        </w:tc>
      </w:tr>
      <w:tr w:rsidR="003F4DE5" w:rsidRPr="005A6F44" w14:paraId="5C6E9567" w14:textId="77777777" w:rsidTr="008C7F19">
        <w:trPr>
          <w:cantSplit/>
          <w:tblHeader/>
        </w:trPr>
        <w:tc>
          <w:tcPr>
            <w:tcW w:w="3544" w:type="dxa"/>
            <w:tcBorders>
              <w:top w:val="single" w:sz="4" w:space="0" w:color="auto"/>
              <w:left w:val="double" w:sz="4" w:space="0" w:color="auto"/>
              <w:bottom w:val="single" w:sz="4" w:space="0" w:color="auto"/>
              <w:right w:val="double" w:sz="4" w:space="0" w:color="auto"/>
            </w:tcBorders>
            <w:vAlign w:val="bottom"/>
          </w:tcPr>
          <w:p w14:paraId="78E70E2D" w14:textId="77777777" w:rsidR="003F4DE5" w:rsidRPr="005A6F44" w:rsidRDefault="003F4DE5" w:rsidP="00112D09">
            <w:pPr>
              <w:pStyle w:val="tabteksts"/>
            </w:pPr>
          </w:p>
        </w:tc>
        <w:tc>
          <w:tcPr>
            <w:tcW w:w="992" w:type="dxa"/>
            <w:tcBorders>
              <w:top w:val="single" w:sz="4" w:space="0" w:color="auto"/>
              <w:left w:val="nil"/>
              <w:bottom w:val="single" w:sz="4" w:space="0" w:color="auto"/>
              <w:right w:val="single" w:sz="4" w:space="0" w:color="auto"/>
            </w:tcBorders>
            <w:vAlign w:val="center"/>
          </w:tcPr>
          <w:p w14:paraId="5317CD22" w14:textId="77777777" w:rsidR="003F4DE5" w:rsidRPr="005A6F44" w:rsidRDefault="003F4DE5" w:rsidP="00112D09">
            <w:pPr>
              <w:pStyle w:val="tabteksts"/>
              <w:jc w:val="center"/>
              <w:rPr>
                <w:noProof/>
              </w:rPr>
            </w:pPr>
            <w:r w:rsidRPr="005A6F44">
              <w:rPr>
                <w:noProof/>
              </w:rPr>
              <w:t>milj. latu</w:t>
            </w:r>
          </w:p>
        </w:tc>
        <w:tc>
          <w:tcPr>
            <w:tcW w:w="4536" w:type="dxa"/>
            <w:gridSpan w:val="5"/>
            <w:tcBorders>
              <w:top w:val="single" w:sz="4" w:space="0" w:color="auto"/>
              <w:left w:val="nil"/>
              <w:bottom w:val="single" w:sz="4" w:space="0" w:color="auto"/>
              <w:right w:val="double" w:sz="4" w:space="0" w:color="auto"/>
            </w:tcBorders>
            <w:vAlign w:val="center"/>
          </w:tcPr>
          <w:p w14:paraId="532563B2" w14:textId="77777777" w:rsidR="003F4DE5" w:rsidRPr="005A6F44" w:rsidRDefault="003F4DE5" w:rsidP="00112D09">
            <w:pPr>
              <w:pStyle w:val="tabteksts"/>
              <w:jc w:val="center"/>
            </w:pPr>
            <w:r w:rsidRPr="005A6F44">
              <w:t>% no IKP</w:t>
            </w:r>
          </w:p>
        </w:tc>
      </w:tr>
      <w:tr w:rsidR="003F4DE5" w:rsidRPr="005A6F44" w14:paraId="6607E40F" w14:textId="77777777" w:rsidTr="008C7F19">
        <w:trPr>
          <w:cantSplit/>
        </w:trPr>
        <w:tc>
          <w:tcPr>
            <w:tcW w:w="3544" w:type="dxa"/>
            <w:tcBorders>
              <w:top w:val="single" w:sz="4" w:space="0" w:color="auto"/>
              <w:left w:val="double" w:sz="4" w:space="0" w:color="auto"/>
              <w:bottom w:val="single" w:sz="4" w:space="0" w:color="auto"/>
              <w:right w:val="double" w:sz="4" w:space="0" w:color="auto"/>
            </w:tcBorders>
          </w:tcPr>
          <w:p w14:paraId="19668648" w14:textId="77777777" w:rsidR="003F4DE5" w:rsidRPr="005A6F44" w:rsidRDefault="003F4DE5" w:rsidP="00112D09">
            <w:pPr>
              <w:pStyle w:val="tabteksts"/>
              <w:rPr>
                <w:snapToGrid w:val="0"/>
              </w:rPr>
            </w:pPr>
            <w:r w:rsidRPr="005A6F44">
              <w:rPr>
                <w:snapToGrid w:val="0"/>
              </w:rPr>
              <w:t>1. Izdevumi ārvalstu finanšu palīdzības projektiem,  kas atbilst saņemtajiem ārvalstu finanšu palīdzības ieņēmumiem</w:t>
            </w:r>
          </w:p>
        </w:tc>
        <w:tc>
          <w:tcPr>
            <w:tcW w:w="992" w:type="dxa"/>
            <w:tcBorders>
              <w:top w:val="single" w:sz="4" w:space="0" w:color="auto"/>
              <w:left w:val="nil"/>
              <w:bottom w:val="single" w:sz="4" w:space="0" w:color="auto"/>
              <w:right w:val="single" w:sz="4" w:space="0" w:color="auto"/>
            </w:tcBorders>
            <w:vAlign w:val="bottom"/>
          </w:tcPr>
          <w:p w14:paraId="0D3A4749" w14:textId="77777777" w:rsidR="003F4DE5" w:rsidRPr="005A6F44" w:rsidRDefault="003F4DE5" w:rsidP="00112D09">
            <w:pPr>
              <w:pStyle w:val="tabteksts"/>
              <w:jc w:val="right"/>
              <w:rPr>
                <w:snapToGrid w:val="0"/>
              </w:rPr>
            </w:pPr>
            <w:r w:rsidRPr="005A6F44">
              <w:rPr>
                <w:snapToGrid w:val="0"/>
              </w:rPr>
              <w:t>763,7</w:t>
            </w:r>
          </w:p>
        </w:tc>
        <w:tc>
          <w:tcPr>
            <w:tcW w:w="993" w:type="dxa"/>
            <w:tcBorders>
              <w:top w:val="single" w:sz="4" w:space="0" w:color="auto"/>
              <w:left w:val="nil"/>
              <w:bottom w:val="single" w:sz="4" w:space="0" w:color="auto"/>
              <w:right w:val="single" w:sz="4" w:space="0" w:color="auto"/>
            </w:tcBorders>
            <w:vAlign w:val="bottom"/>
          </w:tcPr>
          <w:p w14:paraId="0FCD67CE" w14:textId="77777777" w:rsidR="003F4DE5" w:rsidRPr="005A6F44" w:rsidRDefault="003F4DE5" w:rsidP="00112D09">
            <w:pPr>
              <w:pStyle w:val="tabteksts"/>
              <w:jc w:val="right"/>
              <w:rPr>
                <w:snapToGrid w:val="0"/>
              </w:rPr>
            </w:pPr>
            <w:r w:rsidRPr="005A6F44">
              <w:rPr>
                <w:snapToGrid w:val="0"/>
              </w:rPr>
              <w:t>4,9</w:t>
            </w:r>
          </w:p>
        </w:tc>
        <w:tc>
          <w:tcPr>
            <w:tcW w:w="850" w:type="dxa"/>
            <w:tcBorders>
              <w:top w:val="single" w:sz="4" w:space="0" w:color="auto"/>
              <w:left w:val="nil"/>
              <w:bottom w:val="single" w:sz="4" w:space="0" w:color="auto"/>
              <w:right w:val="single" w:sz="4" w:space="0" w:color="auto"/>
            </w:tcBorders>
            <w:vAlign w:val="bottom"/>
          </w:tcPr>
          <w:p w14:paraId="56140AB9" w14:textId="77777777" w:rsidR="003F4DE5" w:rsidRPr="005A6F44" w:rsidRDefault="003F4DE5" w:rsidP="00112D09">
            <w:pPr>
              <w:pStyle w:val="tabteksts"/>
              <w:jc w:val="right"/>
              <w:rPr>
                <w:snapToGrid w:val="0"/>
              </w:rPr>
            </w:pPr>
            <w:r w:rsidRPr="005A6F44">
              <w:rPr>
                <w:snapToGrid w:val="0"/>
              </w:rPr>
              <w:t>4,9</w:t>
            </w:r>
          </w:p>
        </w:tc>
        <w:tc>
          <w:tcPr>
            <w:tcW w:w="709" w:type="dxa"/>
            <w:tcBorders>
              <w:top w:val="single" w:sz="4" w:space="0" w:color="auto"/>
              <w:left w:val="nil"/>
              <w:bottom w:val="single" w:sz="4" w:space="0" w:color="auto"/>
              <w:right w:val="single" w:sz="4" w:space="0" w:color="auto"/>
            </w:tcBorders>
            <w:vAlign w:val="bottom"/>
          </w:tcPr>
          <w:p w14:paraId="59EC4095" w14:textId="77777777" w:rsidR="003F4DE5" w:rsidRPr="005A6F44" w:rsidRDefault="003F4DE5" w:rsidP="00112D09">
            <w:pPr>
              <w:pStyle w:val="tabteksts"/>
              <w:jc w:val="right"/>
              <w:rPr>
                <w:snapToGrid w:val="0"/>
              </w:rPr>
            </w:pPr>
            <w:r w:rsidRPr="005A6F44">
              <w:rPr>
                <w:snapToGrid w:val="0"/>
              </w:rPr>
              <w:t>4,6</w:t>
            </w:r>
          </w:p>
        </w:tc>
        <w:tc>
          <w:tcPr>
            <w:tcW w:w="850" w:type="dxa"/>
            <w:tcBorders>
              <w:top w:val="single" w:sz="4" w:space="0" w:color="auto"/>
              <w:left w:val="nil"/>
              <w:bottom w:val="single" w:sz="4" w:space="0" w:color="auto"/>
              <w:right w:val="single" w:sz="4" w:space="0" w:color="auto"/>
            </w:tcBorders>
            <w:vAlign w:val="bottom"/>
          </w:tcPr>
          <w:p w14:paraId="57768B1D" w14:textId="77777777" w:rsidR="003F4DE5" w:rsidRPr="005A6F44" w:rsidRDefault="003F4DE5" w:rsidP="00112D09">
            <w:pPr>
              <w:pStyle w:val="tabteksts"/>
              <w:jc w:val="right"/>
              <w:rPr>
                <w:snapToGrid w:val="0"/>
              </w:rPr>
            </w:pPr>
            <w:r w:rsidRPr="005A6F44">
              <w:rPr>
                <w:snapToGrid w:val="0"/>
              </w:rPr>
              <w:t>3,3</w:t>
            </w:r>
          </w:p>
        </w:tc>
        <w:tc>
          <w:tcPr>
            <w:tcW w:w="1134" w:type="dxa"/>
            <w:tcBorders>
              <w:top w:val="single" w:sz="4" w:space="0" w:color="auto"/>
              <w:left w:val="single" w:sz="4" w:space="0" w:color="auto"/>
              <w:bottom w:val="single" w:sz="4" w:space="0" w:color="auto"/>
              <w:right w:val="double" w:sz="4" w:space="0" w:color="auto"/>
            </w:tcBorders>
            <w:vAlign w:val="bottom"/>
          </w:tcPr>
          <w:p w14:paraId="79C3C274" w14:textId="77777777" w:rsidR="003F4DE5" w:rsidRPr="005A6F44" w:rsidRDefault="003F4DE5" w:rsidP="00112D09">
            <w:pPr>
              <w:pStyle w:val="tabteksts"/>
              <w:jc w:val="right"/>
              <w:rPr>
                <w:snapToGrid w:val="0"/>
              </w:rPr>
            </w:pPr>
            <w:r w:rsidRPr="005A6F44">
              <w:rPr>
                <w:snapToGrid w:val="0"/>
              </w:rPr>
              <w:t>4,1</w:t>
            </w:r>
          </w:p>
        </w:tc>
      </w:tr>
      <w:tr w:rsidR="003F4DE5" w:rsidRPr="005A6F44" w14:paraId="60FE66CA" w14:textId="77777777" w:rsidTr="008C7F19">
        <w:trPr>
          <w:cantSplit/>
        </w:trPr>
        <w:tc>
          <w:tcPr>
            <w:tcW w:w="3544" w:type="dxa"/>
            <w:tcBorders>
              <w:top w:val="single" w:sz="4" w:space="0" w:color="auto"/>
              <w:left w:val="double" w:sz="4" w:space="0" w:color="auto"/>
              <w:bottom w:val="single" w:sz="4" w:space="0" w:color="auto"/>
              <w:right w:val="double" w:sz="4" w:space="0" w:color="auto"/>
            </w:tcBorders>
          </w:tcPr>
          <w:p w14:paraId="57C50078" w14:textId="77777777" w:rsidR="003F4DE5" w:rsidRPr="005A6F44" w:rsidRDefault="003F4DE5" w:rsidP="00112D09">
            <w:pPr>
              <w:pStyle w:val="tabteksts"/>
              <w:rPr>
                <w:snapToGrid w:val="0"/>
              </w:rPr>
            </w:pPr>
            <w:r w:rsidRPr="005A6F44">
              <w:rPr>
                <w:snapToGrid w:val="0"/>
              </w:rPr>
              <w:t>2. Cikliskie izdevumi bezdarbnieku pabalstiem</w:t>
            </w:r>
          </w:p>
        </w:tc>
        <w:tc>
          <w:tcPr>
            <w:tcW w:w="992" w:type="dxa"/>
            <w:tcBorders>
              <w:top w:val="single" w:sz="4" w:space="0" w:color="auto"/>
              <w:left w:val="nil"/>
              <w:bottom w:val="single" w:sz="4" w:space="0" w:color="auto"/>
              <w:right w:val="single" w:sz="4" w:space="0" w:color="auto"/>
            </w:tcBorders>
            <w:vAlign w:val="bottom"/>
          </w:tcPr>
          <w:p w14:paraId="3BAFE073" w14:textId="77777777" w:rsidR="003F4DE5" w:rsidRPr="005A6F44" w:rsidRDefault="003F4DE5" w:rsidP="00112D09">
            <w:pPr>
              <w:pStyle w:val="tabteksts"/>
              <w:jc w:val="right"/>
              <w:rPr>
                <w:snapToGrid w:val="0"/>
              </w:rPr>
            </w:pPr>
            <w:r w:rsidRPr="005A6F44">
              <w:rPr>
                <w:snapToGrid w:val="0"/>
              </w:rPr>
              <w:t>0,0</w:t>
            </w:r>
          </w:p>
        </w:tc>
        <w:tc>
          <w:tcPr>
            <w:tcW w:w="993" w:type="dxa"/>
            <w:tcBorders>
              <w:top w:val="single" w:sz="4" w:space="0" w:color="auto"/>
              <w:left w:val="nil"/>
              <w:bottom w:val="single" w:sz="4" w:space="0" w:color="auto"/>
              <w:right w:val="single" w:sz="4" w:space="0" w:color="auto"/>
            </w:tcBorders>
            <w:vAlign w:val="bottom"/>
          </w:tcPr>
          <w:p w14:paraId="654261FC" w14:textId="77777777" w:rsidR="003F4DE5" w:rsidRPr="005A6F44" w:rsidRDefault="003F4DE5" w:rsidP="00112D09">
            <w:pPr>
              <w:pStyle w:val="tabteksts"/>
              <w:jc w:val="right"/>
              <w:rPr>
                <w:snapToGrid w:val="0"/>
              </w:rPr>
            </w:pPr>
            <w:r w:rsidRPr="005A6F44">
              <w:rPr>
                <w:snapToGrid w:val="0"/>
              </w:rPr>
              <w:t>0,0</w:t>
            </w:r>
          </w:p>
        </w:tc>
        <w:tc>
          <w:tcPr>
            <w:tcW w:w="850" w:type="dxa"/>
            <w:tcBorders>
              <w:top w:val="single" w:sz="4" w:space="0" w:color="auto"/>
              <w:left w:val="nil"/>
              <w:bottom w:val="single" w:sz="4" w:space="0" w:color="auto"/>
              <w:right w:val="single" w:sz="4" w:space="0" w:color="auto"/>
            </w:tcBorders>
            <w:vAlign w:val="bottom"/>
          </w:tcPr>
          <w:p w14:paraId="3EB5E1F4" w14:textId="77777777" w:rsidR="003F4DE5" w:rsidRPr="005A6F44" w:rsidRDefault="003F4DE5" w:rsidP="00112D09">
            <w:pPr>
              <w:pStyle w:val="tabteksts"/>
              <w:jc w:val="right"/>
              <w:rPr>
                <w:snapToGrid w:val="0"/>
              </w:rPr>
            </w:pPr>
            <w:r w:rsidRPr="005A6F44">
              <w:rPr>
                <w:snapToGrid w:val="0"/>
              </w:rPr>
              <w:t>0,0</w:t>
            </w:r>
          </w:p>
        </w:tc>
        <w:tc>
          <w:tcPr>
            <w:tcW w:w="709" w:type="dxa"/>
            <w:tcBorders>
              <w:top w:val="single" w:sz="4" w:space="0" w:color="auto"/>
              <w:left w:val="nil"/>
              <w:bottom w:val="single" w:sz="4" w:space="0" w:color="auto"/>
              <w:right w:val="single" w:sz="4" w:space="0" w:color="auto"/>
            </w:tcBorders>
            <w:vAlign w:val="bottom"/>
          </w:tcPr>
          <w:p w14:paraId="62AA2C93" w14:textId="77777777" w:rsidR="003F4DE5" w:rsidRPr="005A6F44" w:rsidRDefault="003F4DE5" w:rsidP="00112D09">
            <w:pPr>
              <w:pStyle w:val="tabteksts"/>
              <w:jc w:val="right"/>
              <w:rPr>
                <w:snapToGrid w:val="0"/>
              </w:rPr>
            </w:pPr>
            <w:r w:rsidRPr="005A6F44">
              <w:rPr>
                <w:snapToGrid w:val="0"/>
              </w:rPr>
              <w:t>0,0</w:t>
            </w:r>
          </w:p>
        </w:tc>
        <w:tc>
          <w:tcPr>
            <w:tcW w:w="850" w:type="dxa"/>
            <w:tcBorders>
              <w:top w:val="single" w:sz="4" w:space="0" w:color="auto"/>
              <w:left w:val="nil"/>
              <w:bottom w:val="single" w:sz="4" w:space="0" w:color="auto"/>
              <w:right w:val="single" w:sz="4" w:space="0" w:color="auto"/>
            </w:tcBorders>
            <w:vAlign w:val="bottom"/>
          </w:tcPr>
          <w:p w14:paraId="357CE290" w14:textId="77777777" w:rsidR="003F4DE5" w:rsidRPr="005A6F44" w:rsidRDefault="003F4DE5" w:rsidP="00112D09">
            <w:pPr>
              <w:pStyle w:val="tabteksts"/>
              <w:jc w:val="right"/>
              <w:rPr>
                <w:snapToGrid w:val="0"/>
              </w:rPr>
            </w:pPr>
            <w:r w:rsidRPr="005A6F44">
              <w:rPr>
                <w:snapToGrid w:val="0"/>
              </w:rPr>
              <w:t>0,0</w:t>
            </w:r>
          </w:p>
        </w:tc>
        <w:tc>
          <w:tcPr>
            <w:tcW w:w="1134" w:type="dxa"/>
            <w:tcBorders>
              <w:top w:val="single" w:sz="4" w:space="0" w:color="auto"/>
              <w:left w:val="single" w:sz="4" w:space="0" w:color="auto"/>
              <w:bottom w:val="single" w:sz="4" w:space="0" w:color="auto"/>
              <w:right w:val="double" w:sz="4" w:space="0" w:color="auto"/>
            </w:tcBorders>
            <w:vAlign w:val="bottom"/>
          </w:tcPr>
          <w:p w14:paraId="130C7C04" w14:textId="77777777" w:rsidR="003F4DE5" w:rsidRPr="005A6F44" w:rsidRDefault="003F4DE5" w:rsidP="00112D09">
            <w:pPr>
              <w:pStyle w:val="tabteksts"/>
              <w:jc w:val="right"/>
              <w:rPr>
                <w:snapToGrid w:val="0"/>
              </w:rPr>
            </w:pPr>
            <w:r w:rsidRPr="005A6F44">
              <w:rPr>
                <w:snapToGrid w:val="0"/>
              </w:rPr>
              <w:t>0,0</w:t>
            </w:r>
          </w:p>
        </w:tc>
      </w:tr>
      <w:tr w:rsidR="003F4DE5" w:rsidRPr="005A6F44" w14:paraId="678A6A12" w14:textId="77777777" w:rsidTr="008C7F19">
        <w:trPr>
          <w:cantSplit/>
        </w:trPr>
        <w:tc>
          <w:tcPr>
            <w:tcW w:w="3544" w:type="dxa"/>
            <w:tcBorders>
              <w:top w:val="single" w:sz="4" w:space="0" w:color="auto"/>
              <w:left w:val="double" w:sz="4" w:space="0" w:color="auto"/>
              <w:bottom w:val="single" w:sz="4" w:space="0" w:color="auto"/>
              <w:right w:val="double" w:sz="4" w:space="0" w:color="auto"/>
            </w:tcBorders>
          </w:tcPr>
          <w:p w14:paraId="1ABA3C36" w14:textId="77777777" w:rsidR="003F4DE5" w:rsidRPr="005A6F44" w:rsidRDefault="003F4DE5" w:rsidP="00112D09">
            <w:pPr>
              <w:pStyle w:val="tabteksts"/>
              <w:rPr>
                <w:snapToGrid w:val="0"/>
              </w:rPr>
            </w:pPr>
            <w:r w:rsidRPr="005A6F44">
              <w:rPr>
                <w:snapToGrid w:val="0"/>
              </w:rPr>
              <w:t xml:space="preserve">3. </w:t>
            </w:r>
            <w:proofErr w:type="spellStart"/>
            <w:r w:rsidRPr="005A6F44">
              <w:rPr>
                <w:snapToGrid w:val="0"/>
              </w:rPr>
              <w:t>Diskrecionāri</w:t>
            </w:r>
            <w:proofErr w:type="spellEnd"/>
            <w:r w:rsidRPr="005A6F44">
              <w:rPr>
                <w:snapToGrid w:val="0"/>
              </w:rPr>
              <w:t xml:space="preserve"> ieņēmumu pasākumi</w:t>
            </w:r>
          </w:p>
        </w:tc>
        <w:tc>
          <w:tcPr>
            <w:tcW w:w="992" w:type="dxa"/>
            <w:tcBorders>
              <w:top w:val="single" w:sz="4" w:space="0" w:color="auto"/>
              <w:left w:val="nil"/>
              <w:bottom w:val="single" w:sz="4" w:space="0" w:color="auto"/>
              <w:right w:val="single" w:sz="4" w:space="0" w:color="auto"/>
            </w:tcBorders>
            <w:vAlign w:val="bottom"/>
          </w:tcPr>
          <w:p w14:paraId="75A49B83" w14:textId="77777777" w:rsidR="003F4DE5" w:rsidRPr="005A6F44" w:rsidRDefault="003F4DE5" w:rsidP="00112D09">
            <w:pPr>
              <w:pStyle w:val="tabteksts"/>
              <w:jc w:val="right"/>
              <w:rPr>
                <w:snapToGrid w:val="0"/>
              </w:rPr>
            </w:pPr>
            <w:r w:rsidRPr="005A6F44">
              <w:rPr>
                <w:snapToGrid w:val="0"/>
              </w:rPr>
              <w:t>27,1</w:t>
            </w:r>
          </w:p>
        </w:tc>
        <w:tc>
          <w:tcPr>
            <w:tcW w:w="993" w:type="dxa"/>
            <w:tcBorders>
              <w:top w:val="single" w:sz="4" w:space="0" w:color="auto"/>
              <w:left w:val="nil"/>
              <w:bottom w:val="single" w:sz="4" w:space="0" w:color="auto"/>
              <w:right w:val="single" w:sz="4" w:space="0" w:color="auto"/>
            </w:tcBorders>
            <w:vAlign w:val="bottom"/>
          </w:tcPr>
          <w:p w14:paraId="46EEDDC3" w14:textId="77777777" w:rsidR="003F4DE5" w:rsidRPr="005A6F44" w:rsidRDefault="003F4DE5" w:rsidP="00112D09">
            <w:pPr>
              <w:pStyle w:val="tabteksts"/>
              <w:jc w:val="right"/>
              <w:rPr>
                <w:snapToGrid w:val="0"/>
              </w:rPr>
            </w:pPr>
            <w:r w:rsidRPr="005A6F44">
              <w:rPr>
                <w:snapToGrid w:val="0"/>
              </w:rPr>
              <w:t>0,2</w:t>
            </w:r>
          </w:p>
        </w:tc>
        <w:tc>
          <w:tcPr>
            <w:tcW w:w="850" w:type="dxa"/>
            <w:tcBorders>
              <w:top w:val="single" w:sz="4" w:space="0" w:color="auto"/>
              <w:left w:val="nil"/>
              <w:bottom w:val="single" w:sz="4" w:space="0" w:color="auto"/>
              <w:right w:val="single" w:sz="4" w:space="0" w:color="auto"/>
            </w:tcBorders>
            <w:vAlign w:val="bottom"/>
          </w:tcPr>
          <w:p w14:paraId="54BE4E57" w14:textId="77777777" w:rsidR="003F4DE5" w:rsidRPr="005A6F44" w:rsidRDefault="003F4DE5" w:rsidP="00112D09">
            <w:pPr>
              <w:pStyle w:val="tabteksts"/>
              <w:jc w:val="right"/>
              <w:rPr>
                <w:snapToGrid w:val="0"/>
              </w:rPr>
            </w:pPr>
            <w:r w:rsidRPr="005A6F44">
              <w:rPr>
                <w:snapToGrid w:val="0"/>
              </w:rPr>
              <w:t>-0,2</w:t>
            </w:r>
          </w:p>
        </w:tc>
        <w:tc>
          <w:tcPr>
            <w:tcW w:w="709" w:type="dxa"/>
            <w:tcBorders>
              <w:top w:val="single" w:sz="4" w:space="0" w:color="auto"/>
              <w:left w:val="nil"/>
              <w:bottom w:val="single" w:sz="4" w:space="0" w:color="auto"/>
              <w:right w:val="single" w:sz="4" w:space="0" w:color="auto"/>
            </w:tcBorders>
            <w:vAlign w:val="bottom"/>
          </w:tcPr>
          <w:p w14:paraId="23D04AE8" w14:textId="77777777" w:rsidR="003F4DE5" w:rsidRPr="005A6F44" w:rsidRDefault="003F4DE5" w:rsidP="00112D09">
            <w:pPr>
              <w:pStyle w:val="tabteksts"/>
              <w:jc w:val="right"/>
              <w:rPr>
                <w:snapToGrid w:val="0"/>
              </w:rPr>
            </w:pPr>
            <w:r w:rsidRPr="005A6F44">
              <w:rPr>
                <w:snapToGrid w:val="0"/>
              </w:rPr>
              <w:t>-0,3</w:t>
            </w:r>
          </w:p>
        </w:tc>
        <w:tc>
          <w:tcPr>
            <w:tcW w:w="850" w:type="dxa"/>
            <w:tcBorders>
              <w:top w:val="single" w:sz="4" w:space="0" w:color="auto"/>
              <w:left w:val="nil"/>
              <w:bottom w:val="single" w:sz="4" w:space="0" w:color="auto"/>
              <w:right w:val="single" w:sz="4" w:space="0" w:color="auto"/>
            </w:tcBorders>
            <w:vAlign w:val="bottom"/>
          </w:tcPr>
          <w:p w14:paraId="08D65DF5" w14:textId="77777777" w:rsidR="003F4DE5" w:rsidRPr="005A6F44" w:rsidRDefault="003F4DE5" w:rsidP="00112D09">
            <w:pPr>
              <w:pStyle w:val="tabteksts"/>
              <w:jc w:val="right"/>
              <w:rPr>
                <w:snapToGrid w:val="0"/>
              </w:rPr>
            </w:pPr>
            <w:r w:rsidRPr="005A6F44">
              <w:rPr>
                <w:snapToGrid w:val="0"/>
              </w:rPr>
              <w:t>-0,5</w:t>
            </w:r>
          </w:p>
        </w:tc>
        <w:tc>
          <w:tcPr>
            <w:tcW w:w="1134" w:type="dxa"/>
            <w:tcBorders>
              <w:top w:val="single" w:sz="4" w:space="0" w:color="auto"/>
              <w:left w:val="single" w:sz="4" w:space="0" w:color="auto"/>
              <w:bottom w:val="single" w:sz="4" w:space="0" w:color="auto"/>
              <w:right w:val="double" w:sz="4" w:space="0" w:color="auto"/>
            </w:tcBorders>
            <w:vAlign w:val="bottom"/>
          </w:tcPr>
          <w:p w14:paraId="22DF31E9" w14:textId="77777777" w:rsidR="003F4DE5" w:rsidRPr="005A6F44" w:rsidRDefault="003F4DE5" w:rsidP="00112D09">
            <w:pPr>
              <w:pStyle w:val="tabteksts"/>
              <w:jc w:val="right"/>
              <w:rPr>
                <w:snapToGrid w:val="0"/>
              </w:rPr>
            </w:pPr>
            <w:r w:rsidRPr="005A6F44">
              <w:rPr>
                <w:snapToGrid w:val="0"/>
              </w:rPr>
              <w:t>-0,1</w:t>
            </w:r>
          </w:p>
        </w:tc>
      </w:tr>
      <w:tr w:rsidR="003F4DE5" w:rsidRPr="005A6F44" w14:paraId="002CB9C1" w14:textId="77777777" w:rsidTr="008C7F19">
        <w:trPr>
          <w:cantSplit/>
        </w:trPr>
        <w:tc>
          <w:tcPr>
            <w:tcW w:w="3544" w:type="dxa"/>
            <w:tcBorders>
              <w:top w:val="single" w:sz="4" w:space="0" w:color="auto"/>
              <w:left w:val="double" w:sz="4" w:space="0" w:color="auto"/>
              <w:bottom w:val="double" w:sz="4" w:space="0" w:color="auto"/>
              <w:right w:val="double" w:sz="4" w:space="0" w:color="auto"/>
            </w:tcBorders>
          </w:tcPr>
          <w:p w14:paraId="441417BF" w14:textId="77777777" w:rsidR="003F4DE5" w:rsidRPr="005A6F44" w:rsidRDefault="003F4DE5" w:rsidP="00112D09">
            <w:pPr>
              <w:pStyle w:val="tabteksts"/>
              <w:rPr>
                <w:snapToGrid w:val="0"/>
              </w:rPr>
            </w:pPr>
            <w:r w:rsidRPr="005A6F44">
              <w:rPr>
                <w:snapToGrid w:val="0"/>
              </w:rPr>
              <w:t xml:space="preserve">4. </w:t>
            </w:r>
            <w:r w:rsidRPr="005A6F44">
              <w:rPr>
                <w:noProof/>
                <w:snapToGrid w:val="0"/>
              </w:rPr>
              <w:t>Ieņēmumu palielinājums, kas apstiprināts ar likumu</w:t>
            </w:r>
          </w:p>
        </w:tc>
        <w:tc>
          <w:tcPr>
            <w:tcW w:w="992" w:type="dxa"/>
            <w:tcBorders>
              <w:top w:val="single" w:sz="4" w:space="0" w:color="auto"/>
              <w:left w:val="nil"/>
              <w:bottom w:val="double" w:sz="4" w:space="0" w:color="auto"/>
              <w:right w:val="single" w:sz="4" w:space="0" w:color="auto"/>
            </w:tcBorders>
            <w:vAlign w:val="bottom"/>
          </w:tcPr>
          <w:p w14:paraId="51DFC0BE" w14:textId="77777777" w:rsidR="003F4DE5" w:rsidRPr="005A6F44" w:rsidRDefault="003F4DE5" w:rsidP="00112D09">
            <w:pPr>
              <w:pStyle w:val="tabteksts"/>
              <w:jc w:val="right"/>
              <w:rPr>
                <w:snapToGrid w:val="0"/>
              </w:rPr>
            </w:pPr>
            <w:r w:rsidRPr="005A6F44">
              <w:rPr>
                <w:snapToGrid w:val="0"/>
              </w:rPr>
              <w:t>0,0</w:t>
            </w:r>
          </w:p>
        </w:tc>
        <w:tc>
          <w:tcPr>
            <w:tcW w:w="993" w:type="dxa"/>
            <w:tcBorders>
              <w:top w:val="single" w:sz="4" w:space="0" w:color="auto"/>
              <w:left w:val="nil"/>
              <w:bottom w:val="double" w:sz="4" w:space="0" w:color="auto"/>
              <w:right w:val="single" w:sz="4" w:space="0" w:color="auto"/>
            </w:tcBorders>
            <w:vAlign w:val="bottom"/>
          </w:tcPr>
          <w:p w14:paraId="0FF2285F" w14:textId="77777777" w:rsidR="003F4DE5" w:rsidRPr="005A6F44" w:rsidRDefault="003F4DE5" w:rsidP="00112D09">
            <w:pPr>
              <w:pStyle w:val="tabteksts"/>
              <w:jc w:val="right"/>
              <w:rPr>
                <w:snapToGrid w:val="0"/>
              </w:rPr>
            </w:pPr>
            <w:r w:rsidRPr="005A6F44">
              <w:rPr>
                <w:snapToGrid w:val="0"/>
              </w:rPr>
              <w:t>0,0</w:t>
            </w:r>
          </w:p>
        </w:tc>
        <w:tc>
          <w:tcPr>
            <w:tcW w:w="850" w:type="dxa"/>
            <w:tcBorders>
              <w:top w:val="single" w:sz="4" w:space="0" w:color="auto"/>
              <w:left w:val="nil"/>
              <w:bottom w:val="double" w:sz="4" w:space="0" w:color="auto"/>
              <w:right w:val="single" w:sz="4" w:space="0" w:color="auto"/>
            </w:tcBorders>
            <w:vAlign w:val="bottom"/>
          </w:tcPr>
          <w:p w14:paraId="580374D7" w14:textId="77777777" w:rsidR="003F4DE5" w:rsidRPr="005A6F44" w:rsidRDefault="003F4DE5" w:rsidP="00112D09">
            <w:pPr>
              <w:pStyle w:val="tabteksts"/>
              <w:jc w:val="right"/>
              <w:rPr>
                <w:snapToGrid w:val="0"/>
              </w:rPr>
            </w:pPr>
            <w:r w:rsidRPr="005A6F44">
              <w:rPr>
                <w:snapToGrid w:val="0"/>
              </w:rPr>
              <w:t>0,0</w:t>
            </w:r>
          </w:p>
        </w:tc>
        <w:tc>
          <w:tcPr>
            <w:tcW w:w="709" w:type="dxa"/>
            <w:tcBorders>
              <w:top w:val="single" w:sz="4" w:space="0" w:color="auto"/>
              <w:left w:val="nil"/>
              <w:bottom w:val="double" w:sz="4" w:space="0" w:color="auto"/>
              <w:right w:val="single" w:sz="4" w:space="0" w:color="auto"/>
            </w:tcBorders>
            <w:vAlign w:val="bottom"/>
          </w:tcPr>
          <w:p w14:paraId="17A63C04" w14:textId="77777777" w:rsidR="003F4DE5" w:rsidRPr="005A6F44" w:rsidRDefault="003F4DE5" w:rsidP="00112D09">
            <w:pPr>
              <w:pStyle w:val="tabteksts"/>
              <w:jc w:val="right"/>
              <w:rPr>
                <w:snapToGrid w:val="0"/>
              </w:rPr>
            </w:pPr>
            <w:r w:rsidRPr="005A6F44">
              <w:rPr>
                <w:snapToGrid w:val="0"/>
              </w:rPr>
              <w:t>0,0</w:t>
            </w:r>
          </w:p>
        </w:tc>
        <w:tc>
          <w:tcPr>
            <w:tcW w:w="850" w:type="dxa"/>
            <w:tcBorders>
              <w:top w:val="single" w:sz="4" w:space="0" w:color="auto"/>
              <w:left w:val="nil"/>
              <w:bottom w:val="double" w:sz="4" w:space="0" w:color="auto"/>
              <w:right w:val="single" w:sz="4" w:space="0" w:color="auto"/>
            </w:tcBorders>
            <w:vAlign w:val="bottom"/>
          </w:tcPr>
          <w:p w14:paraId="5F592C1C" w14:textId="77777777" w:rsidR="003F4DE5" w:rsidRPr="005A6F44" w:rsidRDefault="003F4DE5" w:rsidP="00112D09">
            <w:pPr>
              <w:pStyle w:val="tabteksts"/>
              <w:jc w:val="right"/>
              <w:rPr>
                <w:snapToGrid w:val="0"/>
              </w:rPr>
            </w:pPr>
            <w:r w:rsidRPr="005A6F44">
              <w:rPr>
                <w:snapToGrid w:val="0"/>
              </w:rPr>
              <w:t>0,0</w:t>
            </w:r>
          </w:p>
        </w:tc>
        <w:tc>
          <w:tcPr>
            <w:tcW w:w="1134" w:type="dxa"/>
            <w:tcBorders>
              <w:top w:val="single" w:sz="4" w:space="0" w:color="auto"/>
              <w:left w:val="single" w:sz="4" w:space="0" w:color="auto"/>
              <w:bottom w:val="double" w:sz="4" w:space="0" w:color="auto"/>
              <w:right w:val="double" w:sz="4" w:space="0" w:color="auto"/>
            </w:tcBorders>
            <w:vAlign w:val="bottom"/>
          </w:tcPr>
          <w:p w14:paraId="7AFE1306" w14:textId="77777777" w:rsidR="003F4DE5" w:rsidRPr="005A6F44" w:rsidRDefault="003F4DE5" w:rsidP="00112D09">
            <w:pPr>
              <w:pStyle w:val="tabteksts"/>
              <w:jc w:val="right"/>
              <w:rPr>
                <w:snapToGrid w:val="0"/>
              </w:rPr>
            </w:pPr>
            <w:r w:rsidRPr="005A6F44">
              <w:rPr>
                <w:snapToGrid w:val="0"/>
              </w:rPr>
              <w:t>0,0</w:t>
            </w:r>
          </w:p>
        </w:tc>
      </w:tr>
    </w:tbl>
    <w:p w14:paraId="4EDEDC3B" w14:textId="77777777" w:rsidR="002D62B9" w:rsidRPr="001946E0" w:rsidRDefault="002D62B9" w:rsidP="002D62B9">
      <w:pPr>
        <w:rPr>
          <w:color w:val="000000"/>
          <w:szCs w:val="24"/>
        </w:rPr>
      </w:pPr>
    </w:p>
    <w:p w14:paraId="56B3A956" w14:textId="77777777" w:rsidR="003A2E39" w:rsidRPr="005A6F44" w:rsidRDefault="003A2E39" w:rsidP="003A2E39">
      <w:pPr>
        <w:ind w:firstLine="0"/>
        <w:jc w:val="left"/>
        <w:rPr>
          <w:b/>
          <w:szCs w:val="24"/>
        </w:rPr>
      </w:pPr>
      <w:r w:rsidRPr="005A6F44">
        <w:rPr>
          <w:b/>
          <w:szCs w:val="24"/>
        </w:rPr>
        <w:t>3. tabula. Vispārējās valdības izdevumi funkciju sadalījumā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9"/>
        <w:gridCol w:w="952"/>
        <w:gridCol w:w="797"/>
        <w:gridCol w:w="798"/>
      </w:tblGrid>
      <w:tr w:rsidR="003A2E39" w:rsidRPr="005A6F44" w14:paraId="45434AFC" w14:textId="77777777" w:rsidTr="00A83777">
        <w:trPr>
          <w:tblHeader/>
        </w:trPr>
        <w:tc>
          <w:tcPr>
            <w:tcW w:w="4029" w:type="dxa"/>
            <w:tcBorders>
              <w:top w:val="double" w:sz="4" w:space="0" w:color="auto"/>
              <w:left w:val="double" w:sz="4" w:space="0" w:color="auto"/>
              <w:bottom w:val="double" w:sz="4" w:space="0" w:color="auto"/>
            </w:tcBorders>
          </w:tcPr>
          <w:p w14:paraId="457431AB" w14:textId="77777777" w:rsidR="003A2E39" w:rsidRPr="005A6F44" w:rsidRDefault="003A2E39" w:rsidP="00F46473">
            <w:pPr>
              <w:pStyle w:val="tabteksts"/>
            </w:pPr>
            <w:r w:rsidRPr="005A6F44">
              <w:t>% no IKP</w:t>
            </w:r>
          </w:p>
        </w:tc>
        <w:tc>
          <w:tcPr>
            <w:tcW w:w="952" w:type="dxa"/>
            <w:tcBorders>
              <w:top w:val="double" w:sz="4" w:space="0" w:color="auto"/>
              <w:bottom w:val="double" w:sz="4" w:space="0" w:color="auto"/>
              <w:right w:val="double" w:sz="4" w:space="0" w:color="auto"/>
            </w:tcBorders>
          </w:tcPr>
          <w:p w14:paraId="15A23667" w14:textId="77777777" w:rsidR="003A2E39" w:rsidRPr="005A6F44" w:rsidRDefault="003A2E39" w:rsidP="00F46473">
            <w:pPr>
              <w:pStyle w:val="tabteksts"/>
            </w:pPr>
            <w:r w:rsidRPr="005A6F44">
              <w:t>COFOG</w:t>
            </w:r>
          </w:p>
          <w:p w14:paraId="0B0DD9A0" w14:textId="77777777" w:rsidR="003A2E39" w:rsidRPr="005A6F44" w:rsidRDefault="003A2E39" w:rsidP="00F46473">
            <w:pPr>
              <w:pStyle w:val="tabteksts"/>
            </w:pPr>
            <w:r w:rsidRPr="005A6F44">
              <w:t>kods</w:t>
            </w:r>
          </w:p>
        </w:tc>
        <w:tc>
          <w:tcPr>
            <w:tcW w:w="797" w:type="dxa"/>
            <w:tcBorders>
              <w:top w:val="double" w:sz="4" w:space="0" w:color="auto"/>
              <w:left w:val="double" w:sz="4" w:space="0" w:color="auto"/>
              <w:bottom w:val="double" w:sz="4" w:space="0" w:color="auto"/>
            </w:tcBorders>
          </w:tcPr>
          <w:p w14:paraId="2D627830" w14:textId="77777777" w:rsidR="003A2E39" w:rsidRPr="005A6F44" w:rsidRDefault="003A2E39" w:rsidP="00F46473">
            <w:pPr>
              <w:pStyle w:val="tabteksts"/>
              <w:jc w:val="center"/>
              <w:rPr>
                <w:b/>
              </w:rPr>
            </w:pPr>
            <w:r w:rsidRPr="005A6F44">
              <w:rPr>
                <w:b/>
              </w:rPr>
              <w:t>201</w:t>
            </w:r>
            <w:r>
              <w:rPr>
                <w:b/>
              </w:rPr>
              <w:t>1</w:t>
            </w:r>
          </w:p>
        </w:tc>
        <w:tc>
          <w:tcPr>
            <w:tcW w:w="798" w:type="dxa"/>
            <w:tcBorders>
              <w:top w:val="double" w:sz="4" w:space="0" w:color="auto"/>
              <w:bottom w:val="double" w:sz="4" w:space="0" w:color="auto"/>
              <w:right w:val="double" w:sz="4" w:space="0" w:color="auto"/>
            </w:tcBorders>
          </w:tcPr>
          <w:p w14:paraId="35A99198" w14:textId="77777777" w:rsidR="003A2E39" w:rsidRPr="005A6F44" w:rsidRDefault="003A2E39" w:rsidP="00F46473">
            <w:pPr>
              <w:pStyle w:val="tabteksts"/>
              <w:jc w:val="center"/>
              <w:rPr>
                <w:b/>
              </w:rPr>
            </w:pPr>
            <w:r w:rsidRPr="005A6F44">
              <w:rPr>
                <w:b/>
              </w:rPr>
              <w:t>201</w:t>
            </w:r>
            <w:r>
              <w:rPr>
                <w:b/>
              </w:rPr>
              <w:t>6</w:t>
            </w:r>
          </w:p>
        </w:tc>
      </w:tr>
      <w:tr w:rsidR="003A2E39" w:rsidRPr="005A6F44" w14:paraId="2ECF85BB" w14:textId="77777777" w:rsidTr="00A83777">
        <w:tc>
          <w:tcPr>
            <w:tcW w:w="4029" w:type="dxa"/>
            <w:tcBorders>
              <w:top w:val="double" w:sz="4" w:space="0" w:color="auto"/>
              <w:left w:val="double" w:sz="4" w:space="0" w:color="auto"/>
              <w:bottom w:val="single" w:sz="4" w:space="0" w:color="auto"/>
            </w:tcBorders>
          </w:tcPr>
          <w:p w14:paraId="41A08C6C" w14:textId="77777777" w:rsidR="003A2E39" w:rsidRPr="005A6F44" w:rsidRDefault="003A2E39" w:rsidP="00F46473">
            <w:pPr>
              <w:pStyle w:val="tabteksts"/>
              <w:rPr>
                <w:snapToGrid w:val="0"/>
              </w:rPr>
            </w:pPr>
            <w:r w:rsidRPr="005A6F44">
              <w:rPr>
                <w:snapToGrid w:val="0"/>
              </w:rPr>
              <w:t>1. Vispārējie sabiedriskie pakalpojumi</w:t>
            </w:r>
          </w:p>
        </w:tc>
        <w:tc>
          <w:tcPr>
            <w:tcW w:w="952" w:type="dxa"/>
            <w:tcBorders>
              <w:top w:val="double" w:sz="4" w:space="0" w:color="auto"/>
              <w:bottom w:val="single" w:sz="4" w:space="0" w:color="auto"/>
              <w:right w:val="double" w:sz="4" w:space="0" w:color="auto"/>
            </w:tcBorders>
          </w:tcPr>
          <w:p w14:paraId="4737F422" w14:textId="77777777" w:rsidR="003A2E39" w:rsidRPr="005A6F44" w:rsidRDefault="003A2E39" w:rsidP="00F46473">
            <w:pPr>
              <w:pStyle w:val="tabteksts"/>
              <w:rPr>
                <w:snapToGrid w:val="0"/>
              </w:rPr>
            </w:pPr>
            <w:r w:rsidRPr="005A6F44">
              <w:rPr>
                <w:snapToGrid w:val="0"/>
              </w:rPr>
              <w:t>1</w:t>
            </w:r>
          </w:p>
        </w:tc>
        <w:tc>
          <w:tcPr>
            <w:tcW w:w="797" w:type="dxa"/>
            <w:tcBorders>
              <w:top w:val="double" w:sz="4" w:space="0" w:color="auto"/>
              <w:left w:val="double" w:sz="4" w:space="0" w:color="auto"/>
              <w:bottom w:val="single" w:sz="4" w:space="0" w:color="auto"/>
            </w:tcBorders>
            <w:shd w:val="clear" w:color="auto" w:fill="auto"/>
            <w:vAlign w:val="bottom"/>
          </w:tcPr>
          <w:p w14:paraId="489DA194" w14:textId="77777777" w:rsidR="003A2E39" w:rsidRPr="005A6F44" w:rsidRDefault="003A2E39" w:rsidP="00F46473">
            <w:pPr>
              <w:pStyle w:val="tabteksts"/>
              <w:jc w:val="right"/>
              <w:rPr>
                <w:snapToGrid w:val="0"/>
              </w:rPr>
            </w:pPr>
            <w:r w:rsidRPr="005A6F44">
              <w:rPr>
                <w:snapToGrid w:val="0"/>
              </w:rPr>
              <w:t>4,5</w:t>
            </w:r>
          </w:p>
        </w:tc>
        <w:tc>
          <w:tcPr>
            <w:tcW w:w="798" w:type="dxa"/>
            <w:tcBorders>
              <w:top w:val="double" w:sz="4" w:space="0" w:color="auto"/>
              <w:bottom w:val="single" w:sz="4" w:space="0" w:color="auto"/>
              <w:right w:val="double" w:sz="4" w:space="0" w:color="auto"/>
            </w:tcBorders>
            <w:shd w:val="clear" w:color="auto" w:fill="auto"/>
            <w:vAlign w:val="bottom"/>
          </w:tcPr>
          <w:p w14:paraId="624C93D0" w14:textId="77777777" w:rsidR="003A2E39" w:rsidRPr="005A6F44" w:rsidRDefault="003A2E39" w:rsidP="00F46473">
            <w:pPr>
              <w:pStyle w:val="tabteksts"/>
              <w:jc w:val="right"/>
              <w:rPr>
                <w:snapToGrid w:val="0"/>
              </w:rPr>
            </w:pPr>
            <w:r w:rsidRPr="005A6F44">
              <w:rPr>
                <w:snapToGrid w:val="0"/>
              </w:rPr>
              <w:t>4,5</w:t>
            </w:r>
          </w:p>
        </w:tc>
      </w:tr>
      <w:tr w:rsidR="003A2E39" w:rsidRPr="005A6F44" w14:paraId="73054ABC" w14:textId="77777777" w:rsidTr="00A83777">
        <w:tc>
          <w:tcPr>
            <w:tcW w:w="4029" w:type="dxa"/>
            <w:tcBorders>
              <w:top w:val="single" w:sz="4" w:space="0" w:color="auto"/>
              <w:left w:val="double" w:sz="4" w:space="0" w:color="auto"/>
              <w:bottom w:val="single" w:sz="4" w:space="0" w:color="auto"/>
            </w:tcBorders>
          </w:tcPr>
          <w:p w14:paraId="6A4A1160" w14:textId="77777777" w:rsidR="003A2E39" w:rsidRPr="005A6F44" w:rsidRDefault="003A2E39" w:rsidP="00F46473">
            <w:pPr>
              <w:pStyle w:val="tabteksts"/>
              <w:rPr>
                <w:snapToGrid w:val="0"/>
              </w:rPr>
            </w:pPr>
            <w:r w:rsidRPr="005A6F44">
              <w:rPr>
                <w:snapToGrid w:val="0"/>
              </w:rPr>
              <w:t>2. Aizsardzība</w:t>
            </w:r>
          </w:p>
        </w:tc>
        <w:tc>
          <w:tcPr>
            <w:tcW w:w="952" w:type="dxa"/>
            <w:tcBorders>
              <w:top w:val="single" w:sz="4" w:space="0" w:color="auto"/>
              <w:bottom w:val="single" w:sz="4" w:space="0" w:color="auto"/>
              <w:right w:val="double" w:sz="4" w:space="0" w:color="auto"/>
            </w:tcBorders>
          </w:tcPr>
          <w:p w14:paraId="368983CA" w14:textId="77777777" w:rsidR="003A2E39" w:rsidRPr="005A6F44" w:rsidRDefault="003A2E39" w:rsidP="00F46473">
            <w:pPr>
              <w:pStyle w:val="tabteksts"/>
              <w:rPr>
                <w:snapToGrid w:val="0"/>
              </w:rPr>
            </w:pPr>
            <w:r w:rsidRPr="005A6F44">
              <w:rPr>
                <w:snapToGrid w:val="0"/>
              </w:rPr>
              <w:t>2</w:t>
            </w:r>
          </w:p>
        </w:tc>
        <w:tc>
          <w:tcPr>
            <w:tcW w:w="797" w:type="dxa"/>
            <w:tcBorders>
              <w:top w:val="single" w:sz="4" w:space="0" w:color="auto"/>
              <w:left w:val="double" w:sz="4" w:space="0" w:color="auto"/>
              <w:bottom w:val="single" w:sz="4" w:space="0" w:color="auto"/>
            </w:tcBorders>
            <w:shd w:val="clear" w:color="auto" w:fill="auto"/>
            <w:vAlign w:val="bottom"/>
          </w:tcPr>
          <w:p w14:paraId="5491B625" w14:textId="77777777" w:rsidR="003A2E39" w:rsidRPr="005A6F44" w:rsidRDefault="003A2E39" w:rsidP="00F46473">
            <w:pPr>
              <w:pStyle w:val="tabteksts"/>
              <w:jc w:val="right"/>
              <w:rPr>
                <w:snapToGrid w:val="0"/>
              </w:rPr>
            </w:pPr>
            <w:r w:rsidRPr="005A6F44">
              <w:rPr>
                <w:snapToGrid w:val="0"/>
              </w:rPr>
              <w:t>1,0</w:t>
            </w:r>
          </w:p>
        </w:tc>
        <w:tc>
          <w:tcPr>
            <w:tcW w:w="798" w:type="dxa"/>
            <w:tcBorders>
              <w:top w:val="single" w:sz="4" w:space="0" w:color="auto"/>
              <w:bottom w:val="single" w:sz="4" w:space="0" w:color="auto"/>
              <w:right w:val="double" w:sz="4" w:space="0" w:color="auto"/>
            </w:tcBorders>
            <w:shd w:val="clear" w:color="auto" w:fill="auto"/>
            <w:vAlign w:val="bottom"/>
          </w:tcPr>
          <w:p w14:paraId="75059A81" w14:textId="77777777" w:rsidR="003A2E39" w:rsidRPr="005A6F44" w:rsidRDefault="003A2E39" w:rsidP="00F46473">
            <w:pPr>
              <w:pStyle w:val="tabteksts"/>
              <w:jc w:val="right"/>
              <w:rPr>
                <w:snapToGrid w:val="0"/>
              </w:rPr>
            </w:pPr>
            <w:r w:rsidRPr="005A6F44">
              <w:rPr>
                <w:snapToGrid w:val="0"/>
              </w:rPr>
              <w:t>0,8</w:t>
            </w:r>
          </w:p>
        </w:tc>
      </w:tr>
      <w:tr w:rsidR="003A2E39" w:rsidRPr="005A6F44" w14:paraId="36DC65D4" w14:textId="77777777" w:rsidTr="00A83777">
        <w:tc>
          <w:tcPr>
            <w:tcW w:w="4029" w:type="dxa"/>
            <w:tcBorders>
              <w:left w:val="double" w:sz="4" w:space="0" w:color="auto"/>
            </w:tcBorders>
          </w:tcPr>
          <w:p w14:paraId="2D110283" w14:textId="77777777" w:rsidR="003A2E39" w:rsidRPr="005A6F44" w:rsidRDefault="003A2E39" w:rsidP="00F46473">
            <w:pPr>
              <w:pStyle w:val="tabteksts"/>
              <w:rPr>
                <w:snapToGrid w:val="0"/>
              </w:rPr>
            </w:pPr>
            <w:r w:rsidRPr="005A6F44">
              <w:rPr>
                <w:snapToGrid w:val="0"/>
              </w:rPr>
              <w:t>3. Sabiedriskā kārtība un drošība</w:t>
            </w:r>
          </w:p>
        </w:tc>
        <w:tc>
          <w:tcPr>
            <w:tcW w:w="952" w:type="dxa"/>
            <w:tcBorders>
              <w:right w:val="double" w:sz="4" w:space="0" w:color="auto"/>
            </w:tcBorders>
          </w:tcPr>
          <w:p w14:paraId="009A2AF1" w14:textId="77777777" w:rsidR="003A2E39" w:rsidRPr="005A6F44" w:rsidRDefault="003A2E39" w:rsidP="00F46473">
            <w:pPr>
              <w:pStyle w:val="tabteksts"/>
              <w:rPr>
                <w:snapToGrid w:val="0"/>
              </w:rPr>
            </w:pPr>
            <w:r w:rsidRPr="005A6F44">
              <w:rPr>
                <w:snapToGrid w:val="0"/>
              </w:rPr>
              <w:t>3</w:t>
            </w:r>
          </w:p>
        </w:tc>
        <w:tc>
          <w:tcPr>
            <w:tcW w:w="797" w:type="dxa"/>
            <w:tcBorders>
              <w:left w:val="double" w:sz="4" w:space="0" w:color="auto"/>
            </w:tcBorders>
            <w:shd w:val="clear" w:color="auto" w:fill="auto"/>
            <w:vAlign w:val="bottom"/>
          </w:tcPr>
          <w:p w14:paraId="356E20BD" w14:textId="77777777" w:rsidR="003A2E39" w:rsidRPr="005A6F44" w:rsidRDefault="003A2E39" w:rsidP="00F46473">
            <w:pPr>
              <w:pStyle w:val="tabteksts"/>
              <w:jc w:val="right"/>
              <w:rPr>
                <w:snapToGrid w:val="0"/>
              </w:rPr>
            </w:pPr>
            <w:r w:rsidRPr="005A6F44">
              <w:rPr>
                <w:snapToGrid w:val="0"/>
              </w:rPr>
              <w:t>1,8</w:t>
            </w:r>
          </w:p>
        </w:tc>
        <w:tc>
          <w:tcPr>
            <w:tcW w:w="798" w:type="dxa"/>
            <w:tcBorders>
              <w:right w:val="double" w:sz="4" w:space="0" w:color="auto"/>
            </w:tcBorders>
            <w:shd w:val="clear" w:color="auto" w:fill="auto"/>
            <w:vAlign w:val="bottom"/>
          </w:tcPr>
          <w:p w14:paraId="5CEACD8C" w14:textId="77777777" w:rsidR="003A2E39" w:rsidRPr="005A6F44" w:rsidRDefault="003A2E39" w:rsidP="00F46473">
            <w:pPr>
              <w:pStyle w:val="tabteksts"/>
              <w:jc w:val="right"/>
              <w:rPr>
                <w:snapToGrid w:val="0"/>
              </w:rPr>
            </w:pPr>
            <w:r w:rsidRPr="005A6F44">
              <w:rPr>
                <w:snapToGrid w:val="0"/>
              </w:rPr>
              <w:t>1,6</w:t>
            </w:r>
          </w:p>
        </w:tc>
      </w:tr>
      <w:tr w:rsidR="003A2E39" w:rsidRPr="005A6F44" w14:paraId="43A97F98" w14:textId="77777777" w:rsidTr="00A83777">
        <w:tc>
          <w:tcPr>
            <w:tcW w:w="4029" w:type="dxa"/>
            <w:tcBorders>
              <w:left w:val="double" w:sz="4" w:space="0" w:color="auto"/>
            </w:tcBorders>
          </w:tcPr>
          <w:p w14:paraId="403B340E" w14:textId="77777777" w:rsidR="003A2E39" w:rsidRPr="005A6F44" w:rsidRDefault="003A2E39" w:rsidP="00F46473">
            <w:pPr>
              <w:pStyle w:val="tabteksts"/>
              <w:rPr>
                <w:snapToGrid w:val="0"/>
              </w:rPr>
            </w:pPr>
            <w:r w:rsidRPr="005A6F44">
              <w:rPr>
                <w:snapToGrid w:val="0"/>
              </w:rPr>
              <w:t>4. Ekonomiskā darbība</w:t>
            </w:r>
          </w:p>
        </w:tc>
        <w:tc>
          <w:tcPr>
            <w:tcW w:w="952" w:type="dxa"/>
            <w:tcBorders>
              <w:right w:val="double" w:sz="4" w:space="0" w:color="auto"/>
            </w:tcBorders>
          </w:tcPr>
          <w:p w14:paraId="3A48E636" w14:textId="77777777" w:rsidR="003A2E39" w:rsidRPr="005A6F44" w:rsidRDefault="003A2E39" w:rsidP="00F46473">
            <w:pPr>
              <w:pStyle w:val="tabteksts"/>
              <w:rPr>
                <w:snapToGrid w:val="0"/>
              </w:rPr>
            </w:pPr>
            <w:r w:rsidRPr="005A6F44">
              <w:rPr>
                <w:snapToGrid w:val="0"/>
              </w:rPr>
              <w:t>4</w:t>
            </w:r>
          </w:p>
        </w:tc>
        <w:tc>
          <w:tcPr>
            <w:tcW w:w="797" w:type="dxa"/>
            <w:tcBorders>
              <w:left w:val="double" w:sz="4" w:space="0" w:color="auto"/>
            </w:tcBorders>
            <w:shd w:val="clear" w:color="auto" w:fill="auto"/>
            <w:vAlign w:val="bottom"/>
          </w:tcPr>
          <w:p w14:paraId="19B47964" w14:textId="77777777" w:rsidR="003A2E39" w:rsidRPr="005A6F44" w:rsidRDefault="003A2E39" w:rsidP="00F46473">
            <w:pPr>
              <w:pStyle w:val="tabteksts"/>
              <w:jc w:val="right"/>
              <w:rPr>
                <w:snapToGrid w:val="0"/>
              </w:rPr>
            </w:pPr>
            <w:r w:rsidRPr="005A6F44">
              <w:rPr>
                <w:snapToGrid w:val="0"/>
              </w:rPr>
              <w:t>5,6</w:t>
            </w:r>
          </w:p>
        </w:tc>
        <w:tc>
          <w:tcPr>
            <w:tcW w:w="798" w:type="dxa"/>
            <w:tcBorders>
              <w:right w:val="double" w:sz="4" w:space="0" w:color="auto"/>
            </w:tcBorders>
            <w:shd w:val="clear" w:color="auto" w:fill="auto"/>
            <w:vAlign w:val="bottom"/>
          </w:tcPr>
          <w:p w14:paraId="3BA1A7A7" w14:textId="77777777" w:rsidR="003A2E39" w:rsidRPr="005A6F44" w:rsidRDefault="003A2E39" w:rsidP="00F46473">
            <w:pPr>
              <w:pStyle w:val="tabteksts"/>
              <w:jc w:val="right"/>
              <w:rPr>
                <w:snapToGrid w:val="0"/>
              </w:rPr>
            </w:pPr>
            <w:r w:rsidRPr="005A6F44">
              <w:rPr>
                <w:snapToGrid w:val="0"/>
              </w:rPr>
              <w:t>5,6</w:t>
            </w:r>
          </w:p>
        </w:tc>
      </w:tr>
      <w:tr w:rsidR="003A2E39" w:rsidRPr="005A6F44" w14:paraId="609E063B" w14:textId="77777777" w:rsidTr="00A83777">
        <w:tc>
          <w:tcPr>
            <w:tcW w:w="4029" w:type="dxa"/>
            <w:tcBorders>
              <w:left w:val="double" w:sz="4" w:space="0" w:color="auto"/>
            </w:tcBorders>
          </w:tcPr>
          <w:p w14:paraId="5890C076" w14:textId="77777777" w:rsidR="003A2E39" w:rsidRPr="005A6F44" w:rsidRDefault="003A2E39" w:rsidP="00F46473">
            <w:pPr>
              <w:pStyle w:val="tabteksts"/>
              <w:rPr>
                <w:snapToGrid w:val="0"/>
              </w:rPr>
            </w:pPr>
            <w:r w:rsidRPr="005A6F44">
              <w:rPr>
                <w:snapToGrid w:val="0"/>
              </w:rPr>
              <w:t>5. Vides aizsardzība</w:t>
            </w:r>
          </w:p>
        </w:tc>
        <w:tc>
          <w:tcPr>
            <w:tcW w:w="952" w:type="dxa"/>
            <w:tcBorders>
              <w:right w:val="double" w:sz="4" w:space="0" w:color="auto"/>
            </w:tcBorders>
          </w:tcPr>
          <w:p w14:paraId="44344B54" w14:textId="77777777" w:rsidR="003A2E39" w:rsidRPr="005A6F44" w:rsidRDefault="003A2E39" w:rsidP="00F46473">
            <w:pPr>
              <w:pStyle w:val="tabteksts"/>
            </w:pPr>
            <w:r w:rsidRPr="005A6F44">
              <w:t>5</w:t>
            </w:r>
          </w:p>
        </w:tc>
        <w:tc>
          <w:tcPr>
            <w:tcW w:w="797" w:type="dxa"/>
            <w:tcBorders>
              <w:left w:val="double" w:sz="4" w:space="0" w:color="auto"/>
            </w:tcBorders>
            <w:shd w:val="clear" w:color="auto" w:fill="auto"/>
            <w:vAlign w:val="bottom"/>
          </w:tcPr>
          <w:p w14:paraId="253AB4E7" w14:textId="77777777" w:rsidR="003A2E39" w:rsidRPr="005A6F44" w:rsidRDefault="003A2E39" w:rsidP="00F46473">
            <w:pPr>
              <w:pStyle w:val="tabteksts"/>
              <w:jc w:val="right"/>
              <w:rPr>
                <w:snapToGrid w:val="0"/>
              </w:rPr>
            </w:pPr>
            <w:r w:rsidRPr="005A6F44">
              <w:rPr>
                <w:snapToGrid w:val="0"/>
              </w:rPr>
              <w:t>0,7</w:t>
            </w:r>
          </w:p>
        </w:tc>
        <w:tc>
          <w:tcPr>
            <w:tcW w:w="798" w:type="dxa"/>
            <w:tcBorders>
              <w:right w:val="double" w:sz="4" w:space="0" w:color="auto"/>
            </w:tcBorders>
            <w:shd w:val="clear" w:color="auto" w:fill="auto"/>
            <w:vAlign w:val="bottom"/>
          </w:tcPr>
          <w:p w14:paraId="583ABE29" w14:textId="77777777" w:rsidR="003A2E39" w:rsidRPr="005A6F44" w:rsidRDefault="003A2E39" w:rsidP="00F46473">
            <w:pPr>
              <w:pStyle w:val="tabteksts"/>
              <w:jc w:val="right"/>
              <w:rPr>
                <w:snapToGrid w:val="0"/>
              </w:rPr>
            </w:pPr>
            <w:r w:rsidRPr="005A6F44">
              <w:rPr>
                <w:snapToGrid w:val="0"/>
              </w:rPr>
              <w:t>0,5</w:t>
            </w:r>
          </w:p>
        </w:tc>
      </w:tr>
      <w:tr w:rsidR="003A2E39" w:rsidRPr="005A6F44" w14:paraId="76E5A12D" w14:textId="77777777" w:rsidTr="00A83777">
        <w:tc>
          <w:tcPr>
            <w:tcW w:w="4029" w:type="dxa"/>
            <w:tcBorders>
              <w:left w:val="double" w:sz="4" w:space="0" w:color="auto"/>
            </w:tcBorders>
          </w:tcPr>
          <w:p w14:paraId="2961EF62" w14:textId="77777777" w:rsidR="003A2E39" w:rsidRPr="005A6F44" w:rsidRDefault="003A2E39" w:rsidP="00F46473">
            <w:pPr>
              <w:pStyle w:val="tabteksts"/>
              <w:rPr>
                <w:snapToGrid w:val="0"/>
              </w:rPr>
            </w:pPr>
            <w:r w:rsidRPr="005A6F44">
              <w:rPr>
                <w:snapToGrid w:val="0"/>
              </w:rPr>
              <w:t>6. Mājoklis un komunālā saimniecība</w:t>
            </w:r>
          </w:p>
        </w:tc>
        <w:tc>
          <w:tcPr>
            <w:tcW w:w="952" w:type="dxa"/>
            <w:tcBorders>
              <w:right w:val="double" w:sz="4" w:space="0" w:color="auto"/>
            </w:tcBorders>
          </w:tcPr>
          <w:p w14:paraId="2D29564C" w14:textId="77777777" w:rsidR="003A2E39" w:rsidRPr="005A6F44" w:rsidRDefault="003A2E39" w:rsidP="00F46473">
            <w:pPr>
              <w:pStyle w:val="tabteksts"/>
            </w:pPr>
            <w:r w:rsidRPr="005A6F44">
              <w:t>6</w:t>
            </w:r>
          </w:p>
        </w:tc>
        <w:tc>
          <w:tcPr>
            <w:tcW w:w="797" w:type="dxa"/>
            <w:tcBorders>
              <w:left w:val="double" w:sz="4" w:space="0" w:color="auto"/>
            </w:tcBorders>
            <w:shd w:val="clear" w:color="auto" w:fill="auto"/>
            <w:vAlign w:val="bottom"/>
          </w:tcPr>
          <w:p w14:paraId="25E07754" w14:textId="77777777" w:rsidR="003A2E39" w:rsidRPr="005A6F44" w:rsidRDefault="003A2E39" w:rsidP="00F46473">
            <w:pPr>
              <w:pStyle w:val="tabteksts"/>
              <w:jc w:val="right"/>
              <w:rPr>
                <w:snapToGrid w:val="0"/>
              </w:rPr>
            </w:pPr>
            <w:r w:rsidRPr="005A6F44">
              <w:rPr>
                <w:snapToGrid w:val="0"/>
              </w:rPr>
              <w:t>1,3</w:t>
            </w:r>
          </w:p>
        </w:tc>
        <w:tc>
          <w:tcPr>
            <w:tcW w:w="798" w:type="dxa"/>
            <w:tcBorders>
              <w:right w:val="double" w:sz="4" w:space="0" w:color="auto"/>
            </w:tcBorders>
            <w:shd w:val="clear" w:color="auto" w:fill="auto"/>
            <w:vAlign w:val="bottom"/>
          </w:tcPr>
          <w:p w14:paraId="2F4EA390" w14:textId="77777777" w:rsidR="003A2E39" w:rsidRPr="005A6F44" w:rsidRDefault="003A2E39" w:rsidP="00F46473">
            <w:pPr>
              <w:pStyle w:val="tabteksts"/>
              <w:jc w:val="right"/>
              <w:rPr>
                <w:snapToGrid w:val="0"/>
              </w:rPr>
            </w:pPr>
            <w:r w:rsidRPr="005A6F44">
              <w:rPr>
                <w:snapToGrid w:val="0"/>
              </w:rPr>
              <w:t>0,5</w:t>
            </w:r>
          </w:p>
        </w:tc>
      </w:tr>
      <w:tr w:rsidR="003A2E39" w:rsidRPr="005A6F44" w14:paraId="42E0F446" w14:textId="77777777" w:rsidTr="00A83777">
        <w:tc>
          <w:tcPr>
            <w:tcW w:w="4029" w:type="dxa"/>
            <w:tcBorders>
              <w:left w:val="double" w:sz="4" w:space="0" w:color="auto"/>
            </w:tcBorders>
          </w:tcPr>
          <w:p w14:paraId="626541B1" w14:textId="77777777" w:rsidR="003A2E39" w:rsidRPr="005A6F44" w:rsidRDefault="003A2E39" w:rsidP="00F46473">
            <w:pPr>
              <w:pStyle w:val="tabteksts"/>
              <w:rPr>
                <w:snapToGrid w:val="0"/>
              </w:rPr>
            </w:pPr>
            <w:r w:rsidRPr="005A6F44">
              <w:rPr>
                <w:snapToGrid w:val="0"/>
              </w:rPr>
              <w:t>7. Veselība</w:t>
            </w:r>
          </w:p>
        </w:tc>
        <w:tc>
          <w:tcPr>
            <w:tcW w:w="952" w:type="dxa"/>
            <w:tcBorders>
              <w:right w:val="double" w:sz="4" w:space="0" w:color="auto"/>
            </w:tcBorders>
          </w:tcPr>
          <w:p w14:paraId="6196175D" w14:textId="77777777" w:rsidR="003A2E39" w:rsidRPr="005A6F44" w:rsidRDefault="003A2E39" w:rsidP="00F46473">
            <w:pPr>
              <w:pStyle w:val="tabteksts"/>
            </w:pPr>
            <w:r w:rsidRPr="005A6F44">
              <w:t>7</w:t>
            </w:r>
          </w:p>
        </w:tc>
        <w:tc>
          <w:tcPr>
            <w:tcW w:w="797" w:type="dxa"/>
            <w:tcBorders>
              <w:left w:val="double" w:sz="4" w:space="0" w:color="auto"/>
            </w:tcBorders>
            <w:shd w:val="clear" w:color="auto" w:fill="auto"/>
            <w:vAlign w:val="bottom"/>
          </w:tcPr>
          <w:p w14:paraId="560B327C" w14:textId="77777777" w:rsidR="003A2E39" w:rsidRPr="005A6F44" w:rsidRDefault="003A2E39" w:rsidP="00F46473">
            <w:pPr>
              <w:pStyle w:val="tabteksts"/>
              <w:jc w:val="right"/>
              <w:rPr>
                <w:snapToGrid w:val="0"/>
              </w:rPr>
            </w:pPr>
            <w:r w:rsidRPr="005A6F44">
              <w:rPr>
                <w:snapToGrid w:val="0"/>
              </w:rPr>
              <w:t>4,1</w:t>
            </w:r>
          </w:p>
        </w:tc>
        <w:tc>
          <w:tcPr>
            <w:tcW w:w="798" w:type="dxa"/>
            <w:tcBorders>
              <w:right w:val="double" w:sz="4" w:space="0" w:color="auto"/>
            </w:tcBorders>
            <w:shd w:val="clear" w:color="auto" w:fill="auto"/>
            <w:vAlign w:val="bottom"/>
          </w:tcPr>
          <w:p w14:paraId="069CA7E0" w14:textId="77777777" w:rsidR="003A2E39" w:rsidRPr="005A6F44" w:rsidRDefault="003A2E39" w:rsidP="00F46473">
            <w:pPr>
              <w:pStyle w:val="tabteksts"/>
              <w:jc w:val="right"/>
              <w:rPr>
                <w:snapToGrid w:val="0"/>
              </w:rPr>
            </w:pPr>
            <w:r w:rsidRPr="005A6F44">
              <w:rPr>
                <w:snapToGrid w:val="0"/>
              </w:rPr>
              <w:t>3,2</w:t>
            </w:r>
          </w:p>
        </w:tc>
      </w:tr>
      <w:tr w:rsidR="003A2E39" w:rsidRPr="005A6F44" w14:paraId="077B854F" w14:textId="77777777" w:rsidTr="00A83777">
        <w:tc>
          <w:tcPr>
            <w:tcW w:w="4029" w:type="dxa"/>
            <w:tcBorders>
              <w:left w:val="double" w:sz="4" w:space="0" w:color="auto"/>
            </w:tcBorders>
          </w:tcPr>
          <w:p w14:paraId="4B07E83D" w14:textId="77777777" w:rsidR="003A2E39" w:rsidRPr="005A6F44" w:rsidRDefault="003A2E39" w:rsidP="00F46473">
            <w:pPr>
              <w:pStyle w:val="tabteksts"/>
              <w:rPr>
                <w:snapToGrid w:val="0"/>
              </w:rPr>
            </w:pPr>
            <w:r w:rsidRPr="005A6F44">
              <w:rPr>
                <w:snapToGrid w:val="0"/>
              </w:rPr>
              <w:t>8. Atpūta, kultūra un reliģija</w:t>
            </w:r>
          </w:p>
        </w:tc>
        <w:tc>
          <w:tcPr>
            <w:tcW w:w="952" w:type="dxa"/>
            <w:tcBorders>
              <w:right w:val="double" w:sz="4" w:space="0" w:color="auto"/>
            </w:tcBorders>
          </w:tcPr>
          <w:p w14:paraId="09653897" w14:textId="77777777" w:rsidR="003A2E39" w:rsidRPr="005A6F44" w:rsidRDefault="003A2E39" w:rsidP="00F46473">
            <w:pPr>
              <w:pStyle w:val="tabteksts"/>
            </w:pPr>
            <w:r w:rsidRPr="005A6F44">
              <w:t>8</w:t>
            </w:r>
          </w:p>
        </w:tc>
        <w:tc>
          <w:tcPr>
            <w:tcW w:w="797" w:type="dxa"/>
            <w:tcBorders>
              <w:left w:val="double" w:sz="4" w:space="0" w:color="auto"/>
            </w:tcBorders>
            <w:shd w:val="clear" w:color="auto" w:fill="auto"/>
            <w:vAlign w:val="bottom"/>
          </w:tcPr>
          <w:p w14:paraId="0B38B6D3" w14:textId="77777777" w:rsidR="003A2E39" w:rsidRPr="005A6F44" w:rsidRDefault="003A2E39" w:rsidP="00F46473">
            <w:pPr>
              <w:pStyle w:val="tabteksts"/>
              <w:jc w:val="right"/>
              <w:rPr>
                <w:snapToGrid w:val="0"/>
              </w:rPr>
            </w:pPr>
            <w:r w:rsidRPr="005A6F44">
              <w:rPr>
                <w:snapToGrid w:val="0"/>
              </w:rPr>
              <w:t>1,6</w:t>
            </w:r>
          </w:p>
        </w:tc>
        <w:tc>
          <w:tcPr>
            <w:tcW w:w="798" w:type="dxa"/>
            <w:tcBorders>
              <w:right w:val="double" w:sz="4" w:space="0" w:color="auto"/>
            </w:tcBorders>
            <w:shd w:val="clear" w:color="auto" w:fill="auto"/>
            <w:vAlign w:val="bottom"/>
          </w:tcPr>
          <w:p w14:paraId="19CA7873" w14:textId="77777777" w:rsidR="003A2E39" w:rsidRPr="005A6F44" w:rsidRDefault="003A2E39" w:rsidP="00F46473">
            <w:pPr>
              <w:pStyle w:val="tabteksts"/>
              <w:jc w:val="right"/>
              <w:rPr>
                <w:snapToGrid w:val="0"/>
              </w:rPr>
            </w:pPr>
            <w:r w:rsidRPr="005A6F44">
              <w:rPr>
                <w:snapToGrid w:val="0"/>
              </w:rPr>
              <w:t>0,9</w:t>
            </w:r>
          </w:p>
        </w:tc>
      </w:tr>
      <w:tr w:rsidR="003A2E39" w:rsidRPr="005A6F44" w14:paraId="16D71C9E" w14:textId="77777777" w:rsidTr="00A83777">
        <w:tc>
          <w:tcPr>
            <w:tcW w:w="4029" w:type="dxa"/>
            <w:tcBorders>
              <w:left w:val="double" w:sz="4" w:space="0" w:color="auto"/>
            </w:tcBorders>
          </w:tcPr>
          <w:p w14:paraId="28B5DDA6" w14:textId="77777777" w:rsidR="003A2E39" w:rsidRPr="005A6F44" w:rsidRDefault="003A2E39" w:rsidP="00F46473">
            <w:pPr>
              <w:pStyle w:val="tabteksts"/>
              <w:rPr>
                <w:snapToGrid w:val="0"/>
              </w:rPr>
            </w:pPr>
            <w:r w:rsidRPr="005A6F44">
              <w:rPr>
                <w:snapToGrid w:val="0"/>
              </w:rPr>
              <w:t>9. Izglītība</w:t>
            </w:r>
          </w:p>
        </w:tc>
        <w:tc>
          <w:tcPr>
            <w:tcW w:w="952" w:type="dxa"/>
            <w:tcBorders>
              <w:right w:val="double" w:sz="4" w:space="0" w:color="auto"/>
            </w:tcBorders>
          </w:tcPr>
          <w:p w14:paraId="6404FAC0" w14:textId="77777777" w:rsidR="003A2E39" w:rsidRPr="005A6F44" w:rsidRDefault="003A2E39" w:rsidP="00F46473">
            <w:pPr>
              <w:pStyle w:val="tabteksts"/>
            </w:pPr>
            <w:r w:rsidRPr="005A6F44">
              <w:t>9</w:t>
            </w:r>
          </w:p>
        </w:tc>
        <w:tc>
          <w:tcPr>
            <w:tcW w:w="797" w:type="dxa"/>
            <w:tcBorders>
              <w:left w:val="double" w:sz="4" w:space="0" w:color="auto"/>
            </w:tcBorders>
            <w:shd w:val="clear" w:color="auto" w:fill="auto"/>
            <w:vAlign w:val="bottom"/>
          </w:tcPr>
          <w:p w14:paraId="2E148299" w14:textId="77777777" w:rsidR="003A2E39" w:rsidRPr="005A6F44" w:rsidRDefault="003A2E39" w:rsidP="00F46473">
            <w:pPr>
              <w:pStyle w:val="tabteksts"/>
              <w:jc w:val="right"/>
              <w:rPr>
                <w:snapToGrid w:val="0"/>
              </w:rPr>
            </w:pPr>
            <w:r w:rsidRPr="005A6F44">
              <w:rPr>
                <w:snapToGrid w:val="0"/>
              </w:rPr>
              <w:t>5,7</w:t>
            </w:r>
          </w:p>
        </w:tc>
        <w:tc>
          <w:tcPr>
            <w:tcW w:w="798" w:type="dxa"/>
            <w:tcBorders>
              <w:right w:val="double" w:sz="4" w:space="0" w:color="auto"/>
            </w:tcBorders>
            <w:shd w:val="clear" w:color="auto" w:fill="auto"/>
            <w:vAlign w:val="bottom"/>
          </w:tcPr>
          <w:p w14:paraId="63E3022B" w14:textId="77777777" w:rsidR="003A2E39" w:rsidRPr="005A6F44" w:rsidRDefault="003A2E39" w:rsidP="00F46473">
            <w:pPr>
              <w:pStyle w:val="tabteksts"/>
              <w:jc w:val="right"/>
              <w:rPr>
                <w:snapToGrid w:val="0"/>
              </w:rPr>
            </w:pPr>
            <w:r w:rsidRPr="005A6F44">
              <w:rPr>
                <w:snapToGrid w:val="0"/>
              </w:rPr>
              <w:t>3,7</w:t>
            </w:r>
          </w:p>
        </w:tc>
      </w:tr>
      <w:tr w:rsidR="003A2E39" w:rsidRPr="005A6F44" w14:paraId="7A144D34" w14:textId="77777777" w:rsidTr="00A83777">
        <w:tc>
          <w:tcPr>
            <w:tcW w:w="4029" w:type="dxa"/>
            <w:tcBorders>
              <w:left w:val="double" w:sz="4" w:space="0" w:color="auto"/>
              <w:bottom w:val="double" w:sz="4" w:space="0" w:color="auto"/>
            </w:tcBorders>
          </w:tcPr>
          <w:p w14:paraId="55718994" w14:textId="77777777" w:rsidR="003A2E39" w:rsidRPr="005A6F44" w:rsidRDefault="003A2E39" w:rsidP="00F46473">
            <w:pPr>
              <w:pStyle w:val="tabteksts"/>
              <w:rPr>
                <w:snapToGrid w:val="0"/>
              </w:rPr>
            </w:pPr>
            <w:r w:rsidRPr="005A6F44">
              <w:rPr>
                <w:snapToGrid w:val="0"/>
              </w:rPr>
              <w:t>10. Sociālā aizsardzība</w:t>
            </w:r>
          </w:p>
        </w:tc>
        <w:tc>
          <w:tcPr>
            <w:tcW w:w="952" w:type="dxa"/>
            <w:tcBorders>
              <w:bottom w:val="double" w:sz="4" w:space="0" w:color="auto"/>
              <w:right w:val="double" w:sz="4" w:space="0" w:color="auto"/>
            </w:tcBorders>
          </w:tcPr>
          <w:p w14:paraId="7FB7C4BC" w14:textId="77777777" w:rsidR="003A2E39" w:rsidRPr="005A6F44" w:rsidRDefault="003A2E39" w:rsidP="00F46473">
            <w:pPr>
              <w:pStyle w:val="tabteksts"/>
            </w:pPr>
            <w:r w:rsidRPr="005A6F44">
              <w:t>10</w:t>
            </w:r>
          </w:p>
        </w:tc>
        <w:tc>
          <w:tcPr>
            <w:tcW w:w="797" w:type="dxa"/>
            <w:tcBorders>
              <w:left w:val="double" w:sz="4" w:space="0" w:color="auto"/>
              <w:bottom w:val="double" w:sz="4" w:space="0" w:color="auto"/>
            </w:tcBorders>
            <w:shd w:val="clear" w:color="auto" w:fill="auto"/>
            <w:vAlign w:val="bottom"/>
          </w:tcPr>
          <w:p w14:paraId="4803558F" w14:textId="77777777" w:rsidR="003A2E39" w:rsidRPr="005A6F44" w:rsidRDefault="003A2E39" w:rsidP="00F46473">
            <w:pPr>
              <w:pStyle w:val="tabteksts"/>
              <w:jc w:val="right"/>
              <w:rPr>
                <w:snapToGrid w:val="0"/>
              </w:rPr>
            </w:pPr>
            <w:r w:rsidRPr="005A6F44">
              <w:rPr>
                <w:snapToGrid w:val="0"/>
              </w:rPr>
              <w:t>12,1</w:t>
            </w:r>
          </w:p>
        </w:tc>
        <w:tc>
          <w:tcPr>
            <w:tcW w:w="798" w:type="dxa"/>
            <w:tcBorders>
              <w:bottom w:val="double" w:sz="4" w:space="0" w:color="auto"/>
              <w:right w:val="double" w:sz="4" w:space="0" w:color="auto"/>
            </w:tcBorders>
            <w:shd w:val="clear" w:color="auto" w:fill="auto"/>
            <w:vAlign w:val="bottom"/>
          </w:tcPr>
          <w:p w14:paraId="42F63321" w14:textId="77777777" w:rsidR="003A2E39" w:rsidRPr="005A6F44" w:rsidRDefault="003A2E39" w:rsidP="00F46473">
            <w:pPr>
              <w:pStyle w:val="tabteksts"/>
              <w:jc w:val="right"/>
              <w:rPr>
                <w:snapToGrid w:val="0"/>
              </w:rPr>
            </w:pPr>
            <w:r w:rsidRPr="005A6F44">
              <w:rPr>
                <w:snapToGrid w:val="0"/>
              </w:rPr>
              <w:t>10,7</w:t>
            </w:r>
          </w:p>
        </w:tc>
      </w:tr>
      <w:tr w:rsidR="003A2E39" w:rsidRPr="00E604BB" w14:paraId="2AB57362" w14:textId="77777777" w:rsidTr="00A83777">
        <w:tc>
          <w:tcPr>
            <w:tcW w:w="4029" w:type="dxa"/>
            <w:tcBorders>
              <w:top w:val="double" w:sz="4" w:space="0" w:color="auto"/>
              <w:left w:val="double" w:sz="4" w:space="0" w:color="auto"/>
              <w:bottom w:val="double" w:sz="4" w:space="0" w:color="auto"/>
            </w:tcBorders>
          </w:tcPr>
          <w:p w14:paraId="77E2CA62" w14:textId="77777777" w:rsidR="003A2E39" w:rsidRPr="005A6F44" w:rsidRDefault="003A2E39" w:rsidP="00F46473">
            <w:pPr>
              <w:pStyle w:val="tabteksts"/>
              <w:rPr>
                <w:snapToGrid w:val="0"/>
              </w:rPr>
            </w:pPr>
            <w:r w:rsidRPr="005A6F44">
              <w:rPr>
                <w:snapToGrid w:val="0"/>
              </w:rPr>
              <w:t>11. Kopējie izdevumi</w:t>
            </w:r>
          </w:p>
        </w:tc>
        <w:tc>
          <w:tcPr>
            <w:tcW w:w="952" w:type="dxa"/>
            <w:tcBorders>
              <w:top w:val="double" w:sz="4" w:space="0" w:color="auto"/>
              <w:bottom w:val="double" w:sz="4" w:space="0" w:color="auto"/>
              <w:right w:val="double" w:sz="4" w:space="0" w:color="auto"/>
            </w:tcBorders>
          </w:tcPr>
          <w:p w14:paraId="527B139A" w14:textId="77777777" w:rsidR="003A2E39" w:rsidRPr="005A6F44" w:rsidRDefault="003A2E39" w:rsidP="00F46473">
            <w:pPr>
              <w:pStyle w:val="tabteksts"/>
            </w:pPr>
            <w:r w:rsidRPr="005A6F44">
              <w:t>TE</w:t>
            </w:r>
          </w:p>
        </w:tc>
        <w:tc>
          <w:tcPr>
            <w:tcW w:w="797" w:type="dxa"/>
            <w:tcBorders>
              <w:top w:val="double" w:sz="4" w:space="0" w:color="auto"/>
              <w:left w:val="double" w:sz="4" w:space="0" w:color="auto"/>
              <w:bottom w:val="double" w:sz="4" w:space="0" w:color="auto"/>
            </w:tcBorders>
            <w:shd w:val="clear" w:color="auto" w:fill="auto"/>
            <w:vAlign w:val="bottom"/>
          </w:tcPr>
          <w:p w14:paraId="56ABDA7A" w14:textId="77777777" w:rsidR="003A2E39" w:rsidRPr="005A6F44" w:rsidRDefault="003A2E39" w:rsidP="00F46473">
            <w:pPr>
              <w:pStyle w:val="tabteksts"/>
              <w:jc w:val="right"/>
              <w:rPr>
                <w:snapToGrid w:val="0"/>
              </w:rPr>
            </w:pPr>
            <w:r w:rsidRPr="005A6F44">
              <w:rPr>
                <w:snapToGrid w:val="0"/>
              </w:rPr>
              <w:t>38,4</w:t>
            </w:r>
          </w:p>
        </w:tc>
        <w:tc>
          <w:tcPr>
            <w:tcW w:w="798" w:type="dxa"/>
            <w:tcBorders>
              <w:top w:val="double" w:sz="4" w:space="0" w:color="auto"/>
              <w:bottom w:val="double" w:sz="4" w:space="0" w:color="auto"/>
              <w:right w:val="double" w:sz="4" w:space="0" w:color="auto"/>
            </w:tcBorders>
            <w:shd w:val="clear" w:color="auto" w:fill="auto"/>
            <w:vAlign w:val="bottom"/>
          </w:tcPr>
          <w:p w14:paraId="19E96ADE" w14:textId="77777777" w:rsidR="003A2E39" w:rsidRPr="005A6F44" w:rsidRDefault="003A2E39" w:rsidP="00F46473">
            <w:pPr>
              <w:pStyle w:val="tabteksts"/>
              <w:jc w:val="right"/>
              <w:rPr>
                <w:snapToGrid w:val="0"/>
              </w:rPr>
            </w:pPr>
            <w:r w:rsidRPr="005A6F44">
              <w:rPr>
                <w:snapToGrid w:val="0"/>
              </w:rPr>
              <w:t>32,0</w:t>
            </w:r>
          </w:p>
        </w:tc>
      </w:tr>
    </w:tbl>
    <w:p w14:paraId="0E183AF1" w14:textId="77777777" w:rsidR="003A2E39" w:rsidRPr="00951B9C" w:rsidRDefault="00203D1A" w:rsidP="003A2E39">
      <w:pPr>
        <w:spacing w:after="0"/>
        <w:ind w:firstLine="0"/>
        <w:jc w:val="left"/>
        <w:rPr>
          <w:b/>
          <w:bCs/>
          <w:color w:val="FF0000"/>
          <w:szCs w:val="24"/>
          <w:lang w:eastAsia="lv-LV"/>
        </w:rPr>
      </w:pPr>
      <w:r>
        <w:rPr>
          <w:color w:val="000000"/>
          <w:szCs w:val="24"/>
        </w:rPr>
        <w:br w:type="page"/>
      </w:r>
      <w:r w:rsidR="002D62B9" w:rsidRPr="00951B9C">
        <w:rPr>
          <w:b/>
          <w:color w:val="000000"/>
          <w:szCs w:val="24"/>
        </w:rPr>
        <w:lastRenderedPageBreak/>
        <w:t>4. tabula. Vispā</w:t>
      </w:r>
      <w:r w:rsidR="00F30F70" w:rsidRPr="00951B9C">
        <w:rPr>
          <w:b/>
          <w:color w:val="000000"/>
          <w:szCs w:val="24"/>
        </w:rPr>
        <w:t>rējās valdības parāda attīstība</w:t>
      </w:r>
      <w:r w:rsidR="003A2E39" w:rsidRPr="00951B9C">
        <w:rPr>
          <w:b/>
          <w:color w:val="000000"/>
          <w:szCs w:val="24"/>
        </w:rPr>
        <w:t xml:space="preserve"> un </w:t>
      </w:r>
      <w:r w:rsidR="003A2E39" w:rsidRPr="00951B9C">
        <w:rPr>
          <w:b/>
          <w:bCs/>
          <w:szCs w:val="24"/>
          <w:lang w:eastAsia="lv-LV"/>
        </w:rPr>
        <w:t>parāda izmaiņas ietekmējošie faktori 2012.-2016.gadā</w:t>
      </w:r>
    </w:p>
    <w:p w14:paraId="5299D5D7" w14:textId="77777777" w:rsidR="00AE7331" w:rsidRPr="00AE7331" w:rsidRDefault="00AE7331" w:rsidP="00AE7331">
      <w:pPr>
        <w:spacing w:after="0"/>
        <w:ind w:firstLine="0"/>
        <w:jc w:val="left"/>
        <w:rPr>
          <w:b/>
          <w:bCs/>
          <w:color w:val="FF0000"/>
          <w:szCs w:val="24"/>
          <w:lang w:eastAsia="lv-LV"/>
        </w:rPr>
      </w:pPr>
    </w:p>
    <w:tbl>
      <w:tblPr>
        <w:tblW w:w="9136"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984"/>
        <w:gridCol w:w="851"/>
        <w:gridCol w:w="899"/>
        <w:gridCol w:w="851"/>
        <w:gridCol w:w="850"/>
        <w:gridCol w:w="851"/>
        <w:gridCol w:w="850"/>
      </w:tblGrid>
      <w:tr w:rsidR="00740E24" w:rsidRPr="00740E24" w14:paraId="5868BC58" w14:textId="77777777" w:rsidTr="003F4DE5">
        <w:trPr>
          <w:trHeight w:val="255"/>
        </w:trPr>
        <w:tc>
          <w:tcPr>
            <w:tcW w:w="3984" w:type="dxa"/>
            <w:shd w:val="clear" w:color="auto" w:fill="auto"/>
            <w:noWrap/>
            <w:vAlign w:val="center"/>
            <w:hideMark/>
          </w:tcPr>
          <w:p w14:paraId="72AD6BF9" w14:textId="77777777" w:rsidR="00740E24" w:rsidRPr="00740E24" w:rsidRDefault="00740E24" w:rsidP="00740E24">
            <w:pPr>
              <w:spacing w:after="0"/>
              <w:ind w:firstLine="0"/>
              <w:jc w:val="left"/>
              <w:rPr>
                <w:b/>
                <w:bCs/>
                <w:sz w:val="20"/>
                <w:lang w:eastAsia="lv-LV"/>
              </w:rPr>
            </w:pPr>
            <w:r w:rsidRPr="00740E24">
              <w:rPr>
                <w:b/>
                <w:bCs/>
                <w:sz w:val="20"/>
                <w:lang w:eastAsia="lv-LV"/>
              </w:rPr>
              <w:t>% no IKP</w:t>
            </w:r>
          </w:p>
        </w:tc>
        <w:tc>
          <w:tcPr>
            <w:tcW w:w="851" w:type="dxa"/>
            <w:shd w:val="clear" w:color="auto" w:fill="auto"/>
            <w:vAlign w:val="center"/>
            <w:hideMark/>
          </w:tcPr>
          <w:p w14:paraId="02142B9E" w14:textId="77777777" w:rsidR="00740E24" w:rsidRPr="00740E24" w:rsidRDefault="00740E24" w:rsidP="00740E24">
            <w:pPr>
              <w:spacing w:after="0"/>
              <w:ind w:firstLine="0"/>
              <w:jc w:val="center"/>
              <w:rPr>
                <w:sz w:val="20"/>
                <w:lang w:eastAsia="lv-LV"/>
              </w:rPr>
            </w:pPr>
            <w:r w:rsidRPr="00740E24">
              <w:rPr>
                <w:sz w:val="20"/>
                <w:lang w:eastAsia="lv-LV"/>
              </w:rPr>
              <w:t>ESA kods</w:t>
            </w:r>
          </w:p>
        </w:tc>
        <w:tc>
          <w:tcPr>
            <w:tcW w:w="899" w:type="dxa"/>
            <w:shd w:val="clear" w:color="auto" w:fill="auto"/>
            <w:noWrap/>
            <w:vAlign w:val="center"/>
            <w:hideMark/>
          </w:tcPr>
          <w:p w14:paraId="5AD9FF20" w14:textId="77777777" w:rsidR="00740E24" w:rsidRPr="00740E24" w:rsidRDefault="00740E24" w:rsidP="00740E24">
            <w:pPr>
              <w:spacing w:after="0"/>
              <w:ind w:firstLine="0"/>
              <w:jc w:val="center"/>
              <w:rPr>
                <w:b/>
                <w:bCs/>
                <w:sz w:val="20"/>
                <w:lang w:eastAsia="lv-LV"/>
              </w:rPr>
            </w:pPr>
            <w:r w:rsidRPr="00740E24">
              <w:rPr>
                <w:b/>
                <w:bCs/>
                <w:sz w:val="20"/>
                <w:lang w:eastAsia="lv-LV"/>
              </w:rPr>
              <w:t>2012</w:t>
            </w:r>
          </w:p>
        </w:tc>
        <w:tc>
          <w:tcPr>
            <w:tcW w:w="851" w:type="dxa"/>
            <w:shd w:val="clear" w:color="auto" w:fill="auto"/>
            <w:noWrap/>
            <w:vAlign w:val="center"/>
            <w:hideMark/>
          </w:tcPr>
          <w:p w14:paraId="781D4757" w14:textId="77777777" w:rsidR="00740E24" w:rsidRPr="00740E24" w:rsidRDefault="00740E24" w:rsidP="00740E24">
            <w:pPr>
              <w:spacing w:after="0"/>
              <w:ind w:firstLine="0"/>
              <w:jc w:val="center"/>
              <w:rPr>
                <w:b/>
                <w:bCs/>
                <w:sz w:val="20"/>
                <w:lang w:eastAsia="lv-LV"/>
              </w:rPr>
            </w:pPr>
            <w:r w:rsidRPr="00740E24">
              <w:rPr>
                <w:b/>
                <w:bCs/>
                <w:sz w:val="20"/>
                <w:lang w:eastAsia="lv-LV"/>
              </w:rPr>
              <w:t>2013</w:t>
            </w:r>
          </w:p>
        </w:tc>
        <w:tc>
          <w:tcPr>
            <w:tcW w:w="850" w:type="dxa"/>
            <w:shd w:val="clear" w:color="auto" w:fill="auto"/>
            <w:noWrap/>
            <w:vAlign w:val="center"/>
            <w:hideMark/>
          </w:tcPr>
          <w:p w14:paraId="1646C7D9" w14:textId="77777777" w:rsidR="00740E24" w:rsidRPr="00740E24" w:rsidRDefault="00740E24" w:rsidP="00740E24">
            <w:pPr>
              <w:spacing w:after="0"/>
              <w:ind w:firstLine="0"/>
              <w:jc w:val="center"/>
              <w:rPr>
                <w:b/>
                <w:bCs/>
                <w:sz w:val="20"/>
                <w:lang w:eastAsia="lv-LV"/>
              </w:rPr>
            </w:pPr>
            <w:r w:rsidRPr="00740E24">
              <w:rPr>
                <w:b/>
                <w:bCs/>
                <w:sz w:val="20"/>
                <w:lang w:eastAsia="lv-LV"/>
              </w:rPr>
              <w:t>2014</w:t>
            </w:r>
          </w:p>
        </w:tc>
        <w:tc>
          <w:tcPr>
            <w:tcW w:w="851" w:type="dxa"/>
            <w:shd w:val="clear" w:color="auto" w:fill="auto"/>
            <w:noWrap/>
            <w:vAlign w:val="center"/>
            <w:hideMark/>
          </w:tcPr>
          <w:p w14:paraId="346D9165" w14:textId="77777777" w:rsidR="00740E24" w:rsidRPr="00740E24" w:rsidRDefault="00740E24" w:rsidP="00740E24">
            <w:pPr>
              <w:spacing w:after="0"/>
              <w:ind w:firstLine="0"/>
              <w:jc w:val="center"/>
              <w:rPr>
                <w:b/>
                <w:bCs/>
                <w:sz w:val="20"/>
                <w:lang w:eastAsia="lv-LV"/>
              </w:rPr>
            </w:pPr>
            <w:r w:rsidRPr="00740E24">
              <w:rPr>
                <w:b/>
                <w:bCs/>
                <w:sz w:val="20"/>
                <w:lang w:eastAsia="lv-LV"/>
              </w:rPr>
              <w:t>2015</w:t>
            </w:r>
          </w:p>
        </w:tc>
        <w:tc>
          <w:tcPr>
            <w:tcW w:w="850" w:type="dxa"/>
            <w:shd w:val="clear" w:color="auto" w:fill="auto"/>
            <w:noWrap/>
            <w:vAlign w:val="center"/>
            <w:hideMark/>
          </w:tcPr>
          <w:p w14:paraId="6A6FA70E" w14:textId="77777777" w:rsidR="00740E24" w:rsidRPr="00740E24" w:rsidRDefault="00740E24" w:rsidP="00740E24">
            <w:pPr>
              <w:spacing w:after="0"/>
              <w:ind w:firstLine="0"/>
              <w:jc w:val="center"/>
              <w:rPr>
                <w:b/>
                <w:bCs/>
                <w:sz w:val="20"/>
                <w:lang w:eastAsia="lv-LV"/>
              </w:rPr>
            </w:pPr>
            <w:r w:rsidRPr="00740E24">
              <w:rPr>
                <w:b/>
                <w:bCs/>
                <w:sz w:val="20"/>
                <w:lang w:eastAsia="lv-LV"/>
              </w:rPr>
              <w:t>2016</w:t>
            </w:r>
          </w:p>
        </w:tc>
      </w:tr>
      <w:tr w:rsidR="00740E24" w:rsidRPr="00740E24" w14:paraId="0ACF8066" w14:textId="77777777" w:rsidTr="003F4DE5">
        <w:trPr>
          <w:trHeight w:val="255"/>
        </w:trPr>
        <w:tc>
          <w:tcPr>
            <w:tcW w:w="3984" w:type="dxa"/>
            <w:shd w:val="clear" w:color="auto" w:fill="auto"/>
            <w:noWrap/>
            <w:vAlign w:val="center"/>
            <w:hideMark/>
          </w:tcPr>
          <w:p w14:paraId="450E6A43" w14:textId="77777777" w:rsidR="00740E24" w:rsidRPr="00740E24" w:rsidRDefault="00740E24" w:rsidP="00740E24">
            <w:pPr>
              <w:spacing w:after="0"/>
              <w:ind w:firstLine="0"/>
              <w:jc w:val="left"/>
              <w:rPr>
                <w:b/>
                <w:bCs/>
                <w:sz w:val="20"/>
                <w:lang w:eastAsia="lv-LV"/>
              </w:rPr>
            </w:pPr>
            <w:r w:rsidRPr="00740E24">
              <w:rPr>
                <w:b/>
                <w:bCs/>
                <w:sz w:val="20"/>
                <w:lang w:eastAsia="lv-LV"/>
              </w:rPr>
              <w:t>1. Bruto parāds (</w:t>
            </w:r>
            <w:proofErr w:type="spellStart"/>
            <w:r w:rsidRPr="00740E24">
              <w:rPr>
                <w:b/>
                <w:bCs/>
                <w:sz w:val="20"/>
                <w:lang w:eastAsia="lv-LV"/>
              </w:rPr>
              <w:t>Gross</w:t>
            </w:r>
            <w:proofErr w:type="spellEnd"/>
            <w:r w:rsidRPr="00740E24">
              <w:rPr>
                <w:b/>
                <w:bCs/>
                <w:sz w:val="20"/>
                <w:lang w:eastAsia="lv-LV"/>
              </w:rPr>
              <w:t xml:space="preserve"> </w:t>
            </w:r>
            <w:proofErr w:type="spellStart"/>
            <w:r w:rsidRPr="00740E24">
              <w:rPr>
                <w:b/>
                <w:bCs/>
                <w:sz w:val="20"/>
                <w:lang w:eastAsia="lv-LV"/>
              </w:rPr>
              <w:t>debt</w:t>
            </w:r>
            <w:proofErr w:type="spellEnd"/>
            <w:r w:rsidRPr="00740E24">
              <w:rPr>
                <w:b/>
                <w:bCs/>
                <w:sz w:val="20"/>
                <w:lang w:eastAsia="lv-LV"/>
              </w:rPr>
              <w:t>)</w:t>
            </w:r>
          </w:p>
        </w:tc>
        <w:tc>
          <w:tcPr>
            <w:tcW w:w="851" w:type="dxa"/>
            <w:shd w:val="clear" w:color="auto" w:fill="auto"/>
            <w:noWrap/>
            <w:vAlign w:val="center"/>
            <w:hideMark/>
          </w:tcPr>
          <w:p w14:paraId="550F7490" w14:textId="77777777" w:rsidR="00740E24" w:rsidRPr="00740E24" w:rsidRDefault="00740E24" w:rsidP="00740E24">
            <w:pPr>
              <w:spacing w:after="0"/>
              <w:ind w:firstLine="0"/>
              <w:jc w:val="left"/>
              <w:rPr>
                <w:b/>
                <w:bCs/>
                <w:sz w:val="20"/>
                <w:lang w:eastAsia="lv-LV"/>
              </w:rPr>
            </w:pPr>
            <w:r w:rsidRPr="00740E24">
              <w:rPr>
                <w:b/>
                <w:bCs/>
                <w:sz w:val="20"/>
                <w:lang w:eastAsia="lv-LV"/>
              </w:rPr>
              <w:t> </w:t>
            </w:r>
          </w:p>
        </w:tc>
        <w:tc>
          <w:tcPr>
            <w:tcW w:w="899" w:type="dxa"/>
            <w:shd w:val="clear" w:color="auto" w:fill="auto"/>
            <w:noWrap/>
            <w:vAlign w:val="center"/>
            <w:hideMark/>
          </w:tcPr>
          <w:p w14:paraId="4CF7AB8D" w14:textId="77777777" w:rsidR="00740E24" w:rsidRPr="00740E24" w:rsidRDefault="00740E24" w:rsidP="00740E24">
            <w:pPr>
              <w:spacing w:after="0"/>
              <w:ind w:firstLine="0"/>
              <w:jc w:val="right"/>
              <w:rPr>
                <w:b/>
                <w:bCs/>
                <w:sz w:val="20"/>
                <w:lang w:eastAsia="lv-LV"/>
              </w:rPr>
            </w:pPr>
            <w:r w:rsidRPr="00740E24">
              <w:rPr>
                <w:b/>
                <w:bCs/>
                <w:sz w:val="20"/>
                <w:lang w:eastAsia="lv-LV"/>
              </w:rPr>
              <w:t>40.7%</w:t>
            </w:r>
          </w:p>
        </w:tc>
        <w:tc>
          <w:tcPr>
            <w:tcW w:w="851" w:type="dxa"/>
            <w:shd w:val="clear" w:color="auto" w:fill="auto"/>
            <w:noWrap/>
            <w:vAlign w:val="center"/>
            <w:hideMark/>
          </w:tcPr>
          <w:p w14:paraId="547D27FF" w14:textId="77777777" w:rsidR="00740E24" w:rsidRPr="00740E24" w:rsidRDefault="00740E24" w:rsidP="00740E24">
            <w:pPr>
              <w:spacing w:after="0"/>
              <w:ind w:firstLine="0"/>
              <w:jc w:val="right"/>
              <w:rPr>
                <w:b/>
                <w:bCs/>
                <w:sz w:val="20"/>
                <w:lang w:eastAsia="lv-LV"/>
              </w:rPr>
            </w:pPr>
            <w:r w:rsidRPr="00740E24">
              <w:rPr>
                <w:b/>
                <w:bCs/>
                <w:sz w:val="20"/>
                <w:lang w:eastAsia="lv-LV"/>
              </w:rPr>
              <w:t>44.5%</w:t>
            </w:r>
          </w:p>
        </w:tc>
        <w:tc>
          <w:tcPr>
            <w:tcW w:w="850" w:type="dxa"/>
            <w:shd w:val="clear" w:color="auto" w:fill="auto"/>
            <w:noWrap/>
            <w:vAlign w:val="center"/>
            <w:hideMark/>
          </w:tcPr>
          <w:p w14:paraId="6074516E" w14:textId="77777777" w:rsidR="00740E24" w:rsidRPr="00740E24" w:rsidRDefault="00740E24" w:rsidP="00740E24">
            <w:pPr>
              <w:spacing w:after="0"/>
              <w:ind w:firstLine="0"/>
              <w:jc w:val="right"/>
              <w:rPr>
                <w:b/>
                <w:bCs/>
                <w:sz w:val="20"/>
                <w:lang w:eastAsia="lv-LV"/>
              </w:rPr>
            </w:pPr>
            <w:r w:rsidRPr="00740E24">
              <w:rPr>
                <w:b/>
                <w:bCs/>
                <w:sz w:val="20"/>
                <w:lang w:eastAsia="lv-LV"/>
              </w:rPr>
              <w:t>41.0%</w:t>
            </w:r>
          </w:p>
        </w:tc>
        <w:tc>
          <w:tcPr>
            <w:tcW w:w="851" w:type="dxa"/>
            <w:shd w:val="clear" w:color="auto" w:fill="auto"/>
            <w:noWrap/>
            <w:vAlign w:val="center"/>
            <w:hideMark/>
          </w:tcPr>
          <w:p w14:paraId="6964C319" w14:textId="77777777" w:rsidR="00740E24" w:rsidRPr="00740E24" w:rsidRDefault="00740E24" w:rsidP="00740E24">
            <w:pPr>
              <w:spacing w:after="0"/>
              <w:ind w:firstLine="0"/>
              <w:jc w:val="right"/>
              <w:rPr>
                <w:b/>
                <w:bCs/>
                <w:sz w:val="20"/>
                <w:lang w:eastAsia="lv-LV"/>
              </w:rPr>
            </w:pPr>
            <w:r w:rsidRPr="00740E24">
              <w:rPr>
                <w:b/>
                <w:bCs/>
                <w:sz w:val="20"/>
                <w:lang w:eastAsia="lv-LV"/>
              </w:rPr>
              <w:t>36.4%</w:t>
            </w:r>
          </w:p>
        </w:tc>
        <w:tc>
          <w:tcPr>
            <w:tcW w:w="850" w:type="dxa"/>
            <w:shd w:val="clear" w:color="auto" w:fill="auto"/>
            <w:noWrap/>
            <w:vAlign w:val="center"/>
            <w:hideMark/>
          </w:tcPr>
          <w:p w14:paraId="599D83A0" w14:textId="77777777" w:rsidR="00740E24" w:rsidRPr="00740E24" w:rsidRDefault="00740E24" w:rsidP="00740E24">
            <w:pPr>
              <w:spacing w:after="0"/>
              <w:ind w:firstLine="0"/>
              <w:jc w:val="right"/>
              <w:rPr>
                <w:b/>
                <w:bCs/>
                <w:sz w:val="20"/>
                <w:lang w:eastAsia="lv-LV"/>
              </w:rPr>
            </w:pPr>
            <w:r w:rsidRPr="00740E24">
              <w:rPr>
                <w:b/>
                <w:bCs/>
                <w:sz w:val="20"/>
                <w:lang w:eastAsia="lv-LV"/>
              </w:rPr>
              <w:t>34.6%</w:t>
            </w:r>
          </w:p>
        </w:tc>
      </w:tr>
      <w:tr w:rsidR="00740E24" w:rsidRPr="00740E24" w14:paraId="0D680BD1" w14:textId="77777777" w:rsidTr="003F4DE5">
        <w:trPr>
          <w:trHeight w:val="255"/>
        </w:trPr>
        <w:tc>
          <w:tcPr>
            <w:tcW w:w="3984" w:type="dxa"/>
            <w:shd w:val="clear" w:color="auto" w:fill="auto"/>
            <w:noWrap/>
            <w:vAlign w:val="center"/>
            <w:hideMark/>
          </w:tcPr>
          <w:p w14:paraId="557D726A" w14:textId="77777777" w:rsidR="00740E24" w:rsidRPr="00740E24" w:rsidRDefault="00740E24" w:rsidP="00740E24">
            <w:pPr>
              <w:spacing w:after="0"/>
              <w:ind w:firstLine="0"/>
              <w:jc w:val="left"/>
              <w:rPr>
                <w:b/>
                <w:bCs/>
                <w:sz w:val="20"/>
                <w:lang w:eastAsia="lv-LV"/>
              </w:rPr>
            </w:pPr>
            <w:r w:rsidRPr="00740E24">
              <w:rPr>
                <w:b/>
                <w:bCs/>
                <w:sz w:val="20"/>
                <w:lang w:eastAsia="lv-LV"/>
              </w:rPr>
              <w:t>2. Bruto parāda izmaiņas (</w:t>
            </w:r>
            <w:proofErr w:type="spellStart"/>
            <w:r w:rsidRPr="00740E24">
              <w:rPr>
                <w:b/>
                <w:bCs/>
                <w:sz w:val="20"/>
                <w:lang w:eastAsia="lv-LV"/>
              </w:rPr>
              <w:t>Change</w:t>
            </w:r>
            <w:proofErr w:type="spellEnd"/>
            <w:r w:rsidRPr="00740E24">
              <w:rPr>
                <w:b/>
                <w:bCs/>
                <w:sz w:val="20"/>
                <w:lang w:eastAsia="lv-LV"/>
              </w:rPr>
              <w:t xml:space="preserve"> </w:t>
            </w:r>
            <w:proofErr w:type="spellStart"/>
            <w:r w:rsidRPr="00740E24">
              <w:rPr>
                <w:b/>
                <w:bCs/>
                <w:sz w:val="20"/>
                <w:lang w:eastAsia="lv-LV"/>
              </w:rPr>
              <w:t>in</w:t>
            </w:r>
            <w:proofErr w:type="spellEnd"/>
            <w:r w:rsidRPr="00740E24">
              <w:rPr>
                <w:b/>
                <w:bCs/>
                <w:sz w:val="20"/>
                <w:lang w:eastAsia="lv-LV"/>
              </w:rPr>
              <w:t xml:space="preserve"> </w:t>
            </w:r>
            <w:proofErr w:type="spellStart"/>
            <w:r w:rsidRPr="00740E24">
              <w:rPr>
                <w:b/>
                <w:bCs/>
                <w:sz w:val="20"/>
                <w:lang w:eastAsia="lv-LV"/>
              </w:rPr>
              <w:t>gross</w:t>
            </w:r>
            <w:proofErr w:type="spellEnd"/>
            <w:r w:rsidRPr="00740E24">
              <w:rPr>
                <w:b/>
                <w:bCs/>
                <w:sz w:val="20"/>
                <w:lang w:eastAsia="lv-LV"/>
              </w:rPr>
              <w:t xml:space="preserve"> </w:t>
            </w:r>
            <w:proofErr w:type="spellStart"/>
            <w:r w:rsidRPr="00740E24">
              <w:rPr>
                <w:b/>
                <w:bCs/>
                <w:sz w:val="20"/>
                <w:lang w:eastAsia="lv-LV"/>
              </w:rPr>
              <w:t>debt</w:t>
            </w:r>
            <w:proofErr w:type="spellEnd"/>
            <w:r w:rsidRPr="00740E24">
              <w:rPr>
                <w:b/>
                <w:bCs/>
                <w:sz w:val="20"/>
                <w:lang w:eastAsia="lv-LV"/>
              </w:rPr>
              <w:t xml:space="preserve"> </w:t>
            </w:r>
            <w:proofErr w:type="spellStart"/>
            <w:r w:rsidRPr="00740E24">
              <w:rPr>
                <w:b/>
                <w:bCs/>
                <w:sz w:val="20"/>
                <w:lang w:eastAsia="lv-LV"/>
              </w:rPr>
              <w:t>ratio</w:t>
            </w:r>
            <w:proofErr w:type="spellEnd"/>
            <w:r w:rsidRPr="00740E24">
              <w:rPr>
                <w:b/>
                <w:bCs/>
                <w:sz w:val="20"/>
                <w:lang w:eastAsia="lv-LV"/>
              </w:rPr>
              <w:t>)</w:t>
            </w:r>
          </w:p>
        </w:tc>
        <w:tc>
          <w:tcPr>
            <w:tcW w:w="851" w:type="dxa"/>
            <w:shd w:val="clear" w:color="auto" w:fill="auto"/>
            <w:noWrap/>
            <w:vAlign w:val="center"/>
            <w:hideMark/>
          </w:tcPr>
          <w:p w14:paraId="489B3089" w14:textId="77777777" w:rsidR="00740E24" w:rsidRPr="00740E24" w:rsidRDefault="00740E24" w:rsidP="00740E24">
            <w:pPr>
              <w:spacing w:after="0"/>
              <w:ind w:firstLine="0"/>
              <w:jc w:val="left"/>
              <w:rPr>
                <w:b/>
                <w:bCs/>
                <w:sz w:val="20"/>
                <w:lang w:eastAsia="lv-LV"/>
              </w:rPr>
            </w:pPr>
            <w:r w:rsidRPr="00740E24">
              <w:rPr>
                <w:b/>
                <w:bCs/>
                <w:sz w:val="20"/>
                <w:lang w:eastAsia="lv-LV"/>
              </w:rPr>
              <w:t> </w:t>
            </w:r>
          </w:p>
        </w:tc>
        <w:tc>
          <w:tcPr>
            <w:tcW w:w="899" w:type="dxa"/>
            <w:shd w:val="clear" w:color="auto" w:fill="auto"/>
            <w:noWrap/>
            <w:vAlign w:val="center"/>
            <w:hideMark/>
          </w:tcPr>
          <w:p w14:paraId="04A1E46B" w14:textId="77777777" w:rsidR="00740E24" w:rsidRPr="00740E24" w:rsidRDefault="00740E24" w:rsidP="00740E24">
            <w:pPr>
              <w:spacing w:after="0"/>
              <w:ind w:firstLine="0"/>
              <w:jc w:val="right"/>
              <w:rPr>
                <w:b/>
                <w:bCs/>
                <w:sz w:val="20"/>
                <w:lang w:eastAsia="lv-LV"/>
              </w:rPr>
            </w:pPr>
            <w:r w:rsidRPr="00740E24">
              <w:rPr>
                <w:b/>
                <w:bCs/>
                <w:sz w:val="20"/>
                <w:lang w:eastAsia="lv-LV"/>
              </w:rPr>
              <w:t>2.2%</w:t>
            </w:r>
          </w:p>
        </w:tc>
        <w:tc>
          <w:tcPr>
            <w:tcW w:w="851" w:type="dxa"/>
            <w:shd w:val="clear" w:color="auto" w:fill="auto"/>
            <w:noWrap/>
            <w:vAlign w:val="center"/>
            <w:hideMark/>
          </w:tcPr>
          <w:p w14:paraId="51C49EE2" w14:textId="77777777" w:rsidR="00740E24" w:rsidRPr="00740E24" w:rsidRDefault="00740E24" w:rsidP="00740E24">
            <w:pPr>
              <w:spacing w:after="0"/>
              <w:ind w:firstLine="0"/>
              <w:jc w:val="right"/>
              <w:rPr>
                <w:b/>
                <w:bCs/>
                <w:sz w:val="20"/>
                <w:lang w:eastAsia="lv-LV"/>
              </w:rPr>
            </w:pPr>
            <w:r w:rsidRPr="00740E24">
              <w:rPr>
                <w:b/>
                <w:bCs/>
                <w:sz w:val="20"/>
                <w:lang w:eastAsia="lv-LV"/>
              </w:rPr>
              <w:t>6.0%</w:t>
            </w:r>
          </w:p>
        </w:tc>
        <w:tc>
          <w:tcPr>
            <w:tcW w:w="850" w:type="dxa"/>
            <w:shd w:val="clear" w:color="auto" w:fill="auto"/>
            <w:noWrap/>
            <w:vAlign w:val="center"/>
            <w:hideMark/>
          </w:tcPr>
          <w:p w14:paraId="7F101EE9" w14:textId="77777777" w:rsidR="00740E24" w:rsidRPr="00740E24" w:rsidRDefault="00740E24" w:rsidP="00740E24">
            <w:pPr>
              <w:spacing w:after="0"/>
              <w:ind w:firstLine="0"/>
              <w:jc w:val="right"/>
              <w:rPr>
                <w:b/>
                <w:bCs/>
                <w:sz w:val="20"/>
                <w:lang w:eastAsia="lv-LV"/>
              </w:rPr>
            </w:pPr>
            <w:r w:rsidRPr="00740E24">
              <w:rPr>
                <w:b/>
                <w:bCs/>
                <w:sz w:val="20"/>
                <w:lang w:eastAsia="lv-LV"/>
              </w:rPr>
              <w:t>-0.9%</w:t>
            </w:r>
          </w:p>
        </w:tc>
        <w:tc>
          <w:tcPr>
            <w:tcW w:w="851" w:type="dxa"/>
            <w:shd w:val="clear" w:color="auto" w:fill="auto"/>
            <w:noWrap/>
            <w:vAlign w:val="center"/>
            <w:hideMark/>
          </w:tcPr>
          <w:p w14:paraId="287ED68B" w14:textId="77777777" w:rsidR="00740E24" w:rsidRPr="00740E24" w:rsidRDefault="00740E24" w:rsidP="00740E24">
            <w:pPr>
              <w:spacing w:after="0"/>
              <w:ind w:firstLine="0"/>
              <w:jc w:val="right"/>
              <w:rPr>
                <w:b/>
                <w:bCs/>
                <w:sz w:val="20"/>
                <w:lang w:eastAsia="lv-LV"/>
              </w:rPr>
            </w:pPr>
            <w:r w:rsidRPr="00740E24">
              <w:rPr>
                <w:b/>
                <w:bCs/>
                <w:sz w:val="20"/>
                <w:lang w:eastAsia="lv-LV"/>
              </w:rPr>
              <w:t>-2.1%</w:t>
            </w:r>
          </w:p>
        </w:tc>
        <w:tc>
          <w:tcPr>
            <w:tcW w:w="850" w:type="dxa"/>
            <w:shd w:val="clear" w:color="auto" w:fill="auto"/>
            <w:noWrap/>
            <w:vAlign w:val="center"/>
            <w:hideMark/>
          </w:tcPr>
          <w:p w14:paraId="24F95CC1" w14:textId="77777777" w:rsidR="00740E24" w:rsidRPr="00740E24" w:rsidRDefault="00740E24" w:rsidP="00740E24">
            <w:pPr>
              <w:spacing w:after="0"/>
              <w:ind w:firstLine="0"/>
              <w:jc w:val="right"/>
              <w:rPr>
                <w:b/>
                <w:bCs/>
                <w:sz w:val="20"/>
                <w:lang w:eastAsia="lv-LV"/>
              </w:rPr>
            </w:pPr>
            <w:r w:rsidRPr="00740E24">
              <w:rPr>
                <w:b/>
                <w:bCs/>
                <w:sz w:val="20"/>
                <w:lang w:eastAsia="lv-LV"/>
              </w:rPr>
              <w:t>0.3%</w:t>
            </w:r>
          </w:p>
        </w:tc>
      </w:tr>
      <w:tr w:rsidR="00740E24" w:rsidRPr="00740E24" w14:paraId="10905F1C" w14:textId="77777777" w:rsidTr="003F4DE5">
        <w:trPr>
          <w:trHeight w:val="255"/>
        </w:trPr>
        <w:tc>
          <w:tcPr>
            <w:tcW w:w="9136" w:type="dxa"/>
            <w:gridSpan w:val="7"/>
            <w:shd w:val="clear" w:color="auto" w:fill="auto"/>
            <w:vAlign w:val="center"/>
            <w:hideMark/>
          </w:tcPr>
          <w:p w14:paraId="6B9A1123" w14:textId="77777777" w:rsidR="00740E24" w:rsidRPr="00740E24" w:rsidRDefault="00740E24" w:rsidP="00740E24">
            <w:pPr>
              <w:spacing w:after="0"/>
              <w:ind w:firstLine="0"/>
              <w:jc w:val="center"/>
              <w:rPr>
                <w:b/>
                <w:bCs/>
                <w:sz w:val="20"/>
                <w:lang w:eastAsia="lv-LV"/>
              </w:rPr>
            </w:pPr>
            <w:r w:rsidRPr="00740E24">
              <w:rPr>
                <w:b/>
                <w:bCs/>
                <w:sz w:val="20"/>
                <w:lang w:eastAsia="lv-LV"/>
              </w:rPr>
              <w:t>Kopējā parāda izmaiņas ietekmējošie faktori (</w:t>
            </w:r>
            <w:proofErr w:type="spellStart"/>
            <w:r w:rsidRPr="00740E24">
              <w:rPr>
                <w:b/>
                <w:bCs/>
                <w:sz w:val="20"/>
                <w:lang w:eastAsia="lv-LV"/>
              </w:rPr>
              <w:t>Contributions</w:t>
            </w:r>
            <w:proofErr w:type="spellEnd"/>
            <w:r w:rsidRPr="00740E24">
              <w:rPr>
                <w:b/>
                <w:bCs/>
                <w:sz w:val="20"/>
                <w:lang w:eastAsia="lv-LV"/>
              </w:rPr>
              <w:t xml:space="preserve"> to </w:t>
            </w:r>
            <w:proofErr w:type="spellStart"/>
            <w:r w:rsidRPr="00740E24">
              <w:rPr>
                <w:b/>
                <w:bCs/>
                <w:sz w:val="20"/>
                <w:lang w:eastAsia="lv-LV"/>
              </w:rPr>
              <w:t>change</w:t>
            </w:r>
            <w:proofErr w:type="spellEnd"/>
            <w:r w:rsidRPr="00740E24">
              <w:rPr>
                <w:b/>
                <w:bCs/>
                <w:sz w:val="20"/>
                <w:lang w:eastAsia="lv-LV"/>
              </w:rPr>
              <w:t xml:space="preserve"> </w:t>
            </w:r>
            <w:proofErr w:type="spellStart"/>
            <w:r w:rsidRPr="00740E24">
              <w:rPr>
                <w:b/>
                <w:bCs/>
                <w:sz w:val="20"/>
                <w:lang w:eastAsia="lv-LV"/>
              </w:rPr>
              <w:t>in</w:t>
            </w:r>
            <w:proofErr w:type="spellEnd"/>
            <w:r w:rsidRPr="00740E24">
              <w:rPr>
                <w:b/>
                <w:bCs/>
                <w:sz w:val="20"/>
                <w:lang w:eastAsia="lv-LV"/>
              </w:rPr>
              <w:t xml:space="preserve"> </w:t>
            </w:r>
            <w:proofErr w:type="spellStart"/>
            <w:r w:rsidRPr="00740E24">
              <w:rPr>
                <w:b/>
                <w:bCs/>
                <w:sz w:val="20"/>
                <w:lang w:eastAsia="lv-LV"/>
              </w:rPr>
              <w:t>gross</w:t>
            </w:r>
            <w:proofErr w:type="spellEnd"/>
            <w:r w:rsidRPr="00740E24">
              <w:rPr>
                <w:b/>
                <w:bCs/>
                <w:sz w:val="20"/>
                <w:lang w:eastAsia="lv-LV"/>
              </w:rPr>
              <w:t xml:space="preserve"> </w:t>
            </w:r>
            <w:proofErr w:type="spellStart"/>
            <w:r w:rsidRPr="00740E24">
              <w:rPr>
                <w:b/>
                <w:bCs/>
                <w:sz w:val="20"/>
                <w:lang w:eastAsia="lv-LV"/>
              </w:rPr>
              <w:t>debt</w:t>
            </w:r>
            <w:proofErr w:type="spellEnd"/>
            <w:r w:rsidRPr="00740E24">
              <w:rPr>
                <w:b/>
                <w:bCs/>
                <w:sz w:val="20"/>
                <w:lang w:eastAsia="lv-LV"/>
              </w:rPr>
              <w:t>)</w:t>
            </w:r>
          </w:p>
        </w:tc>
      </w:tr>
      <w:tr w:rsidR="00740E24" w:rsidRPr="00740E24" w14:paraId="67926BC9" w14:textId="77777777" w:rsidTr="003F4DE5">
        <w:trPr>
          <w:trHeight w:val="255"/>
        </w:trPr>
        <w:tc>
          <w:tcPr>
            <w:tcW w:w="3984" w:type="dxa"/>
            <w:shd w:val="clear" w:color="auto" w:fill="auto"/>
            <w:noWrap/>
            <w:vAlign w:val="center"/>
            <w:hideMark/>
          </w:tcPr>
          <w:p w14:paraId="0D9D5E29" w14:textId="77777777" w:rsidR="00740E24" w:rsidRPr="00740E24" w:rsidRDefault="00740E24" w:rsidP="00740E24">
            <w:pPr>
              <w:spacing w:after="0"/>
              <w:ind w:firstLine="0"/>
              <w:jc w:val="left"/>
              <w:rPr>
                <w:b/>
                <w:bCs/>
                <w:sz w:val="20"/>
                <w:lang w:eastAsia="lv-LV"/>
              </w:rPr>
            </w:pPr>
            <w:r w:rsidRPr="00740E24">
              <w:rPr>
                <w:b/>
                <w:bCs/>
                <w:sz w:val="20"/>
                <w:lang w:eastAsia="lv-LV"/>
              </w:rPr>
              <w:t>3. Primārā bilance (</w:t>
            </w:r>
            <w:proofErr w:type="spellStart"/>
            <w:r w:rsidRPr="00740E24">
              <w:rPr>
                <w:b/>
                <w:bCs/>
                <w:sz w:val="20"/>
                <w:lang w:eastAsia="lv-LV"/>
              </w:rPr>
              <w:t>Primary</w:t>
            </w:r>
            <w:proofErr w:type="spellEnd"/>
            <w:r w:rsidRPr="00740E24">
              <w:rPr>
                <w:b/>
                <w:bCs/>
                <w:sz w:val="20"/>
                <w:lang w:eastAsia="lv-LV"/>
              </w:rPr>
              <w:t xml:space="preserve"> </w:t>
            </w:r>
            <w:proofErr w:type="spellStart"/>
            <w:r w:rsidRPr="00740E24">
              <w:rPr>
                <w:b/>
                <w:bCs/>
                <w:sz w:val="20"/>
                <w:lang w:eastAsia="lv-LV"/>
              </w:rPr>
              <w:t>balance</w:t>
            </w:r>
            <w:proofErr w:type="spellEnd"/>
            <w:r w:rsidRPr="00740E24">
              <w:rPr>
                <w:b/>
                <w:bCs/>
                <w:sz w:val="20"/>
                <w:lang w:eastAsia="lv-LV"/>
              </w:rPr>
              <w:t xml:space="preserve">) </w:t>
            </w:r>
          </w:p>
        </w:tc>
        <w:tc>
          <w:tcPr>
            <w:tcW w:w="851" w:type="dxa"/>
            <w:shd w:val="clear" w:color="auto" w:fill="auto"/>
            <w:noWrap/>
            <w:vAlign w:val="center"/>
            <w:hideMark/>
          </w:tcPr>
          <w:p w14:paraId="69320C14" w14:textId="77777777" w:rsidR="00740E24" w:rsidRPr="00740E24" w:rsidRDefault="00740E24" w:rsidP="00740E24">
            <w:pPr>
              <w:spacing w:after="0"/>
              <w:ind w:firstLine="0"/>
              <w:jc w:val="left"/>
              <w:rPr>
                <w:b/>
                <w:bCs/>
                <w:sz w:val="20"/>
                <w:lang w:eastAsia="lv-LV"/>
              </w:rPr>
            </w:pPr>
            <w:r w:rsidRPr="00740E24">
              <w:rPr>
                <w:b/>
                <w:bCs/>
                <w:sz w:val="20"/>
                <w:lang w:eastAsia="lv-LV"/>
              </w:rPr>
              <w:t> </w:t>
            </w:r>
          </w:p>
        </w:tc>
        <w:tc>
          <w:tcPr>
            <w:tcW w:w="899" w:type="dxa"/>
            <w:shd w:val="clear" w:color="auto" w:fill="auto"/>
            <w:noWrap/>
            <w:vAlign w:val="center"/>
            <w:hideMark/>
          </w:tcPr>
          <w:p w14:paraId="40065C84" w14:textId="77777777" w:rsidR="00740E24" w:rsidRPr="00740E24" w:rsidRDefault="00740E24" w:rsidP="00740E24">
            <w:pPr>
              <w:spacing w:after="0"/>
              <w:ind w:firstLine="0"/>
              <w:jc w:val="right"/>
              <w:rPr>
                <w:b/>
                <w:bCs/>
                <w:sz w:val="20"/>
                <w:lang w:eastAsia="lv-LV"/>
              </w:rPr>
            </w:pPr>
            <w:r w:rsidRPr="00740E24">
              <w:rPr>
                <w:b/>
                <w:bCs/>
                <w:sz w:val="20"/>
                <w:lang w:eastAsia="lv-LV"/>
              </w:rPr>
              <w:t>0.1%</w:t>
            </w:r>
          </w:p>
        </w:tc>
        <w:tc>
          <w:tcPr>
            <w:tcW w:w="851" w:type="dxa"/>
            <w:shd w:val="clear" w:color="auto" w:fill="auto"/>
            <w:noWrap/>
            <w:vAlign w:val="center"/>
            <w:hideMark/>
          </w:tcPr>
          <w:p w14:paraId="4F181A74" w14:textId="77777777" w:rsidR="00740E24" w:rsidRPr="00740E24" w:rsidRDefault="00740E24" w:rsidP="00740E24">
            <w:pPr>
              <w:spacing w:after="0"/>
              <w:ind w:firstLine="0"/>
              <w:jc w:val="right"/>
              <w:rPr>
                <w:b/>
                <w:bCs/>
                <w:sz w:val="20"/>
                <w:lang w:eastAsia="lv-LV"/>
              </w:rPr>
            </w:pPr>
            <w:r w:rsidRPr="00740E24">
              <w:rPr>
                <w:b/>
                <w:bCs/>
                <w:sz w:val="20"/>
                <w:lang w:eastAsia="lv-LV"/>
              </w:rPr>
              <w:t>0.4%</w:t>
            </w:r>
          </w:p>
        </w:tc>
        <w:tc>
          <w:tcPr>
            <w:tcW w:w="850" w:type="dxa"/>
            <w:shd w:val="clear" w:color="auto" w:fill="auto"/>
            <w:noWrap/>
            <w:vAlign w:val="center"/>
            <w:hideMark/>
          </w:tcPr>
          <w:p w14:paraId="6ABBC08F" w14:textId="77777777" w:rsidR="00740E24" w:rsidRPr="00740E24" w:rsidRDefault="00740E24" w:rsidP="00740E24">
            <w:pPr>
              <w:spacing w:after="0"/>
              <w:ind w:firstLine="0"/>
              <w:jc w:val="right"/>
              <w:rPr>
                <w:b/>
                <w:bCs/>
                <w:sz w:val="20"/>
                <w:lang w:eastAsia="lv-LV"/>
              </w:rPr>
            </w:pPr>
            <w:r w:rsidRPr="00740E24">
              <w:rPr>
                <w:b/>
                <w:bCs/>
                <w:sz w:val="20"/>
                <w:lang w:eastAsia="lv-LV"/>
              </w:rPr>
              <w:t>0.7%</w:t>
            </w:r>
          </w:p>
        </w:tc>
        <w:tc>
          <w:tcPr>
            <w:tcW w:w="851" w:type="dxa"/>
            <w:shd w:val="clear" w:color="auto" w:fill="auto"/>
            <w:noWrap/>
            <w:vAlign w:val="center"/>
            <w:hideMark/>
          </w:tcPr>
          <w:p w14:paraId="3FD727C8" w14:textId="77777777" w:rsidR="00740E24" w:rsidRPr="00740E24" w:rsidRDefault="00740E24" w:rsidP="00740E24">
            <w:pPr>
              <w:spacing w:after="0"/>
              <w:ind w:firstLine="0"/>
              <w:jc w:val="right"/>
              <w:rPr>
                <w:b/>
                <w:bCs/>
                <w:sz w:val="20"/>
                <w:lang w:eastAsia="lv-LV"/>
              </w:rPr>
            </w:pPr>
            <w:r w:rsidRPr="00740E24">
              <w:rPr>
                <w:b/>
                <w:bCs/>
                <w:sz w:val="20"/>
                <w:lang w:eastAsia="lv-LV"/>
              </w:rPr>
              <w:t>0.6%</w:t>
            </w:r>
          </w:p>
        </w:tc>
        <w:tc>
          <w:tcPr>
            <w:tcW w:w="850" w:type="dxa"/>
            <w:shd w:val="clear" w:color="auto" w:fill="auto"/>
            <w:noWrap/>
            <w:vAlign w:val="center"/>
            <w:hideMark/>
          </w:tcPr>
          <w:p w14:paraId="3C1E0AD5" w14:textId="77777777" w:rsidR="00740E24" w:rsidRPr="00740E24" w:rsidRDefault="00166AE2" w:rsidP="00740E24">
            <w:pPr>
              <w:spacing w:after="0"/>
              <w:ind w:firstLine="0"/>
              <w:jc w:val="right"/>
              <w:rPr>
                <w:b/>
                <w:bCs/>
                <w:sz w:val="20"/>
                <w:lang w:eastAsia="lv-LV"/>
              </w:rPr>
            </w:pPr>
            <w:r>
              <w:rPr>
                <w:b/>
                <w:bCs/>
                <w:sz w:val="20"/>
                <w:lang w:eastAsia="lv-LV"/>
              </w:rPr>
              <w:t>0.6</w:t>
            </w:r>
            <w:r w:rsidR="00740E24" w:rsidRPr="00740E24">
              <w:rPr>
                <w:b/>
                <w:bCs/>
                <w:sz w:val="20"/>
                <w:lang w:eastAsia="lv-LV"/>
              </w:rPr>
              <w:t>%</w:t>
            </w:r>
          </w:p>
        </w:tc>
      </w:tr>
      <w:tr w:rsidR="00740E24" w:rsidRPr="00740E24" w14:paraId="0FE2A004" w14:textId="77777777" w:rsidTr="003F4DE5">
        <w:trPr>
          <w:trHeight w:val="255"/>
        </w:trPr>
        <w:tc>
          <w:tcPr>
            <w:tcW w:w="3984" w:type="dxa"/>
            <w:shd w:val="clear" w:color="auto" w:fill="auto"/>
            <w:noWrap/>
            <w:vAlign w:val="center"/>
            <w:hideMark/>
          </w:tcPr>
          <w:p w14:paraId="773DF920" w14:textId="77777777" w:rsidR="00740E24" w:rsidRPr="00740E24" w:rsidRDefault="00740E24" w:rsidP="00740E24">
            <w:pPr>
              <w:spacing w:after="0"/>
              <w:ind w:firstLine="0"/>
              <w:jc w:val="left"/>
              <w:rPr>
                <w:b/>
                <w:bCs/>
                <w:sz w:val="20"/>
                <w:lang w:eastAsia="lv-LV"/>
              </w:rPr>
            </w:pPr>
            <w:r w:rsidRPr="00740E24">
              <w:rPr>
                <w:b/>
                <w:bCs/>
                <w:sz w:val="20"/>
                <w:lang w:eastAsia="lv-LV"/>
              </w:rPr>
              <w:t>4. Procentu maksājumi (</w:t>
            </w:r>
            <w:proofErr w:type="spellStart"/>
            <w:r w:rsidRPr="00740E24">
              <w:rPr>
                <w:b/>
                <w:bCs/>
                <w:sz w:val="20"/>
                <w:lang w:eastAsia="lv-LV"/>
              </w:rPr>
              <w:t>Interest</w:t>
            </w:r>
            <w:proofErr w:type="spellEnd"/>
            <w:r w:rsidRPr="00740E24">
              <w:rPr>
                <w:b/>
                <w:bCs/>
                <w:sz w:val="20"/>
                <w:lang w:eastAsia="lv-LV"/>
              </w:rPr>
              <w:t xml:space="preserve"> </w:t>
            </w:r>
            <w:proofErr w:type="spellStart"/>
            <w:r w:rsidRPr="00740E24">
              <w:rPr>
                <w:b/>
                <w:bCs/>
                <w:sz w:val="20"/>
                <w:lang w:eastAsia="lv-LV"/>
              </w:rPr>
              <w:t>expenditure</w:t>
            </w:r>
            <w:proofErr w:type="spellEnd"/>
            <w:r w:rsidRPr="00740E24">
              <w:rPr>
                <w:b/>
                <w:bCs/>
                <w:sz w:val="20"/>
                <w:lang w:eastAsia="lv-LV"/>
              </w:rPr>
              <w:t>)</w:t>
            </w:r>
          </w:p>
        </w:tc>
        <w:tc>
          <w:tcPr>
            <w:tcW w:w="851" w:type="dxa"/>
            <w:shd w:val="clear" w:color="auto" w:fill="auto"/>
            <w:vAlign w:val="center"/>
            <w:hideMark/>
          </w:tcPr>
          <w:p w14:paraId="1F8B2B2D" w14:textId="77777777" w:rsidR="00740E24" w:rsidRPr="00740E24" w:rsidRDefault="00740E24" w:rsidP="00740E24">
            <w:pPr>
              <w:spacing w:after="0"/>
              <w:ind w:firstLine="0"/>
              <w:jc w:val="left"/>
              <w:rPr>
                <w:b/>
                <w:bCs/>
                <w:sz w:val="20"/>
                <w:lang w:eastAsia="lv-LV"/>
              </w:rPr>
            </w:pPr>
            <w:r w:rsidRPr="00740E24">
              <w:rPr>
                <w:b/>
                <w:bCs/>
                <w:sz w:val="20"/>
                <w:lang w:eastAsia="lv-LV"/>
              </w:rPr>
              <w:t>EDP D.41</w:t>
            </w:r>
          </w:p>
        </w:tc>
        <w:tc>
          <w:tcPr>
            <w:tcW w:w="899" w:type="dxa"/>
            <w:shd w:val="clear" w:color="auto" w:fill="auto"/>
            <w:noWrap/>
            <w:vAlign w:val="center"/>
            <w:hideMark/>
          </w:tcPr>
          <w:p w14:paraId="39041C37" w14:textId="77777777" w:rsidR="00740E24" w:rsidRPr="00740E24" w:rsidRDefault="00740E24" w:rsidP="00740E24">
            <w:pPr>
              <w:spacing w:after="0"/>
              <w:ind w:firstLine="0"/>
              <w:jc w:val="right"/>
              <w:rPr>
                <w:b/>
                <w:bCs/>
                <w:sz w:val="20"/>
                <w:lang w:eastAsia="lv-LV"/>
              </w:rPr>
            </w:pPr>
            <w:r w:rsidRPr="00740E24">
              <w:rPr>
                <w:b/>
                <w:bCs/>
                <w:sz w:val="20"/>
                <w:lang w:eastAsia="lv-LV"/>
              </w:rPr>
              <w:t>1.3%</w:t>
            </w:r>
          </w:p>
        </w:tc>
        <w:tc>
          <w:tcPr>
            <w:tcW w:w="851" w:type="dxa"/>
            <w:shd w:val="clear" w:color="auto" w:fill="auto"/>
            <w:noWrap/>
            <w:vAlign w:val="center"/>
            <w:hideMark/>
          </w:tcPr>
          <w:p w14:paraId="6DBB2CAA" w14:textId="77777777" w:rsidR="00740E24" w:rsidRPr="00740E24" w:rsidRDefault="00740E24" w:rsidP="00740E24">
            <w:pPr>
              <w:spacing w:after="0"/>
              <w:ind w:firstLine="0"/>
              <w:jc w:val="right"/>
              <w:rPr>
                <w:b/>
                <w:bCs/>
                <w:sz w:val="20"/>
                <w:lang w:eastAsia="lv-LV"/>
              </w:rPr>
            </w:pPr>
            <w:r w:rsidRPr="00740E24">
              <w:rPr>
                <w:b/>
                <w:bCs/>
                <w:sz w:val="20"/>
                <w:lang w:eastAsia="lv-LV"/>
              </w:rPr>
              <w:t>1.5%</w:t>
            </w:r>
          </w:p>
        </w:tc>
        <w:tc>
          <w:tcPr>
            <w:tcW w:w="850" w:type="dxa"/>
            <w:shd w:val="clear" w:color="auto" w:fill="auto"/>
            <w:noWrap/>
            <w:vAlign w:val="center"/>
            <w:hideMark/>
          </w:tcPr>
          <w:p w14:paraId="40AD68EC" w14:textId="77777777" w:rsidR="00740E24" w:rsidRPr="00740E24" w:rsidRDefault="00740E24" w:rsidP="00740E24">
            <w:pPr>
              <w:spacing w:after="0"/>
              <w:ind w:firstLine="0"/>
              <w:jc w:val="right"/>
              <w:rPr>
                <w:b/>
                <w:bCs/>
                <w:sz w:val="20"/>
                <w:lang w:eastAsia="lv-LV"/>
              </w:rPr>
            </w:pPr>
            <w:r w:rsidRPr="00740E24">
              <w:rPr>
                <w:b/>
                <w:bCs/>
                <w:sz w:val="20"/>
                <w:lang w:eastAsia="lv-LV"/>
              </w:rPr>
              <w:t>1.6%</w:t>
            </w:r>
          </w:p>
        </w:tc>
        <w:tc>
          <w:tcPr>
            <w:tcW w:w="851" w:type="dxa"/>
            <w:shd w:val="clear" w:color="auto" w:fill="auto"/>
            <w:noWrap/>
            <w:vAlign w:val="center"/>
            <w:hideMark/>
          </w:tcPr>
          <w:p w14:paraId="579F069E" w14:textId="77777777" w:rsidR="00740E24" w:rsidRPr="00740E24" w:rsidRDefault="00740E24" w:rsidP="00740E24">
            <w:pPr>
              <w:spacing w:after="0"/>
              <w:ind w:firstLine="0"/>
              <w:jc w:val="right"/>
              <w:rPr>
                <w:b/>
                <w:bCs/>
                <w:sz w:val="20"/>
                <w:lang w:eastAsia="lv-LV"/>
              </w:rPr>
            </w:pPr>
            <w:r w:rsidRPr="00740E24">
              <w:rPr>
                <w:b/>
                <w:bCs/>
                <w:sz w:val="20"/>
                <w:lang w:eastAsia="lv-LV"/>
              </w:rPr>
              <w:t>1.5%</w:t>
            </w:r>
          </w:p>
        </w:tc>
        <w:tc>
          <w:tcPr>
            <w:tcW w:w="850" w:type="dxa"/>
            <w:shd w:val="clear" w:color="auto" w:fill="auto"/>
            <w:noWrap/>
            <w:vAlign w:val="center"/>
            <w:hideMark/>
          </w:tcPr>
          <w:p w14:paraId="0ACDAFEC" w14:textId="77777777" w:rsidR="00740E24" w:rsidRPr="00740E24" w:rsidRDefault="00740E24" w:rsidP="00740E24">
            <w:pPr>
              <w:spacing w:after="0"/>
              <w:ind w:firstLine="0"/>
              <w:jc w:val="right"/>
              <w:rPr>
                <w:b/>
                <w:bCs/>
                <w:sz w:val="20"/>
                <w:lang w:eastAsia="lv-LV"/>
              </w:rPr>
            </w:pPr>
            <w:r w:rsidRPr="00740E24">
              <w:rPr>
                <w:b/>
                <w:bCs/>
                <w:sz w:val="20"/>
                <w:lang w:eastAsia="lv-LV"/>
              </w:rPr>
              <w:t>1.4%</w:t>
            </w:r>
          </w:p>
        </w:tc>
      </w:tr>
      <w:tr w:rsidR="00740E24" w:rsidRPr="00740E24" w14:paraId="72983593" w14:textId="77777777" w:rsidTr="003F4DE5">
        <w:trPr>
          <w:trHeight w:val="255"/>
        </w:trPr>
        <w:tc>
          <w:tcPr>
            <w:tcW w:w="3984" w:type="dxa"/>
            <w:shd w:val="clear" w:color="auto" w:fill="auto"/>
            <w:noWrap/>
            <w:vAlign w:val="center"/>
            <w:hideMark/>
          </w:tcPr>
          <w:p w14:paraId="04218489" w14:textId="77777777" w:rsidR="00740E24" w:rsidRPr="00740E24" w:rsidRDefault="00740E24" w:rsidP="00740E24">
            <w:pPr>
              <w:spacing w:after="0"/>
              <w:ind w:firstLine="0"/>
              <w:jc w:val="left"/>
              <w:rPr>
                <w:b/>
                <w:bCs/>
                <w:sz w:val="20"/>
                <w:lang w:eastAsia="lv-LV"/>
              </w:rPr>
            </w:pPr>
            <w:r w:rsidRPr="00740E24">
              <w:rPr>
                <w:b/>
                <w:bCs/>
                <w:sz w:val="20"/>
                <w:lang w:eastAsia="lv-LV"/>
              </w:rPr>
              <w:t>5. Krājumu izmaiņas (</w:t>
            </w:r>
            <w:proofErr w:type="spellStart"/>
            <w:r w:rsidRPr="00740E24">
              <w:rPr>
                <w:b/>
                <w:bCs/>
                <w:sz w:val="20"/>
                <w:lang w:eastAsia="lv-LV"/>
              </w:rPr>
              <w:t>Stock-flow</w:t>
            </w:r>
            <w:proofErr w:type="spellEnd"/>
            <w:r w:rsidRPr="00740E24">
              <w:rPr>
                <w:b/>
                <w:bCs/>
                <w:sz w:val="20"/>
                <w:lang w:eastAsia="lv-LV"/>
              </w:rPr>
              <w:t xml:space="preserve"> </w:t>
            </w:r>
            <w:proofErr w:type="spellStart"/>
            <w:r w:rsidRPr="00740E24">
              <w:rPr>
                <w:b/>
                <w:bCs/>
                <w:sz w:val="20"/>
                <w:lang w:eastAsia="lv-LV"/>
              </w:rPr>
              <w:t>adjustment</w:t>
            </w:r>
            <w:proofErr w:type="spellEnd"/>
            <w:r w:rsidRPr="00740E24">
              <w:rPr>
                <w:b/>
                <w:bCs/>
                <w:sz w:val="20"/>
                <w:lang w:eastAsia="lv-LV"/>
              </w:rPr>
              <w:t xml:space="preserve">),  </w:t>
            </w:r>
            <w:proofErr w:type="spellStart"/>
            <w:r w:rsidRPr="00740E24">
              <w:rPr>
                <w:b/>
                <w:bCs/>
                <w:sz w:val="20"/>
                <w:lang w:eastAsia="lv-LV"/>
              </w:rPr>
              <w:t>t.sk</w:t>
            </w:r>
            <w:proofErr w:type="spellEnd"/>
            <w:r w:rsidRPr="00740E24">
              <w:rPr>
                <w:b/>
                <w:bCs/>
                <w:sz w:val="20"/>
                <w:lang w:eastAsia="lv-LV"/>
              </w:rPr>
              <w:t>.</w:t>
            </w:r>
          </w:p>
        </w:tc>
        <w:tc>
          <w:tcPr>
            <w:tcW w:w="851" w:type="dxa"/>
            <w:shd w:val="clear" w:color="auto" w:fill="auto"/>
            <w:vAlign w:val="center"/>
            <w:hideMark/>
          </w:tcPr>
          <w:p w14:paraId="14E62F66" w14:textId="77777777" w:rsidR="00740E24" w:rsidRPr="00740E24" w:rsidRDefault="00740E24" w:rsidP="00740E24">
            <w:pPr>
              <w:spacing w:after="0"/>
              <w:ind w:firstLine="0"/>
              <w:jc w:val="left"/>
              <w:rPr>
                <w:b/>
                <w:bCs/>
                <w:sz w:val="20"/>
                <w:lang w:eastAsia="lv-LV"/>
              </w:rPr>
            </w:pPr>
            <w:r w:rsidRPr="00740E24">
              <w:rPr>
                <w:b/>
                <w:bCs/>
                <w:sz w:val="20"/>
                <w:lang w:eastAsia="lv-LV"/>
              </w:rPr>
              <w:t> </w:t>
            </w:r>
          </w:p>
        </w:tc>
        <w:tc>
          <w:tcPr>
            <w:tcW w:w="899" w:type="dxa"/>
            <w:shd w:val="clear" w:color="auto" w:fill="auto"/>
            <w:noWrap/>
            <w:vAlign w:val="center"/>
            <w:hideMark/>
          </w:tcPr>
          <w:p w14:paraId="5DB5154C" w14:textId="77777777" w:rsidR="00740E24" w:rsidRPr="00740E24" w:rsidRDefault="00166AE2" w:rsidP="00740E24">
            <w:pPr>
              <w:spacing w:after="0"/>
              <w:ind w:firstLine="0"/>
              <w:jc w:val="right"/>
              <w:rPr>
                <w:b/>
                <w:bCs/>
                <w:sz w:val="20"/>
                <w:lang w:eastAsia="lv-LV"/>
              </w:rPr>
            </w:pPr>
            <w:r>
              <w:rPr>
                <w:b/>
                <w:bCs/>
                <w:sz w:val="20"/>
                <w:lang w:eastAsia="lv-LV"/>
              </w:rPr>
              <w:t>1.0</w:t>
            </w:r>
            <w:r w:rsidR="00740E24" w:rsidRPr="00740E24">
              <w:rPr>
                <w:b/>
                <w:bCs/>
                <w:sz w:val="20"/>
                <w:lang w:eastAsia="lv-LV"/>
              </w:rPr>
              <w:t>%</w:t>
            </w:r>
          </w:p>
        </w:tc>
        <w:tc>
          <w:tcPr>
            <w:tcW w:w="851" w:type="dxa"/>
            <w:shd w:val="clear" w:color="auto" w:fill="auto"/>
            <w:noWrap/>
            <w:vAlign w:val="center"/>
            <w:hideMark/>
          </w:tcPr>
          <w:p w14:paraId="06FEFC20" w14:textId="77777777" w:rsidR="00740E24" w:rsidRPr="00740E24" w:rsidRDefault="00166AE2" w:rsidP="00740E24">
            <w:pPr>
              <w:spacing w:after="0"/>
              <w:ind w:firstLine="0"/>
              <w:jc w:val="right"/>
              <w:rPr>
                <w:b/>
                <w:bCs/>
                <w:sz w:val="20"/>
                <w:lang w:eastAsia="lv-LV"/>
              </w:rPr>
            </w:pPr>
            <w:r>
              <w:rPr>
                <w:b/>
                <w:bCs/>
                <w:sz w:val="20"/>
                <w:lang w:eastAsia="lv-LV"/>
              </w:rPr>
              <w:t>5.0</w:t>
            </w:r>
            <w:r w:rsidR="00740E24" w:rsidRPr="00740E24">
              <w:rPr>
                <w:b/>
                <w:bCs/>
                <w:sz w:val="20"/>
                <w:lang w:eastAsia="lv-LV"/>
              </w:rPr>
              <w:t>%</w:t>
            </w:r>
          </w:p>
        </w:tc>
        <w:tc>
          <w:tcPr>
            <w:tcW w:w="850" w:type="dxa"/>
            <w:shd w:val="clear" w:color="auto" w:fill="auto"/>
            <w:noWrap/>
            <w:vAlign w:val="center"/>
            <w:hideMark/>
          </w:tcPr>
          <w:p w14:paraId="7F1B003C" w14:textId="77777777" w:rsidR="00740E24" w:rsidRPr="00740E24" w:rsidRDefault="00740E24" w:rsidP="00740E24">
            <w:pPr>
              <w:spacing w:after="0"/>
              <w:ind w:firstLine="0"/>
              <w:jc w:val="right"/>
              <w:rPr>
                <w:b/>
                <w:bCs/>
                <w:sz w:val="20"/>
                <w:lang w:eastAsia="lv-LV"/>
              </w:rPr>
            </w:pPr>
            <w:r w:rsidRPr="00740E24">
              <w:rPr>
                <w:b/>
                <w:bCs/>
                <w:sz w:val="20"/>
                <w:lang w:eastAsia="lv-LV"/>
              </w:rPr>
              <w:t>-1.8%</w:t>
            </w:r>
          </w:p>
        </w:tc>
        <w:tc>
          <w:tcPr>
            <w:tcW w:w="851" w:type="dxa"/>
            <w:shd w:val="clear" w:color="auto" w:fill="auto"/>
            <w:noWrap/>
            <w:vAlign w:val="center"/>
            <w:hideMark/>
          </w:tcPr>
          <w:p w14:paraId="49E4E8DE" w14:textId="77777777" w:rsidR="00740E24" w:rsidRPr="00740E24" w:rsidRDefault="00740E24" w:rsidP="00740E24">
            <w:pPr>
              <w:spacing w:after="0"/>
              <w:ind w:firstLine="0"/>
              <w:jc w:val="right"/>
              <w:rPr>
                <w:b/>
                <w:bCs/>
                <w:sz w:val="20"/>
                <w:lang w:eastAsia="lv-LV"/>
              </w:rPr>
            </w:pPr>
            <w:r w:rsidRPr="00740E24">
              <w:rPr>
                <w:b/>
                <w:bCs/>
                <w:sz w:val="20"/>
                <w:lang w:eastAsia="lv-LV"/>
              </w:rPr>
              <w:t>-3.1%</w:t>
            </w:r>
          </w:p>
        </w:tc>
        <w:tc>
          <w:tcPr>
            <w:tcW w:w="850" w:type="dxa"/>
            <w:shd w:val="clear" w:color="auto" w:fill="auto"/>
            <w:noWrap/>
            <w:vAlign w:val="center"/>
            <w:hideMark/>
          </w:tcPr>
          <w:p w14:paraId="6DC67C37" w14:textId="77777777" w:rsidR="00740E24" w:rsidRPr="00740E24" w:rsidRDefault="00400CF5" w:rsidP="00740E24">
            <w:pPr>
              <w:spacing w:after="0"/>
              <w:ind w:firstLine="0"/>
              <w:jc w:val="right"/>
              <w:rPr>
                <w:b/>
                <w:bCs/>
                <w:sz w:val="20"/>
                <w:lang w:eastAsia="lv-LV"/>
              </w:rPr>
            </w:pPr>
            <w:r>
              <w:rPr>
                <w:b/>
                <w:bCs/>
                <w:sz w:val="20"/>
                <w:lang w:eastAsia="lv-LV"/>
              </w:rPr>
              <w:t>-</w:t>
            </w:r>
            <w:r w:rsidR="00166AE2">
              <w:rPr>
                <w:b/>
                <w:bCs/>
                <w:sz w:val="20"/>
                <w:lang w:eastAsia="lv-LV"/>
              </w:rPr>
              <w:t>0.6</w:t>
            </w:r>
            <w:r w:rsidR="00740E24" w:rsidRPr="00740E24">
              <w:rPr>
                <w:b/>
                <w:bCs/>
                <w:sz w:val="20"/>
                <w:lang w:eastAsia="lv-LV"/>
              </w:rPr>
              <w:t>%</w:t>
            </w:r>
          </w:p>
        </w:tc>
      </w:tr>
      <w:tr w:rsidR="00740E24" w:rsidRPr="00740E24" w14:paraId="4909F9BC" w14:textId="77777777" w:rsidTr="003F4DE5">
        <w:trPr>
          <w:trHeight w:val="510"/>
        </w:trPr>
        <w:tc>
          <w:tcPr>
            <w:tcW w:w="3984" w:type="dxa"/>
            <w:shd w:val="clear" w:color="auto" w:fill="auto"/>
            <w:vAlign w:val="center"/>
            <w:hideMark/>
          </w:tcPr>
          <w:p w14:paraId="544C424F" w14:textId="77777777" w:rsidR="00740E24" w:rsidRPr="00740E24" w:rsidRDefault="00740E24" w:rsidP="00740E24">
            <w:pPr>
              <w:spacing w:after="0"/>
              <w:ind w:firstLineChars="200" w:firstLine="400"/>
              <w:jc w:val="left"/>
              <w:rPr>
                <w:sz w:val="20"/>
                <w:lang w:eastAsia="lv-LV"/>
              </w:rPr>
            </w:pPr>
            <w:r w:rsidRPr="00740E24">
              <w:rPr>
                <w:sz w:val="20"/>
                <w:lang w:eastAsia="lv-LV"/>
              </w:rPr>
              <w:t>- Starpības starp plūsmu un uzkrājumiem (</w:t>
            </w:r>
            <w:proofErr w:type="spellStart"/>
            <w:r w:rsidRPr="00740E24">
              <w:rPr>
                <w:sz w:val="20"/>
                <w:lang w:eastAsia="lv-LV"/>
              </w:rPr>
              <w:t>Differences</w:t>
            </w:r>
            <w:proofErr w:type="spellEnd"/>
            <w:r w:rsidRPr="00740E24">
              <w:rPr>
                <w:sz w:val="20"/>
                <w:lang w:eastAsia="lv-LV"/>
              </w:rPr>
              <w:t xml:space="preserve"> </w:t>
            </w:r>
            <w:proofErr w:type="spellStart"/>
            <w:r w:rsidRPr="00740E24">
              <w:rPr>
                <w:sz w:val="20"/>
                <w:lang w:eastAsia="lv-LV"/>
              </w:rPr>
              <w:t>between</w:t>
            </w:r>
            <w:proofErr w:type="spellEnd"/>
            <w:r w:rsidRPr="00740E24">
              <w:rPr>
                <w:sz w:val="20"/>
                <w:lang w:eastAsia="lv-LV"/>
              </w:rPr>
              <w:t xml:space="preserve"> </w:t>
            </w:r>
            <w:proofErr w:type="spellStart"/>
            <w:r w:rsidRPr="00740E24">
              <w:rPr>
                <w:sz w:val="20"/>
                <w:lang w:eastAsia="lv-LV"/>
              </w:rPr>
              <w:t>cash</w:t>
            </w:r>
            <w:proofErr w:type="spellEnd"/>
            <w:r w:rsidRPr="00740E24">
              <w:rPr>
                <w:sz w:val="20"/>
                <w:lang w:eastAsia="lv-LV"/>
              </w:rPr>
              <w:t xml:space="preserve"> </w:t>
            </w:r>
            <w:proofErr w:type="spellStart"/>
            <w:r w:rsidRPr="00740E24">
              <w:rPr>
                <w:sz w:val="20"/>
                <w:lang w:eastAsia="lv-LV"/>
              </w:rPr>
              <w:t>and</w:t>
            </w:r>
            <w:proofErr w:type="spellEnd"/>
            <w:r w:rsidRPr="00740E24">
              <w:rPr>
                <w:sz w:val="20"/>
                <w:lang w:eastAsia="lv-LV"/>
              </w:rPr>
              <w:t xml:space="preserve"> </w:t>
            </w:r>
            <w:proofErr w:type="spellStart"/>
            <w:r w:rsidRPr="00740E24">
              <w:rPr>
                <w:sz w:val="20"/>
                <w:lang w:eastAsia="lv-LV"/>
              </w:rPr>
              <w:t>accruals</w:t>
            </w:r>
            <w:proofErr w:type="spellEnd"/>
            <w:r w:rsidRPr="00740E24">
              <w:rPr>
                <w:sz w:val="20"/>
                <w:lang w:eastAsia="lv-LV"/>
              </w:rPr>
              <w:t>) *</w:t>
            </w:r>
          </w:p>
        </w:tc>
        <w:tc>
          <w:tcPr>
            <w:tcW w:w="851" w:type="dxa"/>
            <w:shd w:val="clear" w:color="auto" w:fill="auto"/>
            <w:vAlign w:val="center"/>
            <w:hideMark/>
          </w:tcPr>
          <w:p w14:paraId="0C98BEEC"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5AE11EA0" w14:textId="77777777" w:rsidR="00740E24" w:rsidRPr="00740E24" w:rsidRDefault="00166AE2" w:rsidP="00740E24">
            <w:pPr>
              <w:spacing w:after="0"/>
              <w:ind w:firstLine="0"/>
              <w:jc w:val="right"/>
              <w:rPr>
                <w:sz w:val="20"/>
                <w:lang w:eastAsia="lv-LV"/>
              </w:rPr>
            </w:pPr>
            <w:r>
              <w:rPr>
                <w:sz w:val="20"/>
                <w:lang w:eastAsia="lv-LV"/>
              </w:rPr>
              <w:t>-0.1</w:t>
            </w:r>
            <w:r w:rsidR="00740E24" w:rsidRPr="00740E24">
              <w:rPr>
                <w:sz w:val="20"/>
                <w:lang w:eastAsia="lv-LV"/>
              </w:rPr>
              <w:t>%</w:t>
            </w:r>
          </w:p>
        </w:tc>
        <w:tc>
          <w:tcPr>
            <w:tcW w:w="851" w:type="dxa"/>
            <w:shd w:val="clear" w:color="auto" w:fill="auto"/>
            <w:noWrap/>
            <w:vAlign w:val="center"/>
            <w:hideMark/>
          </w:tcPr>
          <w:p w14:paraId="0960D77D"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0" w:type="dxa"/>
            <w:shd w:val="clear" w:color="auto" w:fill="auto"/>
            <w:noWrap/>
            <w:vAlign w:val="center"/>
            <w:hideMark/>
          </w:tcPr>
          <w:p w14:paraId="63379772"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1" w:type="dxa"/>
            <w:shd w:val="clear" w:color="auto" w:fill="auto"/>
            <w:noWrap/>
            <w:vAlign w:val="center"/>
            <w:hideMark/>
          </w:tcPr>
          <w:p w14:paraId="66B9E3BA"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0" w:type="dxa"/>
            <w:shd w:val="clear" w:color="auto" w:fill="auto"/>
            <w:noWrap/>
            <w:vAlign w:val="center"/>
            <w:hideMark/>
          </w:tcPr>
          <w:p w14:paraId="04624551" w14:textId="77777777" w:rsidR="00740E24" w:rsidRPr="00740E24" w:rsidRDefault="00740E24" w:rsidP="00740E24">
            <w:pPr>
              <w:spacing w:after="0"/>
              <w:ind w:firstLine="0"/>
              <w:jc w:val="right"/>
              <w:rPr>
                <w:sz w:val="20"/>
                <w:lang w:eastAsia="lv-LV"/>
              </w:rPr>
            </w:pPr>
            <w:r w:rsidRPr="00740E24">
              <w:rPr>
                <w:sz w:val="20"/>
                <w:lang w:eastAsia="lv-LV"/>
              </w:rPr>
              <w:t> </w:t>
            </w:r>
          </w:p>
        </w:tc>
      </w:tr>
      <w:tr w:rsidR="00740E24" w:rsidRPr="00740E24" w14:paraId="779D2895" w14:textId="77777777" w:rsidTr="003F4DE5">
        <w:trPr>
          <w:trHeight w:val="510"/>
        </w:trPr>
        <w:tc>
          <w:tcPr>
            <w:tcW w:w="3984" w:type="dxa"/>
            <w:shd w:val="clear" w:color="auto" w:fill="auto"/>
            <w:vAlign w:val="center"/>
            <w:hideMark/>
          </w:tcPr>
          <w:p w14:paraId="1EBE7BD0" w14:textId="77777777" w:rsidR="00740E24" w:rsidRPr="00740E24" w:rsidRDefault="00740E24" w:rsidP="00740E24">
            <w:pPr>
              <w:spacing w:after="0"/>
              <w:ind w:firstLineChars="200" w:firstLine="400"/>
              <w:jc w:val="left"/>
              <w:rPr>
                <w:sz w:val="20"/>
                <w:lang w:eastAsia="lv-LV"/>
              </w:rPr>
            </w:pPr>
            <w:r w:rsidRPr="00740E24">
              <w:rPr>
                <w:sz w:val="20"/>
                <w:lang w:eastAsia="lv-LV"/>
              </w:rPr>
              <w:t>- Finanšu aktīvu neto uzkrājums (</w:t>
            </w:r>
            <w:proofErr w:type="spellStart"/>
            <w:r w:rsidRPr="00740E24">
              <w:rPr>
                <w:sz w:val="20"/>
                <w:lang w:eastAsia="lv-LV"/>
              </w:rPr>
              <w:t>Net</w:t>
            </w:r>
            <w:proofErr w:type="spellEnd"/>
            <w:r w:rsidRPr="00740E24">
              <w:rPr>
                <w:sz w:val="20"/>
                <w:lang w:eastAsia="lv-LV"/>
              </w:rPr>
              <w:t xml:space="preserve"> </w:t>
            </w:r>
            <w:proofErr w:type="spellStart"/>
            <w:r w:rsidRPr="00740E24">
              <w:rPr>
                <w:sz w:val="20"/>
                <w:lang w:eastAsia="lv-LV"/>
              </w:rPr>
              <w:t>accumulation</w:t>
            </w:r>
            <w:proofErr w:type="spellEnd"/>
            <w:r w:rsidRPr="00740E24">
              <w:rPr>
                <w:sz w:val="20"/>
                <w:lang w:eastAsia="lv-LV"/>
              </w:rPr>
              <w:t xml:space="preserve"> </w:t>
            </w:r>
            <w:proofErr w:type="spellStart"/>
            <w:r w:rsidRPr="00740E24">
              <w:rPr>
                <w:sz w:val="20"/>
                <w:lang w:eastAsia="lv-LV"/>
              </w:rPr>
              <w:t>of</w:t>
            </w:r>
            <w:proofErr w:type="spellEnd"/>
            <w:r w:rsidRPr="00740E24">
              <w:rPr>
                <w:sz w:val="20"/>
                <w:lang w:eastAsia="lv-LV"/>
              </w:rPr>
              <w:t xml:space="preserve"> </w:t>
            </w:r>
            <w:proofErr w:type="spellStart"/>
            <w:r w:rsidRPr="00740E24">
              <w:rPr>
                <w:sz w:val="20"/>
                <w:lang w:eastAsia="lv-LV"/>
              </w:rPr>
              <w:t>financial</w:t>
            </w:r>
            <w:proofErr w:type="spellEnd"/>
            <w:r w:rsidRPr="00740E24">
              <w:rPr>
                <w:sz w:val="20"/>
                <w:lang w:eastAsia="lv-LV"/>
              </w:rPr>
              <w:t xml:space="preserve"> </w:t>
            </w:r>
            <w:proofErr w:type="spellStart"/>
            <w:r w:rsidRPr="00740E24">
              <w:rPr>
                <w:sz w:val="20"/>
                <w:lang w:eastAsia="lv-LV"/>
              </w:rPr>
              <w:t>assets</w:t>
            </w:r>
            <w:proofErr w:type="spellEnd"/>
            <w:r w:rsidRPr="00740E24">
              <w:rPr>
                <w:sz w:val="20"/>
                <w:lang w:eastAsia="lv-LV"/>
              </w:rPr>
              <w:t>), **</w:t>
            </w:r>
          </w:p>
        </w:tc>
        <w:tc>
          <w:tcPr>
            <w:tcW w:w="851" w:type="dxa"/>
            <w:shd w:val="clear" w:color="auto" w:fill="auto"/>
            <w:vAlign w:val="center"/>
            <w:hideMark/>
          </w:tcPr>
          <w:p w14:paraId="0CA09E3A"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08E2CB60" w14:textId="77777777" w:rsidR="00740E24" w:rsidRPr="00740E24" w:rsidRDefault="00740E24" w:rsidP="00740E24">
            <w:pPr>
              <w:spacing w:after="0"/>
              <w:ind w:firstLine="0"/>
              <w:jc w:val="right"/>
              <w:rPr>
                <w:sz w:val="20"/>
                <w:lang w:eastAsia="lv-LV"/>
              </w:rPr>
            </w:pPr>
            <w:r w:rsidRPr="00740E24">
              <w:rPr>
                <w:sz w:val="20"/>
                <w:lang w:eastAsia="lv-LV"/>
              </w:rPr>
              <w:t>0.7%</w:t>
            </w:r>
          </w:p>
        </w:tc>
        <w:tc>
          <w:tcPr>
            <w:tcW w:w="851" w:type="dxa"/>
            <w:shd w:val="clear" w:color="auto" w:fill="auto"/>
            <w:noWrap/>
            <w:vAlign w:val="center"/>
            <w:hideMark/>
          </w:tcPr>
          <w:p w14:paraId="7FA0CD1B"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0" w:type="dxa"/>
            <w:shd w:val="clear" w:color="auto" w:fill="auto"/>
            <w:noWrap/>
            <w:vAlign w:val="center"/>
            <w:hideMark/>
          </w:tcPr>
          <w:p w14:paraId="56E97D98"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1" w:type="dxa"/>
            <w:shd w:val="clear" w:color="auto" w:fill="auto"/>
            <w:noWrap/>
            <w:vAlign w:val="center"/>
            <w:hideMark/>
          </w:tcPr>
          <w:p w14:paraId="56840290"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0" w:type="dxa"/>
            <w:shd w:val="clear" w:color="auto" w:fill="auto"/>
            <w:noWrap/>
            <w:vAlign w:val="center"/>
            <w:hideMark/>
          </w:tcPr>
          <w:p w14:paraId="2163400E" w14:textId="77777777" w:rsidR="00740E24" w:rsidRPr="00740E24" w:rsidRDefault="00740E24" w:rsidP="00740E24">
            <w:pPr>
              <w:spacing w:after="0"/>
              <w:ind w:firstLine="0"/>
              <w:jc w:val="right"/>
              <w:rPr>
                <w:sz w:val="20"/>
                <w:lang w:eastAsia="lv-LV"/>
              </w:rPr>
            </w:pPr>
            <w:r w:rsidRPr="00740E24">
              <w:rPr>
                <w:sz w:val="20"/>
                <w:lang w:eastAsia="lv-LV"/>
              </w:rPr>
              <w:t> </w:t>
            </w:r>
          </w:p>
        </w:tc>
      </w:tr>
      <w:tr w:rsidR="00740E24" w:rsidRPr="00740E24" w14:paraId="1F2A5E54" w14:textId="77777777" w:rsidTr="003F4DE5">
        <w:trPr>
          <w:trHeight w:val="690"/>
        </w:trPr>
        <w:tc>
          <w:tcPr>
            <w:tcW w:w="3984" w:type="dxa"/>
            <w:shd w:val="clear" w:color="auto" w:fill="auto"/>
            <w:vAlign w:val="center"/>
            <w:hideMark/>
          </w:tcPr>
          <w:p w14:paraId="632AD19D" w14:textId="77777777" w:rsidR="00740E24" w:rsidRPr="00740E24" w:rsidRDefault="00740E24" w:rsidP="00740E24">
            <w:pPr>
              <w:spacing w:after="0"/>
              <w:ind w:firstLine="0"/>
              <w:jc w:val="right"/>
              <w:rPr>
                <w:sz w:val="20"/>
                <w:lang w:eastAsia="lv-LV"/>
              </w:rPr>
            </w:pPr>
            <w:r w:rsidRPr="00740E24">
              <w:rPr>
                <w:sz w:val="20"/>
                <w:lang w:eastAsia="lv-LV"/>
              </w:rPr>
              <w:t xml:space="preserve">   t.sk. privatizācijas ieņēmumi (</w:t>
            </w:r>
            <w:proofErr w:type="spellStart"/>
            <w:r w:rsidRPr="00740E24">
              <w:rPr>
                <w:sz w:val="20"/>
                <w:lang w:eastAsia="lv-LV"/>
              </w:rPr>
              <w:t>privatisation</w:t>
            </w:r>
            <w:proofErr w:type="spellEnd"/>
            <w:r w:rsidRPr="00740E24">
              <w:rPr>
                <w:sz w:val="20"/>
                <w:lang w:eastAsia="lv-LV"/>
              </w:rPr>
              <w:t xml:space="preserve"> </w:t>
            </w:r>
            <w:proofErr w:type="spellStart"/>
            <w:r w:rsidRPr="00740E24">
              <w:rPr>
                <w:sz w:val="20"/>
                <w:lang w:eastAsia="lv-LV"/>
              </w:rPr>
              <w:t>proceeds</w:t>
            </w:r>
            <w:proofErr w:type="spellEnd"/>
            <w:r w:rsidRPr="00740E24">
              <w:rPr>
                <w:sz w:val="20"/>
                <w:lang w:eastAsia="lv-LV"/>
              </w:rPr>
              <w:t>)</w:t>
            </w:r>
          </w:p>
        </w:tc>
        <w:tc>
          <w:tcPr>
            <w:tcW w:w="851" w:type="dxa"/>
            <w:shd w:val="clear" w:color="auto" w:fill="auto"/>
            <w:vAlign w:val="center"/>
            <w:hideMark/>
          </w:tcPr>
          <w:p w14:paraId="7CB86D0A" w14:textId="77777777" w:rsidR="00740E24" w:rsidRPr="00740E24" w:rsidRDefault="00740E24" w:rsidP="00740E24">
            <w:pPr>
              <w:spacing w:after="0"/>
              <w:ind w:firstLine="0"/>
              <w:jc w:val="left"/>
              <w:rPr>
                <w:i/>
                <w:iCs/>
                <w:sz w:val="20"/>
                <w:lang w:eastAsia="lv-LV"/>
              </w:rPr>
            </w:pPr>
            <w:r w:rsidRPr="00740E24">
              <w:rPr>
                <w:i/>
                <w:iCs/>
                <w:sz w:val="20"/>
                <w:lang w:eastAsia="lv-LV"/>
              </w:rPr>
              <w:t> </w:t>
            </w:r>
          </w:p>
        </w:tc>
        <w:tc>
          <w:tcPr>
            <w:tcW w:w="899" w:type="dxa"/>
            <w:shd w:val="clear" w:color="auto" w:fill="auto"/>
            <w:noWrap/>
            <w:vAlign w:val="center"/>
            <w:hideMark/>
          </w:tcPr>
          <w:p w14:paraId="4A3C263F" w14:textId="77777777" w:rsidR="00740E24" w:rsidRPr="00740E24" w:rsidRDefault="00740E24" w:rsidP="00740E24">
            <w:pPr>
              <w:spacing w:after="0"/>
              <w:ind w:firstLine="0"/>
              <w:jc w:val="right"/>
              <w:rPr>
                <w:i/>
                <w:iCs/>
                <w:sz w:val="20"/>
                <w:lang w:eastAsia="lv-LV"/>
              </w:rPr>
            </w:pPr>
            <w:r w:rsidRPr="00740E24">
              <w:rPr>
                <w:i/>
                <w:iCs/>
                <w:sz w:val="20"/>
                <w:lang w:eastAsia="lv-LV"/>
              </w:rPr>
              <w:t>0.1%</w:t>
            </w:r>
          </w:p>
        </w:tc>
        <w:tc>
          <w:tcPr>
            <w:tcW w:w="851" w:type="dxa"/>
            <w:shd w:val="clear" w:color="auto" w:fill="auto"/>
            <w:noWrap/>
            <w:vAlign w:val="center"/>
            <w:hideMark/>
          </w:tcPr>
          <w:p w14:paraId="0094246B" w14:textId="77777777" w:rsidR="00740E24" w:rsidRPr="00740E24" w:rsidRDefault="00740E24" w:rsidP="00740E24">
            <w:pPr>
              <w:spacing w:after="0"/>
              <w:ind w:firstLine="0"/>
              <w:jc w:val="right"/>
              <w:rPr>
                <w:i/>
                <w:iCs/>
                <w:sz w:val="20"/>
                <w:lang w:eastAsia="lv-LV"/>
              </w:rPr>
            </w:pPr>
            <w:r w:rsidRPr="00740E24">
              <w:rPr>
                <w:i/>
                <w:iCs/>
                <w:sz w:val="20"/>
                <w:lang w:eastAsia="lv-LV"/>
              </w:rPr>
              <w:t> </w:t>
            </w:r>
          </w:p>
        </w:tc>
        <w:tc>
          <w:tcPr>
            <w:tcW w:w="850" w:type="dxa"/>
            <w:shd w:val="clear" w:color="auto" w:fill="auto"/>
            <w:noWrap/>
            <w:vAlign w:val="center"/>
            <w:hideMark/>
          </w:tcPr>
          <w:p w14:paraId="4E45D511" w14:textId="77777777" w:rsidR="00740E24" w:rsidRPr="00740E24" w:rsidRDefault="00740E24" w:rsidP="00740E24">
            <w:pPr>
              <w:spacing w:after="0"/>
              <w:ind w:firstLine="0"/>
              <w:jc w:val="right"/>
              <w:rPr>
                <w:i/>
                <w:iCs/>
                <w:sz w:val="20"/>
                <w:lang w:eastAsia="lv-LV"/>
              </w:rPr>
            </w:pPr>
            <w:r w:rsidRPr="00740E24">
              <w:rPr>
                <w:i/>
                <w:iCs/>
                <w:sz w:val="20"/>
                <w:lang w:eastAsia="lv-LV"/>
              </w:rPr>
              <w:t> </w:t>
            </w:r>
          </w:p>
        </w:tc>
        <w:tc>
          <w:tcPr>
            <w:tcW w:w="851" w:type="dxa"/>
            <w:shd w:val="clear" w:color="auto" w:fill="auto"/>
            <w:noWrap/>
            <w:vAlign w:val="center"/>
            <w:hideMark/>
          </w:tcPr>
          <w:p w14:paraId="680BCFDB" w14:textId="77777777" w:rsidR="00740E24" w:rsidRPr="00740E24" w:rsidRDefault="00740E24" w:rsidP="00740E24">
            <w:pPr>
              <w:spacing w:after="0"/>
              <w:ind w:firstLine="0"/>
              <w:jc w:val="right"/>
              <w:rPr>
                <w:i/>
                <w:iCs/>
                <w:sz w:val="20"/>
                <w:lang w:eastAsia="lv-LV"/>
              </w:rPr>
            </w:pPr>
            <w:r w:rsidRPr="00740E24">
              <w:rPr>
                <w:i/>
                <w:iCs/>
                <w:sz w:val="20"/>
                <w:lang w:eastAsia="lv-LV"/>
              </w:rPr>
              <w:t> </w:t>
            </w:r>
          </w:p>
        </w:tc>
        <w:tc>
          <w:tcPr>
            <w:tcW w:w="850" w:type="dxa"/>
            <w:shd w:val="clear" w:color="auto" w:fill="auto"/>
            <w:noWrap/>
            <w:vAlign w:val="center"/>
            <w:hideMark/>
          </w:tcPr>
          <w:p w14:paraId="2831F255" w14:textId="77777777" w:rsidR="00740E24" w:rsidRPr="00740E24" w:rsidRDefault="00740E24" w:rsidP="00740E24">
            <w:pPr>
              <w:spacing w:after="0"/>
              <w:ind w:firstLine="0"/>
              <w:jc w:val="right"/>
              <w:rPr>
                <w:i/>
                <w:iCs/>
                <w:sz w:val="20"/>
                <w:lang w:eastAsia="lv-LV"/>
              </w:rPr>
            </w:pPr>
            <w:r w:rsidRPr="00740E24">
              <w:rPr>
                <w:i/>
                <w:iCs/>
                <w:sz w:val="20"/>
                <w:lang w:eastAsia="lv-LV"/>
              </w:rPr>
              <w:t> </w:t>
            </w:r>
          </w:p>
        </w:tc>
      </w:tr>
      <w:tr w:rsidR="00740E24" w:rsidRPr="00740E24" w14:paraId="2C0F5CD5" w14:textId="77777777" w:rsidTr="003F4DE5">
        <w:trPr>
          <w:trHeight w:val="510"/>
        </w:trPr>
        <w:tc>
          <w:tcPr>
            <w:tcW w:w="3984" w:type="dxa"/>
            <w:shd w:val="clear" w:color="auto" w:fill="auto"/>
            <w:vAlign w:val="center"/>
            <w:hideMark/>
          </w:tcPr>
          <w:p w14:paraId="37717FE1" w14:textId="77777777" w:rsidR="00740E24" w:rsidRPr="00740E24" w:rsidRDefault="00740E24" w:rsidP="00740E24">
            <w:pPr>
              <w:spacing w:after="0"/>
              <w:ind w:firstLineChars="200" w:firstLine="400"/>
              <w:jc w:val="left"/>
              <w:rPr>
                <w:sz w:val="20"/>
                <w:lang w:eastAsia="lv-LV"/>
              </w:rPr>
            </w:pPr>
            <w:r w:rsidRPr="00740E24">
              <w:rPr>
                <w:sz w:val="20"/>
                <w:lang w:eastAsia="lv-LV"/>
              </w:rPr>
              <w:t>- Pārvērtēšanas efekti un citi (</w:t>
            </w:r>
            <w:proofErr w:type="spellStart"/>
            <w:r w:rsidRPr="00740E24">
              <w:rPr>
                <w:sz w:val="20"/>
                <w:lang w:eastAsia="lv-LV"/>
              </w:rPr>
              <w:t>Valuation</w:t>
            </w:r>
            <w:proofErr w:type="spellEnd"/>
            <w:r w:rsidRPr="00740E24">
              <w:rPr>
                <w:sz w:val="20"/>
                <w:lang w:eastAsia="lv-LV"/>
              </w:rPr>
              <w:t xml:space="preserve"> </w:t>
            </w:r>
            <w:proofErr w:type="spellStart"/>
            <w:r w:rsidRPr="00740E24">
              <w:rPr>
                <w:sz w:val="20"/>
                <w:lang w:eastAsia="lv-LV"/>
              </w:rPr>
              <w:t>effects</w:t>
            </w:r>
            <w:proofErr w:type="spellEnd"/>
            <w:r w:rsidRPr="00740E24">
              <w:rPr>
                <w:sz w:val="20"/>
                <w:lang w:eastAsia="lv-LV"/>
              </w:rPr>
              <w:t xml:space="preserve"> </w:t>
            </w:r>
            <w:proofErr w:type="spellStart"/>
            <w:r w:rsidRPr="00740E24">
              <w:rPr>
                <w:sz w:val="20"/>
                <w:lang w:eastAsia="lv-LV"/>
              </w:rPr>
              <w:t>and</w:t>
            </w:r>
            <w:proofErr w:type="spellEnd"/>
            <w:r w:rsidRPr="00740E24">
              <w:rPr>
                <w:sz w:val="20"/>
                <w:lang w:eastAsia="lv-LV"/>
              </w:rPr>
              <w:t xml:space="preserve"> </w:t>
            </w:r>
            <w:proofErr w:type="spellStart"/>
            <w:r w:rsidRPr="00740E24">
              <w:rPr>
                <w:sz w:val="20"/>
                <w:lang w:eastAsia="lv-LV"/>
              </w:rPr>
              <w:t>other</w:t>
            </w:r>
            <w:proofErr w:type="spellEnd"/>
            <w:r w:rsidRPr="00740E24">
              <w:rPr>
                <w:sz w:val="20"/>
                <w:lang w:eastAsia="lv-LV"/>
              </w:rPr>
              <w:t>) ***</w:t>
            </w:r>
          </w:p>
        </w:tc>
        <w:tc>
          <w:tcPr>
            <w:tcW w:w="851" w:type="dxa"/>
            <w:shd w:val="clear" w:color="auto" w:fill="auto"/>
            <w:noWrap/>
            <w:vAlign w:val="center"/>
            <w:hideMark/>
          </w:tcPr>
          <w:p w14:paraId="18439988"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7465B21F" w14:textId="77777777" w:rsidR="00740E24" w:rsidRPr="00740E24" w:rsidRDefault="00166AE2" w:rsidP="00740E24">
            <w:pPr>
              <w:spacing w:after="0"/>
              <w:ind w:firstLine="0"/>
              <w:jc w:val="right"/>
              <w:rPr>
                <w:sz w:val="20"/>
                <w:lang w:eastAsia="lv-LV"/>
              </w:rPr>
            </w:pPr>
            <w:r>
              <w:rPr>
                <w:sz w:val="20"/>
                <w:lang w:eastAsia="lv-LV"/>
              </w:rPr>
              <w:t>0.4</w:t>
            </w:r>
            <w:r w:rsidR="00740E24" w:rsidRPr="00740E24">
              <w:rPr>
                <w:sz w:val="20"/>
                <w:lang w:eastAsia="lv-LV"/>
              </w:rPr>
              <w:t>%</w:t>
            </w:r>
          </w:p>
        </w:tc>
        <w:tc>
          <w:tcPr>
            <w:tcW w:w="851" w:type="dxa"/>
            <w:shd w:val="clear" w:color="auto" w:fill="auto"/>
            <w:noWrap/>
            <w:vAlign w:val="center"/>
            <w:hideMark/>
          </w:tcPr>
          <w:p w14:paraId="7C6F468B"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0" w:type="dxa"/>
            <w:shd w:val="clear" w:color="auto" w:fill="auto"/>
            <w:noWrap/>
            <w:vAlign w:val="center"/>
            <w:hideMark/>
          </w:tcPr>
          <w:p w14:paraId="53F2494B"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1" w:type="dxa"/>
            <w:shd w:val="clear" w:color="auto" w:fill="auto"/>
            <w:noWrap/>
            <w:vAlign w:val="center"/>
            <w:hideMark/>
          </w:tcPr>
          <w:p w14:paraId="10F29366" w14:textId="77777777" w:rsidR="00740E24" w:rsidRPr="00740E24" w:rsidRDefault="00740E24" w:rsidP="00740E24">
            <w:pPr>
              <w:spacing w:after="0"/>
              <w:ind w:firstLine="0"/>
              <w:jc w:val="right"/>
              <w:rPr>
                <w:sz w:val="20"/>
                <w:lang w:eastAsia="lv-LV"/>
              </w:rPr>
            </w:pPr>
            <w:r w:rsidRPr="00740E24">
              <w:rPr>
                <w:sz w:val="20"/>
                <w:lang w:eastAsia="lv-LV"/>
              </w:rPr>
              <w:t> </w:t>
            </w:r>
          </w:p>
        </w:tc>
        <w:tc>
          <w:tcPr>
            <w:tcW w:w="850" w:type="dxa"/>
            <w:shd w:val="clear" w:color="auto" w:fill="auto"/>
            <w:noWrap/>
            <w:vAlign w:val="center"/>
            <w:hideMark/>
          </w:tcPr>
          <w:p w14:paraId="450D58AA" w14:textId="77777777" w:rsidR="00740E24" w:rsidRPr="00740E24" w:rsidRDefault="00740E24" w:rsidP="00740E24">
            <w:pPr>
              <w:spacing w:after="0"/>
              <w:ind w:firstLine="0"/>
              <w:jc w:val="right"/>
              <w:rPr>
                <w:sz w:val="20"/>
                <w:lang w:eastAsia="lv-LV"/>
              </w:rPr>
            </w:pPr>
            <w:r w:rsidRPr="00740E24">
              <w:rPr>
                <w:sz w:val="20"/>
                <w:lang w:eastAsia="lv-LV"/>
              </w:rPr>
              <w:t> </w:t>
            </w:r>
          </w:p>
        </w:tc>
      </w:tr>
      <w:tr w:rsidR="00740E24" w:rsidRPr="00740E24" w14:paraId="3E19DD26" w14:textId="77777777" w:rsidTr="003F4DE5">
        <w:trPr>
          <w:trHeight w:val="300"/>
        </w:trPr>
        <w:tc>
          <w:tcPr>
            <w:tcW w:w="3984" w:type="dxa"/>
            <w:shd w:val="clear" w:color="auto" w:fill="auto"/>
            <w:vAlign w:val="center"/>
            <w:hideMark/>
          </w:tcPr>
          <w:p w14:paraId="64692082" w14:textId="77777777" w:rsidR="00740E24" w:rsidRPr="00740E24" w:rsidRDefault="00740E24" w:rsidP="00740E24">
            <w:pPr>
              <w:spacing w:after="0"/>
              <w:ind w:firstLine="0"/>
              <w:jc w:val="left"/>
              <w:rPr>
                <w:b/>
                <w:bCs/>
                <w:sz w:val="20"/>
                <w:lang w:eastAsia="lv-LV"/>
              </w:rPr>
            </w:pPr>
            <w:r w:rsidRPr="00740E24">
              <w:rPr>
                <w:b/>
                <w:bCs/>
                <w:sz w:val="20"/>
                <w:lang w:eastAsia="lv-LV"/>
              </w:rPr>
              <w:t>Valsts parāda netiešā procentu likme</w:t>
            </w:r>
          </w:p>
        </w:tc>
        <w:tc>
          <w:tcPr>
            <w:tcW w:w="851" w:type="dxa"/>
            <w:shd w:val="clear" w:color="auto" w:fill="auto"/>
            <w:noWrap/>
            <w:vAlign w:val="center"/>
            <w:hideMark/>
          </w:tcPr>
          <w:p w14:paraId="3010FFDB" w14:textId="77777777" w:rsidR="00740E24" w:rsidRPr="00740E24" w:rsidRDefault="00740E24" w:rsidP="00740E24">
            <w:pPr>
              <w:spacing w:after="0"/>
              <w:ind w:firstLine="0"/>
              <w:jc w:val="left"/>
              <w:rPr>
                <w:b/>
                <w:bCs/>
                <w:sz w:val="20"/>
                <w:lang w:eastAsia="lv-LV"/>
              </w:rPr>
            </w:pPr>
            <w:r w:rsidRPr="00740E24">
              <w:rPr>
                <w:b/>
                <w:bCs/>
                <w:sz w:val="20"/>
                <w:lang w:eastAsia="lv-LV"/>
              </w:rPr>
              <w:t> </w:t>
            </w:r>
          </w:p>
        </w:tc>
        <w:tc>
          <w:tcPr>
            <w:tcW w:w="899" w:type="dxa"/>
            <w:shd w:val="clear" w:color="auto" w:fill="auto"/>
            <w:noWrap/>
            <w:vAlign w:val="center"/>
            <w:hideMark/>
          </w:tcPr>
          <w:p w14:paraId="17344C3A" w14:textId="77777777" w:rsidR="00740E24" w:rsidRPr="00740E24" w:rsidRDefault="00740E24" w:rsidP="00740E24">
            <w:pPr>
              <w:spacing w:after="0"/>
              <w:ind w:firstLine="0"/>
              <w:jc w:val="right"/>
              <w:rPr>
                <w:b/>
                <w:bCs/>
                <w:sz w:val="20"/>
                <w:lang w:eastAsia="lv-LV"/>
              </w:rPr>
            </w:pPr>
            <w:r w:rsidRPr="00740E24">
              <w:rPr>
                <w:b/>
                <w:bCs/>
                <w:sz w:val="20"/>
                <w:lang w:eastAsia="lv-LV"/>
              </w:rPr>
              <w:t>3.4%</w:t>
            </w:r>
          </w:p>
        </w:tc>
        <w:tc>
          <w:tcPr>
            <w:tcW w:w="851" w:type="dxa"/>
            <w:shd w:val="clear" w:color="auto" w:fill="auto"/>
            <w:noWrap/>
            <w:vAlign w:val="center"/>
            <w:hideMark/>
          </w:tcPr>
          <w:p w14:paraId="4C5D147A" w14:textId="77777777" w:rsidR="00740E24" w:rsidRPr="00740E24" w:rsidRDefault="00740E24" w:rsidP="00740E24">
            <w:pPr>
              <w:spacing w:after="0"/>
              <w:ind w:firstLine="0"/>
              <w:jc w:val="right"/>
              <w:rPr>
                <w:b/>
                <w:bCs/>
                <w:sz w:val="20"/>
                <w:lang w:eastAsia="lv-LV"/>
              </w:rPr>
            </w:pPr>
            <w:r w:rsidRPr="00740E24">
              <w:rPr>
                <w:b/>
                <w:bCs/>
                <w:sz w:val="20"/>
                <w:lang w:eastAsia="lv-LV"/>
              </w:rPr>
              <w:t>3.9%</w:t>
            </w:r>
          </w:p>
        </w:tc>
        <w:tc>
          <w:tcPr>
            <w:tcW w:w="850" w:type="dxa"/>
            <w:shd w:val="clear" w:color="auto" w:fill="auto"/>
            <w:noWrap/>
            <w:vAlign w:val="center"/>
            <w:hideMark/>
          </w:tcPr>
          <w:p w14:paraId="29E76A22" w14:textId="77777777" w:rsidR="00740E24" w:rsidRPr="00740E24" w:rsidRDefault="00740E24" w:rsidP="00740E24">
            <w:pPr>
              <w:spacing w:after="0"/>
              <w:ind w:firstLine="0"/>
              <w:jc w:val="right"/>
              <w:rPr>
                <w:b/>
                <w:bCs/>
                <w:sz w:val="20"/>
                <w:lang w:eastAsia="lv-LV"/>
              </w:rPr>
            </w:pPr>
            <w:r w:rsidRPr="00740E24">
              <w:rPr>
                <w:b/>
                <w:bCs/>
                <w:sz w:val="20"/>
                <w:lang w:eastAsia="lv-LV"/>
              </w:rPr>
              <w:t>3.9%</w:t>
            </w:r>
          </w:p>
        </w:tc>
        <w:tc>
          <w:tcPr>
            <w:tcW w:w="851" w:type="dxa"/>
            <w:shd w:val="clear" w:color="auto" w:fill="auto"/>
            <w:noWrap/>
            <w:vAlign w:val="center"/>
            <w:hideMark/>
          </w:tcPr>
          <w:p w14:paraId="2DDF5DB7" w14:textId="77777777" w:rsidR="00740E24" w:rsidRPr="00740E24" w:rsidRDefault="00740E24" w:rsidP="00740E24">
            <w:pPr>
              <w:spacing w:after="0"/>
              <w:ind w:firstLine="0"/>
              <w:jc w:val="right"/>
              <w:rPr>
                <w:b/>
                <w:bCs/>
                <w:sz w:val="20"/>
                <w:lang w:eastAsia="lv-LV"/>
              </w:rPr>
            </w:pPr>
            <w:r w:rsidRPr="00740E24">
              <w:rPr>
                <w:b/>
                <w:bCs/>
                <w:sz w:val="20"/>
                <w:lang w:eastAsia="lv-LV"/>
              </w:rPr>
              <w:t>3.9%</w:t>
            </w:r>
          </w:p>
        </w:tc>
        <w:tc>
          <w:tcPr>
            <w:tcW w:w="850" w:type="dxa"/>
            <w:shd w:val="clear" w:color="auto" w:fill="auto"/>
            <w:noWrap/>
            <w:vAlign w:val="center"/>
            <w:hideMark/>
          </w:tcPr>
          <w:p w14:paraId="6D1AF445" w14:textId="77777777" w:rsidR="00740E24" w:rsidRPr="00740E24" w:rsidRDefault="00740E24" w:rsidP="00740E24">
            <w:pPr>
              <w:spacing w:after="0"/>
              <w:ind w:firstLine="0"/>
              <w:jc w:val="right"/>
              <w:rPr>
                <w:b/>
                <w:bCs/>
                <w:sz w:val="20"/>
                <w:lang w:eastAsia="lv-LV"/>
              </w:rPr>
            </w:pPr>
            <w:r w:rsidRPr="00740E24">
              <w:rPr>
                <w:b/>
                <w:bCs/>
                <w:sz w:val="20"/>
                <w:lang w:eastAsia="lv-LV"/>
              </w:rPr>
              <w:t>4.2%</w:t>
            </w:r>
          </w:p>
        </w:tc>
      </w:tr>
      <w:tr w:rsidR="00740E24" w:rsidRPr="00740E24" w14:paraId="6DA85EDF" w14:textId="77777777" w:rsidTr="003F4DE5">
        <w:trPr>
          <w:trHeight w:val="255"/>
        </w:trPr>
        <w:tc>
          <w:tcPr>
            <w:tcW w:w="9136" w:type="dxa"/>
            <w:gridSpan w:val="7"/>
            <w:shd w:val="clear" w:color="auto" w:fill="auto"/>
            <w:vAlign w:val="center"/>
            <w:hideMark/>
          </w:tcPr>
          <w:p w14:paraId="0145CBCE" w14:textId="77777777" w:rsidR="00740E24" w:rsidRPr="00740E24" w:rsidRDefault="00740E24" w:rsidP="00740E24">
            <w:pPr>
              <w:spacing w:after="0"/>
              <w:ind w:firstLine="0"/>
              <w:jc w:val="center"/>
              <w:rPr>
                <w:b/>
                <w:bCs/>
                <w:sz w:val="20"/>
                <w:lang w:eastAsia="lv-LV"/>
              </w:rPr>
            </w:pPr>
            <w:r w:rsidRPr="00740E24">
              <w:rPr>
                <w:b/>
                <w:bCs/>
                <w:sz w:val="20"/>
                <w:lang w:eastAsia="lv-LV"/>
              </w:rPr>
              <w:t>Citi mainīgie (</w:t>
            </w:r>
            <w:proofErr w:type="spellStart"/>
            <w:r w:rsidRPr="00740E24">
              <w:rPr>
                <w:b/>
                <w:bCs/>
                <w:sz w:val="20"/>
                <w:lang w:eastAsia="lv-LV"/>
              </w:rPr>
              <w:t>Other</w:t>
            </w:r>
            <w:proofErr w:type="spellEnd"/>
            <w:r w:rsidRPr="00740E24">
              <w:rPr>
                <w:b/>
                <w:bCs/>
                <w:sz w:val="20"/>
                <w:lang w:eastAsia="lv-LV"/>
              </w:rPr>
              <w:t xml:space="preserve"> </w:t>
            </w:r>
            <w:proofErr w:type="spellStart"/>
            <w:r w:rsidRPr="00740E24">
              <w:rPr>
                <w:b/>
                <w:bCs/>
                <w:sz w:val="20"/>
                <w:lang w:eastAsia="lv-LV"/>
              </w:rPr>
              <w:t>relevant</w:t>
            </w:r>
            <w:proofErr w:type="spellEnd"/>
            <w:r w:rsidRPr="00740E24">
              <w:rPr>
                <w:b/>
                <w:bCs/>
                <w:sz w:val="20"/>
                <w:lang w:eastAsia="lv-LV"/>
              </w:rPr>
              <w:t xml:space="preserve"> </w:t>
            </w:r>
            <w:proofErr w:type="spellStart"/>
            <w:r w:rsidRPr="00740E24">
              <w:rPr>
                <w:b/>
                <w:bCs/>
                <w:sz w:val="20"/>
                <w:lang w:eastAsia="lv-LV"/>
              </w:rPr>
              <w:t>variables</w:t>
            </w:r>
            <w:proofErr w:type="spellEnd"/>
            <w:r w:rsidRPr="00740E24">
              <w:rPr>
                <w:b/>
                <w:bCs/>
                <w:sz w:val="20"/>
                <w:lang w:eastAsia="lv-LV"/>
              </w:rPr>
              <w:t>)</w:t>
            </w:r>
          </w:p>
        </w:tc>
      </w:tr>
      <w:tr w:rsidR="00740E24" w:rsidRPr="00740E24" w14:paraId="65F67BFD" w14:textId="77777777" w:rsidTr="003F4DE5">
        <w:trPr>
          <w:trHeight w:val="255"/>
        </w:trPr>
        <w:tc>
          <w:tcPr>
            <w:tcW w:w="3984" w:type="dxa"/>
            <w:shd w:val="clear" w:color="auto" w:fill="auto"/>
            <w:noWrap/>
            <w:vAlign w:val="center"/>
            <w:hideMark/>
          </w:tcPr>
          <w:p w14:paraId="6F4C8453" w14:textId="77777777" w:rsidR="00740E24" w:rsidRPr="00740E24" w:rsidRDefault="00740E24" w:rsidP="00740E24">
            <w:pPr>
              <w:spacing w:after="0"/>
              <w:ind w:firstLine="0"/>
              <w:jc w:val="left"/>
              <w:rPr>
                <w:sz w:val="20"/>
                <w:lang w:eastAsia="lv-LV"/>
              </w:rPr>
            </w:pPr>
            <w:r w:rsidRPr="00740E24">
              <w:rPr>
                <w:sz w:val="20"/>
                <w:lang w:eastAsia="lv-LV"/>
              </w:rPr>
              <w:t>6. Likvīdi finanšu aktīvi (</w:t>
            </w:r>
            <w:proofErr w:type="spellStart"/>
            <w:r w:rsidRPr="00740E24">
              <w:rPr>
                <w:sz w:val="20"/>
                <w:lang w:eastAsia="lv-LV"/>
              </w:rPr>
              <w:t>Liquid</w:t>
            </w:r>
            <w:proofErr w:type="spellEnd"/>
            <w:r w:rsidRPr="00740E24">
              <w:rPr>
                <w:sz w:val="20"/>
                <w:lang w:eastAsia="lv-LV"/>
              </w:rPr>
              <w:t xml:space="preserve"> </w:t>
            </w:r>
            <w:proofErr w:type="spellStart"/>
            <w:r w:rsidRPr="00740E24">
              <w:rPr>
                <w:sz w:val="20"/>
                <w:lang w:eastAsia="lv-LV"/>
              </w:rPr>
              <w:t>financial</w:t>
            </w:r>
            <w:proofErr w:type="spellEnd"/>
            <w:r w:rsidRPr="00740E24">
              <w:rPr>
                <w:sz w:val="20"/>
                <w:lang w:eastAsia="lv-LV"/>
              </w:rPr>
              <w:t xml:space="preserve"> </w:t>
            </w:r>
            <w:proofErr w:type="spellStart"/>
            <w:r w:rsidRPr="00740E24">
              <w:rPr>
                <w:sz w:val="20"/>
                <w:lang w:eastAsia="lv-LV"/>
              </w:rPr>
              <w:t>assets</w:t>
            </w:r>
            <w:proofErr w:type="spellEnd"/>
            <w:r w:rsidRPr="00740E24">
              <w:rPr>
                <w:sz w:val="20"/>
                <w:lang w:eastAsia="lv-LV"/>
              </w:rPr>
              <w:t>)</w:t>
            </w:r>
          </w:p>
        </w:tc>
        <w:tc>
          <w:tcPr>
            <w:tcW w:w="851" w:type="dxa"/>
            <w:shd w:val="clear" w:color="auto" w:fill="auto"/>
            <w:noWrap/>
            <w:vAlign w:val="center"/>
            <w:hideMark/>
          </w:tcPr>
          <w:p w14:paraId="657D5E82"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159F92E5" w14:textId="77777777" w:rsidR="00740E24" w:rsidRPr="00740E24" w:rsidRDefault="00740E24" w:rsidP="00740E24">
            <w:pPr>
              <w:spacing w:after="0"/>
              <w:ind w:firstLine="0"/>
              <w:jc w:val="right"/>
              <w:rPr>
                <w:sz w:val="20"/>
                <w:lang w:eastAsia="lv-LV"/>
              </w:rPr>
            </w:pPr>
            <w:r w:rsidRPr="00740E24">
              <w:rPr>
                <w:sz w:val="20"/>
                <w:lang w:eastAsia="lv-LV"/>
              </w:rPr>
              <w:t>8.4%</w:t>
            </w:r>
          </w:p>
        </w:tc>
        <w:tc>
          <w:tcPr>
            <w:tcW w:w="851" w:type="dxa"/>
            <w:shd w:val="clear" w:color="auto" w:fill="auto"/>
            <w:noWrap/>
            <w:vAlign w:val="center"/>
            <w:hideMark/>
          </w:tcPr>
          <w:p w14:paraId="25D323B9"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0" w:type="dxa"/>
            <w:shd w:val="clear" w:color="auto" w:fill="auto"/>
            <w:noWrap/>
            <w:vAlign w:val="center"/>
            <w:hideMark/>
          </w:tcPr>
          <w:p w14:paraId="300E4374"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1" w:type="dxa"/>
            <w:shd w:val="clear" w:color="auto" w:fill="auto"/>
            <w:noWrap/>
            <w:vAlign w:val="center"/>
            <w:hideMark/>
          </w:tcPr>
          <w:p w14:paraId="2E3E8B6A"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0" w:type="dxa"/>
            <w:shd w:val="clear" w:color="auto" w:fill="auto"/>
            <w:noWrap/>
            <w:vAlign w:val="center"/>
            <w:hideMark/>
          </w:tcPr>
          <w:p w14:paraId="307725EB" w14:textId="77777777" w:rsidR="00740E24" w:rsidRPr="00740E24" w:rsidRDefault="00740E24" w:rsidP="00740E24">
            <w:pPr>
              <w:spacing w:after="0"/>
              <w:ind w:firstLine="0"/>
              <w:jc w:val="left"/>
              <w:rPr>
                <w:sz w:val="20"/>
                <w:lang w:eastAsia="lv-LV"/>
              </w:rPr>
            </w:pPr>
            <w:r w:rsidRPr="00740E24">
              <w:rPr>
                <w:sz w:val="20"/>
                <w:lang w:eastAsia="lv-LV"/>
              </w:rPr>
              <w:t> </w:t>
            </w:r>
          </w:p>
        </w:tc>
      </w:tr>
      <w:tr w:rsidR="00740E24" w:rsidRPr="00740E24" w14:paraId="7497B72A" w14:textId="77777777" w:rsidTr="003F4DE5">
        <w:trPr>
          <w:trHeight w:val="255"/>
        </w:trPr>
        <w:tc>
          <w:tcPr>
            <w:tcW w:w="3984" w:type="dxa"/>
            <w:shd w:val="clear" w:color="auto" w:fill="auto"/>
            <w:noWrap/>
            <w:vAlign w:val="center"/>
            <w:hideMark/>
          </w:tcPr>
          <w:p w14:paraId="3BFF8E06" w14:textId="77777777" w:rsidR="00740E24" w:rsidRPr="00740E24" w:rsidRDefault="00740E24" w:rsidP="00740E24">
            <w:pPr>
              <w:spacing w:after="0"/>
              <w:ind w:firstLine="0"/>
              <w:jc w:val="left"/>
              <w:rPr>
                <w:sz w:val="20"/>
                <w:lang w:eastAsia="lv-LV"/>
              </w:rPr>
            </w:pPr>
            <w:r w:rsidRPr="00740E24">
              <w:rPr>
                <w:sz w:val="20"/>
                <w:lang w:eastAsia="lv-LV"/>
              </w:rPr>
              <w:t>7. Neto finansiālais parāds (7=1-6) (</w:t>
            </w:r>
            <w:proofErr w:type="spellStart"/>
            <w:r w:rsidRPr="00740E24">
              <w:rPr>
                <w:sz w:val="20"/>
                <w:lang w:eastAsia="lv-LV"/>
              </w:rPr>
              <w:t>Net</w:t>
            </w:r>
            <w:proofErr w:type="spellEnd"/>
            <w:r w:rsidRPr="00740E24">
              <w:rPr>
                <w:sz w:val="20"/>
                <w:lang w:eastAsia="lv-LV"/>
              </w:rPr>
              <w:t xml:space="preserve"> </w:t>
            </w:r>
            <w:proofErr w:type="spellStart"/>
            <w:r w:rsidRPr="00740E24">
              <w:rPr>
                <w:sz w:val="20"/>
                <w:lang w:eastAsia="lv-LV"/>
              </w:rPr>
              <w:t>financial</w:t>
            </w:r>
            <w:proofErr w:type="spellEnd"/>
            <w:r w:rsidRPr="00740E24">
              <w:rPr>
                <w:sz w:val="20"/>
                <w:lang w:eastAsia="lv-LV"/>
              </w:rPr>
              <w:t xml:space="preserve"> </w:t>
            </w:r>
            <w:proofErr w:type="spellStart"/>
            <w:r w:rsidRPr="00740E24">
              <w:rPr>
                <w:sz w:val="20"/>
                <w:lang w:eastAsia="lv-LV"/>
              </w:rPr>
              <w:t>debt</w:t>
            </w:r>
            <w:proofErr w:type="spellEnd"/>
            <w:r w:rsidRPr="00740E24">
              <w:rPr>
                <w:sz w:val="20"/>
                <w:lang w:eastAsia="lv-LV"/>
              </w:rPr>
              <w:t>)</w:t>
            </w:r>
          </w:p>
        </w:tc>
        <w:tc>
          <w:tcPr>
            <w:tcW w:w="851" w:type="dxa"/>
            <w:shd w:val="clear" w:color="auto" w:fill="auto"/>
            <w:noWrap/>
            <w:vAlign w:val="center"/>
            <w:hideMark/>
          </w:tcPr>
          <w:p w14:paraId="55F85259"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327BF5D4" w14:textId="77777777" w:rsidR="00740E24" w:rsidRPr="00740E24" w:rsidRDefault="00740E24" w:rsidP="00740E24">
            <w:pPr>
              <w:spacing w:after="0"/>
              <w:ind w:firstLine="0"/>
              <w:jc w:val="right"/>
              <w:rPr>
                <w:sz w:val="20"/>
                <w:lang w:eastAsia="lv-LV"/>
              </w:rPr>
            </w:pPr>
            <w:r w:rsidRPr="00740E24">
              <w:rPr>
                <w:sz w:val="20"/>
                <w:lang w:eastAsia="lv-LV"/>
              </w:rPr>
              <w:t>32.3%</w:t>
            </w:r>
          </w:p>
        </w:tc>
        <w:tc>
          <w:tcPr>
            <w:tcW w:w="851" w:type="dxa"/>
            <w:shd w:val="clear" w:color="auto" w:fill="auto"/>
            <w:noWrap/>
            <w:vAlign w:val="center"/>
            <w:hideMark/>
          </w:tcPr>
          <w:p w14:paraId="58928328"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0" w:type="dxa"/>
            <w:shd w:val="clear" w:color="auto" w:fill="auto"/>
            <w:noWrap/>
            <w:vAlign w:val="center"/>
            <w:hideMark/>
          </w:tcPr>
          <w:p w14:paraId="07BE77C4"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1" w:type="dxa"/>
            <w:shd w:val="clear" w:color="auto" w:fill="auto"/>
            <w:noWrap/>
            <w:vAlign w:val="center"/>
            <w:hideMark/>
          </w:tcPr>
          <w:p w14:paraId="310552B3"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0" w:type="dxa"/>
            <w:shd w:val="clear" w:color="auto" w:fill="auto"/>
            <w:noWrap/>
            <w:vAlign w:val="center"/>
            <w:hideMark/>
          </w:tcPr>
          <w:p w14:paraId="34427538" w14:textId="77777777" w:rsidR="00740E24" w:rsidRPr="00740E24" w:rsidRDefault="00740E24" w:rsidP="00740E24">
            <w:pPr>
              <w:spacing w:after="0"/>
              <w:ind w:firstLine="0"/>
              <w:jc w:val="left"/>
              <w:rPr>
                <w:sz w:val="20"/>
                <w:lang w:eastAsia="lv-LV"/>
              </w:rPr>
            </w:pPr>
            <w:r w:rsidRPr="00740E24">
              <w:rPr>
                <w:sz w:val="20"/>
                <w:lang w:eastAsia="lv-LV"/>
              </w:rPr>
              <w:t> </w:t>
            </w:r>
          </w:p>
        </w:tc>
      </w:tr>
      <w:tr w:rsidR="00740E24" w:rsidRPr="00740E24" w14:paraId="760E0990" w14:textId="77777777" w:rsidTr="003F4DE5">
        <w:trPr>
          <w:trHeight w:val="510"/>
        </w:trPr>
        <w:tc>
          <w:tcPr>
            <w:tcW w:w="3984" w:type="dxa"/>
            <w:shd w:val="clear" w:color="auto" w:fill="auto"/>
            <w:vAlign w:val="center"/>
            <w:hideMark/>
          </w:tcPr>
          <w:p w14:paraId="7B5AAD95" w14:textId="77777777" w:rsidR="00740E24" w:rsidRPr="00740E24" w:rsidRDefault="00740E24" w:rsidP="00740E24">
            <w:pPr>
              <w:spacing w:after="0"/>
              <w:ind w:firstLine="0"/>
              <w:jc w:val="left"/>
              <w:rPr>
                <w:sz w:val="20"/>
                <w:lang w:eastAsia="lv-LV"/>
              </w:rPr>
            </w:pPr>
            <w:r w:rsidRPr="00740E24">
              <w:rPr>
                <w:sz w:val="20"/>
                <w:lang w:eastAsia="lv-LV"/>
              </w:rPr>
              <w:t>8. Parāda amortizācija (</w:t>
            </w:r>
            <w:proofErr w:type="spellStart"/>
            <w:r w:rsidRPr="00740E24">
              <w:rPr>
                <w:sz w:val="20"/>
                <w:lang w:eastAsia="lv-LV"/>
              </w:rPr>
              <w:t>Debt</w:t>
            </w:r>
            <w:proofErr w:type="spellEnd"/>
            <w:r w:rsidRPr="00740E24">
              <w:rPr>
                <w:sz w:val="20"/>
                <w:lang w:eastAsia="lv-LV"/>
              </w:rPr>
              <w:t xml:space="preserve"> </w:t>
            </w:r>
            <w:proofErr w:type="spellStart"/>
            <w:r w:rsidRPr="00740E24">
              <w:rPr>
                <w:sz w:val="20"/>
                <w:lang w:eastAsia="lv-LV"/>
              </w:rPr>
              <w:t>amortization</w:t>
            </w:r>
            <w:proofErr w:type="spellEnd"/>
            <w:r w:rsidRPr="00740E24">
              <w:rPr>
                <w:sz w:val="20"/>
                <w:lang w:eastAsia="lv-LV"/>
              </w:rPr>
              <w:t xml:space="preserve"> (</w:t>
            </w:r>
            <w:proofErr w:type="spellStart"/>
            <w:r w:rsidRPr="00740E24">
              <w:rPr>
                <w:sz w:val="20"/>
                <w:lang w:eastAsia="lv-LV"/>
              </w:rPr>
              <w:t>existing</w:t>
            </w:r>
            <w:proofErr w:type="spellEnd"/>
            <w:r w:rsidRPr="00740E24">
              <w:rPr>
                <w:sz w:val="20"/>
                <w:lang w:eastAsia="lv-LV"/>
              </w:rPr>
              <w:t xml:space="preserve"> </w:t>
            </w:r>
            <w:proofErr w:type="spellStart"/>
            <w:r w:rsidRPr="00740E24">
              <w:rPr>
                <w:sz w:val="20"/>
                <w:lang w:eastAsia="lv-LV"/>
              </w:rPr>
              <w:t>bonds</w:t>
            </w:r>
            <w:proofErr w:type="spellEnd"/>
            <w:r w:rsidRPr="00740E24">
              <w:rPr>
                <w:sz w:val="20"/>
                <w:lang w:eastAsia="lv-LV"/>
              </w:rPr>
              <w:t xml:space="preserve">) </w:t>
            </w:r>
            <w:proofErr w:type="spellStart"/>
            <w:r w:rsidRPr="00740E24">
              <w:rPr>
                <w:sz w:val="20"/>
                <w:lang w:eastAsia="lv-LV"/>
              </w:rPr>
              <w:t>since</w:t>
            </w:r>
            <w:proofErr w:type="spellEnd"/>
            <w:r w:rsidRPr="00740E24">
              <w:rPr>
                <w:sz w:val="20"/>
                <w:lang w:eastAsia="lv-LV"/>
              </w:rPr>
              <w:t xml:space="preserve"> </w:t>
            </w:r>
            <w:proofErr w:type="spellStart"/>
            <w:r w:rsidRPr="00740E24">
              <w:rPr>
                <w:sz w:val="20"/>
                <w:lang w:eastAsia="lv-LV"/>
              </w:rPr>
              <w:t>the</w:t>
            </w:r>
            <w:proofErr w:type="spellEnd"/>
            <w:r w:rsidRPr="00740E24">
              <w:rPr>
                <w:sz w:val="20"/>
                <w:lang w:eastAsia="lv-LV"/>
              </w:rPr>
              <w:t xml:space="preserve"> </w:t>
            </w:r>
            <w:proofErr w:type="spellStart"/>
            <w:r w:rsidRPr="00740E24">
              <w:rPr>
                <w:sz w:val="20"/>
                <w:lang w:eastAsia="lv-LV"/>
              </w:rPr>
              <w:t>end</w:t>
            </w:r>
            <w:proofErr w:type="spellEnd"/>
            <w:r w:rsidRPr="00740E24">
              <w:rPr>
                <w:sz w:val="20"/>
                <w:lang w:eastAsia="lv-LV"/>
              </w:rPr>
              <w:t xml:space="preserve"> </w:t>
            </w:r>
            <w:proofErr w:type="spellStart"/>
            <w:r w:rsidRPr="00740E24">
              <w:rPr>
                <w:sz w:val="20"/>
                <w:lang w:eastAsia="lv-LV"/>
              </w:rPr>
              <w:t>of</w:t>
            </w:r>
            <w:proofErr w:type="spellEnd"/>
            <w:r w:rsidRPr="00740E24">
              <w:rPr>
                <w:sz w:val="20"/>
                <w:lang w:eastAsia="lv-LV"/>
              </w:rPr>
              <w:t xml:space="preserve"> </w:t>
            </w:r>
            <w:proofErr w:type="spellStart"/>
            <w:r w:rsidRPr="00740E24">
              <w:rPr>
                <w:sz w:val="20"/>
                <w:lang w:eastAsia="lv-LV"/>
              </w:rPr>
              <w:t>the</w:t>
            </w:r>
            <w:proofErr w:type="spellEnd"/>
            <w:r w:rsidRPr="00740E24">
              <w:rPr>
                <w:sz w:val="20"/>
                <w:lang w:eastAsia="lv-LV"/>
              </w:rPr>
              <w:t xml:space="preserve"> </w:t>
            </w:r>
            <w:proofErr w:type="spellStart"/>
            <w:r w:rsidRPr="00740E24">
              <w:rPr>
                <w:sz w:val="20"/>
                <w:lang w:eastAsia="lv-LV"/>
              </w:rPr>
              <w:t>previous</w:t>
            </w:r>
            <w:proofErr w:type="spellEnd"/>
            <w:r w:rsidRPr="00740E24">
              <w:rPr>
                <w:sz w:val="20"/>
                <w:lang w:eastAsia="lv-LV"/>
              </w:rPr>
              <w:t xml:space="preserve"> </w:t>
            </w:r>
            <w:proofErr w:type="spellStart"/>
            <w:r w:rsidRPr="00740E24">
              <w:rPr>
                <w:sz w:val="20"/>
                <w:lang w:eastAsia="lv-LV"/>
              </w:rPr>
              <w:t>year</w:t>
            </w:r>
            <w:proofErr w:type="spellEnd"/>
            <w:r w:rsidRPr="00740E24">
              <w:rPr>
                <w:sz w:val="20"/>
                <w:lang w:eastAsia="lv-LV"/>
              </w:rPr>
              <w:t>)</w:t>
            </w:r>
          </w:p>
        </w:tc>
        <w:tc>
          <w:tcPr>
            <w:tcW w:w="851" w:type="dxa"/>
            <w:shd w:val="clear" w:color="auto" w:fill="auto"/>
            <w:noWrap/>
            <w:vAlign w:val="center"/>
            <w:hideMark/>
          </w:tcPr>
          <w:p w14:paraId="60C2198C" w14:textId="77777777" w:rsidR="00740E24" w:rsidRPr="00740E24" w:rsidRDefault="00740E24" w:rsidP="00740E24">
            <w:pPr>
              <w:spacing w:after="0"/>
              <w:ind w:firstLine="0"/>
              <w:jc w:val="right"/>
              <w:rPr>
                <w:color w:val="FF0000"/>
                <w:sz w:val="20"/>
                <w:lang w:eastAsia="lv-LV"/>
              </w:rPr>
            </w:pPr>
            <w:r w:rsidRPr="00740E24">
              <w:rPr>
                <w:color w:val="FF0000"/>
                <w:sz w:val="20"/>
                <w:lang w:eastAsia="lv-LV"/>
              </w:rPr>
              <w:t> </w:t>
            </w:r>
          </w:p>
        </w:tc>
        <w:tc>
          <w:tcPr>
            <w:tcW w:w="899" w:type="dxa"/>
            <w:shd w:val="clear" w:color="auto" w:fill="auto"/>
            <w:noWrap/>
            <w:vAlign w:val="center"/>
            <w:hideMark/>
          </w:tcPr>
          <w:p w14:paraId="115B09C5" w14:textId="77777777" w:rsidR="00740E24" w:rsidRPr="00740E24" w:rsidRDefault="00740E24" w:rsidP="00740E24">
            <w:pPr>
              <w:spacing w:after="0"/>
              <w:ind w:firstLine="0"/>
              <w:jc w:val="right"/>
              <w:rPr>
                <w:sz w:val="20"/>
                <w:lang w:eastAsia="lv-LV"/>
              </w:rPr>
            </w:pPr>
            <w:r w:rsidRPr="00740E24">
              <w:rPr>
                <w:sz w:val="20"/>
                <w:lang w:eastAsia="lv-LV"/>
              </w:rPr>
              <w:t>0.3%</w:t>
            </w:r>
          </w:p>
        </w:tc>
        <w:tc>
          <w:tcPr>
            <w:tcW w:w="851" w:type="dxa"/>
            <w:shd w:val="clear" w:color="auto" w:fill="auto"/>
            <w:noWrap/>
            <w:vAlign w:val="center"/>
            <w:hideMark/>
          </w:tcPr>
          <w:p w14:paraId="6C929258" w14:textId="77777777" w:rsidR="00740E24" w:rsidRPr="00740E24" w:rsidRDefault="00740E24" w:rsidP="00740E24">
            <w:pPr>
              <w:spacing w:after="0"/>
              <w:ind w:firstLine="0"/>
              <w:jc w:val="right"/>
              <w:rPr>
                <w:sz w:val="20"/>
                <w:lang w:eastAsia="lv-LV"/>
              </w:rPr>
            </w:pPr>
            <w:r w:rsidRPr="00740E24">
              <w:rPr>
                <w:sz w:val="20"/>
                <w:lang w:eastAsia="lv-LV"/>
              </w:rPr>
              <w:t>0.8%</w:t>
            </w:r>
          </w:p>
        </w:tc>
        <w:tc>
          <w:tcPr>
            <w:tcW w:w="850" w:type="dxa"/>
            <w:shd w:val="clear" w:color="auto" w:fill="auto"/>
            <w:noWrap/>
            <w:vAlign w:val="center"/>
            <w:hideMark/>
          </w:tcPr>
          <w:p w14:paraId="4E053A9F" w14:textId="77777777" w:rsidR="00740E24" w:rsidRPr="00740E24" w:rsidRDefault="00740E24" w:rsidP="00740E24">
            <w:pPr>
              <w:spacing w:after="0"/>
              <w:ind w:firstLine="0"/>
              <w:jc w:val="right"/>
              <w:rPr>
                <w:sz w:val="20"/>
                <w:lang w:eastAsia="lv-LV"/>
              </w:rPr>
            </w:pPr>
            <w:r w:rsidRPr="00740E24">
              <w:rPr>
                <w:sz w:val="20"/>
                <w:lang w:eastAsia="lv-LV"/>
              </w:rPr>
              <w:t>1.8%</w:t>
            </w:r>
          </w:p>
        </w:tc>
        <w:tc>
          <w:tcPr>
            <w:tcW w:w="851" w:type="dxa"/>
            <w:shd w:val="clear" w:color="auto" w:fill="auto"/>
            <w:noWrap/>
            <w:vAlign w:val="center"/>
            <w:hideMark/>
          </w:tcPr>
          <w:p w14:paraId="39A6BAF5" w14:textId="77777777" w:rsidR="00740E24" w:rsidRPr="00740E24" w:rsidRDefault="00740E24" w:rsidP="00740E24">
            <w:pPr>
              <w:spacing w:after="0"/>
              <w:ind w:firstLine="0"/>
              <w:jc w:val="right"/>
              <w:rPr>
                <w:sz w:val="20"/>
                <w:lang w:eastAsia="lv-LV"/>
              </w:rPr>
            </w:pPr>
            <w:r w:rsidRPr="00740E24">
              <w:rPr>
                <w:sz w:val="20"/>
                <w:lang w:eastAsia="lv-LV"/>
              </w:rPr>
              <w:t>0.7%</w:t>
            </w:r>
          </w:p>
        </w:tc>
        <w:tc>
          <w:tcPr>
            <w:tcW w:w="850" w:type="dxa"/>
            <w:shd w:val="clear" w:color="auto" w:fill="auto"/>
            <w:noWrap/>
            <w:vAlign w:val="center"/>
            <w:hideMark/>
          </w:tcPr>
          <w:p w14:paraId="4C5F10A3" w14:textId="77777777" w:rsidR="00740E24" w:rsidRPr="00740E24" w:rsidRDefault="00740E24" w:rsidP="00740E24">
            <w:pPr>
              <w:spacing w:after="0"/>
              <w:ind w:firstLine="0"/>
              <w:jc w:val="right"/>
              <w:rPr>
                <w:sz w:val="20"/>
                <w:lang w:eastAsia="lv-LV"/>
              </w:rPr>
            </w:pPr>
            <w:r w:rsidRPr="00740E24">
              <w:rPr>
                <w:sz w:val="20"/>
                <w:lang w:eastAsia="lv-LV"/>
              </w:rPr>
              <w:t>0.6%</w:t>
            </w:r>
          </w:p>
        </w:tc>
      </w:tr>
      <w:tr w:rsidR="00740E24" w:rsidRPr="00740E24" w14:paraId="1E5D5122" w14:textId="77777777" w:rsidTr="003F4DE5">
        <w:trPr>
          <w:trHeight w:val="510"/>
        </w:trPr>
        <w:tc>
          <w:tcPr>
            <w:tcW w:w="3984" w:type="dxa"/>
            <w:shd w:val="clear" w:color="auto" w:fill="auto"/>
            <w:vAlign w:val="center"/>
            <w:hideMark/>
          </w:tcPr>
          <w:p w14:paraId="1391DD0A" w14:textId="77777777" w:rsidR="00740E24" w:rsidRPr="00740E24" w:rsidRDefault="00740E24" w:rsidP="00740E24">
            <w:pPr>
              <w:spacing w:after="0"/>
              <w:ind w:firstLine="0"/>
              <w:jc w:val="left"/>
              <w:rPr>
                <w:sz w:val="20"/>
                <w:lang w:eastAsia="lv-LV"/>
              </w:rPr>
            </w:pPr>
            <w:r w:rsidRPr="00740E24">
              <w:rPr>
                <w:sz w:val="20"/>
                <w:lang w:eastAsia="lv-LV"/>
              </w:rPr>
              <w:t xml:space="preserve">9. Ārvalstu valūtā </w:t>
            </w:r>
            <w:proofErr w:type="spellStart"/>
            <w:r w:rsidRPr="00740E24">
              <w:rPr>
                <w:sz w:val="20"/>
                <w:lang w:eastAsia="lv-LV"/>
              </w:rPr>
              <w:t>denominētā</w:t>
            </w:r>
            <w:proofErr w:type="spellEnd"/>
            <w:r w:rsidRPr="00740E24">
              <w:rPr>
                <w:sz w:val="20"/>
                <w:lang w:eastAsia="lv-LV"/>
              </w:rPr>
              <w:t xml:space="preserve"> parāda īpatsvars (</w:t>
            </w:r>
            <w:proofErr w:type="spellStart"/>
            <w:r w:rsidRPr="00740E24">
              <w:rPr>
                <w:sz w:val="20"/>
                <w:lang w:eastAsia="lv-LV"/>
              </w:rPr>
              <w:t>Percentage</w:t>
            </w:r>
            <w:proofErr w:type="spellEnd"/>
            <w:r w:rsidRPr="00740E24">
              <w:rPr>
                <w:sz w:val="20"/>
                <w:lang w:eastAsia="lv-LV"/>
              </w:rPr>
              <w:t xml:space="preserve"> </w:t>
            </w:r>
            <w:proofErr w:type="spellStart"/>
            <w:r w:rsidRPr="00740E24">
              <w:rPr>
                <w:sz w:val="20"/>
                <w:lang w:eastAsia="lv-LV"/>
              </w:rPr>
              <w:t>of</w:t>
            </w:r>
            <w:proofErr w:type="spellEnd"/>
            <w:r w:rsidRPr="00740E24">
              <w:rPr>
                <w:sz w:val="20"/>
                <w:lang w:eastAsia="lv-LV"/>
              </w:rPr>
              <w:t xml:space="preserve"> </w:t>
            </w:r>
            <w:proofErr w:type="spellStart"/>
            <w:r w:rsidRPr="00740E24">
              <w:rPr>
                <w:sz w:val="20"/>
                <w:lang w:eastAsia="lv-LV"/>
              </w:rPr>
              <w:t>debt</w:t>
            </w:r>
            <w:proofErr w:type="spellEnd"/>
            <w:r w:rsidRPr="00740E24">
              <w:rPr>
                <w:sz w:val="20"/>
                <w:lang w:eastAsia="lv-LV"/>
              </w:rPr>
              <w:t xml:space="preserve"> </w:t>
            </w:r>
            <w:proofErr w:type="spellStart"/>
            <w:r w:rsidRPr="00740E24">
              <w:rPr>
                <w:sz w:val="20"/>
                <w:lang w:eastAsia="lv-LV"/>
              </w:rPr>
              <w:t>denominated</w:t>
            </w:r>
            <w:proofErr w:type="spellEnd"/>
            <w:r w:rsidRPr="00740E24">
              <w:rPr>
                <w:sz w:val="20"/>
                <w:lang w:eastAsia="lv-LV"/>
              </w:rPr>
              <w:t xml:space="preserve"> </w:t>
            </w:r>
            <w:proofErr w:type="spellStart"/>
            <w:r w:rsidRPr="00740E24">
              <w:rPr>
                <w:sz w:val="20"/>
                <w:lang w:eastAsia="lv-LV"/>
              </w:rPr>
              <w:t>in</w:t>
            </w:r>
            <w:proofErr w:type="spellEnd"/>
            <w:r w:rsidRPr="00740E24">
              <w:rPr>
                <w:sz w:val="20"/>
                <w:lang w:eastAsia="lv-LV"/>
              </w:rPr>
              <w:t xml:space="preserve"> </w:t>
            </w:r>
            <w:proofErr w:type="spellStart"/>
            <w:r w:rsidRPr="00740E24">
              <w:rPr>
                <w:sz w:val="20"/>
                <w:lang w:eastAsia="lv-LV"/>
              </w:rPr>
              <w:t>foreign</w:t>
            </w:r>
            <w:proofErr w:type="spellEnd"/>
            <w:r w:rsidRPr="00740E24">
              <w:rPr>
                <w:sz w:val="20"/>
                <w:lang w:eastAsia="lv-LV"/>
              </w:rPr>
              <w:t xml:space="preserve"> </w:t>
            </w:r>
            <w:proofErr w:type="spellStart"/>
            <w:r w:rsidRPr="00740E24">
              <w:rPr>
                <w:sz w:val="20"/>
                <w:lang w:eastAsia="lv-LV"/>
              </w:rPr>
              <w:t>currency</w:t>
            </w:r>
            <w:proofErr w:type="spellEnd"/>
            <w:r w:rsidRPr="00740E24">
              <w:rPr>
                <w:sz w:val="20"/>
                <w:lang w:eastAsia="lv-LV"/>
              </w:rPr>
              <w:t>)</w:t>
            </w:r>
          </w:p>
        </w:tc>
        <w:tc>
          <w:tcPr>
            <w:tcW w:w="851" w:type="dxa"/>
            <w:shd w:val="clear" w:color="auto" w:fill="auto"/>
            <w:noWrap/>
            <w:vAlign w:val="center"/>
            <w:hideMark/>
          </w:tcPr>
          <w:p w14:paraId="5DD988B2"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7D5DFA1D" w14:textId="77777777" w:rsidR="00740E24" w:rsidRPr="00740E24" w:rsidRDefault="00740E24" w:rsidP="00740E24">
            <w:pPr>
              <w:spacing w:after="0"/>
              <w:ind w:firstLine="0"/>
              <w:jc w:val="center"/>
              <w:rPr>
                <w:sz w:val="20"/>
                <w:lang w:eastAsia="lv-LV"/>
              </w:rPr>
            </w:pPr>
            <w:r w:rsidRPr="00740E24">
              <w:rPr>
                <w:sz w:val="20"/>
                <w:lang w:eastAsia="lv-LV"/>
              </w:rPr>
              <w:t>86.4%</w:t>
            </w:r>
          </w:p>
        </w:tc>
        <w:tc>
          <w:tcPr>
            <w:tcW w:w="851" w:type="dxa"/>
            <w:shd w:val="clear" w:color="auto" w:fill="auto"/>
            <w:noWrap/>
            <w:vAlign w:val="center"/>
            <w:hideMark/>
          </w:tcPr>
          <w:p w14:paraId="1951287E" w14:textId="77777777" w:rsidR="00740E24" w:rsidRPr="00740E24" w:rsidRDefault="00740E24" w:rsidP="00740E24">
            <w:pPr>
              <w:spacing w:after="0"/>
              <w:ind w:firstLine="0"/>
              <w:jc w:val="center"/>
              <w:rPr>
                <w:sz w:val="20"/>
                <w:lang w:eastAsia="lv-LV"/>
              </w:rPr>
            </w:pPr>
            <w:r w:rsidRPr="00740E24">
              <w:rPr>
                <w:sz w:val="20"/>
                <w:lang w:eastAsia="lv-LV"/>
              </w:rPr>
              <w:t>88.0%</w:t>
            </w:r>
          </w:p>
        </w:tc>
        <w:tc>
          <w:tcPr>
            <w:tcW w:w="850" w:type="dxa"/>
            <w:shd w:val="clear" w:color="auto" w:fill="auto"/>
            <w:noWrap/>
            <w:vAlign w:val="center"/>
            <w:hideMark/>
          </w:tcPr>
          <w:p w14:paraId="598B2A49" w14:textId="77777777" w:rsidR="00740E24" w:rsidRPr="00740E24" w:rsidRDefault="00740E24" w:rsidP="00740E24">
            <w:pPr>
              <w:spacing w:after="0"/>
              <w:ind w:firstLine="0"/>
              <w:jc w:val="center"/>
              <w:rPr>
                <w:sz w:val="20"/>
                <w:lang w:eastAsia="lv-LV"/>
              </w:rPr>
            </w:pPr>
            <w:r w:rsidRPr="00740E24">
              <w:rPr>
                <w:sz w:val="20"/>
                <w:lang w:eastAsia="lv-LV"/>
              </w:rPr>
              <w:t>88.3%</w:t>
            </w:r>
          </w:p>
        </w:tc>
        <w:tc>
          <w:tcPr>
            <w:tcW w:w="851" w:type="dxa"/>
            <w:shd w:val="clear" w:color="auto" w:fill="auto"/>
            <w:noWrap/>
            <w:vAlign w:val="center"/>
            <w:hideMark/>
          </w:tcPr>
          <w:p w14:paraId="4AE21B6B" w14:textId="77777777" w:rsidR="00740E24" w:rsidRPr="00740E24" w:rsidRDefault="00740E24" w:rsidP="00740E24">
            <w:pPr>
              <w:spacing w:after="0"/>
              <w:ind w:firstLine="0"/>
              <w:jc w:val="center"/>
              <w:rPr>
                <w:sz w:val="20"/>
                <w:lang w:eastAsia="lv-LV"/>
              </w:rPr>
            </w:pPr>
            <w:r w:rsidRPr="00740E24">
              <w:rPr>
                <w:sz w:val="20"/>
                <w:lang w:eastAsia="lv-LV"/>
              </w:rPr>
              <w:t>85.4%</w:t>
            </w:r>
          </w:p>
        </w:tc>
        <w:tc>
          <w:tcPr>
            <w:tcW w:w="850" w:type="dxa"/>
            <w:shd w:val="clear" w:color="auto" w:fill="auto"/>
            <w:noWrap/>
            <w:vAlign w:val="center"/>
            <w:hideMark/>
          </w:tcPr>
          <w:p w14:paraId="5F42BD19" w14:textId="77777777" w:rsidR="00740E24" w:rsidRPr="00740E24" w:rsidRDefault="00740E24" w:rsidP="00740E24">
            <w:pPr>
              <w:spacing w:after="0"/>
              <w:ind w:firstLine="0"/>
              <w:jc w:val="center"/>
              <w:rPr>
                <w:sz w:val="20"/>
                <w:lang w:eastAsia="lv-LV"/>
              </w:rPr>
            </w:pPr>
            <w:r w:rsidRPr="00740E24">
              <w:rPr>
                <w:sz w:val="20"/>
                <w:lang w:eastAsia="lv-LV"/>
              </w:rPr>
              <w:t>84.5%</w:t>
            </w:r>
          </w:p>
        </w:tc>
      </w:tr>
      <w:tr w:rsidR="00740E24" w:rsidRPr="00740E24" w14:paraId="070692CF" w14:textId="77777777" w:rsidTr="003F4DE5">
        <w:trPr>
          <w:trHeight w:val="270"/>
        </w:trPr>
        <w:tc>
          <w:tcPr>
            <w:tcW w:w="3984" w:type="dxa"/>
            <w:shd w:val="clear" w:color="auto" w:fill="auto"/>
            <w:noWrap/>
            <w:vAlign w:val="center"/>
            <w:hideMark/>
          </w:tcPr>
          <w:p w14:paraId="7CFE5226" w14:textId="77777777" w:rsidR="00740E24" w:rsidRPr="00740E24" w:rsidRDefault="00740E24" w:rsidP="00740E24">
            <w:pPr>
              <w:spacing w:after="0"/>
              <w:ind w:firstLine="0"/>
              <w:jc w:val="left"/>
              <w:rPr>
                <w:sz w:val="20"/>
                <w:lang w:eastAsia="lv-LV"/>
              </w:rPr>
            </w:pPr>
            <w:r w:rsidRPr="00740E24">
              <w:rPr>
                <w:sz w:val="20"/>
                <w:lang w:eastAsia="lv-LV"/>
              </w:rPr>
              <w:t>10. Vidējā dzēšana (</w:t>
            </w:r>
            <w:proofErr w:type="spellStart"/>
            <w:r w:rsidRPr="00740E24">
              <w:rPr>
                <w:sz w:val="20"/>
                <w:lang w:eastAsia="lv-LV"/>
              </w:rPr>
              <w:t>Average</w:t>
            </w:r>
            <w:proofErr w:type="spellEnd"/>
            <w:r w:rsidRPr="00740E24">
              <w:rPr>
                <w:sz w:val="20"/>
                <w:lang w:eastAsia="lv-LV"/>
              </w:rPr>
              <w:t xml:space="preserve"> </w:t>
            </w:r>
            <w:proofErr w:type="spellStart"/>
            <w:r w:rsidRPr="00740E24">
              <w:rPr>
                <w:sz w:val="20"/>
                <w:lang w:eastAsia="lv-LV"/>
              </w:rPr>
              <w:t>maturity</w:t>
            </w:r>
            <w:proofErr w:type="spellEnd"/>
            <w:r w:rsidRPr="00740E24">
              <w:rPr>
                <w:sz w:val="20"/>
                <w:lang w:eastAsia="lv-LV"/>
              </w:rPr>
              <w:t>)</w:t>
            </w:r>
          </w:p>
        </w:tc>
        <w:tc>
          <w:tcPr>
            <w:tcW w:w="851" w:type="dxa"/>
            <w:shd w:val="clear" w:color="auto" w:fill="auto"/>
            <w:noWrap/>
            <w:vAlign w:val="center"/>
            <w:hideMark/>
          </w:tcPr>
          <w:p w14:paraId="43A282FA"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4C877E5F" w14:textId="77777777" w:rsidR="00740E24" w:rsidRPr="00740E24" w:rsidRDefault="00740E24" w:rsidP="00740E24">
            <w:pPr>
              <w:spacing w:after="0"/>
              <w:ind w:firstLine="0"/>
              <w:jc w:val="left"/>
              <w:rPr>
                <w:sz w:val="20"/>
                <w:lang w:eastAsia="lv-LV"/>
              </w:rPr>
            </w:pPr>
            <w:r w:rsidRPr="00740E24">
              <w:rPr>
                <w:sz w:val="20"/>
                <w:lang w:eastAsia="lv-LV"/>
              </w:rPr>
              <w:t xml:space="preserve">4,89 </w:t>
            </w:r>
            <w:proofErr w:type="spellStart"/>
            <w:r w:rsidRPr="00740E24">
              <w:rPr>
                <w:sz w:val="20"/>
                <w:lang w:eastAsia="lv-LV"/>
              </w:rPr>
              <w:t>years</w:t>
            </w:r>
            <w:proofErr w:type="spellEnd"/>
          </w:p>
        </w:tc>
        <w:tc>
          <w:tcPr>
            <w:tcW w:w="851" w:type="dxa"/>
            <w:shd w:val="clear" w:color="auto" w:fill="auto"/>
            <w:noWrap/>
            <w:vAlign w:val="center"/>
            <w:hideMark/>
          </w:tcPr>
          <w:p w14:paraId="0507DC48" w14:textId="77777777" w:rsidR="00740E24" w:rsidRPr="00740E24" w:rsidRDefault="00740E24" w:rsidP="00740E24">
            <w:pPr>
              <w:spacing w:after="0"/>
              <w:ind w:firstLine="0"/>
              <w:jc w:val="center"/>
              <w:rPr>
                <w:sz w:val="20"/>
                <w:lang w:eastAsia="lv-LV"/>
              </w:rPr>
            </w:pPr>
            <w:r w:rsidRPr="00740E24">
              <w:rPr>
                <w:sz w:val="20"/>
                <w:lang w:eastAsia="lv-LV"/>
              </w:rPr>
              <w:t> </w:t>
            </w:r>
          </w:p>
        </w:tc>
        <w:tc>
          <w:tcPr>
            <w:tcW w:w="850" w:type="dxa"/>
            <w:shd w:val="clear" w:color="auto" w:fill="auto"/>
            <w:noWrap/>
            <w:vAlign w:val="center"/>
            <w:hideMark/>
          </w:tcPr>
          <w:p w14:paraId="199A5A80" w14:textId="77777777" w:rsidR="00740E24" w:rsidRPr="00740E24" w:rsidRDefault="00740E24" w:rsidP="00740E24">
            <w:pPr>
              <w:spacing w:after="0"/>
              <w:ind w:firstLine="0"/>
              <w:jc w:val="center"/>
              <w:rPr>
                <w:sz w:val="20"/>
                <w:lang w:eastAsia="lv-LV"/>
              </w:rPr>
            </w:pPr>
            <w:r w:rsidRPr="00740E24">
              <w:rPr>
                <w:sz w:val="20"/>
                <w:lang w:eastAsia="lv-LV"/>
              </w:rPr>
              <w:t> </w:t>
            </w:r>
          </w:p>
        </w:tc>
        <w:tc>
          <w:tcPr>
            <w:tcW w:w="851" w:type="dxa"/>
            <w:shd w:val="clear" w:color="auto" w:fill="auto"/>
            <w:noWrap/>
            <w:vAlign w:val="center"/>
            <w:hideMark/>
          </w:tcPr>
          <w:p w14:paraId="518E97A5" w14:textId="77777777" w:rsidR="00740E24" w:rsidRPr="00740E24" w:rsidRDefault="00740E24" w:rsidP="00740E24">
            <w:pPr>
              <w:spacing w:after="0"/>
              <w:ind w:firstLine="0"/>
              <w:jc w:val="center"/>
              <w:rPr>
                <w:sz w:val="20"/>
                <w:lang w:eastAsia="lv-LV"/>
              </w:rPr>
            </w:pPr>
            <w:r w:rsidRPr="00740E24">
              <w:rPr>
                <w:sz w:val="20"/>
                <w:lang w:eastAsia="lv-LV"/>
              </w:rPr>
              <w:t> </w:t>
            </w:r>
          </w:p>
        </w:tc>
        <w:tc>
          <w:tcPr>
            <w:tcW w:w="850" w:type="dxa"/>
            <w:shd w:val="clear" w:color="auto" w:fill="auto"/>
            <w:noWrap/>
            <w:vAlign w:val="center"/>
            <w:hideMark/>
          </w:tcPr>
          <w:p w14:paraId="665C8927" w14:textId="77777777" w:rsidR="00740E24" w:rsidRPr="00740E24" w:rsidRDefault="00740E24" w:rsidP="00740E24">
            <w:pPr>
              <w:spacing w:after="0"/>
              <w:ind w:firstLine="0"/>
              <w:jc w:val="center"/>
              <w:rPr>
                <w:sz w:val="20"/>
                <w:lang w:eastAsia="lv-LV"/>
              </w:rPr>
            </w:pPr>
            <w:r w:rsidRPr="00740E24">
              <w:rPr>
                <w:sz w:val="20"/>
                <w:lang w:eastAsia="lv-LV"/>
              </w:rPr>
              <w:t> </w:t>
            </w:r>
          </w:p>
        </w:tc>
      </w:tr>
      <w:tr w:rsidR="00740E24" w:rsidRPr="00740E24" w14:paraId="4076B3D3" w14:textId="77777777" w:rsidTr="003F4DE5">
        <w:trPr>
          <w:trHeight w:val="285"/>
        </w:trPr>
        <w:tc>
          <w:tcPr>
            <w:tcW w:w="3984" w:type="dxa"/>
            <w:shd w:val="clear" w:color="auto" w:fill="auto"/>
            <w:noWrap/>
            <w:vAlign w:val="bottom"/>
            <w:hideMark/>
          </w:tcPr>
          <w:p w14:paraId="223AC96C" w14:textId="77777777" w:rsidR="00740E24" w:rsidRPr="00740E24" w:rsidRDefault="00740E24" w:rsidP="00740E24">
            <w:pPr>
              <w:spacing w:after="0"/>
              <w:ind w:firstLine="0"/>
              <w:jc w:val="left"/>
              <w:rPr>
                <w:b/>
                <w:bCs/>
                <w:i/>
                <w:iCs/>
                <w:sz w:val="20"/>
                <w:lang w:eastAsia="lv-LV"/>
              </w:rPr>
            </w:pPr>
            <w:r w:rsidRPr="00740E24">
              <w:rPr>
                <w:b/>
                <w:bCs/>
                <w:i/>
                <w:iCs/>
                <w:sz w:val="20"/>
                <w:lang w:eastAsia="lv-LV"/>
              </w:rPr>
              <w:t>Informācijai - aprēķinos izmantotie IKP dati:</w:t>
            </w:r>
          </w:p>
        </w:tc>
        <w:tc>
          <w:tcPr>
            <w:tcW w:w="851" w:type="dxa"/>
            <w:shd w:val="clear" w:color="auto" w:fill="auto"/>
            <w:noWrap/>
            <w:vAlign w:val="center"/>
            <w:hideMark/>
          </w:tcPr>
          <w:p w14:paraId="444DECE1"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99" w:type="dxa"/>
            <w:shd w:val="clear" w:color="auto" w:fill="auto"/>
            <w:noWrap/>
            <w:vAlign w:val="center"/>
            <w:hideMark/>
          </w:tcPr>
          <w:p w14:paraId="7C8559DD"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1" w:type="dxa"/>
            <w:shd w:val="clear" w:color="auto" w:fill="auto"/>
            <w:noWrap/>
            <w:vAlign w:val="center"/>
            <w:hideMark/>
          </w:tcPr>
          <w:p w14:paraId="22D5633B"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0" w:type="dxa"/>
            <w:shd w:val="clear" w:color="auto" w:fill="auto"/>
            <w:noWrap/>
            <w:vAlign w:val="center"/>
            <w:hideMark/>
          </w:tcPr>
          <w:p w14:paraId="6F4C904B"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1" w:type="dxa"/>
            <w:shd w:val="clear" w:color="auto" w:fill="auto"/>
            <w:noWrap/>
            <w:vAlign w:val="center"/>
            <w:hideMark/>
          </w:tcPr>
          <w:p w14:paraId="6748807C" w14:textId="77777777" w:rsidR="00740E24" w:rsidRPr="00740E24" w:rsidRDefault="00740E24" w:rsidP="00740E24">
            <w:pPr>
              <w:spacing w:after="0"/>
              <w:ind w:firstLine="0"/>
              <w:jc w:val="left"/>
              <w:rPr>
                <w:sz w:val="20"/>
                <w:lang w:eastAsia="lv-LV"/>
              </w:rPr>
            </w:pPr>
            <w:r w:rsidRPr="00740E24">
              <w:rPr>
                <w:sz w:val="20"/>
                <w:lang w:eastAsia="lv-LV"/>
              </w:rPr>
              <w:t> </w:t>
            </w:r>
          </w:p>
        </w:tc>
        <w:tc>
          <w:tcPr>
            <w:tcW w:w="850" w:type="dxa"/>
            <w:shd w:val="clear" w:color="auto" w:fill="auto"/>
            <w:noWrap/>
            <w:vAlign w:val="center"/>
            <w:hideMark/>
          </w:tcPr>
          <w:p w14:paraId="6375FCF8" w14:textId="77777777" w:rsidR="00740E24" w:rsidRPr="00740E24" w:rsidRDefault="00740E24" w:rsidP="00740E24">
            <w:pPr>
              <w:spacing w:after="0"/>
              <w:ind w:firstLine="0"/>
              <w:jc w:val="left"/>
              <w:rPr>
                <w:sz w:val="20"/>
                <w:lang w:eastAsia="lv-LV"/>
              </w:rPr>
            </w:pPr>
            <w:r w:rsidRPr="00740E24">
              <w:rPr>
                <w:sz w:val="20"/>
                <w:lang w:eastAsia="lv-LV"/>
              </w:rPr>
              <w:t> </w:t>
            </w:r>
          </w:p>
        </w:tc>
      </w:tr>
      <w:tr w:rsidR="00740E24" w:rsidRPr="00740E24" w14:paraId="12F5EAE5" w14:textId="77777777" w:rsidTr="003F4DE5">
        <w:trPr>
          <w:trHeight w:val="255"/>
        </w:trPr>
        <w:tc>
          <w:tcPr>
            <w:tcW w:w="3984" w:type="dxa"/>
            <w:tcBorders>
              <w:bottom w:val="single" w:sz="4" w:space="0" w:color="auto"/>
            </w:tcBorders>
            <w:shd w:val="clear" w:color="auto" w:fill="auto"/>
            <w:noWrap/>
            <w:vAlign w:val="center"/>
            <w:hideMark/>
          </w:tcPr>
          <w:p w14:paraId="24DD778D" w14:textId="77777777" w:rsidR="00740E24" w:rsidRPr="00740E24" w:rsidRDefault="00740E24" w:rsidP="00166AE2">
            <w:pPr>
              <w:spacing w:after="0"/>
              <w:ind w:firstLine="0"/>
              <w:jc w:val="left"/>
              <w:rPr>
                <w:sz w:val="20"/>
                <w:lang w:eastAsia="lv-LV"/>
              </w:rPr>
            </w:pPr>
            <w:r w:rsidRPr="00740E24">
              <w:rPr>
                <w:sz w:val="20"/>
                <w:lang w:eastAsia="lv-LV"/>
              </w:rPr>
              <w:t xml:space="preserve">IKP faktiskajās cenās, </w:t>
            </w:r>
            <w:proofErr w:type="spellStart"/>
            <w:r w:rsidRPr="00740E24">
              <w:rPr>
                <w:sz w:val="20"/>
                <w:lang w:eastAsia="lv-LV"/>
              </w:rPr>
              <w:t>milj.latu</w:t>
            </w:r>
            <w:proofErr w:type="spellEnd"/>
          </w:p>
        </w:tc>
        <w:tc>
          <w:tcPr>
            <w:tcW w:w="851" w:type="dxa"/>
            <w:tcBorders>
              <w:bottom w:val="single" w:sz="4" w:space="0" w:color="auto"/>
            </w:tcBorders>
            <w:shd w:val="clear" w:color="auto" w:fill="auto"/>
            <w:noWrap/>
            <w:vAlign w:val="center"/>
            <w:hideMark/>
          </w:tcPr>
          <w:p w14:paraId="5F402427" w14:textId="77777777" w:rsidR="00740E24" w:rsidRPr="00740E24" w:rsidRDefault="00740E24" w:rsidP="00166AE2">
            <w:pPr>
              <w:spacing w:after="0"/>
              <w:ind w:firstLine="0"/>
              <w:jc w:val="left"/>
              <w:rPr>
                <w:sz w:val="20"/>
                <w:lang w:eastAsia="lv-LV"/>
              </w:rPr>
            </w:pPr>
            <w:r w:rsidRPr="00740E24">
              <w:rPr>
                <w:sz w:val="20"/>
                <w:lang w:eastAsia="lv-LV"/>
              </w:rPr>
              <w:t> </w:t>
            </w:r>
          </w:p>
        </w:tc>
        <w:tc>
          <w:tcPr>
            <w:tcW w:w="899" w:type="dxa"/>
            <w:tcBorders>
              <w:bottom w:val="single" w:sz="4" w:space="0" w:color="auto"/>
            </w:tcBorders>
            <w:shd w:val="clear" w:color="auto" w:fill="auto"/>
            <w:noWrap/>
            <w:vAlign w:val="center"/>
            <w:hideMark/>
          </w:tcPr>
          <w:p w14:paraId="3AB7D465" w14:textId="77777777" w:rsidR="00740E24" w:rsidRPr="00740E24" w:rsidRDefault="00740E24" w:rsidP="00166AE2">
            <w:pPr>
              <w:spacing w:after="0"/>
              <w:ind w:left="-108" w:firstLine="0"/>
              <w:jc w:val="right"/>
              <w:rPr>
                <w:sz w:val="20"/>
                <w:lang w:eastAsia="lv-LV"/>
              </w:rPr>
            </w:pPr>
            <w:r w:rsidRPr="00740E24">
              <w:rPr>
                <w:sz w:val="20"/>
                <w:lang w:eastAsia="lv-LV"/>
              </w:rPr>
              <w:t>15 520.5</w:t>
            </w:r>
          </w:p>
        </w:tc>
        <w:tc>
          <w:tcPr>
            <w:tcW w:w="851" w:type="dxa"/>
            <w:tcBorders>
              <w:bottom w:val="single" w:sz="4" w:space="0" w:color="auto"/>
            </w:tcBorders>
            <w:shd w:val="clear" w:color="auto" w:fill="auto"/>
            <w:noWrap/>
            <w:vAlign w:val="center"/>
            <w:hideMark/>
          </w:tcPr>
          <w:p w14:paraId="395BF392" w14:textId="77777777" w:rsidR="00740E24" w:rsidRPr="00740E24" w:rsidRDefault="00740E24" w:rsidP="00166AE2">
            <w:pPr>
              <w:spacing w:after="0"/>
              <w:ind w:left="-108" w:firstLine="0"/>
              <w:jc w:val="right"/>
              <w:rPr>
                <w:sz w:val="20"/>
                <w:lang w:eastAsia="lv-LV"/>
              </w:rPr>
            </w:pPr>
            <w:r w:rsidRPr="00740E24">
              <w:rPr>
                <w:sz w:val="20"/>
                <w:lang w:eastAsia="lv-LV"/>
              </w:rPr>
              <w:t>16 382.4</w:t>
            </w:r>
          </w:p>
        </w:tc>
        <w:tc>
          <w:tcPr>
            <w:tcW w:w="850" w:type="dxa"/>
            <w:tcBorders>
              <w:bottom w:val="single" w:sz="4" w:space="0" w:color="auto"/>
            </w:tcBorders>
            <w:shd w:val="clear" w:color="auto" w:fill="auto"/>
            <w:noWrap/>
            <w:vAlign w:val="center"/>
            <w:hideMark/>
          </w:tcPr>
          <w:p w14:paraId="179BE974" w14:textId="77777777" w:rsidR="00740E24" w:rsidRPr="00740E24" w:rsidRDefault="00740E24" w:rsidP="00166AE2">
            <w:pPr>
              <w:spacing w:after="0"/>
              <w:ind w:left="-108" w:firstLine="0"/>
              <w:jc w:val="right"/>
              <w:rPr>
                <w:sz w:val="20"/>
                <w:lang w:eastAsia="lv-LV"/>
              </w:rPr>
            </w:pPr>
            <w:r w:rsidRPr="00740E24">
              <w:rPr>
                <w:sz w:val="20"/>
                <w:lang w:eastAsia="lv-LV"/>
              </w:rPr>
              <w:t>17 426.4</w:t>
            </w:r>
          </w:p>
        </w:tc>
        <w:tc>
          <w:tcPr>
            <w:tcW w:w="851" w:type="dxa"/>
            <w:tcBorders>
              <w:bottom w:val="single" w:sz="4" w:space="0" w:color="auto"/>
            </w:tcBorders>
            <w:shd w:val="clear" w:color="auto" w:fill="auto"/>
            <w:noWrap/>
            <w:vAlign w:val="center"/>
            <w:hideMark/>
          </w:tcPr>
          <w:p w14:paraId="5357D092" w14:textId="77777777" w:rsidR="00740E24" w:rsidRPr="00740E24" w:rsidRDefault="00740E24" w:rsidP="00166AE2">
            <w:pPr>
              <w:spacing w:after="0"/>
              <w:ind w:left="-108" w:firstLine="0"/>
              <w:jc w:val="right"/>
              <w:rPr>
                <w:sz w:val="20"/>
                <w:lang w:eastAsia="lv-LV"/>
              </w:rPr>
            </w:pPr>
            <w:r w:rsidRPr="00740E24">
              <w:rPr>
                <w:sz w:val="20"/>
                <w:lang w:eastAsia="lv-LV"/>
              </w:rPr>
              <w:t>18 520.2</w:t>
            </w:r>
          </w:p>
        </w:tc>
        <w:tc>
          <w:tcPr>
            <w:tcW w:w="850" w:type="dxa"/>
            <w:tcBorders>
              <w:bottom w:val="single" w:sz="4" w:space="0" w:color="auto"/>
            </w:tcBorders>
            <w:shd w:val="clear" w:color="auto" w:fill="auto"/>
            <w:noWrap/>
            <w:vAlign w:val="center"/>
            <w:hideMark/>
          </w:tcPr>
          <w:p w14:paraId="6AE94B2D" w14:textId="77777777" w:rsidR="00740E24" w:rsidRPr="00740E24" w:rsidRDefault="00740E24" w:rsidP="00166AE2">
            <w:pPr>
              <w:spacing w:after="0"/>
              <w:ind w:left="-108" w:firstLine="0"/>
              <w:jc w:val="right"/>
              <w:rPr>
                <w:sz w:val="20"/>
                <w:lang w:eastAsia="lv-LV"/>
              </w:rPr>
            </w:pPr>
            <w:r w:rsidRPr="00740E24">
              <w:rPr>
                <w:sz w:val="20"/>
                <w:lang w:eastAsia="lv-LV"/>
              </w:rPr>
              <w:t>19 651.5</w:t>
            </w:r>
          </w:p>
        </w:tc>
      </w:tr>
      <w:tr w:rsidR="00740E24" w:rsidRPr="00740E24" w14:paraId="1CE46579" w14:textId="77777777" w:rsidTr="003F4DE5">
        <w:trPr>
          <w:trHeight w:val="255"/>
        </w:trPr>
        <w:tc>
          <w:tcPr>
            <w:tcW w:w="3984" w:type="dxa"/>
            <w:tcBorders>
              <w:top w:val="single" w:sz="4" w:space="0" w:color="auto"/>
              <w:bottom w:val="double" w:sz="4" w:space="0" w:color="auto"/>
            </w:tcBorders>
            <w:shd w:val="clear" w:color="auto" w:fill="auto"/>
            <w:noWrap/>
            <w:vAlign w:val="center"/>
            <w:hideMark/>
          </w:tcPr>
          <w:p w14:paraId="7F411C3E" w14:textId="77777777" w:rsidR="00740E24" w:rsidRPr="00740E24" w:rsidRDefault="00740E24" w:rsidP="00740E24">
            <w:pPr>
              <w:spacing w:after="0"/>
              <w:ind w:firstLine="0"/>
              <w:jc w:val="left"/>
              <w:rPr>
                <w:sz w:val="20"/>
                <w:lang w:eastAsia="lv-LV"/>
              </w:rPr>
            </w:pPr>
          </w:p>
        </w:tc>
        <w:tc>
          <w:tcPr>
            <w:tcW w:w="851" w:type="dxa"/>
            <w:tcBorders>
              <w:top w:val="single" w:sz="4" w:space="0" w:color="auto"/>
              <w:bottom w:val="double" w:sz="4" w:space="0" w:color="auto"/>
            </w:tcBorders>
            <w:shd w:val="clear" w:color="auto" w:fill="auto"/>
            <w:noWrap/>
            <w:vAlign w:val="center"/>
            <w:hideMark/>
          </w:tcPr>
          <w:p w14:paraId="7FE57A8B" w14:textId="77777777" w:rsidR="00740E24" w:rsidRPr="00740E24" w:rsidRDefault="00740E24" w:rsidP="00740E24">
            <w:pPr>
              <w:spacing w:after="0"/>
              <w:ind w:firstLine="0"/>
              <w:jc w:val="left"/>
              <w:rPr>
                <w:sz w:val="20"/>
                <w:lang w:eastAsia="lv-LV"/>
              </w:rPr>
            </w:pPr>
          </w:p>
        </w:tc>
        <w:tc>
          <w:tcPr>
            <w:tcW w:w="899" w:type="dxa"/>
            <w:tcBorders>
              <w:top w:val="single" w:sz="4" w:space="0" w:color="auto"/>
              <w:bottom w:val="double" w:sz="4" w:space="0" w:color="auto"/>
            </w:tcBorders>
            <w:shd w:val="clear" w:color="auto" w:fill="auto"/>
            <w:noWrap/>
            <w:vAlign w:val="center"/>
            <w:hideMark/>
          </w:tcPr>
          <w:p w14:paraId="219B28CC" w14:textId="77777777" w:rsidR="00740E24" w:rsidRPr="00740E24" w:rsidRDefault="00740E24" w:rsidP="00740E24">
            <w:pPr>
              <w:spacing w:after="0"/>
              <w:ind w:firstLine="0"/>
              <w:jc w:val="right"/>
              <w:rPr>
                <w:sz w:val="20"/>
                <w:lang w:eastAsia="lv-LV"/>
              </w:rPr>
            </w:pPr>
          </w:p>
        </w:tc>
        <w:tc>
          <w:tcPr>
            <w:tcW w:w="851" w:type="dxa"/>
            <w:tcBorders>
              <w:top w:val="single" w:sz="4" w:space="0" w:color="auto"/>
              <w:bottom w:val="double" w:sz="4" w:space="0" w:color="auto"/>
            </w:tcBorders>
            <w:shd w:val="clear" w:color="auto" w:fill="auto"/>
            <w:noWrap/>
            <w:vAlign w:val="center"/>
            <w:hideMark/>
          </w:tcPr>
          <w:p w14:paraId="5878EF27" w14:textId="77777777" w:rsidR="00740E24" w:rsidRPr="00740E24" w:rsidRDefault="00740E24" w:rsidP="00740E24">
            <w:pPr>
              <w:spacing w:after="0"/>
              <w:ind w:firstLine="0"/>
              <w:jc w:val="right"/>
              <w:rPr>
                <w:sz w:val="20"/>
                <w:lang w:eastAsia="lv-LV"/>
              </w:rPr>
            </w:pPr>
          </w:p>
        </w:tc>
        <w:tc>
          <w:tcPr>
            <w:tcW w:w="850" w:type="dxa"/>
            <w:tcBorders>
              <w:top w:val="single" w:sz="4" w:space="0" w:color="auto"/>
              <w:bottom w:val="double" w:sz="4" w:space="0" w:color="auto"/>
            </w:tcBorders>
            <w:shd w:val="clear" w:color="auto" w:fill="auto"/>
            <w:noWrap/>
            <w:vAlign w:val="center"/>
            <w:hideMark/>
          </w:tcPr>
          <w:p w14:paraId="327B8B3A" w14:textId="77777777" w:rsidR="00740E24" w:rsidRPr="00740E24" w:rsidRDefault="00740E24" w:rsidP="00740E24">
            <w:pPr>
              <w:spacing w:after="0"/>
              <w:ind w:firstLine="0"/>
              <w:jc w:val="right"/>
              <w:rPr>
                <w:sz w:val="20"/>
                <w:lang w:eastAsia="lv-LV"/>
              </w:rPr>
            </w:pPr>
          </w:p>
        </w:tc>
        <w:tc>
          <w:tcPr>
            <w:tcW w:w="851" w:type="dxa"/>
            <w:tcBorders>
              <w:top w:val="single" w:sz="4" w:space="0" w:color="auto"/>
              <w:bottom w:val="double" w:sz="4" w:space="0" w:color="auto"/>
            </w:tcBorders>
            <w:shd w:val="clear" w:color="auto" w:fill="auto"/>
            <w:noWrap/>
            <w:vAlign w:val="center"/>
            <w:hideMark/>
          </w:tcPr>
          <w:p w14:paraId="489904AA" w14:textId="77777777" w:rsidR="00740E24" w:rsidRPr="00740E24" w:rsidRDefault="00740E24" w:rsidP="00740E24">
            <w:pPr>
              <w:spacing w:after="0"/>
              <w:ind w:firstLine="0"/>
              <w:jc w:val="right"/>
              <w:rPr>
                <w:sz w:val="20"/>
                <w:lang w:eastAsia="lv-LV"/>
              </w:rPr>
            </w:pPr>
          </w:p>
        </w:tc>
        <w:tc>
          <w:tcPr>
            <w:tcW w:w="850" w:type="dxa"/>
            <w:tcBorders>
              <w:top w:val="single" w:sz="4" w:space="0" w:color="auto"/>
              <w:bottom w:val="double" w:sz="4" w:space="0" w:color="auto"/>
            </w:tcBorders>
            <w:shd w:val="clear" w:color="auto" w:fill="auto"/>
            <w:noWrap/>
            <w:vAlign w:val="center"/>
            <w:hideMark/>
          </w:tcPr>
          <w:p w14:paraId="3154CA5F" w14:textId="77777777" w:rsidR="00740E24" w:rsidRPr="00740E24" w:rsidRDefault="00740E24" w:rsidP="00740E24">
            <w:pPr>
              <w:spacing w:after="0"/>
              <w:ind w:firstLine="0"/>
              <w:jc w:val="right"/>
              <w:rPr>
                <w:sz w:val="20"/>
                <w:lang w:eastAsia="lv-LV"/>
              </w:rPr>
            </w:pPr>
          </w:p>
        </w:tc>
      </w:tr>
      <w:tr w:rsidR="00740E24" w:rsidRPr="00740E24" w14:paraId="497CD80D" w14:textId="77777777" w:rsidTr="003F4DE5">
        <w:trPr>
          <w:trHeight w:val="255"/>
        </w:trPr>
        <w:tc>
          <w:tcPr>
            <w:tcW w:w="6585" w:type="dxa"/>
            <w:gridSpan w:val="4"/>
            <w:tcBorders>
              <w:top w:val="double" w:sz="4" w:space="0" w:color="auto"/>
              <w:left w:val="nil"/>
              <w:bottom w:val="nil"/>
              <w:right w:val="nil"/>
            </w:tcBorders>
            <w:shd w:val="clear" w:color="auto" w:fill="auto"/>
            <w:noWrap/>
            <w:vAlign w:val="center"/>
          </w:tcPr>
          <w:p w14:paraId="011586F6" w14:textId="77777777" w:rsidR="00740E24" w:rsidRPr="00740E24" w:rsidRDefault="00740E24" w:rsidP="00740E24">
            <w:pPr>
              <w:spacing w:after="0"/>
              <w:ind w:firstLine="0"/>
              <w:jc w:val="left"/>
              <w:rPr>
                <w:sz w:val="18"/>
                <w:lang w:eastAsia="lv-LV"/>
              </w:rPr>
            </w:pPr>
          </w:p>
        </w:tc>
        <w:tc>
          <w:tcPr>
            <w:tcW w:w="850" w:type="dxa"/>
            <w:tcBorders>
              <w:top w:val="double" w:sz="4" w:space="0" w:color="auto"/>
              <w:left w:val="nil"/>
              <w:bottom w:val="nil"/>
              <w:right w:val="nil"/>
            </w:tcBorders>
            <w:shd w:val="clear" w:color="auto" w:fill="auto"/>
            <w:noWrap/>
            <w:vAlign w:val="center"/>
          </w:tcPr>
          <w:p w14:paraId="31E74118" w14:textId="77777777" w:rsidR="00740E24" w:rsidRPr="00740E24" w:rsidRDefault="00740E24" w:rsidP="00740E24">
            <w:pPr>
              <w:spacing w:after="0"/>
              <w:ind w:firstLine="0"/>
              <w:jc w:val="right"/>
              <w:rPr>
                <w:sz w:val="18"/>
                <w:lang w:eastAsia="lv-LV"/>
              </w:rPr>
            </w:pPr>
          </w:p>
        </w:tc>
        <w:tc>
          <w:tcPr>
            <w:tcW w:w="851" w:type="dxa"/>
            <w:tcBorders>
              <w:top w:val="double" w:sz="4" w:space="0" w:color="auto"/>
              <w:left w:val="nil"/>
              <w:bottom w:val="nil"/>
              <w:right w:val="nil"/>
            </w:tcBorders>
            <w:shd w:val="clear" w:color="auto" w:fill="auto"/>
            <w:noWrap/>
            <w:vAlign w:val="center"/>
          </w:tcPr>
          <w:p w14:paraId="0FB8F244" w14:textId="77777777" w:rsidR="00740E24" w:rsidRPr="00740E24" w:rsidRDefault="00740E24" w:rsidP="00740E24">
            <w:pPr>
              <w:spacing w:after="0"/>
              <w:ind w:firstLine="0"/>
              <w:jc w:val="right"/>
              <w:rPr>
                <w:sz w:val="18"/>
                <w:lang w:eastAsia="lv-LV"/>
              </w:rPr>
            </w:pPr>
          </w:p>
        </w:tc>
        <w:tc>
          <w:tcPr>
            <w:tcW w:w="850" w:type="dxa"/>
            <w:tcBorders>
              <w:top w:val="double" w:sz="4" w:space="0" w:color="auto"/>
              <w:left w:val="nil"/>
              <w:bottom w:val="nil"/>
              <w:right w:val="nil"/>
            </w:tcBorders>
            <w:shd w:val="clear" w:color="auto" w:fill="auto"/>
            <w:noWrap/>
            <w:vAlign w:val="center"/>
            <w:hideMark/>
          </w:tcPr>
          <w:p w14:paraId="4532D0B0" w14:textId="77777777" w:rsidR="00740E24" w:rsidRPr="00740E24" w:rsidRDefault="00740E24" w:rsidP="00740E24">
            <w:pPr>
              <w:spacing w:after="0"/>
              <w:ind w:firstLine="0"/>
              <w:jc w:val="right"/>
              <w:rPr>
                <w:sz w:val="18"/>
                <w:lang w:eastAsia="lv-LV"/>
              </w:rPr>
            </w:pPr>
          </w:p>
        </w:tc>
      </w:tr>
      <w:tr w:rsidR="00740E24" w:rsidRPr="00740E24" w14:paraId="5D49C7E3" w14:textId="77777777" w:rsidTr="003F4DE5">
        <w:trPr>
          <w:trHeight w:val="255"/>
        </w:trPr>
        <w:tc>
          <w:tcPr>
            <w:tcW w:w="9136" w:type="dxa"/>
            <w:gridSpan w:val="7"/>
            <w:tcBorders>
              <w:top w:val="nil"/>
              <w:left w:val="nil"/>
              <w:bottom w:val="nil"/>
              <w:right w:val="nil"/>
            </w:tcBorders>
            <w:shd w:val="clear" w:color="auto" w:fill="auto"/>
            <w:vAlign w:val="center"/>
          </w:tcPr>
          <w:tbl>
            <w:tblPr>
              <w:tblW w:w="8696" w:type="dxa"/>
              <w:tblLayout w:type="fixed"/>
              <w:tblLook w:val="04A0" w:firstRow="1" w:lastRow="0" w:firstColumn="1" w:lastColumn="0" w:noHBand="0" w:noVBand="1"/>
            </w:tblPr>
            <w:tblGrid>
              <w:gridCol w:w="8696"/>
            </w:tblGrid>
            <w:tr w:rsidR="00166AE2" w:rsidRPr="00166AE2" w14:paraId="27A4415C" w14:textId="77777777" w:rsidTr="00166AE2">
              <w:trPr>
                <w:trHeight w:val="255"/>
              </w:trPr>
              <w:tc>
                <w:tcPr>
                  <w:tcW w:w="8696" w:type="dxa"/>
                  <w:tcBorders>
                    <w:top w:val="nil"/>
                    <w:left w:val="nil"/>
                    <w:bottom w:val="nil"/>
                    <w:right w:val="nil"/>
                  </w:tcBorders>
                  <w:shd w:val="clear" w:color="auto" w:fill="auto"/>
                  <w:vAlign w:val="center"/>
                  <w:hideMark/>
                </w:tcPr>
                <w:p w14:paraId="5579404A" w14:textId="77777777" w:rsidR="00166AE2" w:rsidRPr="00166AE2" w:rsidRDefault="00166AE2" w:rsidP="00166AE2">
                  <w:pPr>
                    <w:spacing w:after="0"/>
                    <w:ind w:firstLine="0"/>
                    <w:rPr>
                      <w:sz w:val="20"/>
                      <w:lang w:eastAsia="lv-LV"/>
                    </w:rPr>
                  </w:pPr>
                  <w:r w:rsidRPr="00166AE2">
                    <w:rPr>
                      <w:sz w:val="20"/>
                      <w:lang w:eastAsia="lv-LV"/>
                    </w:rPr>
                    <w:t>Saskaņā ar valsts budžeta deficīta un parāda 2013.gada aprīļa notifikācijas 3.A tabulas datiem:</w:t>
                  </w:r>
                </w:p>
              </w:tc>
            </w:tr>
            <w:tr w:rsidR="00166AE2" w:rsidRPr="00166AE2" w14:paraId="45CE36DB" w14:textId="77777777" w:rsidTr="00166AE2">
              <w:trPr>
                <w:trHeight w:val="555"/>
              </w:trPr>
              <w:tc>
                <w:tcPr>
                  <w:tcW w:w="8696" w:type="dxa"/>
                  <w:tcBorders>
                    <w:top w:val="nil"/>
                    <w:left w:val="nil"/>
                    <w:bottom w:val="nil"/>
                    <w:right w:val="nil"/>
                  </w:tcBorders>
                  <w:shd w:val="clear" w:color="auto" w:fill="auto"/>
                  <w:noWrap/>
                  <w:vAlign w:val="center"/>
                  <w:hideMark/>
                </w:tcPr>
                <w:p w14:paraId="636C1E2B" w14:textId="77777777" w:rsidR="00166AE2" w:rsidRPr="00166AE2" w:rsidRDefault="00166AE2" w:rsidP="00166AE2">
                  <w:pPr>
                    <w:spacing w:after="0"/>
                    <w:ind w:firstLine="0"/>
                    <w:rPr>
                      <w:sz w:val="20"/>
                      <w:lang w:eastAsia="lv-LV"/>
                    </w:rPr>
                  </w:pPr>
                  <w:r w:rsidRPr="00166AE2">
                    <w:rPr>
                      <w:sz w:val="20"/>
                      <w:lang w:eastAsia="lv-LV"/>
                    </w:rPr>
                    <w:t>* rindā "Uzkrāto procentu (-) un samaksāto (+) procentu (EDP D.41) starpība" ("</w:t>
                  </w:r>
                  <w:proofErr w:type="spellStart"/>
                  <w:r w:rsidRPr="00166AE2">
                    <w:rPr>
                      <w:sz w:val="20"/>
                      <w:lang w:eastAsia="lv-LV"/>
                    </w:rPr>
                    <w:t>Difference</w:t>
                  </w:r>
                  <w:proofErr w:type="spellEnd"/>
                  <w:r w:rsidRPr="00166AE2">
                    <w:rPr>
                      <w:sz w:val="20"/>
                      <w:lang w:eastAsia="lv-LV"/>
                    </w:rPr>
                    <w:t xml:space="preserve"> </w:t>
                  </w:r>
                  <w:proofErr w:type="spellStart"/>
                  <w:r w:rsidRPr="00166AE2">
                    <w:rPr>
                      <w:sz w:val="20"/>
                      <w:lang w:eastAsia="lv-LV"/>
                    </w:rPr>
                    <w:t>between</w:t>
                  </w:r>
                  <w:proofErr w:type="spellEnd"/>
                  <w:r w:rsidRPr="00166AE2">
                    <w:rPr>
                      <w:sz w:val="20"/>
                      <w:lang w:eastAsia="lv-LV"/>
                    </w:rPr>
                    <w:t xml:space="preserve"> </w:t>
                  </w:r>
                  <w:proofErr w:type="spellStart"/>
                  <w:r w:rsidRPr="00166AE2">
                    <w:rPr>
                      <w:sz w:val="20"/>
                      <w:lang w:eastAsia="lv-LV"/>
                    </w:rPr>
                    <w:t>interest</w:t>
                  </w:r>
                  <w:proofErr w:type="spellEnd"/>
                  <w:r w:rsidRPr="00166AE2">
                    <w:rPr>
                      <w:sz w:val="20"/>
                      <w:lang w:eastAsia="lv-LV"/>
                    </w:rPr>
                    <w:t xml:space="preserve"> (EDP D.41) </w:t>
                  </w:r>
                  <w:proofErr w:type="spellStart"/>
                  <w:r w:rsidRPr="00166AE2">
                    <w:rPr>
                      <w:sz w:val="20"/>
                      <w:lang w:eastAsia="lv-LV"/>
                    </w:rPr>
                    <w:t>accrued</w:t>
                  </w:r>
                  <w:proofErr w:type="spellEnd"/>
                  <w:r w:rsidRPr="00166AE2">
                    <w:rPr>
                      <w:sz w:val="20"/>
                      <w:lang w:eastAsia="lv-LV"/>
                    </w:rPr>
                    <w:t xml:space="preserve"> (-) </w:t>
                  </w:r>
                  <w:proofErr w:type="spellStart"/>
                  <w:r w:rsidRPr="00166AE2">
                    <w:rPr>
                      <w:sz w:val="20"/>
                      <w:lang w:eastAsia="lv-LV"/>
                    </w:rPr>
                    <w:t>and</w:t>
                  </w:r>
                  <w:proofErr w:type="spellEnd"/>
                  <w:r w:rsidRPr="00166AE2">
                    <w:rPr>
                      <w:sz w:val="20"/>
                      <w:lang w:eastAsia="lv-LV"/>
                    </w:rPr>
                    <w:t xml:space="preserve"> </w:t>
                  </w:r>
                  <w:proofErr w:type="spellStart"/>
                  <w:r w:rsidRPr="00166AE2">
                    <w:rPr>
                      <w:sz w:val="20"/>
                      <w:lang w:eastAsia="lv-LV"/>
                    </w:rPr>
                    <w:t>paid</w:t>
                  </w:r>
                  <w:proofErr w:type="spellEnd"/>
                  <w:r w:rsidRPr="00166AE2">
                    <w:rPr>
                      <w:sz w:val="20"/>
                      <w:lang w:eastAsia="lv-LV"/>
                    </w:rPr>
                    <w:t xml:space="preserve"> (+)"),</w:t>
                  </w:r>
                </w:p>
              </w:tc>
            </w:tr>
            <w:tr w:rsidR="00166AE2" w:rsidRPr="00166AE2" w14:paraId="181548A7" w14:textId="77777777" w:rsidTr="00166AE2">
              <w:trPr>
                <w:trHeight w:val="450"/>
              </w:trPr>
              <w:tc>
                <w:tcPr>
                  <w:tcW w:w="8696" w:type="dxa"/>
                  <w:tcBorders>
                    <w:top w:val="nil"/>
                    <w:left w:val="nil"/>
                    <w:bottom w:val="nil"/>
                    <w:right w:val="nil"/>
                  </w:tcBorders>
                  <w:shd w:val="clear" w:color="auto" w:fill="auto"/>
                  <w:noWrap/>
                  <w:vAlign w:val="center"/>
                  <w:hideMark/>
                </w:tcPr>
                <w:p w14:paraId="131B443B" w14:textId="77777777" w:rsidR="00166AE2" w:rsidRPr="00166AE2" w:rsidRDefault="00166AE2" w:rsidP="00166AE2">
                  <w:pPr>
                    <w:spacing w:after="0"/>
                    <w:ind w:firstLine="0"/>
                    <w:rPr>
                      <w:sz w:val="20"/>
                      <w:lang w:eastAsia="lv-LV"/>
                    </w:rPr>
                  </w:pPr>
                  <w:r w:rsidRPr="00166AE2">
                    <w:rPr>
                      <w:sz w:val="20"/>
                      <w:lang w:eastAsia="lv-LV"/>
                    </w:rPr>
                    <w:t>** rindā "Finanšu aktīvu tīrā iegāde" ("</w:t>
                  </w:r>
                  <w:proofErr w:type="spellStart"/>
                  <w:r w:rsidRPr="00166AE2">
                    <w:rPr>
                      <w:sz w:val="20"/>
                      <w:lang w:eastAsia="lv-LV"/>
                    </w:rPr>
                    <w:t>Net</w:t>
                  </w:r>
                  <w:proofErr w:type="spellEnd"/>
                  <w:r w:rsidRPr="00166AE2">
                    <w:rPr>
                      <w:sz w:val="20"/>
                      <w:lang w:eastAsia="lv-LV"/>
                    </w:rPr>
                    <w:t xml:space="preserve"> </w:t>
                  </w:r>
                  <w:proofErr w:type="spellStart"/>
                  <w:r w:rsidRPr="00166AE2">
                    <w:rPr>
                      <w:sz w:val="20"/>
                      <w:lang w:eastAsia="lv-LV"/>
                    </w:rPr>
                    <w:t>acquisition</w:t>
                  </w:r>
                  <w:proofErr w:type="spellEnd"/>
                  <w:r w:rsidRPr="00166AE2">
                    <w:rPr>
                      <w:sz w:val="20"/>
                      <w:lang w:eastAsia="lv-LV"/>
                    </w:rPr>
                    <w:t xml:space="preserve"> </w:t>
                  </w:r>
                  <w:proofErr w:type="spellStart"/>
                  <w:r w:rsidRPr="00166AE2">
                    <w:rPr>
                      <w:sz w:val="20"/>
                      <w:lang w:eastAsia="lv-LV"/>
                    </w:rPr>
                    <w:t>of</w:t>
                  </w:r>
                  <w:proofErr w:type="spellEnd"/>
                  <w:r w:rsidRPr="00166AE2">
                    <w:rPr>
                      <w:sz w:val="20"/>
                      <w:lang w:eastAsia="lv-LV"/>
                    </w:rPr>
                    <w:t xml:space="preserve"> </w:t>
                  </w:r>
                  <w:proofErr w:type="spellStart"/>
                  <w:r w:rsidRPr="00166AE2">
                    <w:rPr>
                      <w:sz w:val="20"/>
                      <w:lang w:eastAsia="lv-LV"/>
                    </w:rPr>
                    <w:t>financial</w:t>
                  </w:r>
                  <w:proofErr w:type="spellEnd"/>
                  <w:r w:rsidRPr="00166AE2">
                    <w:rPr>
                      <w:sz w:val="20"/>
                      <w:lang w:eastAsia="lv-LV"/>
                    </w:rPr>
                    <w:t xml:space="preserve"> </w:t>
                  </w:r>
                  <w:proofErr w:type="spellStart"/>
                  <w:r w:rsidRPr="00166AE2">
                    <w:rPr>
                      <w:sz w:val="20"/>
                      <w:lang w:eastAsia="lv-LV"/>
                    </w:rPr>
                    <w:t>assets</w:t>
                  </w:r>
                  <w:proofErr w:type="spellEnd"/>
                  <w:r w:rsidRPr="00166AE2">
                    <w:rPr>
                      <w:sz w:val="20"/>
                      <w:lang w:eastAsia="lv-LV"/>
                    </w:rPr>
                    <w:t>"),</w:t>
                  </w:r>
                </w:p>
              </w:tc>
            </w:tr>
            <w:tr w:rsidR="00166AE2" w:rsidRPr="00166AE2" w14:paraId="6A8DBC99" w14:textId="77777777" w:rsidTr="00166AE2">
              <w:trPr>
                <w:trHeight w:val="540"/>
              </w:trPr>
              <w:tc>
                <w:tcPr>
                  <w:tcW w:w="8696" w:type="dxa"/>
                  <w:tcBorders>
                    <w:top w:val="nil"/>
                    <w:left w:val="nil"/>
                    <w:bottom w:val="nil"/>
                    <w:right w:val="nil"/>
                  </w:tcBorders>
                  <w:shd w:val="clear" w:color="auto" w:fill="auto"/>
                  <w:vAlign w:val="center"/>
                  <w:hideMark/>
                </w:tcPr>
                <w:p w14:paraId="0390F182" w14:textId="77777777" w:rsidR="00166AE2" w:rsidRPr="00166AE2" w:rsidRDefault="00166AE2" w:rsidP="00166AE2">
                  <w:pPr>
                    <w:spacing w:after="0"/>
                    <w:ind w:firstLine="0"/>
                    <w:rPr>
                      <w:sz w:val="20"/>
                      <w:lang w:eastAsia="lv-LV"/>
                    </w:rPr>
                  </w:pPr>
                  <w:r w:rsidRPr="00166AE2">
                    <w:rPr>
                      <w:sz w:val="20"/>
                      <w:lang w:eastAsia="lv-LV"/>
                    </w:rPr>
                    <w:t>*** rindā "Korekcijas" ("</w:t>
                  </w:r>
                  <w:proofErr w:type="spellStart"/>
                  <w:r w:rsidRPr="00166AE2">
                    <w:rPr>
                      <w:sz w:val="20"/>
                      <w:lang w:eastAsia="lv-LV"/>
                    </w:rPr>
                    <w:t>Adjustments</w:t>
                  </w:r>
                  <w:proofErr w:type="spellEnd"/>
                  <w:r w:rsidRPr="00166AE2">
                    <w:rPr>
                      <w:sz w:val="20"/>
                      <w:lang w:eastAsia="lv-LV"/>
                    </w:rPr>
                    <w:t>"), izņemot rindas "Uzkrāto procentu (-) un samaksāto (+) procentu (EDP D.41) starpība" ("</w:t>
                  </w:r>
                  <w:proofErr w:type="spellStart"/>
                  <w:r w:rsidRPr="00166AE2">
                    <w:rPr>
                      <w:sz w:val="20"/>
                      <w:lang w:eastAsia="lv-LV"/>
                    </w:rPr>
                    <w:t>Difference</w:t>
                  </w:r>
                  <w:proofErr w:type="spellEnd"/>
                  <w:r w:rsidRPr="00166AE2">
                    <w:rPr>
                      <w:sz w:val="20"/>
                      <w:lang w:eastAsia="lv-LV"/>
                    </w:rPr>
                    <w:t xml:space="preserve"> </w:t>
                  </w:r>
                  <w:proofErr w:type="spellStart"/>
                  <w:r w:rsidRPr="00166AE2">
                    <w:rPr>
                      <w:sz w:val="20"/>
                      <w:lang w:eastAsia="lv-LV"/>
                    </w:rPr>
                    <w:t>between</w:t>
                  </w:r>
                  <w:proofErr w:type="spellEnd"/>
                  <w:r w:rsidRPr="00166AE2">
                    <w:rPr>
                      <w:sz w:val="20"/>
                      <w:lang w:eastAsia="lv-LV"/>
                    </w:rPr>
                    <w:t xml:space="preserve"> </w:t>
                  </w:r>
                  <w:proofErr w:type="spellStart"/>
                  <w:r w:rsidRPr="00166AE2">
                    <w:rPr>
                      <w:sz w:val="20"/>
                      <w:lang w:eastAsia="lv-LV"/>
                    </w:rPr>
                    <w:t>interest</w:t>
                  </w:r>
                  <w:proofErr w:type="spellEnd"/>
                  <w:r w:rsidRPr="00166AE2">
                    <w:rPr>
                      <w:sz w:val="20"/>
                      <w:lang w:eastAsia="lv-LV"/>
                    </w:rPr>
                    <w:t xml:space="preserve"> (EDP D.41) </w:t>
                  </w:r>
                  <w:proofErr w:type="spellStart"/>
                  <w:r w:rsidRPr="00166AE2">
                    <w:rPr>
                      <w:sz w:val="20"/>
                      <w:lang w:eastAsia="lv-LV"/>
                    </w:rPr>
                    <w:t>accrued</w:t>
                  </w:r>
                  <w:proofErr w:type="spellEnd"/>
                  <w:r w:rsidRPr="00166AE2">
                    <w:rPr>
                      <w:sz w:val="20"/>
                      <w:lang w:eastAsia="lv-LV"/>
                    </w:rPr>
                    <w:t xml:space="preserve"> (-) </w:t>
                  </w:r>
                  <w:proofErr w:type="spellStart"/>
                  <w:r w:rsidRPr="00166AE2">
                    <w:rPr>
                      <w:sz w:val="20"/>
                      <w:lang w:eastAsia="lv-LV"/>
                    </w:rPr>
                    <w:t>and</w:t>
                  </w:r>
                  <w:proofErr w:type="spellEnd"/>
                  <w:r w:rsidRPr="00166AE2">
                    <w:rPr>
                      <w:sz w:val="20"/>
                      <w:lang w:eastAsia="lv-LV"/>
                    </w:rPr>
                    <w:t xml:space="preserve"> </w:t>
                  </w:r>
                  <w:proofErr w:type="spellStart"/>
                  <w:r w:rsidRPr="00166AE2">
                    <w:rPr>
                      <w:sz w:val="20"/>
                      <w:lang w:eastAsia="lv-LV"/>
                    </w:rPr>
                    <w:t>paid</w:t>
                  </w:r>
                  <w:proofErr w:type="spellEnd"/>
                  <w:r w:rsidRPr="00166AE2">
                    <w:rPr>
                      <w:sz w:val="20"/>
                      <w:lang w:eastAsia="lv-LV"/>
                    </w:rPr>
                    <w:t xml:space="preserve"> (+)") datus, un rindā "Statistikas neatbilstības" "</w:t>
                  </w:r>
                  <w:proofErr w:type="spellStart"/>
                  <w:r w:rsidRPr="00166AE2">
                    <w:rPr>
                      <w:sz w:val="20"/>
                      <w:lang w:eastAsia="lv-LV"/>
                    </w:rPr>
                    <w:t>Statistical</w:t>
                  </w:r>
                  <w:proofErr w:type="spellEnd"/>
                  <w:r w:rsidRPr="00166AE2">
                    <w:rPr>
                      <w:sz w:val="20"/>
                      <w:lang w:eastAsia="lv-LV"/>
                    </w:rPr>
                    <w:t xml:space="preserve"> </w:t>
                  </w:r>
                  <w:proofErr w:type="spellStart"/>
                  <w:r w:rsidRPr="00166AE2">
                    <w:rPr>
                      <w:sz w:val="20"/>
                      <w:lang w:eastAsia="lv-LV"/>
                    </w:rPr>
                    <w:t>discrepancies</w:t>
                  </w:r>
                  <w:proofErr w:type="spellEnd"/>
                  <w:r w:rsidRPr="00166AE2">
                    <w:rPr>
                      <w:sz w:val="20"/>
                      <w:lang w:eastAsia="lv-LV"/>
                    </w:rPr>
                    <w:t>").</w:t>
                  </w:r>
                </w:p>
              </w:tc>
            </w:tr>
          </w:tbl>
          <w:p w14:paraId="5A893882" w14:textId="77777777" w:rsidR="00740E24" w:rsidRPr="00740E24" w:rsidRDefault="00740E24" w:rsidP="00740E24">
            <w:pPr>
              <w:spacing w:after="0"/>
              <w:ind w:firstLine="0"/>
              <w:jc w:val="left"/>
              <w:rPr>
                <w:sz w:val="18"/>
                <w:lang w:eastAsia="lv-LV"/>
              </w:rPr>
            </w:pPr>
          </w:p>
        </w:tc>
      </w:tr>
      <w:tr w:rsidR="00740E24" w:rsidRPr="00740E24" w14:paraId="3CC8C67B" w14:textId="77777777" w:rsidTr="003F4DE5">
        <w:trPr>
          <w:trHeight w:val="255"/>
        </w:trPr>
        <w:tc>
          <w:tcPr>
            <w:tcW w:w="5734" w:type="dxa"/>
            <w:gridSpan w:val="3"/>
            <w:tcBorders>
              <w:top w:val="nil"/>
              <w:left w:val="nil"/>
              <w:bottom w:val="nil"/>
              <w:right w:val="nil"/>
            </w:tcBorders>
            <w:shd w:val="clear" w:color="auto" w:fill="auto"/>
            <w:noWrap/>
            <w:vAlign w:val="center"/>
          </w:tcPr>
          <w:p w14:paraId="7286488C" w14:textId="77777777" w:rsidR="00740E24" w:rsidRPr="00740E24" w:rsidRDefault="00740E24" w:rsidP="00740E24">
            <w:pPr>
              <w:spacing w:after="0"/>
              <w:ind w:firstLine="0"/>
              <w:jc w:val="left"/>
              <w:rPr>
                <w:sz w:val="18"/>
                <w:lang w:eastAsia="lv-LV"/>
              </w:rPr>
            </w:pPr>
          </w:p>
        </w:tc>
        <w:tc>
          <w:tcPr>
            <w:tcW w:w="851" w:type="dxa"/>
            <w:tcBorders>
              <w:top w:val="nil"/>
              <w:left w:val="nil"/>
              <w:bottom w:val="nil"/>
              <w:right w:val="nil"/>
            </w:tcBorders>
            <w:shd w:val="clear" w:color="auto" w:fill="auto"/>
            <w:noWrap/>
            <w:vAlign w:val="bottom"/>
          </w:tcPr>
          <w:p w14:paraId="249A1115" w14:textId="77777777" w:rsidR="00740E24" w:rsidRPr="00740E24" w:rsidRDefault="00740E24" w:rsidP="00740E24">
            <w:pPr>
              <w:spacing w:after="0"/>
              <w:ind w:firstLine="0"/>
              <w:jc w:val="left"/>
              <w:rPr>
                <w:sz w:val="18"/>
                <w:lang w:eastAsia="lv-LV"/>
              </w:rPr>
            </w:pPr>
          </w:p>
        </w:tc>
        <w:tc>
          <w:tcPr>
            <w:tcW w:w="850" w:type="dxa"/>
            <w:tcBorders>
              <w:top w:val="nil"/>
              <w:left w:val="nil"/>
              <w:bottom w:val="nil"/>
              <w:right w:val="nil"/>
            </w:tcBorders>
            <w:shd w:val="clear" w:color="auto" w:fill="auto"/>
            <w:noWrap/>
            <w:vAlign w:val="bottom"/>
          </w:tcPr>
          <w:p w14:paraId="458E0D99" w14:textId="77777777" w:rsidR="00740E24" w:rsidRPr="00740E24" w:rsidRDefault="00740E24" w:rsidP="00740E24">
            <w:pPr>
              <w:spacing w:after="0"/>
              <w:ind w:firstLine="0"/>
              <w:jc w:val="left"/>
              <w:rPr>
                <w:sz w:val="18"/>
                <w:lang w:eastAsia="lv-LV"/>
              </w:rPr>
            </w:pPr>
          </w:p>
        </w:tc>
        <w:tc>
          <w:tcPr>
            <w:tcW w:w="851" w:type="dxa"/>
            <w:tcBorders>
              <w:top w:val="nil"/>
              <w:left w:val="nil"/>
              <w:bottom w:val="nil"/>
              <w:right w:val="nil"/>
            </w:tcBorders>
            <w:shd w:val="clear" w:color="auto" w:fill="auto"/>
            <w:noWrap/>
            <w:vAlign w:val="bottom"/>
          </w:tcPr>
          <w:p w14:paraId="75AC7E8B" w14:textId="77777777" w:rsidR="00740E24" w:rsidRPr="00740E24" w:rsidRDefault="00740E24" w:rsidP="00740E24">
            <w:pPr>
              <w:spacing w:after="0"/>
              <w:ind w:firstLine="0"/>
              <w:jc w:val="left"/>
              <w:rPr>
                <w:sz w:val="18"/>
                <w:lang w:eastAsia="lv-LV"/>
              </w:rPr>
            </w:pPr>
          </w:p>
        </w:tc>
        <w:tc>
          <w:tcPr>
            <w:tcW w:w="850" w:type="dxa"/>
            <w:tcBorders>
              <w:top w:val="nil"/>
              <w:left w:val="nil"/>
              <w:bottom w:val="nil"/>
              <w:right w:val="nil"/>
            </w:tcBorders>
            <w:shd w:val="clear" w:color="auto" w:fill="auto"/>
            <w:noWrap/>
            <w:vAlign w:val="bottom"/>
            <w:hideMark/>
          </w:tcPr>
          <w:p w14:paraId="757FA423" w14:textId="77777777" w:rsidR="00740E24" w:rsidRPr="00740E24" w:rsidRDefault="00740E24" w:rsidP="00740E24">
            <w:pPr>
              <w:spacing w:after="0"/>
              <w:ind w:firstLine="0"/>
              <w:jc w:val="left"/>
              <w:rPr>
                <w:sz w:val="18"/>
                <w:lang w:eastAsia="lv-LV"/>
              </w:rPr>
            </w:pPr>
          </w:p>
        </w:tc>
      </w:tr>
      <w:tr w:rsidR="00740E24" w:rsidRPr="00740E24" w14:paraId="115C5A6D" w14:textId="77777777" w:rsidTr="003F4DE5">
        <w:trPr>
          <w:trHeight w:val="255"/>
        </w:trPr>
        <w:tc>
          <w:tcPr>
            <w:tcW w:w="8286" w:type="dxa"/>
            <w:gridSpan w:val="6"/>
            <w:tcBorders>
              <w:top w:val="nil"/>
              <w:left w:val="nil"/>
              <w:bottom w:val="nil"/>
              <w:right w:val="nil"/>
            </w:tcBorders>
            <w:shd w:val="clear" w:color="auto" w:fill="auto"/>
            <w:vAlign w:val="center"/>
          </w:tcPr>
          <w:p w14:paraId="7D732895" w14:textId="77777777" w:rsidR="00740E24" w:rsidRPr="00740E24" w:rsidRDefault="00740E24" w:rsidP="00740E24">
            <w:pPr>
              <w:spacing w:after="0"/>
              <w:ind w:firstLine="0"/>
              <w:jc w:val="left"/>
              <w:rPr>
                <w:sz w:val="18"/>
                <w:lang w:eastAsia="lv-LV"/>
              </w:rPr>
            </w:pPr>
          </w:p>
        </w:tc>
        <w:tc>
          <w:tcPr>
            <w:tcW w:w="850" w:type="dxa"/>
            <w:tcBorders>
              <w:top w:val="nil"/>
              <w:left w:val="nil"/>
              <w:bottom w:val="nil"/>
              <w:right w:val="nil"/>
            </w:tcBorders>
            <w:shd w:val="clear" w:color="auto" w:fill="auto"/>
            <w:vAlign w:val="bottom"/>
            <w:hideMark/>
          </w:tcPr>
          <w:p w14:paraId="45E8DC68" w14:textId="77777777" w:rsidR="00740E24" w:rsidRPr="00740E24" w:rsidRDefault="00740E24" w:rsidP="00740E24">
            <w:pPr>
              <w:spacing w:after="0"/>
              <w:ind w:firstLine="0"/>
              <w:jc w:val="left"/>
              <w:rPr>
                <w:sz w:val="18"/>
                <w:lang w:eastAsia="lv-LV"/>
              </w:rPr>
            </w:pPr>
          </w:p>
        </w:tc>
      </w:tr>
      <w:tr w:rsidR="00740E24" w:rsidRPr="00740E24" w14:paraId="17D73A77" w14:textId="77777777" w:rsidTr="003F4DE5">
        <w:trPr>
          <w:trHeight w:val="255"/>
        </w:trPr>
        <w:tc>
          <w:tcPr>
            <w:tcW w:w="8286" w:type="dxa"/>
            <w:gridSpan w:val="6"/>
            <w:tcBorders>
              <w:top w:val="nil"/>
              <w:left w:val="nil"/>
              <w:bottom w:val="nil"/>
              <w:right w:val="nil"/>
            </w:tcBorders>
            <w:shd w:val="clear" w:color="auto" w:fill="auto"/>
          </w:tcPr>
          <w:p w14:paraId="1F05B681" w14:textId="77777777" w:rsidR="00740E24" w:rsidRPr="00740E24" w:rsidRDefault="00740E24" w:rsidP="00740E24">
            <w:pPr>
              <w:spacing w:after="0"/>
              <w:ind w:firstLine="0"/>
              <w:jc w:val="left"/>
              <w:rPr>
                <w:sz w:val="18"/>
                <w:lang w:eastAsia="lv-LV"/>
              </w:rPr>
            </w:pPr>
          </w:p>
        </w:tc>
        <w:tc>
          <w:tcPr>
            <w:tcW w:w="850" w:type="dxa"/>
            <w:tcBorders>
              <w:top w:val="nil"/>
              <w:left w:val="nil"/>
              <w:bottom w:val="nil"/>
              <w:right w:val="nil"/>
            </w:tcBorders>
            <w:shd w:val="clear" w:color="auto" w:fill="auto"/>
            <w:vAlign w:val="bottom"/>
            <w:hideMark/>
          </w:tcPr>
          <w:p w14:paraId="39374177" w14:textId="77777777" w:rsidR="00740E24" w:rsidRPr="00740E24" w:rsidRDefault="00740E24" w:rsidP="00740E24">
            <w:pPr>
              <w:spacing w:after="0"/>
              <w:ind w:firstLine="0"/>
              <w:jc w:val="left"/>
              <w:rPr>
                <w:sz w:val="18"/>
                <w:lang w:eastAsia="lv-LV"/>
              </w:rPr>
            </w:pPr>
          </w:p>
        </w:tc>
      </w:tr>
    </w:tbl>
    <w:p w14:paraId="36EA9E9A" w14:textId="77777777" w:rsidR="002D62B9" w:rsidRDefault="00203D1A" w:rsidP="002D62B9">
      <w:pPr>
        <w:pStyle w:val="T"/>
        <w:ind w:left="0"/>
        <w:rPr>
          <w:rFonts w:ascii="Times New Roman" w:hAnsi="Times New Roman"/>
          <w:color w:val="000000"/>
          <w:szCs w:val="24"/>
        </w:rPr>
      </w:pPr>
      <w:r>
        <w:rPr>
          <w:rFonts w:ascii="Times New Roman" w:hAnsi="Times New Roman"/>
          <w:color w:val="000000"/>
          <w:szCs w:val="24"/>
        </w:rPr>
        <w:br w:type="page"/>
      </w:r>
      <w:r w:rsidR="002D62B9" w:rsidRPr="001946E0">
        <w:rPr>
          <w:rFonts w:ascii="Times New Roman" w:hAnsi="Times New Roman"/>
          <w:color w:val="000000"/>
          <w:szCs w:val="24"/>
        </w:rPr>
        <w:lastRenderedPageBreak/>
        <w:t>5. tabula. Cikliskā attīstība</w:t>
      </w:r>
    </w:p>
    <w:tbl>
      <w:tblPr>
        <w:tblW w:w="9095" w:type="dxa"/>
        <w:tblInd w:w="85" w:type="dxa"/>
        <w:tblLook w:val="04A0" w:firstRow="1" w:lastRow="0" w:firstColumn="1" w:lastColumn="0" w:noHBand="0" w:noVBand="1"/>
      </w:tblPr>
      <w:tblGrid>
        <w:gridCol w:w="4134"/>
        <w:gridCol w:w="709"/>
        <w:gridCol w:w="850"/>
        <w:gridCol w:w="851"/>
        <w:gridCol w:w="850"/>
        <w:gridCol w:w="851"/>
        <w:gridCol w:w="850"/>
      </w:tblGrid>
      <w:tr w:rsidR="005901D6" w:rsidRPr="00B177B8" w14:paraId="10EA75BF" w14:textId="77777777" w:rsidTr="005901D6">
        <w:trPr>
          <w:trHeight w:val="660"/>
        </w:trPr>
        <w:tc>
          <w:tcPr>
            <w:tcW w:w="4134"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1D35CB3"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xml:space="preserve">% no IKP </w:t>
            </w:r>
          </w:p>
        </w:tc>
        <w:tc>
          <w:tcPr>
            <w:tcW w:w="709" w:type="dxa"/>
            <w:tcBorders>
              <w:top w:val="double" w:sz="6" w:space="0" w:color="auto"/>
              <w:left w:val="nil"/>
              <w:bottom w:val="double" w:sz="6" w:space="0" w:color="auto"/>
              <w:right w:val="double" w:sz="6" w:space="0" w:color="auto"/>
            </w:tcBorders>
            <w:shd w:val="clear" w:color="auto" w:fill="auto"/>
            <w:vAlign w:val="bottom"/>
            <w:hideMark/>
          </w:tcPr>
          <w:p w14:paraId="0498284E"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EKS Kods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5C4EF3AE"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2012</w:t>
            </w:r>
          </w:p>
        </w:tc>
        <w:tc>
          <w:tcPr>
            <w:tcW w:w="851" w:type="dxa"/>
            <w:tcBorders>
              <w:top w:val="double" w:sz="6" w:space="0" w:color="auto"/>
              <w:left w:val="nil"/>
              <w:bottom w:val="double" w:sz="6" w:space="0" w:color="auto"/>
              <w:right w:val="single" w:sz="4" w:space="0" w:color="auto"/>
            </w:tcBorders>
            <w:shd w:val="clear" w:color="auto" w:fill="auto"/>
            <w:noWrap/>
            <w:vAlign w:val="center"/>
            <w:hideMark/>
          </w:tcPr>
          <w:p w14:paraId="5BE72EA7"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2013</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4EF5B1B5"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2014</w:t>
            </w:r>
          </w:p>
        </w:tc>
        <w:tc>
          <w:tcPr>
            <w:tcW w:w="851" w:type="dxa"/>
            <w:tcBorders>
              <w:top w:val="double" w:sz="6" w:space="0" w:color="auto"/>
              <w:left w:val="nil"/>
              <w:bottom w:val="double" w:sz="6" w:space="0" w:color="auto"/>
              <w:right w:val="single" w:sz="4" w:space="0" w:color="auto"/>
            </w:tcBorders>
            <w:shd w:val="clear" w:color="auto" w:fill="auto"/>
            <w:noWrap/>
            <w:vAlign w:val="center"/>
            <w:hideMark/>
          </w:tcPr>
          <w:p w14:paraId="42AF3BF4"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2015</w:t>
            </w:r>
          </w:p>
        </w:tc>
        <w:tc>
          <w:tcPr>
            <w:tcW w:w="850" w:type="dxa"/>
            <w:tcBorders>
              <w:top w:val="double" w:sz="6" w:space="0" w:color="auto"/>
              <w:left w:val="nil"/>
              <w:bottom w:val="double" w:sz="6" w:space="0" w:color="auto"/>
              <w:right w:val="double" w:sz="6" w:space="0" w:color="auto"/>
            </w:tcBorders>
            <w:shd w:val="clear" w:color="auto" w:fill="auto"/>
            <w:noWrap/>
            <w:vAlign w:val="center"/>
            <w:hideMark/>
          </w:tcPr>
          <w:p w14:paraId="579BD941"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2016</w:t>
            </w:r>
          </w:p>
        </w:tc>
      </w:tr>
      <w:tr w:rsidR="005901D6" w:rsidRPr="00B177B8" w14:paraId="6A4E284E" w14:textId="77777777" w:rsidTr="005901D6">
        <w:trPr>
          <w:trHeight w:val="59"/>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0DB3DFC8"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1. IKP pieaugums salīdzināmās cenās (%)</w:t>
            </w:r>
          </w:p>
        </w:tc>
        <w:tc>
          <w:tcPr>
            <w:tcW w:w="709" w:type="dxa"/>
            <w:tcBorders>
              <w:top w:val="nil"/>
              <w:left w:val="nil"/>
              <w:bottom w:val="single" w:sz="4" w:space="0" w:color="auto"/>
              <w:right w:val="double" w:sz="6" w:space="0" w:color="auto"/>
            </w:tcBorders>
            <w:shd w:val="clear" w:color="auto" w:fill="auto"/>
            <w:noWrap/>
            <w:vAlign w:val="center"/>
            <w:hideMark/>
          </w:tcPr>
          <w:p w14:paraId="489CA265" w14:textId="77777777" w:rsidR="005901D6" w:rsidRPr="00B177B8" w:rsidRDefault="005901D6" w:rsidP="00F46473">
            <w:pPr>
              <w:spacing w:after="0"/>
              <w:ind w:firstLine="0"/>
              <w:jc w:val="center"/>
              <w:rPr>
                <w:sz w:val="20"/>
                <w:lang w:eastAsia="lv-LV"/>
              </w:rPr>
            </w:pPr>
            <w:r w:rsidRPr="00B177B8">
              <w:rPr>
                <w:sz w:val="20"/>
                <w:lang w:eastAsia="lv-LV"/>
              </w:rPr>
              <w:t>B1g</w:t>
            </w:r>
          </w:p>
        </w:tc>
        <w:tc>
          <w:tcPr>
            <w:tcW w:w="850" w:type="dxa"/>
            <w:tcBorders>
              <w:top w:val="nil"/>
              <w:left w:val="nil"/>
              <w:bottom w:val="single" w:sz="4" w:space="0" w:color="auto"/>
              <w:right w:val="single" w:sz="4" w:space="0" w:color="auto"/>
            </w:tcBorders>
            <w:shd w:val="clear" w:color="auto" w:fill="auto"/>
            <w:noWrap/>
            <w:vAlign w:val="bottom"/>
            <w:hideMark/>
          </w:tcPr>
          <w:p w14:paraId="3C0ED302"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5,6</w:t>
            </w:r>
          </w:p>
        </w:tc>
        <w:tc>
          <w:tcPr>
            <w:tcW w:w="851" w:type="dxa"/>
            <w:tcBorders>
              <w:top w:val="nil"/>
              <w:left w:val="nil"/>
              <w:bottom w:val="single" w:sz="4" w:space="0" w:color="auto"/>
              <w:right w:val="single" w:sz="4" w:space="0" w:color="auto"/>
            </w:tcBorders>
            <w:shd w:val="clear" w:color="auto" w:fill="auto"/>
            <w:noWrap/>
            <w:vAlign w:val="bottom"/>
            <w:hideMark/>
          </w:tcPr>
          <w:p w14:paraId="1FC1D729"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4,0</w:t>
            </w:r>
          </w:p>
        </w:tc>
        <w:tc>
          <w:tcPr>
            <w:tcW w:w="850" w:type="dxa"/>
            <w:tcBorders>
              <w:top w:val="nil"/>
              <w:left w:val="nil"/>
              <w:bottom w:val="single" w:sz="4" w:space="0" w:color="auto"/>
              <w:right w:val="single" w:sz="4" w:space="0" w:color="auto"/>
            </w:tcBorders>
            <w:shd w:val="clear" w:color="auto" w:fill="auto"/>
            <w:noWrap/>
            <w:vAlign w:val="bottom"/>
            <w:hideMark/>
          </w:tcPr>
          <w:p w14:paraId="6A67F4CB"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4,0</w:t>
            </w:r>
          </w:p>
        </w:tc>
        <w:tc>
          <w:tcPr>
            <w:tcW w:w="851" w:type="dxa"/>
            <w:tcBorders>
              <w:top w:val="nil"/>
              <w:left w:val="nil"/>
              <w:bottom w:val="single" w:sz="4" w:space="0" w:color="auto"/>
              <w:right w:val="single" w:sz="4" w:space="0" w:color="auto"/>
            </w:tcBorders>
            <w:shd w:val="clear" w:color="auto" w:fill="auto"/>
            <w:noWrap/>
            <w:vAlign w:val="bottom"/>
            <w:hideMark/>
          </w:tcPr>
          <w:p w14:paraId="3126F2BA"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4,0</w:t>
            </w:r>
          </w:p>
        </w:tc>
        <w:tc>
          <w:tcPr>
            <w:tcW w:w="850" w:type="dxa"/>
            <w:tcBorders>
              <w:top w:val="nil"/>
              <w:left w:val="nil"/>
              <w:bottom w:val="single" w:sz="4" w:space="0" w:color="auto"/>
              <w:right w:val="double" w:sz="6" w:space="0" w:color="auto"/>
            </w:tcBorders>
            <w:shd w:val="clear" w:color="auto" w:fill="auto"/>
            <w:noWrap/>
            <w:vAlign w:val="bottom"/>
            <w:hideMark/>
          </w:tcPr>
          <w:p w14:paraId="3E3AA163"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4,0</w:t>
            </w:r>
          </w:p>
        </w:tc>
      </w:tr>
      <w:tr w:rsidR="005901D6" w:rsidRPr="00B177B8" w14:paraId="0EDDC5FC" w14:textId="77777777" w:rsidTr="005901D6">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536D3444"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2. Faktiskā budžeta bilance</w:t>
            </w:r>
          </w:p>
        </w:tc>
        <w:tc>
          <w:tcPr>
            <w:tcW w:w="709" w:type="dxa"/>
            <w:tcBorders>
              <w:top w:val="nil"/>
              <w:left w:val="nil"/>
              <w:bottom w:val="single" w:sz="4" w:space="0" w:color="auto"/>
              <w:right w:val="double" w:sz="6" w:space="0" w:color="auto"/>
            </w:tcBorders>
            <w:shd w:val="clear" w:color="auto" w:fill="auto"/>
            <w:noWrap/>
            <w:vAlign w:val="bottom"/>
            <w:hideMark/>
          </w:tcPr>
          <w:p w14:paraId="1F7AFF2E"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B.9</w:t>
            </w:r>
          </w:p>
        </w:tc>
        <w:tc>
          <w:tcPr>
            <w:tcW w:w="850" w:type="dxa"/>
            <w:tcBorders>
              <w:top w:val="nil"/>
              <w:left w:val="nil"/>
              <w:bottom w:val="single" w:sz="4" w:space="0" w:color="auto"/>
              <w:right w:val="single" w:sz="4" w:space="0" w:color="auto"/>
            </w:tcBorders>
            <w:shd w:val="clear" w:color="auto" w:fill="auto"/>
            <w:noWrap/>
            <w:vAlign w:val="bottom"/>
            <w:hideMark/>
          </w:tcPr>
          <w:p w14:paraId="4C9C3F75"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B4AB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AF0953"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805BF19"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-0,9</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7F80E4F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-0,9</w:t>
            </w:r>
          </w:p>
        </w:tc>
      </w:tr>
      <w:tr w:rsidR="005901D6" w:rsidRPr="00B177B8" w14:paraId="09E39340" w14:textId="77777777" w:rsidTr="005901D6">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6D0102A0"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xml:space="preserve">3. Procentu izdevumi  </w:t>
            </w:r>
          </w:p>
        </w:tc>
        <w:tc>
          <w:tcPr>
            <w:tcW w:w="709" w:type="dxa"/>
            <w:tcBorders>
              <w:top w:val="nil"/>
              <w:left w:val="nil"/>
              <w:bottom w:val="nil"/>
              <w:right w:val="double" w:sz="6" w:space="0" w:color="auto"/>
            </w:tcBorders>
            <w:shd w:val="clear" w:color="auto" w:fill="auto"/>
            <w:noWrap/>
            <w:vAlign w:val="bottom"/>
            <w:hideMark/>
          </w:tcPr>
          <w:p w14:paraId="5ACEA929" w14:textId="77777777" w:rsidR="005901D6" w:rsidRPr="00B177B8" w:rsidRDefault="005901D6" w:rsidP="00F46473">
            <w:pPr>
              <w:spacing w:after="0"/>
              <w:ind w:firstLine="0"/>
              <w:jc w:val="center"/>
              <w:rPr>
                <w:color w:val="000000"/>
                <w:sz w:val="20"/>
                <w:lang w:eastAsia="lv-LV"/>
              </w:rPr>
            </w:pPr>
            <w:r w:rsidRPr="00B177B8">
              <w:rPr>
                <w:color w:val="000000"/>
                <w:sz w:val="20"/>
                <w:lang w:eastAsia="lv-LV"/>
              </w:rPr>
              <w:t>D.41</w:t>
            </w:r>
          </w:p>
        </w:tc>
        <w:tc>
          <w:tcPr>
            <w:tcW w:w="850" w:type="dxa"/>
            <w:tcBorders>
              <w:top w:val="nil"/>
              <w:left w:val="nil"/>
              <w:bottom w:val="single" w:sz="4" w:space="0" w:color="auto"/>
              <w:right w:val="single" w:sz="4" w:space="0" w:color="auto"/>
            </w:tcBorders>
            <w:shd w:val="clear" w:color="auto" w:fill="auto"/>
            <w:noWrap/>
            <w:vAlign w:val="bottom"/>
            <w:hideMark/>
          </w:tcPr>
          <w:p w14:paraId="453C7F9B" w14:textId="77777777" w:rsidR="005901D6" w:rsidRPr="00DD705A" w:rsidRDefault="005901D6" w:rsidP="00F46473">
            <w:pPr>
              <w:spacing w:after="0"/>
              <w:ind w:firstLine="0"/>
              <w:jc w:val="right"/>
              <w:rPr>
                <w:color w:val="000000"/>
                <w:sz w:val="20"/>
                <w:lang w:eastAsia="lv-LV"/>
              </w:rPr>
            </w:pPr>
            <w:r w:rsidRPr="00DD705A">
              <w:rPr>
                <w:color w:val="000000"/>
                <w:sz w:val="20"/>
                <w:lang w:eastAsia="lv-LV"/>
              </w:rPr>
              <w:t>1,3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CF844DC" w14:textId="77777777" w:rsidR="005901D6" w:rsidRPr="00DD705A" w:rsidRDefault="005901D6" w:rsidP="00F46473">
            <w:pPr>
              <w:spacing w:after="0"/>
              <w:ind w:firstLine="0"/>
              <w:jc w:val="right"/>
              <w:rPr>
                <w:color w:val="000000"/>
                <w:sz w:val="20"/>
                <w:lang w:eastAsia="lv-LV"/>
              </w:rPr>
            </w:pPr>
            <w:r w:rsidRPr="00DD705A">
              <w:rPr>
                <w:color w:val="000000"/>
                <w:sz w:val="20"/>
                <w:lang w:eastAsia="lv-LV"/>
              </w:rPr>
              <w:t>1,5</w:t>
            </w:r>
          </w:p>
        </w:tc>
        <w:tc>
          <w:tcPr>
            <w:tcW w:w="850" w:type="dxa"/>
            <w:tcBorders>
              <w:top w:val="nil"/>
              <w:left w:val="nil"/>
              <w:bottom w:val="single" w:sz="4" w:space="0" w:color="auto"/>
              <w:right w:val="single" w:sz="4" w:space="0" w:color="auto"/>
            </w:tcBorders>
            <w:shd w:val="clear" w:color="auto" w:fill="auto"/>
            <w:noWrap/>
            <w:vAlign w:val="bottom"/>
            <w:hideMark/>
          </w:tcPr>
          <w:p w14:paraId="1B7686D0" w14:textId="77777777" w:rsidR="005901D6" w:rsidRPr="00DD705A" w:rsidRDefault="005901D6" w:rsidP="00F46473">
            <w:pPr>
              <w:spacing w:after="0"/>
              <w:ind w:firstLine="0"/>
              <w:jc w:val="right"/>
              <w:rPr>
                <w:color w:val="000000"/>
                <w:sz w:val="20"/>
                <w:lang w:eastAsia="lv-LV"/>
              </w:rPr>
            </w:pPr>
            <w:r w:rsidRPr="00DD705A">
              <w:rPr>
                <w:color w:val="000000"/>
                <w:sz w:val="20"/>
                <w:lang w:eastAsia="lv-LV"/>
              </w:rPr>
              <w:t>1,6</w:t>
            </w:r>
          </w:p>
        </w:tc>
        <w:tc>
          <w:tcPr>
            <w:tcW w:w="851" w:type="dxa"/>
            <w:tcBorders>
              <w:top w:val="nil"/>
              <w:left w:val="nil"/>
              <w:bottom w:val="single" w:sz="4" w:space="0" w:color="auto"/>
              <w:right w:val="single" w:sz="4" w:space="0" w:color="auto"/>
            </w:tcBorders>
            <w:shd w:val="clear" w:color="auto" w:fill="auto"/>
            <w:noWrap/>
            <w:vAlign w:val="bottom"/>
            <w:hideMark/>
          </w:tcPr>
          <w:p w14:paraId="2D1E99B4" w14:textId="77777777" w:rsidR="005901D6" w:rsidRPr="00DD705A" w:rsidRDefault="005901D6" w:rsidP="00F46473">
            <w:pPr>
              <w:spacing w:after="0"/>
              <w:ind w:firstLine="0"/>
              <w:jc w:val="right"/>
              <w:rPr>
                <w:color w:val="000000"/>
                <w:sz w:val="20"/>
                <w:lang w:eastAsia="lv-LV"/>
              </w:rPr>
            </w:pPr>
            <w:r w:rsidRPr="00DD705A">
              <w:rPr>
                <w:color w:val="000000"/>
                <w:sz w:val="20"/>
                <w:lang w:eastAsia="lv-LV"/>
              </w:rPr>
              <w:t>1,5</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09FB5474" w14:textId="77777777" w:rsidR="005901D6" w:rsidRPr="00DD705A" w:rsidRDefault="005901D6" w:rsidP="00F46473">
            <w:pPr>
              <w:spacing w:after="0"/>
              <w:ind w:firstLine="0"/>
              <w:jc w:val="right"/>
              <w:rPr>
                <w:color w:val="000000"/>
                <w:sz w:val="20"/>
                <w:lang w:eastAsia="lv-LV"/>
              </w:rPr>
            </w:pPr>
            <w:r w:rsidRPr="00DD705A">
              <w:rPr>
                <w:color w:val="000000"/>
                <w:sz w:val="20"/>
                <w:lang w:eastAsia="lv-LV"/>
              </w:rPr>
              <w:t>1,4</w:t>
            </w:r>
          </w:p>
        </w:tc>
      </w:tr>
      <w:tr w:rsidR="005901D6" w:rsidRPr="00B177B8" w14:paraId="22E163FA" w14:textId="77777777" w:rsidTr="005901D6">
        <w:trPr>
          <w:trHeight w:val="70"/>
        </w:trPr>
        <w:tc>
          <w:tcPr>
            <w:tcW w:w="4134"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7A94BF0F"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4. Vienreizēji un citi īslaicīgi pasākumi</w:t>
            </w:r>
          </w:p>
        </w:tc>
        <w:tc>
          <w:tcPr>
            <w:tcW w:w="709" w:type="dxa"/>
            <w:tcBorders>
              <w:top w:val="single" w:sz="4" w:space="0" w:color="auto"/>
              <w:left w:val="nil"/>
              <w:bottom w:val="single" w:sz="4" w:space="0" w:color="auto"/>
              <w:right w:val="double" w:sz="6" w:space="0" w:color="auto"/>
            </w:tcBorders>
            <w:shd w:val="clear" w:color="auto" w:fill="auto"/>
            <w:noWrap/>
            <w:vAlign w:val="bottom"/>
            <w:hideMark/>
          </w:tcPr>
          <w:p w14:paraId="3772A739"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44860A73" w14:textId="77777777" w:rsidR="005901D6" w:rsidRPr="00B177B8" w:rsidRDefault="005901D6" w:rsidP="00F46473">
            <w:pPr>
              <w:spacing w:after="0"/>
              <w:ind w:firstLine="0"/>
              <w:jc w:val="right"/>
              <w:rPr>
                <w:sz w:val="20"/>
                <w:lang w:eastAsia="lv-LV"/>
              </w:rPr>
            </w:pPr>
            <w:r w:rsidRPr="00B177B8">
              <w:rPr>
                <w:sz w:val="20"/>
                <w:lang w:eastAsia="lv-LV"/>
              </w:rPr>
              <w:t>-0,5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54BC853" w14:textId="77777777" w:rsidR="005901D6" w:rsidRPr="00B177B8" w:rsidRDefault="005901D6" w:rsidP="00F46473">
            <w:pPr>
              <w:spacing w:after="0"/>
              <w:ind w:firstLine="0"/>
              <w:jc w:val="left"/>
              <w:rPr>
                <w:sz w:val="20"/>
                <w:lang w:eastAsia="lv-LV"/>
              </w:rPr>
            </w:pPr>
            <w:r w:rsidRPr="00B177B8">
              <w:rPr>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2750FD3C" w14:textId="77777777" w:rsidR="005901D6" w:rsidRPr="00B177B8" w:rsidRDefault="005901D6" w:rsidP="00F46473">
            <w:pPr>
              <w:spacing w:after="0"/>
              <w:ind w:firstLine="0"/>
              <w:jc w:val="left"/>
              <w:rPr>
                <w:sz w:val="20"/>
                <w:lang w:eastAsia="lv-LV"/>
              </w:rPr>
            </w:pPr>
            <w:r w:rsidRPr="00B177B8">
              <w:rPr>
                <w:sz w:val="20"/>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14:paraId="690F9B8B" w14:textId="77777777" w:rsidR="005901D6" w:rsidRPr="00B177B8" w:rsidRDefault="005901D6" w:rsidP="00F46473">
            <w:pPr>
              <w:spacing w:after="0"/>
              <w:ind w:firstLine="0"/>
              <w:jc w:val="left"/>
              <w:rPr>
                <w:sz w:val="20"/>
                <w:lang w:eastAsia="lv-LV"/>
              </w:rPr>
            </w:pPr>
            <w:r w:rsidRPr="00B177B8">
              <w:rPr>
                <w:sz w:val="20"/>
                <w:lang w:eastAsia="lv-LV"/>
              </w:rPr>
              <w:t> </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16CF1EE8" w14:textId="77777777" w:rsidR="005901D6" w:rsidRPr="00B177B8" w:rsidRDefault="005901D6" w:rsidP="00F46473">
            <w:pPr>
              <w:spacing w:after="0"/>
              <w:ind w:firstLine="0"/>
              <w:jc w:val="left"/>
              <w:rPr>
                <w:sz w:val="20"/>
                <w:lang w:eastAsia="lv-LV"/>
              </w:rPr>
            </w:pPr>
            <w:r w:rsidRPr="00B177B8">
              <w:rPr>
                <w:sz w:val="20"/>
                <w:lang w:eastAsia="lv-LV"/>
              </w:rPr>
              <w:t> </w:t>
            </w:r>
          </w:p>
        </w:tc>
      </w:tr>
      <w:tr w:rsidR="005901D6" w:rsidRPr="00B177B8" w14:paraId="0172ECA8" w14:textId="77777777" w:rsidTr="005901D6">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3BC5426A"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5. Potenciālā IKP pieaugums (%)</w:t>
            </w:r>
          </w:p>
        </w:tc>
        <w:tc>
          <w:tcPr>
            <w:tcW w:w="709" w:type="dxa"/>
            <w:tcBorders>
              <w:top w:val="nil"/>
              <w:left w:val="nil"/>
              <w:bottom w:val="single" w:sz="4" w:space="0" w:color="auto"/>
              <w:right w:val="double" w:sz="6" w:space="0" w:color="auto"/>
            </w:tcBorders>
            <w:shd w:val="clear" w:color="auto" w:fill="auto"/>
            <w:noWrap/>
            <w:vAlign w:val="bottom"/>
            <w:hideMark/>
          </w:tcPr>
          <w:p w14:paraId="1991B91F"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0677A139"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670BBB5"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3,1</w:t>
            </w:r>
          </w:p>
        </w:tc>
        <w:tc>
          <w:tcPr>
            <w:tcW w:w="850" w:type="dxa"/>
            <w:tcBorders>
              <w:top w:val="nil"/>
              <w:left w:val="nil"/>
              <w:bottom w:val="single" w:sz="4" w:space="0" w:color="auto"/>
              <w:right w:val="single" w:sz="4" w:space="0" w:color="auto"/>
            </w:tcBorders>
            <w:shd w:val="clear" w:color="auto" w:fill="auto"/>
            <w:noWrap/>
            <w:vAlign w:val="bottom"/>
            <w:hideMark/>
          </w:tcPr>
          <w:p w14:paraId="1DDDEAD8"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3,8</w:t>
            </w:r>
          </w:p>
        </w:tc>
        <w:tc>
          <w:tcPr>
            <w:tcW w:w="851" w:type="dxa"/>
            <w:tcBorders>
              <w:top w:val="nil"/>
              <w:left w:val="nil"/>
              <w:bottom w:val="single" w:sz="4" w:space="0" w:color="auto"/>
              <w:right w:val="single" w:sz="4" w:space="0" w:color="auto"/>
            </w:tcBorders>
            <w:shd w:val="clear" w:color="auto" w:fill="auto"/>
            <w:noWrap/>
            <w:vAlign w:val="bottom"/>
            <w:hideMark/>
          </w:tcPr>
          <w:p w14:paraId="65871D02"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4,1</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0B70CCF1"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4,2</w:t>
            </w:r>
          </w:p>
        </w:tc>
      </w:tr>
      <w:tr w:rsidR="005901D6" w:rsidRPr="00B177B8" w14:paraId="3D9936E0" w14:textId="77777777" w:rsidTr="005901D6">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30ED97DD" w14:textId="77777777" w:rsidR="005901D6" w:rsidRPr="00B177B8" w:rsidRDefault="005901D6" w:rsidP="00F46473">
            <w:pPr>
              <w:spacing w:after="0"/>
              <w:ind w:firstLineChars="100" w:firstLine="200"/>
              <w:jc w:val="left"/>
              <w:rPr>
                <w:color w:val="000000"/>
                <w:sz w:val="20"/>
                <w:lang w:eastAsia="lv-LV"/>
              </w:rPr>
            </w:pPr>
            <w:r w:rsidRPr="00B177B8">
              <w:rPr>
                <w:color w:val="000000"/>
                <w:sz w:val="20"/>
                <w:lang w:eastAsia="lv-LV"/>
              </w:rPr>
              <w:t>ieguldījums:</w:t>
            </w:r>
          </w:p>
        </w:tc>
        <w:tc>
          <w:tcPr>
            <w:tcW w:w="709" w:type="dxa"/>
            <w:tcBorders>
              <w:top w:val="nil"/>
              <w:left w:val="nil"/>
              <w:bottom w:val="nil"/>
              <w:right w:val="double" w:sz="6" w:space="0" w:color="auto"/>
            </w:tcBorders>
            <w:shd w:val="clear" w:color="auto" w:fill="auto"/>
            <w:noWrap/>
            <w:vAlign w:val="bottom"/>
            <w:hideMark/>
          </w:tcPr>
          <w:p w14:paraId="25E7C0EB"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46E0CF39"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97AA9B8"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31CDB822"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1" w:type="dxa"/>
            <w:tcBorders>
              <w:top w:val="nil"/>
              <w:left w:val="nil"/>
              <w:bottom w:val="single" w:sz="4" w:space="0" w:color="auto"/>
              <w:right w:val="single" w:sz="4" w:space="0" w:color="auto"/>
            </w:tcBorders>
            <w:shd w:val="clear" w:color="auto" w:fill="auto"/>
            <w:noWrap/>
            <w:vAlign w:val="bottom"/>
            <w:hideMark/>
          </w:tcPr>
          <w:p w14:paraId="3C1DC459"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5D02558F"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r>
      <w:tr w:rsidR="005901D6" w:rsidRPr="00B177B8" w14:paraId="6E3A9D74" w14:textId="77777777" w:rsidTr="005901D6">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39DB06BE" w14:textId="77777777" w:rsidR="005901D6" w:rsidRPr="00B177B8" w:rsidRDefault="005901D6" w:rsidP="00F46473">
            <w:pPr>
              <w:spacing w:after="0"/>
              <w:ind w:firstLineChars="200" w:firstLine="400"/>
              <w:jc w:val="left"/>
              <w:rPr>
                <w:color w:val="000000"/>
                <w:sz w:val="20"/>
                <w:lang w:eastAsia="lv-LV"/>
              </w:rPr>
            </w:pPr>
            <w:r w:rsidRPr="00B177B8">
              <w:rPr>
                <w:color w:val="000000"/>
                <w:sz w:val="20"/>
                <w:lang w:eastAsia="lv-LV"/>
              </w:rPr>
              <w:t xml:space="preserve"> - nodarbinātības</w:t>
            </w:r>
          </w:p>
        </w:tc>
        <w:tc>
          <w:tcPr>
            <w:tcW w:w="709" w:type="dxa"/>
            <w:tcBorders>
              <w:top w:val="nil"/>
              <w:left w:val="nil"/>
              <w:bottom w:val="nil"/>
              <w:right w:val="double" w:sz="6" w:space="0" w:color="auto"/>
            </w:tcBorders>
            <w:shd w:val="clear" w:color="auto" w:fill="auto"/>
            <w:noWrap/>
            <w:vAlign w:val="bottom"/>
            <w:hideMark/>
          </w:tcPr>
          <w:p w14:paraId="229E78EC"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3491BDAB" w14:textId="77777777" w:rsidR="005901D6" w:rsidRPr="00B177B8" w:rsidRDefault="005901D6" w:rsidP="00F46473">
            <w:pPr>
              <w:spacing w:after="0"/>
              <w:ind w:firstLine="0"/>
              <w:jc w:val="right"/>
              <w:rPr>
                <w:sz w:val="20"/>
                <w:lang w:eastAsia="lv-LV"/>
              </w:rPr>
            </w:pPr>
            <w:r w:rsidRPr="00B177B8">
              <w:rPr>
                <w:sz w:val="20"/>
                <w:lang w:eastAsia="lv-LV"/>
              </w:rPr>
              <w:t>-0,3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6260AFB" w14:textId="77777777" w:rsidR="005901D6" w:rsidRPr="00B177B8" w:rsidRDefault="005901D6" w:rsidP="00F46473">
            <w:pPr>
              <w:spacing w:after="0"/>
              <w:ind w:firstLine="0"/>
              <w:jc w:val="right"/>
              <w:rPr>
                <w:sz w:val="20"/>
                <w:lang w:eastAsia="lv-LV"/>
              </w:rPr>
            </w:pPr>
            <w:r w:rsidRPr="00B177B8">
              <w:rPr>
                <w:sz w:val="20"/>
                <w:lang w:eastAsia="lv-LV"/>
              </w:rPr>
              <w:t>0,5</w:t>
            </w:r>
          </w:p>
        </w:tc>
        <w:tc>
          <w:tcPr>
            <w:tcW w:w="850" w:type="dxa"/>
            <w:tcBorders>
              <w:top w:val="nil"/>
              <w:left w:val="nil"/>
              <w:bottom w:val="single" w:sz="4" w:space="0" w:color="auto"/>
              <w:right w:val="single" w:sz="4" w:space="0" w:color="auto"/>
            </w:tcBorders>
            <w:shd w:val="clear" w:color="auto" w:fill="auto"/>
            <w:noWrap/>
            <w:vAlign w:val="bottom"/>
            <w:hideMark/>
          </w:tcPr>
          <w:p w14:paraId="0C80326D" w14:textId="77777777" w:rsidR="005901D6" w:rsidRPr="00B177B8" w:rsidRDefault="005901D6" w:rsidP="00F46473">
            <w:pPr>
              <w:spacing w:after="0"/>
              <w:ind w:firstLine="0"/>
              <w:jc w:val="right"/>
              <w:rPr>
                <w:sz w:val="20"/>
                <w:lang w:eastAsia="lv-LV"/>
              </w:rPr>
            </w:pPr>
            <w:r w:rsidRPr="00B177B8">
              <w:rPr>
                <w:sz w:val="20"/>
                <w:lang w:eastAsia="lv-LV"/>
              </w:rPr>
              <w:t>0,7</w:t>
            </w:r>
          </w:p>
        </w:tc>
        <w:tc>
          <w:tcPr>
            <w:tcW w:w="851" w:type="dxa"/>
            <w:tcBorders>
              <w:top w:val="nil"/>
              <w:left w:val="nil"/>
              <w:bottom w:val="single" w:sz="4" w:space="0" w:color="auto"/>
              <w:right w:val="single" w:sz="4" w:space="0" w:color="auto"/>
            </w:tcBorders>
            <w:shd w:val="clear" w:color="auto" w:fill="auto"/>
            <w:noWrap/>
            <w:vAlign w:val="bottom"/>
            <w:hideMark/>
          </w:tcPr>
          <w:p w14:paraId="2D1B4103" w14:textId="77777777" w:rsidR="005901D6" w:rsidRPr="00B177B8" w:rsidRDefault="005901D6" w:rsidP="00F46473">
            <w:pPr>
              <w:spacing w:after="0"/>
              <w:ind w:firstLine="0"/>
              <w:jc w:val="right"/>
              <w:rPr>
                <w:sz w:val="20"/>
                <w:lang w:eastAsia="lv-LV"/>
              </w:rPr>
            </w:pPr>
            <w:r w:rsidRPr="00B177B8">
              <w:rPr>
                <w:sz w:val="20"/>
                <w:lang w:eastAsia="lv-LV"/>
              </w:rPr>
              <w:t>0,7</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0999D986" w14:textId="77777777" w:rsidR="005901D6" w:rsidRPr="00B177B8" w:rsidRDefault="005901D6" w:rsidP="00F46473">
            <w:pPr>
              <w:spacing w:after="0"/>
              <w:ind w:firstLine="0"/>
              <w:jc w:val="right"/>
              <w:rPr>
                <w:sz w:val="20"/>
                <w:lang w:eastAsia="lv-LV"/>
              </w:rPr>
            </w:pPr>
            <w:r w:rsidRPr="00B177B8">
              <w:rPr>
                <w:sz w:val="20"/>
                <w:lang w:eastAsia="lv-LV"/>
              </w:rPr>
              <w:t>0,5</w:t>
            </w:r>
          </w:p>
        </w:tc>
      </w:tr>
      <w:tr w:rsidR="005901D6" w:rsidRPr="00B177B8" w14:paraId="08067216" w14:textId="77777777" w:rsidTr="005901D6">
        <w:trPr>
          <w:trHeight w:val="70"/>
        </w:trPr>
        <w:tc>
          <w:tcPr>
            <w:tcW w:w="4134" w:type="dxa"/>
            <w:tcBorders>
              <w:top w:val="nil"/>
              <w:left w:val="double" w:sz="6" w:space="0" w:color="auto"/>
              <w:bottom w:val="nil"/>
              <w:right w:val="single" w:sz="4" w:space="0" w:color="auto"/>
            </w:tcBorders>
            <w:shd w:val="clear" w:color="auto" w:fill="auto"/>
            <w:noWrap/>
            <w:vAlign w:val="bottom"/>
            <w:hideMark/>
          </w:tcPr>
          <w:p w14:paraId="59B758AF" w14:textId="77777777" w:rsidR="005901D6" w:rsidRPr="00B177B8" w:rsidRDefault="005901D6" w:rsidP="00F46473">
            <w:pPr>
              <w:spacing w:after="0"/>
              <w:ind w:firstLineChars="200" w:firstLine="400"/>
              <w:jc w:val="left"/>
              <w:rPr>
                <w:color w:val="000000"/>
                <w:sz w:val="20"/>
                <w:lang w:eastAsia="lv-LV"/>
              </w:rPr>
            </w:pPr>
            <w:r w:rsidRPr="00B177B8">
              <w:rPr>
                <w:color w:val="000000"/>
                <w:sz w:val="20"/>
                <w:lang w:eastAsia="lv-LV"/>
              </w:rPr>
              <w:t xml:space="preserve"> - kapitāla</w:t>
            </w:r>
          </w:p>
        </w:tc>
        <w:tc>
          <w:tcPr>
            <w:tcW w:w="709" w:type="dxa"/>
            <w:tcBorders>
              <w:top w:val="nil"/>
              <w:left w:val="nil"/>
              <w:bottom w:val="nil"/>
              <w:right w:val="double" w:sz="6" w:space="0" w:color="auto"/>
            </w:tcBorders>
            <w:shd w:val="clear" w:color="auto" w:fill="auto"/>
            <w:noWrap/>
            <w:vAlign w:val="bottom"/>
            <w:hideMark/>
          </w:tcPr>
          <w:p w14:paraId="69D220FE"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3D488DEF" w14:textId="77777777" w:rsidR="005901D6" w:rsidRPr="00B177B8" w:rsidRDefault="005901D6" w:rsidP="00F46473">
            <w:pPr>
              <w:spacing w:after="0"/>
              <w:ind w:firstLine="0"/>
              <w:jc w:val="right"/>
              <w:rPr>
                <w:sz w:val="20"/>
                <w:lang w:eastAsia="lv-LV"/>
              </w:rPr>
            </w:pPr>
            <w:r w:rsidRPr="00B177B8">
              <w:rPr>
                <w:sz w:val="20"/>
                <w:lang w:eastAsia="lv-LV"/>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379E59D" w14:textId="77777777" w:rsidR="005901D6" w:rsidRPr="00B177B8" w:rsidRDefault="005901D6" w:rsidP="00F46473">
            <w:pPr>
              <w:spacing w:after="0"/>
              <w:ind w:firstLine="0"/>
              <w:jc w:val="right"/>
              <w:rPr>
                <w:sz w:val="20"/>
                <w:lang w:eastAsia="lv-LV"/>
              </w:rPr>
            </w:pPr>
            <w:r w:rsidRPr="00B177B8">
              <w:rPr>
                <w:sz w:val="20"/>
                <w:lang w:eastAsia="lv-LV"/>
              </w:rPr>
              <w:t>1,3</w:t>
            </w:r>
          </w:p>
        </w:tc>
        <w:tc>
          <w:tcPr>
            <w:tcW w:w="850" w:type="dxa"/>
            <w:tcBorders>
              <w:top w:val="nil"/>
              <w:left w:val="nil"/>
              <w:bottom w:val="single" w:sz="4" w:space="0" w:color="auto"/>
              <w:right w:val="single" w:sz="4" w:space="0" w:color="auto"/>
            </w:tcBorders>
            <w:shd w:val="clear" w:color="auto" w:fill="auto"/>
            <w:noWrap/>
            <w:vAlign w:val="bottom"/>
            <w:hideMark/>
          </w:tcPr>
          <w:p w14:paraId="166A7F12" w14:textId="77777777" w:rsidR="005901D6" w:rsidRPr="00B177B8" w:rsidRDefault="005901D6" w:rsidP="00F46473">
            <w:pPr>
              <w:spacing w:after="0"/>
              <w:ind w:firstLine="0"/>
              <w:jc w:val="right"/>
              <w:rPr>
                <w:sz w:val="20"/>
                <w:lang w:eastAsia="lv-LV"/>
              </w:rPr>
            </w:pPr>
            <w:r w:rsidRPr="00B177B8">
              <w:rPr>
                <w:sz w:val="20"/>
                <w:lang w:eastAsia="lv-LV"/>
              </w:rPr>
              <w:t>1,3</w:t>
            </w:r>
          </w:p>
        </w:tc>
        <w:tc>
          <w:tcPr>
            <w:tcW w:w="851" w:type="dxa"/>
            <w:tcBorders>
              <w:top w:val="nil"/>
              <w:left w:val="nil"/>
              <w:bottom w:val="single" w:sz="4" w:space="0" w:color="auto"/>
              <w:right w:val="single" w:sz="4" w:space="0" w:color="auto"/>
            </w:tcBorders>
            <w:shd w:val="clear" w:color="auto" w:fill="auto"/>
            <w:noWrap/>
            <w:vAlign w:val="bottom"/>
            <w:hideMark/>
          </w:tcPr>
          <w:p w14:paraId="0E999083" w14:textId="77777777" w:rsidR="005901D6" w:rsidRPr="00B177B8" w:rsidRDefault="005901D6" w:rsidP="00F46473">
            <w:pPr>
              <w:spacing w:after="0"/>
              <w:ind w:firstLine="0"/>
              <w:jc w:val="right"/>
              <w:rPr>
                <w:sz w:val="20"/>
                <w:lang w:eastAsia="lv-LV"/>
              </w:rPr>
            </w:pPr>
            <w:r w:rsidRPr="00B177B8">
              <w:rPr>
                <w:sz w:val="20"/>
                <w:lang w:eastAsia="lv-LV"/>
              </w:rPr>
              <w:t>1,4</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3449A332" w14:textId="77777777" w:rsidR="005901D6" w:rsidRPr="00B177B8" w:rsidRDefault="005901D6" w:rsidP="00F46473">
            <w:pPr>
              <w:spacing w:after="0"/>
              <w:ind w:firstLine="0"/>
              <w:jc w:val="right"/>
              <w:rPr>
                <w:sz w:val="20"/>
                <w:lang w:eastAsia="lv-LV"/>
              </w:rPr>
            </w:pPr>
            <w:r w:rsidRPr="00B177B8">
              <w:rPr>
                <w:sz w:val="20"/>
                <w:lang w:eastAsia="lv-LV"/>
              </w:rPr>
              <w:t>1,5</w:t>
            </w:r>
          </w:p>
        </w:tc>
      </w:tr>
      <w:tr w:rsidR="005901D6" w:rsidRPr="00B177B8" w14:paraId="6C21285D" w14:textId="77777777" w:rsidTr="005901D6">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7A535CF4" w14:textId="77777777" w:rsidR="005901D6" w:rsidRPr="00B177B8" w:rsidRDefault="005901D6" w:rsidP="00F46473">
            <w:pPr>
              <w:spacing w:after="0"/>
              <w:ind w:firstLineChars="200" w:firstLine="400"/>
              <w:jc w:val="left"/>
              <w:rPr>
                <w:color w:val="000000"/>
                <w:sz w:val="20"/>
                <w:lang w:eastAsia="lv-LV"/>
              </w:rPr>
            </w:pPr>
            <w:r w:rsidRPr="00B177B8">
              <w:rPr>
                <w:color w:val="000000"/>
                <w:sz w:val="20"/>
                <w:lang w:eastAsia="lv-LV"/>
              </w:rPr>
              <w:t xml:space="preserve"> - kopējās ražošanas faktoru produktivitāte </w:t>
            </w:r>
          </w:p>
        </w:tc>
        <w:tc>
          <w:tcPr>
            <w:tcW w:w="709" w:type="dxa"/>
            <w:tcBorders>
              <w:top w:val="nil"/>
              <w:left w:val="nil"/>
              <w:bottom w:val="single" w:sz="4" w:space="0" w:color="auto"/>
              <w:right w:val="double" w:sz="6" w:space="0" w:color="auto"/>
            </w:tcBorders>
            <w:shd w:val="clear" w:color="auto" w:fill="auto"/>
            <w:noWrap/>
            <w:vAlign w:val="bottom"/>
            <w:hideMark/>
          </w:tcPr>
          <w:p w14:paraId="6B21E7DC"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0EC8E06E" w14:textId="77777777" w:rsidR="005901D6" w:rsidRPr="00B177B8" w:rsidRDefault="005901D6" w:rsidP="00F46473">
            <w:pPr>
              <w:spacing w:after="0"/>
              <w:ind w:firstLine="0"/>
              <w:jc w:val="right"/>
              <w:rPr>
                <w:sz w:val="20"/>
                <w:lang w:eastAsia="lv-LV"/>
              </w:rPr>
            </w:pPr>
            <w:r w:rsidRPr="00B177B8">
              <w:rPr>
                <w:sz w:val="20"/>
                <w:lang w:eastAsia="lv-LV"/>
              </w:rPr>
              <w:t>0,7</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B569907" w14:textId="77777777" w:rsidR="005901D6" w:rsidRPr="00B177B8" w:rsidRDefault="005901D6" w:rsidP="00F46473">
            <w:pPr>
              <w:spacing w:after="0"/>
              <w:ind w:firstLine="0"/>
              <w:jc w:val="right"/>
              <w:rPr>
                <w:sz w:val="20"/>
                <w:lang w:eastAsia="lv-LV"/>
              </w:rPr>
            </w:pPr>
            <w:r w:rsidRPr="00B177B8">
              <w:rPr>
                <w:sz w:val="20"/>
                <w:lang w:eastAsia="lv-LV"/>
              </w:rPr>
              <w:t>1,3</w:t>
            </w:r>
          </w:p>
        </w:tc>
        <w:tc>
          <w:tcPr>
            <w:tcW w:w="850" w:type="dxa"/>
            <w:tcBorders>
              <w:top w:val="nil"/>
              <w:left w:val="nil"/>
              <w:bottom w:val="single" w:sz="4" w:space="0" w:color="auto"/>
              <w:right w:val="single" w:sz="4" w:space="0" w:color="auto"/>
            </w:tcBorders>
            <w:shd w:val="clear" w:color="auto" w:fill="auto"/>
            <w:noWrap/>
            <w:vAlign w:val="bottom"/>
            <w:hideMark/>
          </w:tcPr>
          <w:p w14:paraId="54397CCE" w14:textId="77777777" w:rsidR="005901D6" w:rsidRPr="00B177B8" w:rsidRDefault="005901D6" w:rsidP="00F46473">
            <w:pPr>
              <w:spacing w:after="0"/>
              <w:ind w:firstLine="0"/>
              <w:jc w:val="right"/>
              <w:rPr>
                <w:sz w:val="20"/>
                <w:lang w:eastAsia="lv-LV"/>
              </w:rPr>
            </w:pPr>
            <w:r w:rsidRPr="00B177B8">
              <w:rPr>
                <w:sz w:val="20"/>
                <w:lang w:eastAsia="lv-LV"/>
              </w:rPr>
              <w:t>1,7</w:t>
            </w:r>
          </w:p>
        </w:tc>
        <w:tc>
          <w:tcPr>
            <w:tcW w:w="851" w:type="dxa"/>
            <w:tcBorders>
              <w:top w:val="nil"/>
              <w:left w:val="nil"/>
              <w:bottom w:val="single" w:sz="4" w:space="0" w:color="auto"/>
              <w:right w:val="single" w:sz="4" w:space="0" w:color="auto"/>
            </w:tcBorders>
            <w:shd w:val="clear" w:color="auto" w:fill="auto"/>
            <w:noWrap/>
            <w:vAlign w:val="bottom"/>
            <w:hideMark/>
          </w:tcPr>
          <w:p w14:paraId="3C75CDD1" w14:textId="77777777" w:rsidR="005901D6" w:rsidRPr="00B177B8" w:rsidRDefault="005901D6" w:rsidP="00F46473">
            <w:pPr>
              <w:spacing w:after="0"/>
              <w:ind w:firstLine="0"/>
              <w:jc w:val="right"/>
              <w:rPr>
                <w:sz w:val="20"/>
                <w:lang w:eastAsia="lv-LV"/>
              </w:rPr>
            </w:pPr>
            <w:r w:rsidRPr="00B177B8">
              <w:rPr>
                <w:sz w:val="20"/>
                <w:lang w:eastAsia="lv-LV"/>
              </w:rPr>
              <w:t>2,0</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0E65A2BF" w14:textId="77777777" w:rsidR="005901D6" w:rsidRPr="00B177B8" w:rsidRDefault="005901D6" w:rsidP="00F46473">
            <w:pPr>
              <w:spacing w:after="0"/>
              <w:ind w:firstLine="0"/>
              <w:jc w:val="right"/>
              <w:rPr>
                <w:sz w:val="20"/>
                <w:lang w:eastAsia="lv-LV"/>
              </w:rPr>
            </w:pPr>
            <w:r w:rsidRPr="00B177B8">
              <w:rPr>
                <w:sz w:val="20"/>
                <w:lang w:eastAsia="lv-LV"/>
              </w:rPr>
              <w:t>2,1</w:t>
            </w:r>
          </w:p>
        </w:tc>
      </w:tr>
      <w:tr w:rsidR="005901D6" w:rsidRPr="00B177B8" w14:paraId="0C47680F" w14:textId="77777777" w:rsidTr="005901D6">
        <w:trPr>
          <w:trHeight w:val="70"/>
        </w:trPr>
        <w:tc>
          <w:tcPr>
            <w:tcW w:w="4134" w:type="dxa"/>
            <w:tcBorders>
              <w:top w:val="nil"/>
              <w:left w:val="double" w:sz="6" w:space="0" w:color="auto"/>
              <w:bottom w:val="single" w:sz="4" w:space="0" w:color="auto"/>
              <w:right w:val="single" w:sz="4" w:space="0" w:color="auto"/>
            </w:tcBorders>
            <w:shd w:val="clear" w:color="auto" w:fill="auto"/>
            <w:vAlign w:val="bottom"/>
            <w:hideMark/>
          </w:tcPr>
          <w:p w14:paraId="4F1673B7"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xml:space="preserve">6. Starpība starp faktisko un potenciālo IKP </w:t>
            </w:r>
            <w:r w:rsidRPr="00B177B8">
              <w:rPr>
                <w:color w:val="000000"/>
                <w:sz w:val="20"/>
                <w:lang w:eastAsia="lv-LV"/>
              </w:rPr>
              <w:br/>
              <w:t>(% no potenciālā IKP)</w:t>
            </w:r>
          </w:p>
        </w:tc>
        <w:tc>
          <w:tcPr>
            <w:tcW w:w="709" w:type="dxa"/>
            <w:tcBorders>
              <w:top w:val="nil"/>
              <w:left w:val="nil"/>
              <w:bottom w:val="single" w:sz="4" w:space="0" w:color="auto"/>
              <w:right w:val="double" w:sz="6" w:space="0" w:color="auto"/>
            </w:tcBorders>
            <w:shd w:val="clear" w:color="auto" w:fill="auto"/>
            <w:noWrap/>
            <w:vAlign w:val="center"/>
            <w:hideMark/>
          </w:tcPr>
          <w:p w14:paraId="2B621E1B"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center"/>
            <w:hideMark/>
          </w:tcPr>
          <w:p w14:paraId="6E29B77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7133C4"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0,2</w:t>
            </w:r>
          </w:p>
        </w:tc>
        <w:tc>
          <w:tcPr>
            <w:tcW w:w="850" w:type="dxa"/>
            <w:tcBorders>
              <w:top w:val="nil"/>
              <w:left w:val="nil"/>
              <w:bottom w:val="single" w:sz="4" w:space="0" w:color="auto"/>
              <w:right w:val="single" w:sz="4" w:space="0" w:color="auto"/>
            </w:tcBorders>
            <w:shd w:val="clear" w:color="auto" w:fill="auto"/>
            <w:noWrap/>
            <w:vAlign w:val="center"/>
            <w:hideMark/>
          </w:tcPr>
          <w:p w14:paraId="7EDBBBB1"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0,4</w:t>
            </w:r>
          </w:p>
        </w:tc>
        <w:tc>
          <w:tcPr>
            <w:tcW w:w="851" w:type="dxa"/>
            <w:tcBorders>
              <w:top w:val="nil"/>
              <w:left w:val="nil"/>
              <w:bottom w:val="single" w:sz="4" w:space="0" w:color="auto"/>
              <w:right w:val="single" w:sz="4" w:space="0" w:color="auto"/>
            </w:tcBorders>
            <w:shd w:val="clear" w:color="auto" w:fill="auto"/>
            <w:noWrap/>
            <w:vAlign w:val="center"/>
            <w:hideMark/>
          </w:tcPr>
          <w:p w14:paraId="4EBC7F2B"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0,3</w:t>
            </w:r>
          </w:p>
        </w:tc>
        <w:tc>
          <w:tcPr>
            <w:tcW w:w="850" w:type="dxa"/>
            <w:tcBorders>
              <w:top w:val="nil"/>
              <w:left w:val="single" w:sz="4" w:space="0" w:color="auto"/>
              <w:bottom w:val="single" w:sz="4" w:space="0" w:color="auto"/>
              <w:right w:val="double" w:sz="6" w:space="0" w:color="auto"/>
            </w:tcBorders>
            <w:shd w:val="clear" w:color="auto" w:fill="auto"/>
            <w:noWrap/>
            <w:vAlign w:val="center"/>
            <w:hideMark/>
          </w:tcPr>
          <w:p w14:paraId="306776DA"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0,2</w:t>
            </w:r>
          </w:p>
        </w:tc>
      </w:tr>
      <w:tr w:rsidR="005901D6" w:rsidRPr="00B177B8" w14:paraId="47F0C98A" w14:textId="77777777" w:rsidTr="005901D6">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2A6FB947"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7. Budžeta bilances cikliskā komponente</w:t>
            </w:r>
          </w:p>
        </w:tc>
        <w:tc>
          <w:tcPr>
            <w:tcW w:w="709" w:type="dxa"/>
            <w:tcBorders>
              <w:top w:val="nil"/>
              <w:left w:val="nil"/>
              <w:bottom w:val="single" w:sz="4" w:space="0" w:color="auto"/>
              <w:right w:val="double" w:sz="6" w:space="0" w:color="auto"/>
            </w:tcBorders>
            <w:shd w:val="clear" w:color="auto" w:fill="auto"/>
            <w:noWrap/>
            <w:vAlign w:val="bottom"/>
            <w:hideMark/>
          </w:tcPr>
          <w:p w14:paraId="1B23AA9E"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4255305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92D25C4"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0,0</w:t>
            </w:r>
          </w:p>
        </w:tc>
        <w:tc>
          <w:tcPr>
            <w:tcW w:w="850" w:type="dxa"/>
            <w:tcBorders>
              <w:top w:val="nil"/>
              <w:left w:val="nil"/>
              <w:bottom w:val="single" w:sz="4" w:space="0" w:color="auto"/>
              <w:right w:val="single" w:sz="4" w:space="0" w:color="auto"/>
            </w:tcBorders>
            <w:shd w:val="clear" w:color="auto" w:fill="auto"/>
            <w:noWrap/>
            <w:vAlign w:val="bottom"/>
            <w:hideMark/>
          </w:tcPr>
          <w:p w14:paraId="340EC312"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0,1</w:t>
            </w:r>
          </w:p>
        </w:tc>
        <w:tc>
          <w:tcPr>
            <w:tcW w:w="851" w:type="dxa"/>
            <w:tcBorders>
              <w:top w:val="nil"/>
              <w:left w:val="nil"/>
              <w:bottom w:val="single" w:sz="4" w:space="0" w:color="auto"/>
              <w:right w:val="single" w:sz="4" w:space="0" w:color="auto"/>
            </w:tcBorders>
            <w:shd w:val="clear" w:color="auto" w:fill="auto"/>
            <w:noWrap/>
            <w:vAlign w:val="bottom"/>
            <w:hideMark/>
          </w:tcPr>
          <w:p w14:paraId="355E4E79"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0,1</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7DF555F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0,0</w:t>
            </w:r>
          </w:p>
        </w:tc>
      </w:tr>
      <w:tr w:rsidR="005901D6" w:rsidRPr="00B177B8" w14:paraId="1F3CFFA5" w14:textId="77777777" w:rsidTr="005901D6">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7B708C12"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8. Cikliski koriģētā bilance (2-7)</w:t>
            </w:r>
          </w:p>
        </w:tc>
        <w:tc>
          <w:tcPr>
            <w:tcW w:w="709" w:type="dxa"/>
            <w:tcBorders>
              <w:top w:val="nil"/>
              <w:left w:val="nil"/>
              <w:bottom w:val="single" w:sz="4" w:space="0" w:color="auto"/>
              <w:right w:val="double" w:sz="6" w:space="0" w:color="auto"/>
            </w:tcBorders>
            <w:shd w:val="clear" w:color="auto" w:fill="auto"/>
            <w:noWrap/>
            <w:vAlign w:val="bottom"/>
            <w:hideMark/>
          </w:tcPr>
          <w:p w14:paraId="27BA7FAF"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38C11AD7"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32F81C5"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-1,1</w:t>
            </w:r>
          </w:p>
        </w:tc>
        <w:tc>
          <w:tcPr>
            <w:tcW w:w="850" w:type="dxa"/>
            <w:tcBorders>
              <w:top w:val="nil"/>
              <w:left w:val="nil"/>
              <w:bottom w:val="single" w:sz="4" w:space="0" w:color="auto"/>
              <w:right w:val="single" w:sz="4" w:space="0" w:color="auto"/>
            </w:tcBorders>
            <w:shd w:val="clear" w:color="auto" w:fill="auto"/>
            <w:noWrap/>
            <w:vAlign w:val="bottom"/>
            <w:hideMark/>
          </w:tcPr>
          <w:p w14:paraId="30925056"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-1,0</w:t>
            </w:r>
          </w:p>
        </w:tc>
        <w:tc>
          <w:tcPr>
            <w:tcW w:w="851" w:type="dxa"/>
            <w:tcBorders>
              <w:top w:val="nil"/>
              <w:left w:val="nil"/>
              <w:bottom w:val="single" w:sz="4" w:space="0" w:color="auto"/>
              <w:right w:val="single" w:sz="4" w:space="0" w:color="auto"/>
            </w:tcBorders>
            <w:shd w:val="clear" w:color="auto" w:fill="auto"/>
            <w:noWrap/>
            <w:vAlign w:val="bottom"/>
            <w:hideMark/>
          </w:tcPr>
          <w:p w14:paraId="7820D10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-1,0</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1E00C973"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-0,9</w:t>
            </w:r>
          </w:p>
        </w:tc>
      </w:tr>
      <w:tr w:rsidR="005901D6" w:rsidRPr="00B177B8" w14:paraId="351AF0DB" w14:textId="77777777" w:rsidTr="005901D6">
        <w:trPr>
          <w:trHeight w:val="70"/>
        </w:trPr>
        <w:tc>
          <w:tcPr>
            <w:tcW w:w="4134" w:type="dxa"/>
            <w:tcBorders>
              <w:top w:val="nil"/>
              <w:left w:val="double" w:sz="6" w:space="0" w:color="auto"/>
              <w:bottom w:val="single" w:sz="4" w:space="0" w:color="auto"/>
              <w:right w:val="single" w:sz="4" w:space="0" w:color="auto"/>
            </w:tcBorders>
            <w:shd w:val="clear" w:color="auto" w:fill="auto"/>
            <w:noWrap/>
            <w:vAlign w:val="bottom"/>
            <w:hideMark/>
          </w:tcPr>
          <w:p w14:paraId="02281FA2"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9. Cikliski koriģētā primārā bilance (8+3)</w:t>
            </w:r>
          </w:p>
        </w:tc>
        <w:tc>
          <w:tcPr>
            <w:tcW w:w="709" w:type="dxa"/>
            <w:tcBorders>
              <w:top w:val="nil"/>
              <w:left w:val="nil"/>
              <w:bottom w:val="single" w:sz="4" w:space="0" w:color="auto"/>
              <w:right w:val="double" w:sz="6" w:space="0" w:color="auto"/>
            </w:tcBorders>
            <w:shd w:val="clear" w:color="auto" w:fill="auto"/>
            <w:noWrap/>
            <w:vAlign w:val="bottom"/>
            <w:hideMark/>
          </w:tcPr>
          <w:p w14:paraId="5852304A"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single" w:sz="4" w:space="0" w:color="auto"/>
              <w:right w:val="single" w:sz="4" w:space="0" w:color="auto"/>
            </w:tcBorders>
            <w:shd w:val="clear" w:color="auto" w:fill="auto"/>
            <w:noWrap/>
            <w:vAlign w:val="bottom"/>
            <w:hideMark/>
          </w:tcPr>
          <w:p w14:paraId="641367B1"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0,3</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77DD5DA"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0,4</w:t>
            </w:r>
          </w:p>
        </w:tc>
        <w:tc>
          <w:tcPr>
            <w:tcW w:w="850" w:type="dxa"/>
            <w:tcBorders>
              <w:top w:val="nil"/>
              <w:left w:val="nil"/>
              <w:bottom w:val="single" w:sz="4" w:space="0" w:color="auto"/>
              <w:right w:val="single" w:sz="4" w:space="0" w:color="auto"/>
            </w:tcBorders>
            <w:shd w:val="clear" w:color="auto" w:fill="auto"/>
            <w:noWrap/>
            <w:vAlign w:val="bottom"/>
            <w:hideMark/>
          </w:tcPr>
          <w:p w14:paraId="11820342"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0,6</w:t>
            </w:r>
          </w:p>
        </w:tc>
        <w:tc>
          <w:tcPr>
            <w:tcW w:w="851" w:type="dxa"/>
            <w:tcBorders>
              <w:top w:val="nil"/>
              <w:left w:val="nil"/>
              <w:bottom w:val="single" w:sz="4" w:space="0" w:color="auto"/>
              <w:right w:val="single" w:sz="4" w:space="0" w:color="auto"/>
            </w:tcBorders>
            <w:shd w:val="clear" w:color="auto" w:fill="auto"/>
            <w:noWrap/>
            <w:vAlign w:val="bottom"/>
            <w:hideMark/>
          </w:tcPr>
          <w:p w14:paraId="43C3C681"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0,5</w:t>
            </w:r>
          </w:p>
        </w:tc>
        <w:tc>
          <w:tcPr>
            <w:tcW w:w="850" w:type="dxa"/>
            <w:tcBorders>
              <w:top w:val="nil"/>
              <w:left w:val="single" w:sz="4" w:space="0" w:color="auto"/>
              <w:bottom w:val="single" w:sz="4" w:space="0" w:color="auto"/>
              <w:right w:val="double" w:sz="6" w:space="0" w:color="auto"/>
            </w:tcBorders>
            <w:shd w:val="clear" w:color="auto" w:fill="auto"/>
            <w:noWrap/>
            <w:vAlign w:val="bottom"/>
            <w:hideMark/>
          </w:tcPr>
          <w:p w14:paraId="48A3204C"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0,5</w:t>
            </w:r>
          </w:p>
        </w:tc>
      </w:tr>
      <w:tr w:rsidR="005901D6" w:rsidRPr="00B177B8" w14:paraId="0EC08F64" w14:textId="77777777" w:rsidTr="005901D6">
        <w:trPr>
          <w:trHeight w:val="70"/>
        </w:trPr>
        <w:tc>
          <w:tcPr>
            <w:tcW w:w="4134" w:type="dxa"/>
            <w:tcBorders>
              <w:top w:val="nil"/>
              <w:left w:val="double" w:sz="6" w:space="0" w:color="auto"/>
              <w:bottom w:val="double" w:sz="6" w:space="0" w:color="auto"/>
              <w:right w:val="single" w:sz="4" w:space="0" w:color="auto"/>
            </w:tcBorders>
            <w:shd w:val="clear" w:color="auto" w:fill="auto"/>
            <w:noWrap/>
            <w:vAlign w:val="bottom"/>
            <w:hideMark/>
          </w:tcPr>
          <w:p w14:paraId="6596D4F4"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10. Strukturālā bilance (8-4)</w:t>
            </w:r>
          </w:p>
        </w:tc>
        <w:tc>
          <w:tcPr>
            <w:tcW w:w="709" w:type="dxa"/>
            <w:tcBorders>
              <w:top w:val="nil"/>
              <w:left w:val="nil"/>
              <w:bottom w:val="double" w:sz="6" w:space="0" w:color="auto"/>
              <w:right w:val="double" w:sz="6" w:space="0" w:color="auto"/>
            </w:tcBorders>
            <w:shd w:val="clear" w:color="auto" w:fill="auto"/>
            <w:noWrap/>
            <w:vAlign w:val="bottom"/>
            <w:hideMark/>
          </w:tcPr>
          <w:p w14:paraId="667474D9" w14:textId="77777777" w:rsidR="005901D6" w:rsidRPr="00B177B8" w:rsidRDefault="005901D6" w:rsidP="00F46473">
            <w:pPr>
              <w:spacing w:after="0"/>
              <w:ind w:firstLine="0"/>
              <w:jc w:val="left"/>
              <w:rPr>
                <w:color w:val="000000"/>
                <w:sz w:val="20"/>
                <w:lang w:eastAsia="lv-LV"/>
              </w:rPr>
            </w:pPr>
            <w:r w:rsidRPr="00B177B8">
              <w:rPr>
                <w:color w:val="000000"/>
                <w:sz w:val="20"/>
                <w:lang w:eastAsia="lv-LV"/>
              </w:rPr>
              <w:t> </w:t>
            </w:r>
          </w:p>
        </w:tc>
        <w:tc>
          <w:tcPr>
            <w:tcW w:w="850" w:type="dxa"/>
            <w:tcBorders>
              <w:top w:val="nil"/>
              <w:left w:val="nil"/>
              <w:bottom w:val="double" w:sz="6" w:space="0" w:color="auto"/>
              <w:right w:val="single" w:sz="4" w:space="0" w:color="auto"/>
            </w:tcBorders>
            <w:shd w:val="clear" w:color="auto" w:fill="auto"/>
            <w:noWrap/>
            <w:vAlign w:val="bottom"/>
            <w:hideMark/>
          </w:tcPr>
          <w:p w14:paraId="1CB38B5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-0,5</w:t>
            </w:r>
          </w:p>
        </w:tc>
        <w:tc>
          <w:tcPr>
            <w:tcW w:w="851" w:type="dxa"/>
            <w:tcBorders>
              <w:top w:val="single" w:sz="4" w:space="0" w:color="auto"/>
              <w:left w:val="nil"/>
              <w:bottom w:val="double" w:sz="6" w:space="0" w:color="auto"/>
              <w:right w:val="single" w:sz="4" w:space="0" w:color="auto"/>
            </w:tcBorders>
            <w:shd w:val="clear" w:color="auto" w:fill="auto"/>
            <w:noWrap/>
            <w:vAlign w:val="bottom"/>
            <w:hideMark/>
          </w:tcPr>
          <w:p w14:paraId="2EF64328"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-1,1</w:t>
            </w:r>
          </w:p>
        </w:tc>
        <w:tc>
          <w:tcPr>
            <w:tcW w:w="850" w:type="dxa"/>
            <w:tcBorders>
              <w:top w:val="single" w:sz="4" w:space="0" w:color="auto"/>
              <w:left w:val="nil"/>
              <w:bottom w:val="double" w:sz="6" w:space="0" w:color="auto"/>
              <w:right w:val="single" w:sz="4" w:space="0" w:color="auto"/>
            </w:tcBorders>
            <w:shd w:val="clear" w:color="auto" w:fill="auto"/>
            <w:noWrap/>
            <w:vAlign w:val="bottom"/>
            <w:hideMark/>
          </w:tcPr>
          <w:p w14:paraId="387B1D3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-1,0</w:t>
            </w:r>
          </w:p>
        </w:tc>
        <w:tc>
          <w:tcPr>
            <w:tcW w:w="851" w:type="dxa"/>
            <w:tcBorders>
              <w:top w:val="single" w:sz="4" w:space="0" w:color="auto"/>
              <w:left w:val="nil"/>
              <w:bottom w:val="double" w:sz="6" w:space="0" w:color="auto"/>
              <w:right w:val="single" w:sz="4" w:space="0" w:color="auto"/>
            </w:tcBorders>
            <w:shd w:val="clear" w:color="auto" w:fill="auto"/>
            <w:noWrap/>
            <w:vAlign w:val="bottom"/>
            <w:hideMark/>
          </w:tcPr>
          <w:p w14:paraId="661D807A"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-1,0</w:t>
            </w:r>
          </w:p>
        </w:tc>
        <w:tc>
          <w:tcPr>
            <w:tcW w:w="850" w:type="dxa"/>
            <w:tcBorders>
              <w:top w:val="nil"/>
              <w:left w:val="nil"/>
              <w:bottom w:val="double" w:sz="6" w:space="0" w:color="auto"/>
              <w:right w:val="double" w:sz="6" w:space="0" w:color="auto"/>
            </w:tcBorders>
            <w:shd w:val="clear" w:color="auto" w:fill="auto"/>
            <w:noWrap/>
            <w:vAlign w:val="bottom"/>
            <w:hideMark/>
          </w:tcPr>
          <w:p w14:paraId="14D6C7ED" w14:textId="77777777" w:rsidR="005901D6" w:rsidRPr="00B177B8" w:rsidRDefault="005901D6" w:rsidP="00F46473">
            <w:pPr>
              <w:spacing w:after="0"/>
              <w:ind w:firstLine="0"/>
              <w:jc w:val="right"/>
              <w:rPr>
                <w:color w:val="000000"/>
                <w:sz w:val="20"/>
                <w:lang w:eastAsia="lv-LV"/>
              </w:rPr>
            </w:pPr>
            <w:r w:rsidRPr="00B177B8">
              <w:rPr>
                <w:color w:val="000000"/>
                <w:sz w:val="20"/>
                <w:lang w:eastAsia="lv-LV"/>
              </w:rPr>
              <w:t>-0,9</w:t>
            </w:r>
          </w:p>
        </w:tc>
      </w:tr>
    </w:tbl>
    <w:p w14:paraId="0C499CF7" w14:textId="77777777" w:rsidR="002D62B9" w:rsidRPr="001946E0" w:rsidRDefault="002D62B9" w:rsidP="002D62B9">
      <w:pPr>
        <w:spacing w:after="0"/>
        <w:ind w:firstLine="0"/>
        <w:rPr>
          <w:b/>
          <w:color w:val="000000"/>
          <w:szCs w:val="24"/>
        </w:rPr>
      </w:pPr>
    </w:p>
    <w:p w14:paraId="7F175497" w14:textId="77777777" w:rsidR="002D62B9" w:rsidRDefault="002D62B9" w:rsidP="002D62B9">
      <w:pPr>
        <w:pStyle w:val="T"/>
        <w:ind w:left="0"/>
        <w:rPr>
          <w:rFonts w:ascii="Times New Roman" w:hAnsi="Times New Roman"/>
          <w:color w:val="000000"/>
          <w:szCs w:val="24"/>
        </w:rPr>
      </w:pPr>
      <w:r w:rsidRPr="001946E0">
        <w:rPr>
          <w:rFonts w:ascii="Times New Roman" w:hAnsi="Times New Roman"/>
          <w:color w:val="000000"/>
          <w:szCs w:val="24"/>
        </w:rPr>
        <w:t>6. tabula. Salīdzinājum</w:t>
      </w:r>
      <w:r w:rsidR="00BB111B">
        <w:rPr>
          <w:rFonts w:ascii="Times New Roman" w:hAnsi="Times New Roman"/>
          <w:color w:val="000000"/>
          <w:szCs w:val="24"/>
        </w:rPr>
        <w:t>s ar 2012</w:t>
      </w:r>
      <w:r w:rsidRPr="001946E0">
        <w:rPr>
          <w:rFonts w:ascii="Times New Roman" w:hAnsi="Times New Roman"/>
          <w:color w:val="000000"/>
          <w:szCs w:val="24"/>
        </w:rPr>
        <w:t>.</w:t>
      </w:r>
      <w:r w:rsidR="00BB111B">
        <w:rPr>
          <w:rFonts w:ascii="Times New Roman" w:hAnsi="Times New Roman"/>
          <w:color w:val="000000"/>
          <w:szCs w:val="24"/>
        </w:rPr>
        <w:t>-2015.</w:t>
      </w:r>
      <w:r w:rsidRPr="001946E0">
        <w:rPr>
          <w:rFonts w:ascii="Times New Roman" w:hAnsi="Times New Roman"/>
          <w:color w:val="000000"/>
          <w:szCs w:val="24"/>
        </w:rPr>
        <w:t>gada Konverģences programmas prognozēm</w:t>
      </w:r>
    </w:p>
    <w:tbl>
      <w:tblPr>
        <w:tblW w:w="90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68"/>
        <w:gridCol w:w="992"/>
        <w:gridCol w:w="709"/>
        <w:gridCol w:w="850"/>
        <w:gridCol w:w="851"/>
        <w:gridCol w:w="850"/>
        <w:gridCol w:w="1239"/>
      </w:tblGrid>
      <w:tr w:rsidR="005901D6" w:rsidRPr="008B4FFF" w14:paraId="79782504" w14:textId="77777777" w:rsidTr="008C7F19">
        <w:trPr>
          <w:jc w:val="center"/>
        </w:trPr>
        <w:tc>
          <w:tcPr>
            <w:tcW w:w="3568" w:type="dxa"/>
          </w:tcPr>
          <w:p w14:paraId="3D153325" w14:textId="77777777" w:rsidR="005901D6" w:rsidRPr="008B4FFF" w:rsidRDefault="005901D6" w:rsidP="00F46473">
            <w:pPr>
              <w:spacing w:after="0"/>
              <w:ind w:firstLine="0"/>
              <w:jc w:val="left"/>
              <w:rPr>
                <w:sz w:val="20"/>
                <w:highlight w:val="yellow"/>
              </w:rPr>
            </w:pPr>
          </w:p>
        </w:tc>
        <w:tc>
          <w:tcPr>
            <w:tcW w:w="992" w:type="dxa"/>
          </w:tcPr>
          <w:p w14:paraId="7157E9E1" w14:textId="77777777" w:rsidR="005901D6" w:rsidRPr="008B4FFF" w:rsidRDefault="005901D6" w:rsidP="00F46473">
            <w:pPr>
              <w:spacing w:after="0"/>
              <w:ind w:firstLine="0"/>
              <w:jc w:val="left"/>
              <w:rPr>
                <w:sz w:val="20"/>
              </w:rPr>
            </w:pPr>
            <w:r w:rsidRPr="008B4FFF">
              <w:rPr>
                <w:sz w:val="20"/>
              </w:rPr>
              <w:t>EKS kods</w:t>
            </w:r>
          </w:p>
        </w:tc>
        <w:tc>
          <w:tcPr>
            <w:tcW w:w="709" w:type="dxa"/>
          </w:tcPr>
          <w:p w14:paraId="54B45BF7" w14:textId="77777777" w:rsidR="005901D6" w:rsidRPr="008B4FFF" w:rsidRDefault="005901D6" w:rsidP="00F46473">
            <w:pPr>
              <w:spacing w:after="0"/>
              <w:ind w:firstLine="0"/>
              <w:jc w:val="center"/>
              <w:rPr>
                <w:b/>
                <w:sz w:val="20"/>
              </w:rPr>
            </w:pPr>
            <w:r w:rsidRPr="008B4FFF">
              <w:rPr>
                <w:b/>
                <w:sz w:val="20"/>
              </w:rPr>
              <w:t>2012</w:t>
            </w:r>
          </w:p>
        </w:tc>
        <w:tc>
          <w:tcPr>
            <w:tcW w:w="850" w:type="dxa"/>
          </w:tcPr>
          <w:p w14:paraId="2638FD0E" w14:textId="77777777" w:rsidR="005901D6" w:rsidRPr="008B4FFF" w:rsidRDefault="005901D6" w:rsidP="00F46473">
            <w:pPr>
              <w:spacing w:after="0"/>
              <w:ind w:firstLine="0"/>
              <w:jc w:val="center"/>
              <w:rPr>
                <w:b/>
                <w:sz w:val="20"/>
              </w:rPr>
            </w:pPr>
            <w:r w:rsidRPr="008B4FFF">
              <w:rPr>
                <w:b/>
                <w:sz w:val="20"/>
              </w:rPr>
              <w:t>2013</w:t>
            </w:r>
          </w:p>
        </w:tc>
        <w:tc>
          <w:tcPr>
            <w:tcW w:w="851" w:type="dxa"/>
          </w:tcPr>
          <w:p w14:paraId="7350D242" w14:textId="77777777" w:rsidR="005901D6" w:rsidRPr="008B4FFF" w:rsidRDefault="005901D6" w:rsidP="00F46473">
            <w:pPr>
              <w:spacing w:after="0"/>
              <w:ind w:firstLine="0"/>
              <w:jc w:val="center"/>
              <w:rPr>
                <w:b/>
                <w:sz w:val="20"/>
              </w:rPr>
            </w:pPr>
            <w:r w:rsidRPr="008B4FFF">
              <w:rPr>
                <w:b/>
                <w:sz w:val="20"/>
              </w:rPr>
              <w:t>2014</w:t>
            </w:r>
          </w:p>
        </w:tc>
        <w:tc>
          <w:tcPr>
            <w:tcW w:w="850" w:type="dxa"/>
          </w:tcPr>
          <w:p w14:paraId="7E9F1573" w14:textId="77777777" w:rsidR="005901D6" w:rsidRPr="008B4FFF" w:rsidRDefault="005901D6" w:rsidP="00F46473">
            <w:pPr>
              <w:spacing w:after="0"/>
              <w:ind w:firstLine="0"/>
              <w:jc w:val="center"/>
              <w:rPr>
                <w:b/>
                <w:sz w:val="20"/>
              </w:rPr>
            </w:pPr>
            <w:r w:rsidRPr="008B4FFF">
              <w:rPr>
                <w:b/>
                <w:sz w:val="20"/>
              </w:rPr>
              <w:t>2015</w:t>
            </w:r>
          </w:p>
        </w:tc>
        <w:tc>
          <w:tcPr>
            <w:tcW w:w="1239" w:type="dxa"/>
          </w:tcPr>
          <w:p w14:paraId="3806D723" w14:textId="77777777" w:rsidR="005901D6" w:rsidRPr="008B4FFF" w:rsidRDefault="005901D6" w:rsidP="00F46473">
            <w:pPr>
              <w:spacing w:after="0"/>
              <w:ind w:firstLine="0"/>
              <w:jc w:val="center"/>
              <w:rPr>
                <w:b/>
                <w:sz w:val="20"/>
              </w:rPr>
            </w:pPr>
            <w:r w:rsidRPr="008B4FFF">
              <w:rPr>
                <w:b/>
                <w:sz w:val="20"/>
              </w:rPr>
              <w:t>2016</w:t>
            </w:r>
          </w:p>
        </w:tc>
      </w:tr>
      <w:tr w:rsidR="005901D6" w:rsidRPr="008B4FFF" w14:paraId="661ADBF3" w14:textId="77777777" w:rsidTr="008C7F19">
        <w:trPr>
          <w:jc w:val="center"/>
        </w:trPr>
        <w:tc>
          <w:tcPr>
            <w:tcW w:w="3568" w:type="dxa"/>
            <w:vAlign w:val="center"/>
          </w:tcPr>
          <w:p w14:paraId="1130F95A" w14:textId="77777777" w:rsidR="005901D6" w:rsidRPr="008B4FFF" w:rsidRDefault="005901D6" w:rsidP="00F46473">
            <w:pPr>
              <w:spacing w:after="0"/>
              <w:ind w:firstLine="0"/>
              <w:jc w:val="left"/>
              <w:rPr>
                <w:snapToGrid w:val="0"/>
                <w:sz w:val="20"/>
              </w:rPr>
            </w:pPr>
            <w:r w:rsidRPr="008B4FFF">
              <w:rPr>
                <w:b/>
                <w:sz w:val="20"/>
              </w:rPr>
              <w:t>IKP pieaugums (%)</w:t>
            </w:r>
          </w:p>
        </w:tc>
        <w:tc>
          <w:tcPr>
            <w:tcW w:w="992" w:type="dxa"/>
            <w:vAlign w:val="center"/>
          </w:tcPr>
          <w:p w14:paraId="1EDA9E94" w14:textId="77777777" w:rsidR="005901D6" w:rsidRPr="008B4FFF" w:rsidRDefault="005901D6" w:rsidP="00F46473">
            <w:pPr>
              <w:spacing w:after="0"/>
              <w:ind w:firstLine="0"/>
              <w:jc w:val="left"/>
              <w:rPr>
                <w:sz w:val="20"/>
                <w:highlight w:val="yellow"/>
              </w:rPr>
            </w:pPr>
            <w:r w:rsidRPr="008B4FFF">
              <w:rPr>
                <w:sz w:val="20"/>
              </w:rPr>
              <w:t>B1g</w:t>
            </w:r>
          </w:p>
        </w:tc>
        <w:tc>
          <w:tcPr>
            <w:tcW w:w="709" w:type="dxa"/>
            <w:vAlign w:val="center"/>
          </w:tcPr>
          <w:p w14:paraId="44026609" w14:textId="77777777" w:rsidR="005901D6" w:rsidRPr="008B4FFF" w:rsidRDefault="005901D6" w:rsidP="00F46473">
            <w:pPr>
              <w:spacing w:after="0"/>
              <w:ind w:firstLine="0"/>
              <w:jc w:val="left"/>
              <w:rPr>
                <w:sz w:val="20"/>
                <w:highlight w:val="yellow"/>
              </w:rPr>
            </w:pPr>
          </w:p>
        </w:tc>
        <w:tc>
          <w:tcPr>
            <w:tcW w:w="850" w:type="dxa"/>
            <w:vAlign w:val="center"/>
          </w:tcPr>
          <w:p w14:paraId="2B11520B" w14:textId="77777777" w:rsidR="005901D6" w:rsidRPr="008B4FFF" w:rsidRDefault="005901D6" w:rsidP="00F46473">
            <w:pPr>
              <w:spacing w:after="0"/>
              <w:ind w:firstLine="0"/>
              <w:jc w:val="left"/>
              <w:rPr>
                <w:sz w:val="20"/>
                <w:highlight w:val="yellow"/>
              </w:rPr>
            </w:pPr>
          </w:p>
        </w:tc>
        <w:tc>
          <w:tcPr>
            <w:tcW w:w="851" w:type="dxa"/>
            <w:vAlign w:val="center"/>
          </w:tcPr>
          <w:p w14:paraId="5285439E" w14:textId="77777777" w:rsidR="005901D6" w:rsidRPr="008B4FFF" w:rsidRDefault="005901D6" w:rsidP="00F46473">
            <w:pPr>
              <w:spacing w:after="0"/>
              <w:ind w:firstLine="0"/>
              <w:jc w:val="left"/>
              <w:rPr>
                <w:sz w:val="20"/>
                <w:highlight w:val="yellow"/>
              </w:rPr>
            </w:pPr>
          </w:p>
        </w:tc>
        <w:tc>
          <w:tcPr>
            <w:tcW w:w="850" w:type="dxa"/>
            <w:vAlign w:val="center"/>
          </w:tcPr>
          <w:p w14:paraId="5D7FD326" w14:textId="77777777" w:rsidR="005901D6" w:rsidRPr="008B4FFF" w:rsidRDefault="005901D6" w:rsidP="00F46473">
            <w:pPr>
              <w:spacing w:after="0"/>
              <w:ind w:firstLine="0"/>
              <w:jc w:val="left"/>
              <w:rPr>
                <w:rFonts w:eastAsia="Arial Unicode MS"/>
                <w:sz w:val="20"/>
                <w:highlight w:val="yellow"/>
              </w:rPr>
            </w:pPr>
          </w:p>
        </w:tc>
        <w:tc>
          <w:tcPr>
            <w:tcW w:w="1239" w:type="dxa"/>
            <w:vAlign w:val="center"/>
          </w:tcPr>
          <w:p w14:paraId="0BD42EFA" w14:textId="77777777" w:rsidR="005901D6" w:rsidRPr="008B4FFF" w:rsidRDefault="005901D6" w:rsidP="00F46473">
            <w:pPr>
              <w:spacing w:after="0"/>
              <w:ind w:firstLine="0"/>
              <w:jc w:val="left"/>
              <w:rPr>
                <w:sz w:val="20"/>
                <w:highlight w:val="yellow"/>
              </w:rPr>
            </w:pPr>
          </w:p>
        </w:tc>
      </w:tr>
      <w:tr w:rsidR="005901D6" w:rsidRPr="008B4FFF" w14:paraId="3A08A01F" w14:textId="77777777" w:rsidTr="008C7F19">
        <w:trPr>
          <w:jc w:val="center"/>
        </w:trPr>
        <w:tc>
          <w:tcPr>
            <w:tcW w:w="3568" w:type="dxa"/>
            <w:vAlign w:val="center"/>
          </w:tcPr>
          <w:p w14:paraId="2F74DCC9" w14:textId="77777777" w:rsidR="005901D6" w:rsidRPr="008B4FFF" w:rsidRDefault="005901D6" w:rsidP="00F46473">
            <w:pPr>
              <w:spacing w:after="0"/>
              <w:ind w:firstLine="0"/>
              <w:jc w:val="right"/>
              <w:rPr>
                <w:sz w:val="20"/>
              </w:rPr>
            </w:pPr>
            <w:r w:rsidRPr="008B4FFF">
              <w:rPr>
                <w:sz w:val="20"/>
              </w:rPr>
              <w:t>2012. gads</w:t>
            </w:r>
          </w:p>
        </w:tc>
        <w:tc>
          <w:tcPr>
            <w:tcW w:w="992" w:type="dxa"/>
            <w:vAlign w:val="center"/>
          </w:tcPr>
          <w:p w14:paraId="3146C6E3" w14:textId="77777777" w:rsidR="005901D6" w:rsidRPr="008B4FFF" w:rsidRDefault="005901D6" w:rsidP="00F46473">
            <w:pPr>
              <w:spacing w:after="0"/>
              <w:ind w:firstLine="0"/>
              <w:jc w:val="center"/>
              <w:rPr>
                <w:sz w:val="20"/>
                <w:highlight w:val="yellow"/>
              </w:rPr>
            </w:pPr>
          </w:p>
        </w:tc>
        <w:tc>
          <w:tcPr>
            <w:tcW w:w="709" w:type="dxa"/>
            <w:vAlign w:val="center"/>
          </w:tcPr>
          <w:p w14:paraId="0348D154" w14:textId="77777777" w:rsidR="005901D6" w:rsidRPr="008B4FFF" w:rsidRDefault="005901D6" w:rsidP="00F46473">
            <w:pPr>
              <w:spacing w:after="0"/>
              <w:ind w:firstLine="0"/>
              <w:jc w:val="center"/>
              <w:rPr>
                <w:color w:val="000000"/>
                <w:sz w:val="20"/>
              </w:rPr>
            </w:pPr>
            <w:r w:rsidRPr="008B4FFF">
              <w:rPr>
                <w:color w:val="000000"/>
                <w:sz w:val="20"/>
              </w:rPr>
              <w:t>2,0</w:t>
            </w:r>
          </w:p>
        </w:tc>
        <w:tc>
          <w:tcPr>
            <w:tcW w:w="850" w:type="dxa"/>
            <w:vAlign w:val="center"/>
          </w:tcPr>
          <w:p w14:paraId="1B933558" w14:textId="77777777" w:rsidR="005901D6" w:rsidRPr="008B4FFF" w:rsidRDefault="005901D6" w:rsidP="00F46473">
            <w:pPr>
              <w:spacing w:after="0"/>
              <w:ind w:firstLine="0"/>
              <w:jc w:val="center"/>
              <w:rPr>
                <w:color w:val="000000"/>
                <w:sz w:val="20"/>
              </w:rPr>
            </w:pPr>
            <w:r w:rsidRPr="008B4FFF">
              <w:rPr>
                <w:color w:val="000000"/>
                <w:sz w:val="20"/>
              </w:rPr>
              <w:t>3,7</w:t>
            </w:r>
          </w:p>
        </w:tc>
        <w:tc>
          <w:tcPr>
            <w:tcW w:w="851" w:type="dxa"/>
            <w:vAlign w:val="center"/>
          </w:tcPr>
          <w:p w14:paraId="797242CA" w14:textId="77777777" w:rsidR="005901D6" w:rsidRPr="008B4FFF" w:rsidRDefault="005901D6" w:rsidP="00F46473">
            <w:pPr>
              <w:spacing w:after="0"/>
              <w:ind w:firstLine="0"/>
              <w:jc w:val="center"/>
              <w:rPr>
                <w:color w:val="000000"/>
                <w:sz w:val="20"/>
              </w:rPr>
            </w:pPr>
            <w:r w:rsidRPr="008B4FFF">
              <w:rPr>
                <w:color w:val="000000"/>
                <w:sz w:val="20"/>
              </w:rPr>
              <w:t>4,0</w:t>
            </w:r>
          </w:p>
        </w:tc>
        <w:tc>
          <w:tcPr>
            <w:tcW w:w="850" w:type="dxa"/>
            <w:vAlign w:val="center"/>
          </w:tcPr>
          <w:p w14:paraId="2F793DB7" w14:textId="77777777" w:rsidR="005901D6" w:rsidRPr="008B4FFF" w:rsidRDefault="005901D6" w:rsidP="00F46473">
            <w:pPr>
              <w:spacing w:after="0"/>
              <w:ind w:firstLine="0"/>
              <w:jc w:val="center"/>
              <w:rPr>
                <w:color w:val="000000"/>
                <w:sz w:val="20"/>
              </w:rPr>
            </w:pPr>
            <w:r w:rsidRPr="008B4FFF">
              <w:rPr>
                <w:color w:val="000000"/>
                <w:sz w:val="20"/>
              </w:rPr>
              <w:t>4,0</w:t>
            </w:r>
          </w:p>
        </w:tc>
        <w:tc>
          <w:tcPr>
            <w:tcW w:w="1239" w:type="dxa"/>
            <w:vAlign w:val="center"/>
          </w:tcPr>
          <w:p w14:paraId="5941528C" w14:textId="77777777" w:rsidR="005901D6" w:rsidRPr="008B4FFF" w:rsidRDefault="005901D6" w:rsidP="00F46473">
            <w:pPr>
              <w:spacing w:after="0"/>
              <w:ind w:firstLine="0"/>
              <w:jc w:val="center"/>
              <w:rPr>
                <w:rFonts w:eastAsia="Arial Unicode MS"/>
              </w:rPr>
            </w:pPr>
            <w:r w:rsidRPr="008B4FFF">
              <w:rPr>
                <w:color w:val="000000"/>
                <w:sz w:val="20"/>
              </w:rPr>
              <w:t>-</w:t>
            </w:r>
          </w:p>
        </w:tc>
      </w:tr>
      <w:tr w:rsidR="005901D6" w:rsidRPr="008B4FFF" w14:paraId="49C4130C" w14:textId="77777777" w:rsidTr="008C7F19">
        <w:trPr>
          <w:jc w:val="center"/>
        </w:trPr>
        <w:tc>
          <w:tcPr>
            <w:tcW w:w="3568" w:type="dxa"/>
            <w:vAlign w:val="center"/>
          </w:tcPr>
          <w:p w14:paraId="77F3A83D" w14:textId="77777777" w:rsidR="005901D6" w:rsidRPr="008B4FFF" w:rsidRDefault="005901D6" w:rsidP="00F46473">
            <w:pPr>
              <w:spacing w:after="0"/>
              <w:ind w:firstLine="0"/>
              <w:jc w:val="right"/>
              <w:rPr>
                <w:sz w:val="20"/>
              </w:rPr>
            </w:pPr>
            <w:r w:rsidRPr="008B4FFF">
              <w:rPr>
                <w:sz w:val="20"/>
              </w:rPr>
              <w:t>2013. gads</w:t>
            </w:r>
          </w:p>
        </w:tc>
        <w:tc>
          <w:tcPr>
            <w:tcW w:w="992" w:type="dxa"/>
            <w:vAlign w:val="center"/>
          </w:tcPr>
          <w:p w14:paraId="598A2A57" w14:textId="77777777" w:rsidR="005901D6" w:rsidRPr="008B4FFF" w:rsidRDefault="005901D6" w:rsidP="00F46473">
            <w:pPr>
              <w:spacing w:after="0"/>
              <w:ind w:firstLine="0"/>
              <w:jc w:val="center"/>
              <w:rPr>
                <w:sz w:val="20"/>
                <w:highlight w:val="yellow"/>
              </w:rPr>
            </w:pPr>
          </w:p>
        </w:tc>
        <w:tc>
          <w:tcPr>
            <w:tcW w:w="709" w:type="dxa"/>
            <w:vAlign w:val="center"/>
          </w:tcPr>
          <w:p w14:paraId="248720F3" w14:textId="77777777" w:rsidR="005901D6" w:rsidRPr="008B4FFF" w:rsidRDefault="005901D6" w:rsidP="00F46473">
            <w:pPr>
              <w:spacing w:after="0"/>
              <w:ind w:firstLine="0"/>
              <w:jc w:val="center"/>
              <w:rPr>
                <w:color w:val="000000"/>
                <w:sz w:val="20"/>
              </w:rPr>
            </w:pPr>
            <w:r w:rsidRPr="008B4FFF">
              <w:rPr>
                <w:color w:val="000000"/>
                <w:sz w:val="20"/>
              </w:rPr>
              <w:t>5,6</w:t>
            </w:r>
          </w:p>
        </w:tc>
        <w:tc>
          <w:tcPr>
            <w:tcW w:w="850" w:type="dxa"/>
            <w:vAlign w:val="center"/>
          </w:tcPr>
          <w:p w14:paraId="6F07DFD8" w14:textId="77777777" w:rsidR="005901D6" w:rsidRPr="008B4FFF" w:rsidRDefault="005901D6" w:rsidP="00F46473">
            <w:pPr>
              <w:spacing w:after="0"/>
              <w:ind w:firstLine="0"/>
              <w:jc w:val="center"/>
              <w:rPr>
                <w:color w:val="000000"/>
                <w:sz w:val="20"/>
              </w:rPr>
            </w:pPr>
            <w:r w:rsidRPr="008B4FFF">
              <w:rPr>
                <w:color w:val="000000"/>
                <w:sz w:val="20"/>
              </w:rPr>
              <w:t>4,0</w:t>
            </w:r>
          </w:p>
        </w:tc>
        <w:tc>
          <w:tcPr>
            <w:tcW w:w="851" w:type="dxa"/>
            <w:vAlign w:val="center"/>
          </w:tcPr>
          <w:p w14:paraId="1C234BF2" w14:textId="77777777" w:rsidR="005901D6" w:rsidRPr="008B4FFF" w:rsidRDefault="005901D6" w:rsidP="00F46473">
            <w:pPr>
              <w:spacing w:after="0"/>
              <w:ind w:firstLine="0"/>
              <w:jc w:val="center"/>
              <w:rPr>
                <w:color w:val="000000"/>
                <w:sz w:val="20"/>
              </w:rPr>
            </w:pPr>
            <w:r w:rsidRPr="008B4FFF">
              <w:rPr>
                <w:color w:val="000000"/>
                <w:sz w:val="20"/>
              </w:rPr>
              <w:t>4,0</w:t>
            </w:r>
          </w:p>
        </w:tc>
        <w:tc>
          <w:tcPr>
            <w:tcW w:w="850" w:type="dxa"/>
            <w:vAlign w:val="center"/>
          </w:tcPr>
          <w:p w14:paraId="11253ABD" w14:textId="77777777" w:rsidR="005901D6" w:rsidRPr="008B4FFF" w:rsidRDefault="005901D6" w:rsidP="00F46473">
            <w:pPr>
              <w:spacing w:after="0"/>
              <w:ind w:firstLine="0"/>
              <w:jc w:val="center"/>
              <w:rPr>
                <w:color w:val="000000"/>
                <w:sz w:val="20"/>
              </w:rPr>
            </w:pPr>
            <w:r w:rsidRPr="008B4FFF">
              <w:rPr>
                <w:color w:val="000000"/>
                <w:sz w:val="20"/>
              </w:rPr>
              <w:t>4,0</w:t>
            </w:r>
          </w:p>
        </w:tc>
        <w:tc>
          <w:tcPr>
            <w:tcW w:w="1239" w:type="dxa"/>
            <w:vAlign w:val="center"/>
          </w:tcPr>
          <w:p w14:paraId="5C4B247F" w14:textId="77777777" w:rsidR="005901D6" w:rsidRPr="008B4FFF" w:rsidRDefault="005901D6" w:rsidP="00F46473">
            <w:pPr>
              <w:spacing w:after="0"/>
              <w:ind w:firstLine="0"/>
              <w:jc w:val="center"/>
              <w:rPr>
                <w:color w:val="000000"/>
                <w:sz w:val="20"/>
              </w:rPr>
            </w:pPr>
            <w:r w:rsidRPr="008B4FFF">
              <w:rPr>
                <w:color w:val="000000"/>
                <w:sz w:val="20"/>
              </w:rPr>
              <w:t>4,0</w:t>
            </w:r>
          </w:p>
        </w:tc>
      </w:tr>
      <w:tr w:rsidR="005901D6" w:rsidRPr="008B4FFF" w14:paraId="5A0FADBA" w14:textId="77777777" w:rsidTr="008C7F19">
        <w:trPr>
          <w:jc w:val="center"/>
        </w:trPr>
        <w:tc>
          <w:tcPr>
            <w:tcW w:w="3568" w:type="dxa"/>
            <w:vAlign w:val="center"/>
          </w:tcPr>
          <w:p w14:paraId="021B9751" w14:textId="77777777" w:rsidR="005901D6" w:rsidRPr="008B4FFF" w:rsidRDefault="005901D6" w:rsidP="00F46473">
            <w:pPr>
              <w:spacing w:after="0"/>
              <w:ind w:firstLine="0"/>
              <w:jc w:val="right"/>
              <w:rPr>
                <w:snapToGrid w:val="0"/>
                <w:sz w:val="20"/>
              </w:rPr>
            </w:pPr>
            <w:r w:rsidRPr="008B4FFF">
              <w:rPr>
                <w:snapToGrid w:val="0"/>
                <w:sz w:val="20"/>
              </w:rPr>
              <w:t>Izmaiņas</w:t>
            </w:r>
          </w:p>
        </w:tc>
        <w:tc>
          <w:tcPr>
            <w:tcW w:w="992" w:type="dxa"/>
            <w:vAlign w:val="center"/>
          </w:tcPr>
          <w:p w14:paraId="7788BDBD" w14:textId="77777777" w:rsidR="005901D6" w:rsidRPr="008B4FFF" w:rsidRDefault="005901D6" w:rsidP="00F46473">
            <w:pPr>
              <w:spacing w:after="0"/>
              <w:ind w:firstLine="0"/>
              <w:jc w:val="center"/>
              <w:rPr>
                <w:sz w:val="20"/>
                <w:highlight w:val="yellow"/>
              </w:rPr>
            </w:pPr>
          </w:p>
        </w:tc>
        <w:tc>
          <w:tcPr>
            <w:tcW w:w="709" w:type="dxa"/>
            <w:vAlign w:val="center"/>
          </w:tcPr>
          <w:p w14:paraId="53E3E828" w14:textId="77777777" w:rsidR="005901D6" w:rsidRPr="008B4FFF" w:rsidRDefault="005901D6" w:rsidP="00F46473">
            <w:pPr>
              <w:spacing w:after="0"/>
              <w:ind w:firstLine="0"/>
              <w:jc w:val="center"/>
              <w:rPr>
                <w:color w:val="000000"/>
                <w:sz w:val="20"/>
              </w:rPr>
            </w:pPr>
            <w:r w:rsidRPr="008B4FFF">
              <w:rPr>
                <w:color w:val="000000"/>
                <w:sz w:val="20"/>
              </w:rPr>
              <w:t>3,6</w:t>
            </w:r>
          </w:p>
        </w:tc>
        <w:tc>
          <w:tcPr>
            <w:tcW w:w="850" w:type="dxa"/>
            <w:vAlign w:val="center"/>
          </w:tcPr>
          <w:p w14:paraId="694E380C" w14:textId="77777777" w:rsidR="005901D6" w:rsidRPr="008B4FFF" w:rsidRDefault="005901D6" w:rsidP="00F46473">
            <w:pPr>
              <w:spacing w:after="0"/>
              <w:ind w:firstLine="0"/>
              <w:jc w:val="center"/>
              <w:rPr>
                <w:color w:val="000000"/>
                <w:sz w:val="20"/>
              </w:rPr>
            </w:pPr>
            <w:r w:rsidRPr="008B4FFF">
              <w:rPr>
                <w:color w:val="000000"/>
                <w:sz w:val="20"/>
              </w:rPr>
              <w:t>0,3</w:t>
            </w:r>
          </w:p>
        </w:tc>
        <w:tc>
          <w:tcPr>
            <w:tcW w:w="851" w:type="dxa"/>
            <w:vAlign w:val="center"/>
          </w:tcPr>
          <w:p w14:paraId="78C90550" w14:textId="77777777" w:rsidR="005901D6" w:rsidRPr="008B4FFF" w:rsidRDefault="005901D6" w:rsidP="00F46473">
            <w:pPr>
              <w:spacing w:after="0"/>
              <w:ind w:firstLine="0"/>
              <w:jc w:val="center"/>
              <w:rPr>
                <w:color w:val="000000"/>
                <w:sz w:val="20"/>
              </w:rPr>
            </w:pPr>
            <w:r w:rsidRPr="008B4FFF">
              <w:rPr>
                <w:color w:val="000000"/>
                <w:sz w:val="20"/>
              </w:rPr>
              <w:t>0,0</w:t>
            </w:r>
          </w:p>
        </w:tc>
        <w:tc>
          <w:tcPr>
            <w:tcW w:w="850" w:type="dxa"/>
            <w:vAlign w:val="center"/>
          </w:tcPr>
          <w:p w14:paraId="52DDCFEA" w14:textId="77777777" w:rsidR="005901D6" w:rsidRPr="008B4FFF" w:rsidRDefault="005901D6" w:rsidP="00F46473">
            <w:pPr>
              <w:spacing w:after="0"/>
              <w:ind w:firstLine="0"/>
              <w:jc w:val="center"/>
              <w:rPr>
                <w:color w:val="000000"/>
                <w:sz w:val="20"/>
              </w:rPr>
            </w:pPr>
            <w:r w:rsidRPr="008B4FFF">
              <w:rPr>
                <w:color w:val="000000"/>
                <w:sz w:val="20"/>
              </w:rPr>
              <w:t>0,0</w:t>
            </w:r>
          </w:p>
        </w:tc>
        <w:tc>
          <w:tcPr>
            <w:tcW w:w="1239" w:type="dxa"/>
            <w:vAlign w:val="center"/>
          </w:tcPr>
          <w:p w14:paraId="227E159B" w14:textId="77777777" w:rsidR="005901D6" w:rsidRPr="008B4FFF" w:rsidRDefault="005901D6" w:rsidP="00F46473">
            <w:pPr>
              <w:spacing w:after="0"/>
              <w:ind w:firstLine="0"/>
              <w:jc w:val="center"/>
              <w:rPr>
                <w:color w:val="000000"/>
                <w:sz w:val="20"/>
              </w:rPr>
            </w:pPr>
            <w:r w:rsidRPr="008B4FFF">
              <w:rPr>
                <w:color w:val="000000"/>
                <w:sz w:val="20"/>
              </w:rPr>
              <w:t>-</w:t>
            </w:r>
          </w:p>
        </w:tc>
      </w:tr>
      <w:tr w:rsidR="005901D6" w:rsidRPr="008B4FFF" w14:paraId="387A452A" w14:textId="77777777" w:rsidTr="008C7F19">
        <w:trPr>
          <w:jc w:val="center"/>
        </w:trPr>
        <w:tc>
          <w:tcPr>
            <w:tcW w:w="3568" w:type="dxa"/>
            <w:vAlign w:val="center"/>
          </w:tcPr>
          <w:p w14:paraId="2688B148" w14:textId="77777777" w:rsidR="005901D6" w:rsidRPr="008B4FFF" w:rsidRDefault="005901D6" w:rsidP="00F46473">
            <w:pPr>
              <w:spacing w:after="0"/>
              <w:ind w:firstLine="0"/>
              <w:jc w:val="left"/>
              <w:rPr>
                <w:b/>
                <w:sz w:val="20"/>
              </w:rPr>
            </w:pPr>
            <w:r w:rsidRPr="008B4FFF">
              <w:rPr>
                <w:b/>
                <w:sz w:val="20"/>
              </w:rPr>
              <w:t>Faktiskā budžeta bilance</w:t>
            </w:r>
          </w:p>
          <w:p w14:paraId="6505E288" w14:textId="77777777" w:rsidR="005901D6" w:rsidRPr="008B4FFF" w:rsidRDefault="005901D6" w:rsidP="00F46473">
            <w:pPr>
              <w:spacing w:after="0"/>
              <w:ind w:firstLine="0"/>
              <w:jc w:val="left"/>
              <w:rPr>
                <w:snapToGrid w:val="0"/>
                <w:sz w:val="20"/>
              </w:rPr>
            </w:pPr>
            <w:r w:rsidRPr="008B4FFF">
              <w:rPr>
                <w:b/>
                <w:sz w:val="20"/>
              </w:rPr>
              <w:t>(% no IKP)</w:t>
            </w:r>
          </w:p>
        </w:tc>
        <w:tc>
          <w:tcPr>
            <w:tcW w:w="992" w:type="dxa"/>
            <w:vAlign w:val="center"/>
          </w:tcPr>
          <w:p w14:paraId="2DD07145" w14:textId="77777777" w:rsidR="005901D6" w:rsidRPr="008B4FFF" w:rsidRDefault="005901D6" w:rsidP="00F46473">
            <w:pPr>
              <w:spacing w:after="0"/>
              <w:ind w:firstLine="0"/>
              <w:jc w:val="left"/>
              <w:rPr>
                <w:sz w:val="20"/>
              </w:rPr>
            </w:pPr>
            <w:r w:rsidRPr="008B4FFF">
              <w:rPr>
                <w:sz w:val="20"/>
              </w:rPr>
              <w:t>B.9</w:t>
            </w:r>
          </w:p>
        </w:tc>
        <w:tc>
          <w:tcPr>
            <w:tcW w:w="709" w:type="dxa"/>
            <w:vAlign w:val="center"/>
          </w:tcPr>
          <w:p w14:paraId="30963331" w14:textId="77777777" w:rsidR="005901D6" w:rsidRPr="008B4FFF" w:rsidRDefault="005901D6" w:rsidP="00F46473">
            <w:pPr>
              <w:tabs>
                <w:tab w:val="decimal" w:pos="330"/>
              </w:tabs>
              <w:spacing w:after="0"/>
              <w:ind w:firstLine="0"/>
              <w:jc w:val="center"/>
              <w:rPr>
                <w:sz w:val="20"/>
              </w:rPr>
            </w:pPr>
          </w:p>
        </w:tc>
        <w:tc>
          <w:tcPr>
            <w:tcW w:w="850" w:type="dxa"/>
            <w:vAlign w:val="center"/>
          </w:tcPr>
          <w:p w14:paraId="0D36B173" w14:textId="77777777" w:rsidR="005901D6" w:rsidRPr="008B4FFF" w:rsidRDefault="005901D6" w:rsidP="00F46473">
            <w:pPr>
              <w:tabs>
                <w:tab w:val="decimal" w:pos="330"/>
              </w:tabs>
              <w:spacing w:after="0"/>
              <w:ind w:firstLine="0"/>
              <w:jc w:val="center"/>
              <w:rPr>
                <w:sz w:val="20"/>
              </w:rPr>
            </w:pPr>
          </w:p>
        </w:tc>
        <w:tc>
          <w:tcPr>
            <w:tcW w:w="851" w:type="dxa"/>
            <w:vAlign w:val="center"/>
          </w:tcPr>
          <w:p w14:paraId="064249AB" w14:textId="77777777" w:rsidR="005901D6" w:rsidRPr="008B4FFF" w:rsidRDefault="005901D6" w:rsidP="00F46473">
            <w:pPr>
              <w:tabs>
                <w:tab w:val="decimal" w:pos="330"/>
              </w:tabs>
              <w:spacing w:after="0"/>
              <w:ind w:firstLine="0"/>
              <w:jc w:val="center"/>
              <w:rPr>
                <w:sz w:val="20"/>
              </w:rPr>
            </w:pPr>
          </w:p>
        </w:tc>
        <w:tc>
          <w:tcPr>
            <w:tcW w:w="850" w:type="dxa"/>
            <w:vAlign w:val="center"/>
          </w:tcPr>
          <w:p w14:paraId="3810E423" w14:textId="77777777" w:rsidR="005901D6" w:rsidRPr="008B4FFF" w:rsidRDefault="005901D6" w:rsidP="00F46473">
            <w:pPr>
              <w:tabs>
                <w:tab w:val="decimal" w:pos="330"/>
              </w:tabs>
              <w:spacing w:after="0"/>
              <w:ind w:firstLine="0"/>
              <w:jc w:val="center"/>
              <w:rPr>
                <w:rFonts w:eastAsia="Arial Unicode MS"/>
                <w:sz w:val="20"/>
              </w:rPr>
            </w:pPr>
          </w:p>
        </w:tc>
        <w:tc>
          <w:tcPr>
            <w:tcW w:w="1239" w:type="dxa"/>
            <w:vAlign w:val="center"/>
          </w:tcPr>
          <w:p w14:paraId="7B0CE356" w14:textId="77777777" w:rsidR="005901D6" w:rsidRPr="008B4FFF" w:rsidRDefault="005901D6" w:rsidP="00F46473">
            <w:pPr>
              <w:tabs>
                <w:tab w:val="decimal" w:pos="330"/>
              </w:tabs>
              <w:spacing w:after="0"/>
              <w:ind w:firstLine="0"/>
              <w:jc w:val="center"/>
              <w:rPr>
                <w:sz w:val="20"/>
              </w:rPr>
            </w:pPr>
          </w:p>
        </w:tc>
      </w:tr>
      <w:tr w:rsidR="005901D6" w:rsidRPr="008B4FFF" w14:paraId="32F09476" w14:textId="77777777" w:rsidTr="008C7F19">
        <w:trPr>
          <w:jc w:val="center"/>
        </w:trPr>
        <w:tc>
          <w:tcPr>
            <w:tcW w:w="3568" w:type="dxa"/>
            <w:vAlign w:val="center"/>
          </w:tcPr>
          <w:p w14:paraId="45BC3DE4" w14:textId="77777777" w:rsidR="005901D6" w:rsidRPr="008B4FFF" w:rsidRDefault="005901D6" w:rsidP="00F46473">
            <w:pPr>
              <w:spacing w:after="0"/>
              <w:ind w:firstLine="0"/>
              <w:jc w:val="right"/>
              <w:rPr>
                <w:sz w:val="20"/>
              </w:rPr>
            </w:pPr>
            <w:r w:rsidRPr="008B4FFF">
              <w:rPr>
                <w:sz w:val="20"/>
              </w:rPr>
              <w:t>2012. gads</w:t>
            </w:r>
          </w:p>
        </w:tc>
        <w:tc>
          <w:tcPr>
            <w:tcW w:w="992" w:type="dxa"/>
            <w:vAlign w:val="center"/>
          </w:tcPr>
          <w:p w14:paraId="619F214D" w14:textId="77777777" w:rsidR="005901D6" w:rsidRPr="008B4FFF" w:rsidRDefault="005901D6" w:rsidP="00F46473">
            <w:pPr>
              <w:spacing w:after="0"/>
              <w:ind w:firstLine="0"/>
              <w:jc w:val="left"/>
              <w:rPr>
                <w:sz w:val="20"/>
              </w:rPr>
            </w:pPr>
          </w:p>
        </w:tc>
        <w:tc>
          <w:tcPr>
            <w:tcW w:w="709" w:type="dxa"/>
            <w:vAlign w:val="center"/>
          </w:tcPr>
          <w:p w14:paraId="30CD8022" w14:textId="77777777" w:rsidR="005901D6" w:rsidRPr="008B4FFF" w:rsidRDefault="00836C86" w:rsidP="00F46473">
            <w:pPr>
              <w:spacing w:after="0"/>
              <w:ind w:firstLine="0"/>
              <w:jc w:val="center"/>
              <w:rPr>
                <w:sz w:val="20"/>
              </w:rPr>
            </w:pPr>
            <w:r>
              <w:rPr>
                <w:sz w:val="20"/>
              </w:rPr>
              <w:t>-2,1</w:t>
            </w:r>
          </w:p>
        </w:tc>
        <w:tc>
          <w:tcPr>
            <w:tcW w:w="850" w:type="dxa"/>
            <w:vAlign w:val="center"/>
          </w:tcPr>
          <w:p w14:paraId="56B9672D" w14:textId="77777777" w:rsidR="005901D6" w:rsidRPr="008B4FFF" w:rsidRDefault="005901D6" w:rsidP="00F46473">
            <w:pPr>
              <w:spacing w:after="0"/>
              <w:ind w:firstLine="0"/>
              <w:jc w:val="center"/>
              <w:rPr>
                <w:rFonts w:eastAsia="Arial Unicode MS"/>
                <w:sz w:val="20"/>
              </w:rPr>
            </w:pPr>
            <w:r w:rsidRPr="008B4FFF">
              <w:rPr>
                <w:rFonts w:eastAsia="Arial Unicode MS"/>
                <w:sz w:val="20"/>
              </w:rPr>
              <w:t>-</w:t>
            </w:r>
            <w:r w:rsidR="004B05F4">
              <w:rPr>
                <w:rFonts w:eastAsia="Arial Unicode MS"/>
                <w:sz w:val="20"/>
              </w:rPr>
              <w:t>1,4</w:t>
            </w:r>
          </w:p>
        </w:tc>
        <w:tc>
          <w:tcPr>
            <w:tcW w:w="851" w:type="dxa"/>
            <w:vAlign w:val="center"/>
          </w:tcPr>
          <w:p w14:paraId="21B8067C" w14:textId="77777777" w:rsidR="005901D6" w:rsidRPr="008B4FFF" w:rsidRDefault="005901D6" w:rsidP="00F46473">
            <w:pPr>
              <w:spacing w:after="0"/>
              <w:ind w:firstLine="0"/>
              <w:jc w:val="center"/>
              <w:rPr>
                <w:rFonts w:eastAsia="Arial Unicode MS"/>
                <w:sz w:val="20"/>
              </w:rPr>
            </w:pPr>
            <w:r w:rsidRPr="008B4FFF">
              <w:rPr>
                <w:rFonts w:eastAsia="Arial Unicode MS"/>
                <w:sz w:val="20"/>
              </w:rPr>
              <w:t>-</w:t>
            </w:r>
            <w:r w:rsidR="004B05F4">
              <w:rPr>
                <w:rFonts w:eastAsia="Arial Unicode MS"/>
                <w:sz w:val="20"/>
              </w:rPr>
              <w:t>0,8</w:t>
            </w:r>
          </w:p>
        </w:tc>
        <w:tc>
          <w:tcPr>
            <w:tcW w:w="850" w:type="dxa"/>
            <w:vAlign w:val="center"/>
          </w:tcPr>
          <w:p w14:paraId="2BDD946C" w14:textId="77777777" w:rsidR="005901D6" w:rsidRPr="008B4FFF" w:rsidRDefault="005901D6" w:rsidP="00F46473">
            <w:pPr>
              <w:spacing w:after="0"/>
              <w:ind w:firstLine="0"/>
              <w:jc w:val="center"/>
              <w:rPr>
                <w:rFonts w:eastAsia="Arial Unicode MS"/>
                <w:sz w:val="20"/>
              </w:rPr>
            </w:pPr>
            <w:r w:rsidRPr="008B4FFF">
              <w:rPr>
                <w:rFonts w:eastAsia="Arial Unicode MS"/>
                <w:sz w:val="20"/>
              </w:rPr>
              <w:t>-0,</w:t>
            </w:r>
            <w:r w:rsidR="004B05F4">
              <w:rPr>
                <w:rFonts w:eastAsia="Arial Unicode MS"/>
                <w:sz w:val="20"/>
              </w:rPr>
              <w:t>3</w:t>
            </w:r>
          </w:p>
        </w:tc>
        <w:tc>
          <w:tcPr>
            <w:tcW w:w="1239" w:type="dxa"/>
            <w:vAlign w:val="center"/>
          </w:tcPr>
          <w:p w14:paraId="6E93B0BF" w14:textId="77777777" w:rsidR="005901D6" w:rsidRPr="008B4FFF" w:rsidRDefault="006E7576" w:rsidP="00F46473">
            <w:pPr>
              <w:spacing w:after="0"/>
              <w:ind w:firstLine="0"/>
              <w:jc w:val="center"/>
              <w:rPr>
                <w:rFonts w:eastAsia="Arial Unicode MS"/>
                <w:sz w:val="20"/>
              </w:rPr>
            </w:pPr>
            <w:r>
              <w:rPr>
                <w:rFonts w:eastAsia="Arial Unicode MS"/>
                <w:sz w:val="20"/>
              </w:rPr>
              <w:t>-</w:t>
            </w:r>
          </w:p>
        </w:tc>
      </w:tr>
      <w:tr w:rsidR="005901D6" w:rsidRPr="008B4FFF" w14:paraId="06755037" w14:textId="77777777" w:rsidTr="008C7F19">
        <w:trPr>
          <w:jc w:val="center"/>
        </w:trPr>
        <w:tc>
          <w:tcPr>
            <w:tcW w:w="3568" w:type="dxa"/>
            <w:vAlign w:val="center"/>
          </w:tcPr>
          <w:p w14:paraId="527C3D1F" w14:textId="77777777" w:rsidR="005901D6" w:rsidRPr="008B4FFF" w:rsidRDefault="005901D6" w:rsidP="00F46473">
            <w:pPr>
              <w:spacing w:after="0"/>
              <w:ind w:firstLine="0"/>
              <w:jc w:val="right"/>
              <w:rPr>
                <w:sz w:val="20"/>
              </w:rPr>
            </w:pPr>
            <w:r w:rsidRPr="008B4FFF">
              <w:rPr>
                <w:sz w:val="20"/>
              </w:rPr>
              <w:t>2013. gads</w:t>
            </w:r>
          </w:p>
        </w:tc>
        <w:tc>
          <w:tcPr>
            <w:tcW w:w="992" w:type="dxa"/>
            <w:vAlign w:val="center"/>
          </w:tcPr>
          <w:p w14:paraId="0341A854" w14:textId="77777777" w:rsidR="005901D6" w:rsidRPr="008B4FFF" w:rsidRDefault="005901D6" w:rsidP="00F46473">
            <w:pPr>
              <w:spacing w:after="0"/>
              <w:ind w:firstLine="0"/>
              <w:jc w:val="left"/>
              <w:rPr>
                <w:sz w:val="20"/>
              </w:rPr>
            </w:pPr>
          </w:p>
        </w:tc>
        <w:tc>
          <w:tcPr>
            <w:tcW w:w="709" w:type="dxa"/>
            <w:vAlign w:val="center"/>
          </w:tcPr>
          <w:p w14:paraId="08E35EBC" w14:textId="77777777" w:rsidR="005901D6" w:rsidRPr="008B4FFF" w:rsidRDefault="005901D6" w:rsidP="00F46473">
            <w:pPr>
              <w:spacing w:after="0"/>
              <w:ind w:firstLine="0"/>
              <w:jc w:val="center"/>
              <w:rPr>
                <w:rFonts w:eastAsia="Arial Unicode MS"/>
                <w:sz w:val="20"/>
              </w:rPr>
            </w:pPr>
            <w:r w:rsidRPr="008B4FFF">
              <w:rPr>
                <w:rFonts w:eastAsia="Arial Unicode MS"/>
                <w:sz w:val="20"/>
              </w:rPr>
              <w:t>-1,2</w:t>
            </w:r>
          </w:p>
        </w:tc>
        <w:tc>
          <w:tcPr>
            <w:tcW w:w="850" w:type="dxa"/>
            <w:vAlign w:val="center"/>
          </w:tcPr>
          <w:p w14:paraId="15B5F8F7" w14:textId="77777777" w:rsidR="005901D6" w:rsidRPr="008B4FFF" w:rsidRDefault="005901D6" w:rsidP="00F46473">
            <w:pPr>
              <w:spacing w:after="0"/>
              <w:ind w:firstLine="0"/>
              <w:jc w:val="center"/>
              <w:rPr>
                <w:rFonts w:eastAsia="Arial Unicode MS"/>
                <w:sz w:val="20"/>
              </w:rPr>
            </w:pPr>
            <w:r w:rsidRPr="008B4FFF">
              <w:rPr>
                <w:rFonts w:eastAsia="Arial Unicode MS"/>
                <w:sz w:val="20"/>
              </w:rPr>
              <w:t>-1,1</w:t>
            </w:r>
          </w:p>
        </w:tc>
        <w:tc>
          <w:tcPr>
            <w:tcW w:w="851" w:type="dxa"/>
            <w:vAlign w:val="center"/>
          </w:tcPr>
          <w:p w14:paraId="011CDBB7" w14:textId="77777777" w:rsidR="005901D6" w:rsidRPr="008B4FFF" w:rsidRDefault="005901D6" w:rsidP="00F46473">
            <w:pPr>
              <w:spacing w:after="0"/>
              <w:ind w:firstLine="0"/>
              <w:jc w:val="center"/>
              <w:rPr>
                <w:rFonts w:eastAsia="Arial Unicode MS"/>
                <w:sz w:val="20"/>
              </w:rPr>
            </w:pPr>
            <w:r w:rsidRPr="008B4FFF">
              <w:rPr>
                <w:rFonts w:eastAsia="Arial Unicode MS"/>
                <w:sz w:val="20"/>
              </w:rPr>
              <w:t>-0,9</w:t>
            </w:r>
          </w:p>
        </w:tc>
        <w:tc>
          <w:tcPr>
            <w:tcW w:w="850" w:type="dxa"/>
            <w:vAlign w:val="center"/>
          </w:tcPr>
          <w:p w14:paraId="4B25A45A" w14:textId="77777777" w:rsidR="005901D6" w:rsidRPr="008B4FFF" w:rsidRDefault="005901D6" w:rsidP="00F46473">
            <w:pPr>
              <w:spacing w:after="0"/>
              <w:ind w:firstLine="0"/>
              <w:jc w:val="center"/>
              <w:rPr>
                <w:rFonts w:eastAsia="Arial Unicode MS"/>
                <w:sz w:val="20"/>
              </w:rPr>
            </w:pPr>
            <w:r w:rsidRPr="008B4FFF">
              <w:rPr>
                <w:rFonts w:eastAsia="Arial Unicode MS"/>
                <w:sz w:val="20"/>
              </w:rPr>
              <w:t>-0,9</w:t>
            </w:r>
          </w:p>
        </w:tc>
        <w:tc>
          <w:tcPr>
            <w:tcW w:w="1239" w:type="dxa"/>
            <w:vAlign w:val="center"/>
          </w:tcPr>
          <w:p w14:paraId="7E1F00F9" w14:textId="77777777" w:rsidR="005901D6" w:rsidRPr="008B4FFF" w:rsidRDefault="005901D6" w:rsidP="00F46473">
            <w:pPr>
              <w:spacing w:after="0"/>
              <w:ind w:firstLine="0"/>
              <w:jc w:val="center"/>
              <w:rPr>
                <w:rFonts w:eastAsia="Arial Unicode MS"/>
                <w:sz w:val="20"/>
              </w:rPr>
            </w:pPr>
            <w:r w:rsidRPr="008B4FFF">
              <w:rPr>
                <w:rFonts w:eastAsia="Arial Unicode MS"/>
                <w:sz w:val="20"/>
              </w:rPr>
              <w:t>-0,9</w:t>
            </w:r>
          </w:p>
        </w:tc>
      </w:tr>
      <w:tr w:rsidR="005901D6" w:rsidRPr="008B4FFF" w14:paraId="348460D9" w14:textId="77777777" w:rsidTr="008C7F19">
        <w:trPr>
          <w:jc w:val="center"/>
        </w:trPr>
        <w:tc>
          <w:tcPr>
            <w:tcW w:w="3568" w:type="dxa"/>
          </w:tcPr>
          <w:p w14:paraId="5D92F5EA" w14:textId="77777777" w:rsidR="005901D6" w:rsidRPr="008B4FFF" w:rsidRDefault="005901D6" w:rsidP="00F46473">
            <w:pPr>
              <w:spacing w:after="0"/>
              <w:ind w:firstLine="0"/>
              <w:jc w:val="right"/>
              <w:rPr>
                <w:snapToGrid w:val="0"/>
                <w:sz w:val="20"/>
              </w:rPr>
            </w:pPr>
            <w:r w:rsidRPr="008B4FFF">
              <w:rPr>
                <w:snapToGrid w:val="0"/>
                <w:sz w:val="20"/>
              </w:rPr>
              <w:t>Izmaiņas</w:t>
            </w:r>
          </w:p>
        </w:tc>
        <w:tc>
          <w:tcPr>
            <w:tcW w:w="992" w:type="dxa"/>
          </w:tcPr>
          <w:p w14:paraId="69F10B17" w14:textId="77777777" w:rsidR="005901D6" w:rsidRPr="008B4FFF" w:rsidRDefault="005901D6" w:rsidP="00F46473">
            <w:pPr>
              <w:spacing w:after="0"/>
              <w:ind w:firstLine="0"/>
              <w:jc w:val="left"/>
              <w:rPr>
                <w:sz w:val="20"/>
                <w:highlight w:val="yellow"/>
              </w:rPr>
            </w:pPr>
          </w:p>
        </w:tc>
        <w:tc>
          <w:tcPr>
            <w:tcW w:w="709" w:type="dxa"/>
          </w:tcPr>
          <w:p w14:paraId="5F435F93" w14:textId="77777777" w:rsidR="005901D6" w:rsidRPr="008B4FFF" w:rsidRDefault="005901D6" w:rsidP="00F46473">
            <w:pPr>
              <w:spacing w:after="0"/>
              <w:ind w:firstLine="0"/>
              <w:jc w:val="center"/>
              <w:rPr>
                <w:rFonts w:eastAsia="Arial Unicode MS"/>
                <w:sz w:val="20"/>
              </w:rPr>
            </w:pPr>
            <w:r w:rsidRPr="008B4FFF">
              <w:rPr>
                <w:rFonts w:eastAsia="Arial Unicode MS"/>
                <w:sz w:val="20"/>
              </w:rPr>
              <w:t>2,3</w:t>
            </w:r>
          </w:p>
        </w:tc>
        <w:tc>
          <w:tcPr>
            <w:tcW w:w="850" w:type="dxa"/>
          </w:tcPr>
          <w:p w14:paraId="36B66BA9" w14:textId="77777777" w:rsidR="005901D6" w:rsidRPr="008B4FFF" w:rsidRDefault="004B05F4" w:rsidP="00AF5CCD">
            <w:pPr>
              <w:spacing w:after="0"/>
              <w:ind w:firstLine="0"/>
              <w:jc w:val="center"/>
              <w:rPr>
                <w:rFonts w:eastAsia="Arial Unicode MS"/>
                <w:sz w:val="20"/>
              </w:rPr>
            </w:pPr>
            <w:r>
              <w:rPr>
                <w:rFonts w:eastAsia="Arial Unicode MS"/>
                <w:sz w:val="20"/>
              </w:rPr>
              <w:t>0,3</w:t>
            </w:r>
          </w:p>
        </w:tc>
        <w:tc>
          <w:tcPr>
            <w:tcW w:w="851" w:type="dxa"/>
          </w:tcPr>
          <w:p w14:paraId="0F4D0365" w14:textId="77777777" w:rsidR="005901D6" w:rsidRPr="008B4FFF" w:rsidRDefault="004B05F4" w:rsidP="00F46473">
            <w:pPr>
              <w:spacing w:after="0"/>
              <w:ind w:firstLine="0"/>
              <w:jc w:val="center"/>
              <w:rPr>
                <w:rFonts w:eastAsia="Arial Unicode MS"/>
                <w:sz w:val="20"/>
              </w:rPr>
            </w:pPr>
            <w:r>
              <w:rPr>
                <w:rFonts w:eastAsia="Arial Unicode MS"/>
                <w:sz w:val="20"/>
              </w:rPr>
              <w:t>-</w:t>
            </w:r>
            <w:r w:rsidR="005901D6" w:rsidRPr="008B4FFF">
              <w:rPr>
                <w:rFonts w:eastAsia="Arial Unicode MS"/>
                <w:sz w:val="20"/>
              </w:rPr>
              <w:t>0,</w:t>
            </w:r>
            <w:r>
              <w:rPr>
                <w:rFonts w:eastAsia="Arial Unicode MS"/>
                <w:sz w:val="20"/>
              </w:rPr>
              <w:t>1</w:t>
            </w:r>
          </w:p>
        </w:tc>
        <w:tc>
          <w:tcPr>
            <w:tcW w:w="850" w:type="dxa"/>
          </w:tcPr>
          <w:p w14:paraId="1887FABB" w14:textId="77777777" w:rsidR="005901D6" w:rsidRPr="008B4FFF" w:rsidRDefault="005901D6" w:rsidP="00F46473">
            <w:pPr>
              <w:spacing w:after="0"/>
              <w:ind w:firstLine="0"/>
              <w:jc w:val="center"/>
              <w:rPr>
                <w:rFonts w:eastAsia="Arial Unicode MS"/>
                <w:sz w:val="20"/>
              </w:rPr>
            </w:pPr>
            <w:r w:rsidRPr="008B4FFF">
              <w:rPr>
                <w:rFonts w:eastAsia="Arial Unicode MS"/>
                <w:sz w:val="20"/>
              </w:rPr>
              <w:t>-0,</w:t>
            </w:r>
            <w:r w:rsidR="004B05F4">
              <w:rPr>
                <w:rFonts w:eastAsia="Arial Unicode MS"/>
                <w:sz w:val="20"/>
              </w:rPr>
              <w:t>6</w:t>
            </w:r>
          </w:p>
        </w:tc>
        <w:tc>
          <w:tcPr>
            <w:tcW w:w="1239" w:type="dxa"/>
          </w:tcPr>
          <w:p w14:paraId="33AAA4E3" w14:textId="77777777" w:rsidR="005901D6" w:rsidRPr="008B4FFF" w:rsidRDefault="006E7576" w:rsidP="00F46473">
            <w:pPr>
              <w:spacing w:after="0"/>
              <w:ind w:firstLine="0"/>
              <w:jc w:val="center"/>
              <w:rPr>
                <w:rFonts w:eastAsia="Arial Unicode MS"/>
                <w:sz w:val="20"/>
              </w:rPr>
            </w:pPr>
            <w:r>
              <w:rPr>
                <w:rFonts w:eastAsia="Arial Unicode MS"/>
                <w:sz w:val="20"/>
              </w:rPr>
              <w:t>-</w:t>
            </w:r>
          </w:p>
        </w:tc>
      </w:tr>
      <w:tr w:rsidR="005901D6" w:rsidRPr="008B4FFF" w14:paraId="3BCBC908" w14:textId="77777777" w:rsidTr="008C7F19">
        <w:trPr>
          <w:jc w:val="center"/>
        </w:trPr>
        <w:tc>
          <w:tcPr>
            <w:tcW w:w="3568" w:type="dxa"/>
          </w:tcPr>
          <w:p w14:paraId="55842A24" w14:textId="77777777" w:rsidR="005901D6" w:rsidRPr="008B4FFF" w:rsidRDefault="005901D6" w:rsidP="00F46473">
            <w:pPr>
              <w:spacing w:after="0"/>
              <w:ind w:firstLine="0"/>
              <w:jc w:val="left"/>
              <w:rPr>
                <w:snapToGrid w:val="0"/>
                <w:sz w:val="20"/>
              </w:rPr>
            </w:pPr>
            <w:r w:rsidRPr="008B4FFF">
              <w:rPr>
                <w:b/>
                <w:sz w:val="20"/>
              </w:rPr>
              <w:t>Vispārējās valdības kopējais parāds (% no IKP)</w:t>
            </w:r>
          </w:p>
        </w:tc>
        <w:tc>
          <w:tcPr>
            <w:tcW w:w="992" w:type="dxa"/>
          </w:tcPr>
          <w:p w14:paraId="4A518197" w14:textId="77777777" w:rsidR="005901D6" w:rsidRPr="008B4FFF" w:rsidRDefault="005901D6" w:rsidP="00F46473">
            <w:pPr>
              <w:spacing w:after="0"/>
              <w:ind w:firstLine="0"/>
              <w:jc w:val="left"/>
              <w:rPr>
                <w:sz w:val="20"/>
                <w:highlight w:val="yellow"/>
              </w:rPr>
            </w:pPr>
          </w:p>
        </w:tc>
        <w:tc>
          <w:tcPr>
            <w:tcW w:w="709" w:type="dxa"/>
          </w:tcPr>
          <w:p w14:paraId="33E567E1" w14:textId="77777777" w:rsidR="005901D6" w:rsidRPr="008B4FFF" w:rsidRDefault="005901D6" w:rsidP="00F46473">
            <w:pPr>
              <w:tabs>
                <w:tab w:val="decimal" w:pos="330"/>
              </w:tabs>
              <w:spacing w:after="0"/>
              <w:ind w:firstLine="0"/>
              <w:jc w:val="center"/>
              <w:rPr>
                <w:sz w:val="20"/>
                <w:highlight w:val="yellow"/>
              </w:rPr>
            </w:pPr>
          </w:p>
        </w:tc>
        <w:tc>
          <w:tcPr>
            <w:tcW w:w="850" w:type="dxa"/>
          </w:tcPr>
          <w:p w14:paraId="02CEFD68" w14:textId="77777777" w:rsidR="005901D6" w:rsidRPr="008B4FFF" w:rsidRDefault="005901D6" w:rsidP="00F46473">
            <w:pPr>
              <w:tabs>
                <w:tab w:val="decimal" w:pos="330"/>
              </w:tabs>
              <w:spacing w:after="0"/>
              <w:ind w:firstLine="0"/>
              <w:jc w:val="center"/>
              <w:rPr>
                <w:sz w:val="20"/>
                <w:highlight w:val="yellow"/>
              </w:rPr>
            </w:pPr>
          </w:p>
        </w:tc>
        <w:tc>
          <w:tcPr>
            <w:tcW w:w="851" w:type="dxa"/>
          </w:tcPr>
          <w:p w14:paraId="59DC2A03" w14:textId="77777777" w:rsidR="005901D6" w:rsidRPr="008B4FFF" w:rsidRDefault="005901D6" w:rsidP="00F46473">
            <w:pPr>
              <w:tabs>
                <w:tab w:val="decimal" w:pos="330"/>
              </w:tabs>
              <w:spacing w:after="0"/>
              <w:ind w:firstLine="0"/>
              <w:jc w:val="center"/>
              <w:rPr>
                <w:sz w:val="20"/>
                <w:highlight w:val="yellow"/>
              </w:rPr>
            </w:pPr>
          </w:p>
        </w:tc>
        <w:tc>
          <w:tcPr>
            <w:tcW w:w="850" w:type="dxa"/>
          </w:tcPr>
          <w:p w14:paraId="6E44ADE0" w14:textId="77777777" w:rsidR="005901D6" w:rsidRPr="008B4FFF" w:rsidRDefault="005901D6" w:rsidP="00F46473">
            <w:pPr>
              <w:tabs>
                <w:tab w:val="decimal" w:pos="330"/>
              </w:tabs>
              <w:spacing w:after="0"/>
              <w:ind w:firstLine="0"/>
              <w:jc w:val="center"/>
              <w:rPr>
                <w:rFonts w:eastAsia="Arial Unicode MS"/>
                <w:sz w:val="20"/>
                <w:highlight w:val="yellow"/>
              </w:rPr>
            </w:pPr>
          </w:p>
        </w:tc>
        <w:tc>
          <w:tcPr>
            <w:tcW w:w="1239" w:type="dxa"/>
          </w:tcPr>
          <w:p w14:paraId="5BCF53B9" w14:textId="77777777" w:rsidR="005901D6" w:rsidRPr="008B4FFF" w:rsidRDefault="005901D6" w:rsidP="00F46473">
            <w:pPr>
              <w:spacing w:after="0"/>
              <w:ind w:firstLine="0"/>
              <w:jc w:val="center"/>
              <w:rPr>
                <w:sz w:val="20"/>
                <w:highlight w:val="yellow"/>
              </w:rPr>
            </w:pPr>
          </w:p>
        </w:tc>
      </w:tr>
      <w:tr w:rsidR="005901D6" w:rsidRPr="008B4FFF" w14:paraId="75714151" w14:textId="77777777" w:rsidTr="008C7F19">
        <w:trPr>
          <w:jc w:val="center"/>
        </w:trPr>
        <w:tc>
          <w:tcPr>
            <w:tcW w:w="3568" w:type="dxa"/>
          </w:tcPr>
          <w:p w14:paraId="13EC162B" w14:textId="77777777" w:rsidR="005901D6" w:rsidRPr="008B4FFF" w:rsidRDefault="005901D6" w:rsidP="00F46473">
            <w:pPr>
              <w:spacing w:after="0"/>
              <w:ind w:firstLine="0"/>
              <w:jc w:val="right"/>
              <w:rPr>
                <w:sz w:val="20"/>
              </w:rPr>
            </w:pPr>
            <w:r w:rsidRPr="008B4FFF">
              <w:rPr>
                <w:sz w:val="20"/>
              </w:rPr>
              <w:t>2012. gads</w:t>
            </w:r>
          </w:p>
        </w:tc>
        <w:tc>
          <w:tcPr>
            <w:tcW w:w="992" w:type="dxa"/>
          </w:tcPr>
          <w:p w14:paraId="631B366D" w14:textId="77777777" w:rsidR="005901D6" w:rsidRPr="008B4FFF" w:rsidRDefault="005901D6" w:rsidP="00F46473">
            <w:pPr>
              <w:spacing w:after="0"/>
              <w:ind w:firstLine="0"/>
              <w:jc w:val="left"/>
              <w:rPr>
                <w:sz w:val="20"/>
                <w:highlight w:val="yellow"/>
              </w:rPr>
            </w:pPr>
          </w:p>
        </w:tc>
        <w:tc>
          <w:tcPr>
            <w:tcW w:w="709" w:type="dxa"/>
          </w:tcPr>
          <w:p w14:paraId="2603E664" w14:textId="77777777" w:rsidR="005901D6" w:rsidRDefault="005901D6" w:rsidP="00F46473">
            <w:pPr>
              <w:tabs>
                <w:tab w:val="decimal" w:pos="330"/>
              </w:tabs>
              <w:spacing w:after="0"/>
              <w:ind w:firstLine="0"/>
              <w:rPr>
                <w:sz w:val="20"/>
              </w:rPr>
            </w:pPr>
            <w:r>
              <w:rPr>
                <w:sz w:val="20"/>
              </w:rPr>
              <w:t>44,5</w:t>
            </w:r>
          </w:p>
        </w:tc>
        <w:tc>
          <w:tcPr>
            <w:tcW w:w="850" w:type="dxa"/>
          </w:tcPr>
          <w:p w14:paraId="7EAA484A" w14:textId="77777777" w:rsidR="005901D6" w:rsidRDefault="005901D6" w:rsidP="00F46473">
            <w:pPr>
              <w:tabs>
                <w:tab w:val="decimal" w:pos="330"/>
              </w:tabs>
              <w:spacing w:after="0"/>
              <w:ind w:firstLine="0"/>
              <w:jc w:val="center"/>
              <w:rPr>
                <w:sz w:val="20"/>
              </w:rPr>
            </w:pPr>
            <w:r>
              <w:rPr>
                <w:sz w:val="20"/>
              </w:rPr>
              <w:t>45,8</w:t>
            </w:r>
          </w:p>
        </w:tc>
        <w:tc>
          <w:tcPr>
            <w:tcW w:w="851" w:type="dxa"/>
          </w:tcPr>
          <w:p w14:paraId="65A44766" w14:textId="77777777" w:rsidR="005901D6" w:rsidRDefault="005901D6" w:rsidP="00F46473">
            <w:pPr>
              <w:tabs>
                <w:tab w:val="decimal" w:pos="330"/>
              </w:tabs>
              <w:spacing w:after="0"/>
              <w:ind w:firstLine="0"/>
              <w:jc w:val="center"/>
              <w:rPr>
                <w:sz w:val="20"/>
              </w:rPr>
            </w:pPr>
            <w:r>
              <w:rPr>
                <w:sz w:val="20"/>
              </w:rPr>
              <w:t>46,7</w:t>
            </w:r>
          </w:p>
        </w:tc>
        <w:tc>
          <w:tcPr>
            <w:tcW w:w="850" w:type="dxa"/>
          </w:tcPr>
          <w:p w14:paraId="6A541275" w14:textId="77777777" w:rsidR="005901D6" w:rsidRDefault="005901D6" w:rsidP="00F46473">
            <w:pPr>
              <w:tabs>
                <w:tab w:val="decimal" w:pos="330"/>
              </w:tabs>
              <w:spacing w:after="0"/>
              <w:ind w:firstLine="0"/>
              <w:jc w:val="center"/>
              <w:rPr>
                <w:sz w:val="20"/>
              </w:rPr>
            </w:pPr>
            <w:r>
              <w:rPr>
                <w:sz w:val="20"/>
              </w:rPr>
              <w:t>38,9</w:t>
            </w:r>
          </w:p>
        </w:tc>
        <w:tc>
          <w:tcPr>
            <w:tcW w:w="1239" w:type="dxa"/>
          </w:tcPr>
          <w:p w14:paraId="3654FCC1" w14:textId="77777777" w:rsidR="005901D6" w:rsidRDefault="005901D6" w:rsidP="00F46473">
            <w:pPr>
              <w:tabs>
                <w:tab w:val="decimal" w:pos="330"/>
              </w:tabs>
              <w:spacing w:after="0"/>
              <w:ind w:firstLine="0"/>
              <w:rPr>
                <w:sz w:val="20"/>
              </w:rPr>
            </w:pPr>
            <w:r>
              <w:rPr>
                <w:sz w:val="20"/>
              </w:rPr>
              <w:t>-</w:t>
            </w:r>
          </w:p>
        </w:tc>
      </w:tr>
      <w:tr w:rsidR="005901D6" w:rsidRPr="008B4FFF" w14:paraId="3A886A48" w14:textId="77777777" w:rsidTr="008C7F19">
        <w:trPr>
          <w:trHeight w:val="70"/>
          <w:jc w:val="center"/>
        </w:trPr>
        <w:tc>
          <w:tcPr>
            <w:tcW w:w="3568" w:type="dxa"/>
          </w:tcPr>
          <w:p w14:paraId="14E3AC07" w14:textId="77777777" w:rsidR="005901D6" w:rsidRPr="008B4FFF" w:rsidRDefault="005901D6" w:rsidP="00F46473">
            <w:pPr>
              <w:spacing w:after="0"/>
              <w:ind w:firstLine="0"/>
              <w:jc w:val="right"/>
              <w:rPr>
                <w:sz w:val="20"/>
              </w:rPr>
            </w:pPr>
            <w:r w:rsidRPr="008B4FFF">
              <w:rPr>
                <w:sz w:val="20"/>
              </w:rPr>
              <w:t>2013. gads</w:t>
            </w:r>
          </w:p>
        </w:tc>
        <w:tc>
          <w:tcPr>
            <w:tcW w:w="992" w:type="dxa"/>
          </w:tcPr>
          <w:p w14:paraId="7D4B35B9" w14:textId="77777777" w:rsidR="005901D6" w:rsidRPr="008B4FFF" w:rsidRDefault="005901D6" w:rsidP="00F46473">
            <w:pPr>
              <w:spacing w:after="0"/>
              <w:ind w:firstLine="0"/>
              <w:jc w:val="left"/>
              <w:rPr>
                <w:sz w:val="20"/>
                <w:highlight w:val="yellow"/>
              </w:rPr>
            </w:pPr>
          </w:p>
        </w:tc>
        <w:tc>
          <w:tcPr>
            <w:tcW w:w="709" w:type="dxa"/>
          </w:tcPr>
          <w:p w14:paraId="4958E85A" w14:textId="77777777" w:rsidR="005901D6" w:rsidRDefault="005901D6" w:rsidP="00F46473">
            <w:pPr>
              <w:spacing w:after="0"/>
              <w:ind w:firstLine="0"/>
              <w:jc w:val="center"/>
              <w:rPr>
                <w:sz w:val="20"/>
              </w:rPr>
            </w:pPr>
            <w:r>
              <w:rPr>
                <w:sz w:val="20"/>
              </w:rPr>
              <w:t xml:space="preserve"> 40,7</w:t>
            </w:r>
          </w:p>
        </w:tc>
        <w:tc>
          <w:tcPr>
            <w:tcW w:w="850" w:type="dxa"/>
          </w:tcPr>
          <w:p w14:paraId="72D69F22" w14:textId="77777777" w:rsidR="005901D6" w:rsidRDefault="005901D6" w:rsidP="00F46473">
            <w:pPr>
              <w:spacing w:after="0"/>
              <w:ind w:firstLine="0"/>
              <w:jc w:val="center"/>
              <w:rPr>
                <w:sz w:val="20"/>
              </w:rPr>
            </w:pPr>
            <w:r>
              <w:rPr>
                <w:sz w:val="20"/>
              </w:rPr>
              <w:t xml:space="preserve">  44,5</w:t>
            </w:r>
          </w:p>
        </w:tc>
        <w:tc>
          <w:tcPr>
            <w:tcW w:w="851" w:type="dxa"/>
          </w:tcPr>
          <w:p w14:paraId="2EA3BE68" w14:textId="77777777" w:rsidR="005901D6" w:rsidRDefault="005901D6" w:rsidP="00F46473">
            <w:pPr>
              <w:spacing w:after="0"/>
              <w:ind w:firstLine="0"/>
              <w:jc w:val="center"/>
              <w:rPr>
                <w:sz w:val="20"/>
              </w:rPr>
            </w:pPr>
            <w:r>
              <w:rPr>
                <w:sz w:val="20"/>
              </w:rPr>
              <w:t xml:space="preserve">  41,0</w:t>
            </w:r>
          </w:p>
        </w:tc>
        <w:tc>
          <w:tcPr>
            <w:tcW w:w="850" w:type="dxa"/>
          </w:tcPr>
          <w:p w14:paraId="5ACC7AB7" w14:textId="77777777" w:rsidR="005901D6" w:rsidRDefault="005901D6" w:rsidP="00F46473">
            <w:pPr>
              <w:spacing w:after="0"/>
              <w:ind w:firstLine="0"/>
              <w:jc w:val="center"/>
              <w:rPr>
                <w:sz w:val="20"/>
              </w:rPr>
            </w:pPr>
            <w:r>
              <w:rPr>
                <w:sz w:val="20"/>
              </w:rPr>
              <w:t xml:space="preserve">  36,4</w:t>
            </w:r>
          </w:p>
        </w:tc>
        <w:tc>
          <w:tcPr>
            <w:tcW w:w="1239" w:type="dxa"/>
          </w:tcPr>
          <w:p w14:paraId="718C9DA3" w14:textId="77777777" w:rsidR="005901D6" w:rsidRDefault="005901D6" w:rsidP="00F46473">
            <w:pPr>
              <w:spacing w:after="0"/>
              <w:ind w:firstLine="0"/>
              <w:jc w:val="center"/>
              <w:rPr>
                <w:sz w:val="20"/>
              </w:rPr>
            </w:pPr>
            <w:r>
              <w:rPr>
                <w:sz w:val="20"/>
              </w:rPr>
              <w:t>34,6</w:t>
            </w:r>
          </w:p>
        </w:tc>
      </w:tr>
      <w:tr w:rsidR="005901D6" w:rsidRPr="008B4FFF" w14:paraId="6240C777" w14:textId="77777777" w:rsidTr="008C7F19">
        <w:trPr>
          <w:jc w:val="center"/>
        </w:trPr>
        <w:tc>
          <w:tcPr>
            <w:tcW w:w="3568" w:type="dxa"/>
          </w:tcPr>
          <w:p w14:paraId="1E620D92" w14:textId="77777777" w:rsidR="005901D6" w:rsidRPr="008B4FFF" w:rsidRDefault="005901D6" w:rsidP="00F46473">
            <w:pPr>
              <w:spacing w:after="0"/>
              <w:ind w:firstLine="0"/>
              <w:jc w:val="right"/>
              <w:rPr>
                <w:snapToGrid w:val="0"/>
                <w:sz w:val="20"/>
              </w:rPr>
            </w:pPr>
            <w:r w:rsidRPr="008B4FFF">
              <w:rPr>
                <w:snapToGrid w:val="0"/>
                <w:sz w:val="20"/>
              </w:rPr>
              <w:t>Izmaiņas</w:t>
            </w:r>
          </w:p>
        </w:tc>
        <w:tc>
          <w:tcPr>
            <w:tcW w:w="992" w:type="dxa"/>
          </w:tcPr>
          <w:p w14:paraId="32AF6378" w14:textId="77777777" w:rsidR="005901D6" w:rsidRPr="008B4FFF" w:rsidRDefault="005901D6" w:rsidP="00F46473">
            <w:pPr>
              <w:spacing w:after="0"/>
              <w:ind w:firstLine="0"/>
              <w:jc w:val="left"/>
              <w:rPr>
                <w:sz w:val="20"/>
                <w:highlight w:val="yellow"/>
              </w:rPr>
            </w:pPr>
          </w:p>
        </w:tc>
        <w:tc>
          <w:tcPr>
            <w:tcW w:w="709" w:type="dxa"/>
          </w:tcPr>
          <w:p w14:paraId="0D87CCBC" w14:textId="77777777" w:rsidR="005901D6" w:rsidRDefault="005901D6" w:rsidP="00F46473">
            <w:pPr>
              <w:tabs>
                <w:tab w:val="decimal" w:pos="330"/>
              </w:tabs>
              <w:spacing w:after="0"/>
              <w:ind w:firstLine="0"/>
              <w:jc w:val="center"/>
              <w:rPr>
                <w:sz w:val="20"/>
              </w:rPr>
            </w:pPr>
            <w:r>
              <w:rPr>
                <w:sz w:val="20"/>
              </w:rPr>
              <w:t>-3,8</w:t>
            </w:r>
          </w:p>
        </w:tc>
        <w:tc>
          <w:tcPr>
            <w:tcW w:w="850" w:type="dxa"/>
          </w:tcPr>
          <w:p w14:paraId="2DC60F7B" w14:textId="77777777" w:rsidR="005901D6" w:rsidRDefault="005901D6" w:rsidP="00F46473">
            <w:pPr>
              <w:tabs>
                <w:tab w:val="decimal" w:pos="330"/>
              </w:tabs>
              <w:spacing w:after="0"/>
              <w:ind w:firstLine="0"/>
              <w:jc w:val="center"/>
              <w:rPr>
                <w:sz w:val="20"/>
              </w:rPr>
            </w:pPr>
            <w:r>
              <w:rPr>
                <w:sz w:val="20"/>
              </w:rPr>
              <w:t>-1,3</w:t>
            </w:r>
          </w:p>
        </w:tc>
        <w:tc>
          <w:tcPr>
            <w:tcW w:w="851" w:type="dxa"/>
          </w:tcPr>
          <w:p w14:paraId="224CAA97" w14:textId="77777777" w:rsidR="005901D6" w:rsidRDefault="005901D6" w:rsidP="00F46473">
            <w:pPr>
              <w:tabs>
                <w:tab w:val="decimal" w:pos="330"/>
              </w:tabs>
              <w:spacing w:after="0"/>
              <w:ind w:firstLine="0"/>
              <w:jc w:val="center"/>
              <w:rPr>
                <w:sz w:val="20"/>
              </w:rPr>
            </w:pPr>
            <w:r>
              <w:rPr>
                <w:sz w:val="20"/>
              </w:rPr>
              <w:t>-5,7</w:t>
            </w:r>
          </w:p>
        </w:tc>
        <w:tc>
          <w:tcPr>
            <w:tcW w:w="850" w:type="dxa"/>
          </w:tcPr>
          <w:p w14:paraId="72393294" w14:textId="77777777" w:rsidR="005901D6" w:rsidRDefault="005901D6" w:rsidP="00F46473">
            <w:pPr>
              <w:tabs>
                <w:tab w:val="decimal" w:pos="330"/>
              </w:tabs>
              <w:spacing w:after="0"/>
              <w:ind w:firstLine="0"/>
              <w:jc w:val="center"/>
              <w:rPr>
                <w:sz w:val="20"/>
              </w:rPr>
            </w:pPr>
            <w:r>
              <w:rPr>
                <w:sz w:val="20"/>
              </w:rPr>
              <w:t>-2,5</w:t>
            </w:r>
          </w:p>
        </w:tc>
        <w:tc>
          <w:tcPr>
            <w:tcW w:w="1239" w:type="dxa"/>
          </w:tcPr>
          <w:p w14:paraId="17563BCC" w14:textId="77777777" w:rsidR="005901D6" w:rsidRDefault="005901D6" w:rsidP="00F46473">
            <w:pPr>
              <w:tabs>
                <w:tab w:val="decimal" w:pos="330"/>
              </w:tabs>
              <w:spacing w:after="0"/>
              <w:ind w:firstLine="0"/>
              <w:rPr>
                <w:sz w:val="20"/>
              </w:rPr>
            </w:pPr>
            <w:r>
              <w:rPr>
                <w:sz w:val="20"/>
              </w:rPr>
              <w:t>-</w:t>
            </w:r>
          </w:p>
        </w:tc>
      </w:tr>
    </w:tbl>
    <w:p w14:paraId="6A310F92" w14:textId="77777777" w:rsidR="005901D6" w:rsidRPr="001946E0" w:rsidRDefault="005901D6" w:rsidP="002D62B9">
      <w:pPr>
        <w:pStyle w:val="T"/>
        <w:ind w:left="0"/>
        <w:rPr>
          <w:rFonts w:ascii="Times New Roman" w:hAnsi="Times New Roman"/>
          <w:color w:val="000000"/>
          <w:szCs w:val="24"/>
        </w:rPr>
      </w:pPr>
    </w:p>
    <w:p w14:paraId="772F5117" w14:textId="77777777" w:rsidR="002D62B9" w:rsidRPr="001946E0" w:rsidRDefault="002D62B9" w:rsidP="002D62B9">
      <w:pPr>
        <w:spacing w:after="0"/>
        <w:ind w:firstLine="0"/>
        <w:rPr>
          <w:b/>
          <w:color w:val="000000"/>
          <w:szCs w:val="24"/>
        </w:rPr>
      </w:pPr>
    </w:p>
    <w:p w14:paraId="6D46E5A0" w14:textId="77777777" w:rsidR="002D62B9" w:rsidRPr="001946E0" w:rsidRDefault="002D62B9" w:rsidP="002D62B9">
      <w:pPr>
        <w:spacing w:after="0"/>
        <w:ind w:firstLine="0"/>
        <w:rPr>
          <w:b/>
          <w:color w:val="000000"/>
          <w:szCs w:val="24"/>
        </w:rPr>
      </w:pPr>
    </w:p>
    <w:p w14:paraId="53E41825" w14:textId="77777777" w:rsidR="002D62B9" w:rsidRPr="001946E0" w:rsidRDefault="00203D1A" w:rsidP="007043C5">
      <w:pPr>
        <w:spacing w:after="0"/>
        <w:ind w:firstLine="0"/>
        <w:rPr>
          <w:b/>
          <w:color w:val="000000"/>
          <w:szCs w:val="24"/>
        </w:rPr>
      </w:pPr>
      <w:r>
        <w:rPr>
          <w:b/>
          <w:color w:val="000000"/>
          <w:szCs w:val="24"/>
        </w:rPr>
        <w:br w:type="page"/>
      </w:r>
    </w:p>
    <w:p w14:paraId="707F285E" w14:textId="77777777" w:rsidR="007043C5" w:rsidRPr="00BF3425" w:rsidRDefault="007043C5" w:rsidP="007043C5">
      <w:pPr>
        <w:spacing w:after="0"/>
        <w:ind w:firstLine="0"/>
        <w:rPr>
          <w:b/>
          <w:szCs w:val="24"/>
        </w:rPr>
      </w:pPr>
      <w:r w:rsidRPr="00BF3425">
        <w:rPr>
          <w:b/>
          <w:szCs w:val="24"/>
        </w:rPr>
        <w:t>7. tabula. Publisko finanšu ilgtspēja</w:t>
      </w:r>
      <w:r w:rsidRPr="00BF3425">
        <w:rPr>
          <w:szCs w:val="24"/>
        </w:rPr>
        <w:t xml:space="preserve"> </w:t>
      </w:r>
    </w:p>
    <w:p w14:paraId="593C91B0" w14:textId="77777777" w:rsidR="007043C5" w:rsidRPr="00BF3425" w:rsidRDefault="007043C5" w:rsidP="007043C5">
      <w:pPr>
        <w:spacing w:after="0"/>
        <w:ind w:left="1440" w:firstLine="0"/>
        <w:rPr>
          <w:b/>
          <w:szCs w:val="24"/>
        </w:rPr>
      </w:pPr>
    </w:p>
    <w:tbl>
      <w:tblPr>
        <w:tblW w:w="0" w:type="auto"/>
        <w:tblInd w:w="23" w:type="dxa"/>
        <w:tblLayout w:type="fixed"/>
        <w:tblCellMar>
          <w:left w:w="0" w:type="dxa"/>
          <w:right w:w="0" w:type="dxa"/>
        </w:tblCellMar>
        <w:tblLook w:val="0000" w:firstRow="0" w:lastRow="0" w:firstColumn="0" w:lastColumn="0" w:noHBand="0" w:noVBand="0"/>
      </w:tblPr>
      <w:tblGrid>
        <w:gridCol w:w="3817"/>
        <w:gridCol w:w="754"/>
        <w:gridCol w:w="754"/>
        <w:gridCol w:w="754"/>
        <w:gridCol w:w="754"/>
        <w:gridCol w:w="754"/>
        <w:gridCol w:w="1485"/>
      </w:tblGrid>
      <w:tr w:rsidR="007043C5" w:rsidRPr="00BF3425" w14:paraId="15225B15" w14:textId="77777777" w:rsidTr="008C7F19">
        <w:trPr>
          <w:tblHeader/>
        </w:trPr>
        <w:tc>
          <w:tcPr>
            <w:tcW w:w="3817" w:type="dxa"/>
            <w:tcBorders>
              <w:top w:val="double" w:sz="6" w:space="0" w:color="auto"/>
              <w:left w:val="double" w:sz="6" w:space="0" w:color="auto"/>
              <w:bottom w:val="double" w:sz="6" w:space="0" w:color="auto"/>
              <w:right w:val="double" w:sz="6" w:space="0" w:color="auto"/>
            </w:tcBorders>
            <w:vAlign w:val="bottom"/>
          </w:tcPr>
          <w:p w14:paraId="03ADEA61" w14:textId="77777777" w:rsidR="007043C5" w:rsidRPr="00BF3425" w:rsidRDefault="007043C5" w:rsidP="00DA2735">
            <w:pPr>
              <w:pStyle w:val="tabteksts"/>
            </w:pPr>
            <w:r w:rsidRPr="00BF3425">
              <w:t>% no IKP</w:t>
            </w:r>
          </w:p>
        </w:tc>
        <w:tc>
          <w:tcPr>
            <w:tcW w:w="754" w:type="dxa"/>
            <w:tcBorders>
              <w:top w:val="double" w:sz="6" w:space="0" w:color="auto"/>
              <w:left w:val="nil"/>
              <w:bottom w:val="double" w:sz="6" w:space="0" w:color="auto"/>
              <w:right w:val="single" w:sz="4" w:space="0" w:color="auto"/>
            </w:tcBorders>
            <w:vAlign w:val="bottom"/>
          </w:tcPr>
          <w:p w14:paraId="42052BC2" w14:textId="77777777" w:rsidR="007043C5" w:rsidRPr="00BF3425" w:rsidRDefault="007043C5" w:rsidP="00DA2735">
            <w:pPr>
              <w:pStyle w:val="tabteksts"/>
              <w:jc w:val="center"/>
              <w:rPr>
                <w:b/>
              </w:rPr>
            </w:pPr>
            <w:r w:rsidRPr="00BF3425">
              <w:rPr>
                <w:b/>
              </w:rPr>
              <w:t>2010</w:t>
            </w:r>
          </w:p>
        </w:tc>
        <w:tc>
          <w:tcPr>
            <w:tcW w:w="754" w:type="dxa"/>
            <w:tcBorders>
              <w:top w:val="double" w:sz="6" w:space="0" w:color="auto"/>
              <w:left w:val="single" w:sz="4" w:space="0" w:color="auto"/>
              <w:bottom w:val="double" w:sz="6" w:space="0" w:color="auto"/>
              <w:right w:val="single" w:sz="4" w:space="0" w:color="auto"/>
            </w:tcBorders>
            <w:vAlign w:val="bottom"/>
          </w:tcPr>
          <w:p w14:paraId="5B6C84DF" w14:textId="77777777" w:rsidR="007043C5" w:rsidRPr="00BF3425" w:rsidRDefault="007043C5" w:rsidP="00DA2735">
            <w:pPr>
              <w:pStyle w:val="tabteksts"/>
              <w:jc w:val="center"/>
              <w:rPr>
                <w:b/>
              </w:rPr>
            </w:pPr>
            <w:r w:rsidRPr="00BF3425">
              <w:rPr>
                <w:b/>
              </w:rPr>
              <w:t>2020</w:t>
            </w:r>
          </w:p>
        </w:tc>
        <w:tc>
          <w:tcPr>
            <w:tcW w:w="754" w:type="dxa"/>
            <w:tcBorders>
              <w:top w:val="double" w:sz="6" w:space="0" w:color="auto"/>
              <w:left w:val="nil"/>
              <w:bottom w:val="double" w:sz="6" w:space="0" w:color="auto"/>
              <w:right w:val="single" w:sz="4" w:space="0" w:color="auto"/>
            </w:tcBorders>
            <w:vAlign w:val="bottom"/>
          </w:tcPr>
          <w:p w14:paraId="6D323F38" w14:textId="77777777" w:rsidR="007043C5" w:rsidRPr="00BF3425" w:rsidRDefault="007043C5" w:rsidP="00DA2735">
            <w:pPr>
              <w:pStyle w:val="tabteksts"/>
              <w:jc w:val="center"/>
              <w:rPr>
                <w:b/>
              </w:rPr>
            </w:pPr>
            <w:r w:rsidRPr="00BF3425">
              <w:rPr>
                <w:b/>
              </w:rPr>
              <w:t>2030</w:t>
            </w:r>
          </w:p>
        </w:tc>
        <w:tc>
          <w:tcPr>
            <w:tcW w:w="754" w:type="dxa"/>
            <w:tcBorders>
              <w:top w:val="double" w:sz="6" w:space="0" w:color="auto"/>
              <w:left w:val="nil"/>
              <w:bottom w:val="double" w:sz="6" w:space="0" w:color="auto"/>
              <w:right w:val="single" w:sz="4" w:space="0" w:color="auto"/>
            </w:tcBorders>
            <w:vAlign w:val="bottom"/>
          </w:tcPr>
          <w:p w14:paraId="3BB029E0" w14:textId="77777777" w:rsidR="007043C5" w:rsidRPr="00BF3425" w:rsidRDefault="007043C5" w:rsidP="00DA2735">
            <w:pPr>
              <w:pStyle w:val="tabteksts"/>
              <w:jc w:val="center"/>
              <w:rPr>
                <w:b/>
              </w:rPr>
            </w:pPr>
            <w:r w:rsidRPr="00BF3425">
              <w:rPr>
                <w:b/>
              </w:rPr>
              <w:t>2040</w:t>
            </w:r>
          </w:p>
        </w:tc>
        <w:tc>
          <w:tcPr>
            <w:tcW w:w="754" w:type="dxa"/>
            <w:tcBorders>
              <w:top w:val="double" w:sz="6" w:space="0" w:color="auto"/>
              <w:left w:val="nil"/>
              <w:bottom w:val="double" w:sz="6" w:space="0" w:color="auto"/>
              <w:right w:val="single" w:sz="4" w:space="0" w:color="auto"/>
            </w:tcBorders>
          </w:tcPr>
          <w:p w14:paraId="70434AD1" w14:textId="77777777" w:rsidR="007043C5" w:rsidRPr="00BF3425" w:rsidRDefault="007043C5" w:rsidP="00DA2735">
            <w:pPr>
              <w:pStyle w:val="tabteksts"/>
              <w:jc w:val="center"/>
              <w:rPr>
                <w:b/>
              </w:rPr>
            </w:pPr>
            <w:r w:rsidRPr="00BF3425">
              <w:rPr>
                <w:b/>
              </w:rPr>
              <w:t>2050</w:t>
            </w:r>
          </w:p>
        </w:tc>
        <w:tc>
          <w:tcPr>
            <w:tcW w:w="1485" w:type="dxa"/>
            <w:tcBorders>
              <w:top w:val="double" w:sz="6" w:space="0" w:color="auto"/>
              <w:left w:val="single" w:sz="4" w:space="0" w:color="auto"/>
              <w:bottom w:val="double" w:sz="6" w:space="0" w:color="auto"/>
              <w:right w:val="double" w:sz="6" w:space="0" w:color="auto"/>
            </w:tcBorders>
            <w:vAlign w:val="bottom"/>
          </w:tcPr>
          <w:p w14:paraId="609A28F6" w14:textId="77777777" w:rsidR="007043C5" w:rsidRPr="00BF3425" w:rsidRDefault="007043C5" w:rsidP="00DA2735">
            <w:pPr>
              <w:pStyle w:val="tabteksts"/>
              <w:jc w:val="center"/>
              <w:rPr>
                <w:b/>
              </w:rPr>
            </w:pPr>
            <w:r w:rsidRPr="00BF3425">
              <w:rPr>
                <w:b/>
              </w:rPr>
              <w:t>2060</w:t>
            </w:r>
          </w:p>
        </w:tc>
      </w:tr>
      <w:tr w:rsidR="007043C5" w:rsidRPr="00BF3425" w14:paraId="6954298C" w14:textId="77777777" w:rsidTr="008C7F19">
        <w:tc>
          <w:tcPr>
            <w:tcW w:w="3817" w:type="dxa"/>
            <w:tcBorders>
              <w:top w:val="double" w:sz="6" w:space="0" w:color="auto"/>
              <w:left w:val="double" w:sz="6" w:space="0" w:color="auto"/>
              <w:bottom w:val="single" w:sz="4" w:space="0" w:color="auto"/>
              <w:right w:val="double" w:sz="6" w:space="0" w:color="auto"/>
            </w:tcBorders>
            <w:vAlign w:val="bottom"/>
          </w:tcPr>
          <w:p w14:paraId="620CF5D1" w14:textId="77777777" w:rsidR="007043C5" w:rsidRPr="00BF3425" w:rsidRDefault="007043C5" w:rsidP="00DA2735">
            <w:pPr>
              <w:pStyle w:val="tabteksts"/>
            </w:pPr>
            <w:r w:rsidRPr="00BF3425">
              <w:t>Kopējie izdevumi</w:t>
            </w:r>
          </w:p>
        </w:tc>
        <w:tc>
          <w:tcPr>
            <w:tcW w:w="754" w:type="dxa"/>
            <w:tcBorders>
              <w:top w:val="double" w:sz="6" w:space="0" w:color="auto"/>
              <w:left w:val="nil"/>
              <w:bottom w:val="single" w:sz="4" w:space="0" w:color="auto"/>
              <w:right w:val="single" w:sz="4" w:space="0" w:color="auto"/>
            </w:tcBorders>
            <w:vAlign w:val="bottom"/>
          </w:tcPr>
          <w:p w14:paraId="263F2DD1" w14:textId="77777777" w:rsidR="007043C5" w:rsidRPr="00BF3425" w:rsidRDefault="007043C5" w:rsidP="00DA2735">
            <w:pPr>
              <w:pStyle w:val="tabteksts"/>
              <w:tabs>
                <w:tab w:val="decimal" w:pos="436"/>
              </w:tabs>
            </w:pPr>
          </w:p>
        </w:tc>
        <w:tc>
          <w:tcPr>
            <w:tcW w:w="754" w:type="dxa"/>
            <w:tcBorders>
              <w:top w:val="double" w:sz="6" w:space="0" w:color="auto"/>
              <w:left w:val="single" w:sz="4" w:space="0" w:color="auto"/>
              <w:bottom w:val="single" w:sz="4" w:space="0" w:color="auto"/>
              <w:right w:val="single" w:sz="4" w:space="0" w:color="auto"/>
            </w:tcBorders>
            <w:vAlign w:val="bottom"/>
          </w:tcPr>
          <w:p w14:paraId="60CD6B10" w14:textId="77777777" w:rsidR="007043C5" w:rsidRPr="00BF3425" w:rsidRDefault="007043C5" w:rsidP="00DA2735">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14:paraId="4391313C" w14:textId="77777777" w:rsidR="007043C5" w:rsidRPr="00BF3425" w:rsidRDefault="007043C5" w:rsidP="00DA2735">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14:paraId="341A9E45" w14:textId="77777777" w:rsidR="007043C5" w:rsidRPr="00BF3425" w:rsidRDefault="007043C5" w:rsidP="00DA2735">
            <w:pPr>
              <w:pStyle w:val="tabteksts"/>
              <w:tabs>
                <w:tab w:val="decimal" w:pos="436"/>
              </w:tabs>
            </w:pPr>
          </w:p>
        </w:tc>
        <w:tc>
          <w:tcPr>
            <w:tcW w:w="754" w:type="dxa"/>
            <w:tcBorders>
              <w:top w:val="double" w:sz="6" w:space="0" w:color="auto"/>
              <w:left w:val="nil"/>
              <w:bottom w:val="single" w:sz="4" w:space="0" w:color="auto"/>
              <w:right w:val="single" w:sz="4" w:space="0" w:color="auto"/>
            </w:tcBorders>
            <w:vAlign w:val="bottom"/>
          </w:tcPr>
          <w:p w14:paraId="7C367DE0" w14:textId="77777777" w:rsidR="007043C5" w:rsidRPr="00BF3425" w:rsidRDefault="007043C5" w:rsidP="00DA2735">
            <w:pPr>
              <w:pStyle w:val="tabteksts"/>
              <w:tabs>
                <w:tab w:val="decimal" w:pos="436"/>
              </w:tabs>
            </w:pPr>
          </w:p>
        </w:tc>
        <w:tc>
          <w:tcPr>
            <w:tcW w:w="1485" w:type="dxa"/>
            <w:tcBorders>
              <w:top w:val="double" w:sz="6" w:space="0" w:color="auto"/>
              <w:left w:val="single" w:sz="4" w:space="0" w:color="auto"/>
              <w:bottom w:val="single" w:sz="4" w:space="0" w:color="auto"/>
              <w:right w:val="double" w:sz="6" w:space="0" w:color="auto"/>
            </w:tcBorders>
            <w:vAlign w:val="bottom"/>
          </w:tcPr>
          <w:p w14:paraId="5187FF26" w14:textId="77777777" w:rsidR="007043C5" w:rsidRPr="00BF3425" w:rsidRDefault="007043C5" w:rsidP="00DA2735">
            <w:pPr>
              <w:pStyle w:val="tabteksts"/>
              <w:tabs>
                <w:tab w:val="decimal" w:pos="436"/>
              </w:tabs>
            </w:pPr>
          </w:p>
        </w:tc>
      </w:tr>
      <w:tr w:rsidR="007043C5" w:rsidRPr="00BF3425" w14:paraId="70539824"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5CCACA68" w14:textId="77777777" w:rsidR="007043C5" w:rsidRPr="00BF3425" w:rsidRDefault="007043C5" w:rsidP="00DA2735">
            <w:pPr>
              <w:pStyle w:val="tabteksts"/>
              <w:rPr>
                <w:noProof/>
              </w:rPr>
            </w:pPr>
            <w:r w:rsidRPr="00BF3425">
              <w:rPr>
                <w:noProof/>
              </w:rPr>
              <w:t>t.sk. ar vecumu saistītie izdevumi</w:t>
            </w:r>
          </w:p>
        </w:tc>
        <w:tc>
          <w:tcPr>
            <w:tcW w:w="754" w:type="dxa"/>
            <w:tcBorders>
              <w:top w:val="single" w:sz="4" w:space="0" w:color="auto"/>
              <w:left w:val="nil"/>
              <w:bottom w:val="single" w:sz="4" w:space="0" w:color="auto"/>
              <w:right w:val="single" w:sz="4" w:space="0" w:color="auto"/>
            </w:tcBorders>
            <w:vAlign w:val="bottom"/>
          </w:tcPr>
          <w:p w14:paraId="6AC3DCDB" w14:textId="77777777" w:rsidR="007043C5" w:rsidRPr="00BF3425" w:rsidRDefault="007043C5" w:rsidP="00DA2735">
            <w:pPr>
              <w:pStyle w:val="tabteksts"/>
              <w:tabs>
                <w:tab w:val="decimal" w:pos="436"/>
              </w:tabs>
            </w:pPr>
            <w:r w:rsidRPr="00BF3425">
              <w:t>18,5</w:t>
            </w:r>
          </w:p>
        </w:tc>
        <w:tc>
          <w:tcPr>
            <w:tcW w:w="754" w:type="dxa"/>
            <w:tcBorders>
              <w:top w:val="single" w:sz="4" w:space="0" w:color="auto"/>
              <w:left w:val="single" w:sz="4" w:space="0" w:color="auto"/>
              <w:bottom w:val="single" w:sz="4" w:space="0" w:color="auto"/>
              <w:right w:val="single" w:sz="4" w:space="0" w:color="auto"/>
            </w:tcBorders>
            <w:vAlign w:val="bottom"/>
          </w:tcPr>
          <w:p w14:paraId="76FCBF08" w14:textId="77777777" w:rsidR="007043C5" w:rsidRPr="00BF3425" w:rsidRDefault="007043C5" w:rsidP="00DA2735">
            <w:pPr>
              <w:pStyle w:val="tabteksts"/>
              <w:tabs>
                <w:tab w:val="decimal" w:pos="436"/>
              </w:tabs>
            </w:pPr>
            <w:r w:rsidRPr="00BF3425">
              <w:t>15,4</w:t>
            </w:r>
          </w:p>
        </w:tc>
        <w:tc>
          <w:tcPr>
            <w:tcW w:w="754" w:type="dxa"/>
            <w:tcBorders>
              <w:top w:val="single" w:sz="4" w:space="0" w:color="auto"/>
              <w:left w:val="nil"/>
              <w:bottom w:val="single" w:sz="4" w:space="0" w:color="auto"/>
              <w:right w:val="single" w:sz="4" w:space="0" w:color="auto"/>
            </w:tcBorders>
            <w:vAlign w:val="bottom"/>
          </w:tcPr>
          <w:p w14:paraId="59399150" w14:textId="77777777" w:rsidR="007043C5" w:rsidRPr="00BF3425" w:rsidRDefault="007043C5" w:rsidP="00DA2735">
            <w:pPr>
              <w:pStyle w:val="tabteksts"/>
              <w:tabs>
                <w:tab w:val="decimal" w:pos="436"/>
              </w:tabs>
            </w:pPr>
            <w:r w:rsidRPr="00BF3425">
              <w:t>14,4</w:t>
            </w:r>
          </w:p>
        </w:tc>
        <w:tc>
          <w:tcPr>
            <w:tcW w:w="754" w:type="dxa"/>
            <w:tcBorders>
              <w:top w:val="single" w:sz="4" w:space="0" w:color="auto"/>
              <w:left w:val="nil"/>
              <w:bottom w:val="single" w:sz="4" w:space="0" w:color="auto"/>
              <w:right w:val="single" w:sz="4" w:space="0" w:color="auto"/>
            </w:tcBorders>
            <w:vAlign w:val="bottom"/>
          </w:tcPr>
          <w:p w14:paraId="10888A33" w14:textId="77777777" w:rsidR="007043C5" w:rsidRPr="00BF3425" w:rsidRDefault="007043C5" w:rsidP="00DA2735">
            <w:pPr>
              <w:pStyle w:val="tabteksts"/>
              <w:tabs>
                <w:tab w:val="decimal" w:pos="436"/>
              </w:tabs>
            </w:pPr>
            <w:r w:rsidRPr="00BF3425">
              <w:t>14,4</w:t>
            </w:r>
          </w:p>
        </w:tc>
        <w:tc>
          <w:tcPr>
            <w:tcW w:w="754" w:type="dxa"/>
            <w:tcBorders>
              <w:top w:val="single" w:sz="4" w:space="0" w:color="auto"/>
              <w:left w:val="nil"/>
              <w:bottom w:val="single" w:sz="4" w:space="0" w:color="auto"/>
              <w:right w:val="single" w:sz="4" w:space="0" w:color="auto"/>
            </w:tcBorders>
            <w:vAlign w:val="bottom"/>
          </w:tcPr>
          <w:p w14:paraId="612A7BBA" w14:textId="77777777" w:rsidR="007043C5" w:rsidRPr="00BF3425" w:rsidRDefault="007043C5" w:rsidP="00DA2735">
            <w:pPr>
              <w:pStyle w:val="tabteksts"/>
              <w:tabs>
                <w:tab w:val="decimal" w:pos="436"/>
              </w:tabs>
            </w:pPr>
            <w:r w:rsidRPr="00BF3425">
              <w:t>14,9</w:t>
            </w:r>
          </w:p>
        </w:tc>
        <w:tc>
          <w:tcPr>
            <w:tcW w:w="1485" w:type="dxa"/>
            <w:tcBorders>
              <w:top w:val="single" w:sz="4" w:space="0" w:color="auto"/>
              <w:left w:val="single" w:sz="4" w:space="0" w:color="auto"/>
              <w:bottom w:val="single" w:sz="4" w:space="0" w:color="auto"/>
              <w:right w:val="double" w:sz="6" w:space="0" w:color="auto"/>
            </w:tcBorders>
            <w:vAlign w:val="bottom"/>
          </w:tcPr>
          <w:p w14:paraId="35D96710" w14:textId="77777777" w:rsidR="007043C5" w:rsidRPr="00BF3425" w:rsidRDefault="007043C5" w:rsidP="00DA2735">
            <w:pPr>
              <w:pStyle w:val="tabteksts"/>
              <w:tabs>
                <w:tab w:val="decimal" w:pos="436"/>
              </w:tabs>
            </w:pPr>
            <w:r w:rsidRPr="00BF3425">
              <w:t>15,1</w:t>
            </w:r>
          </w:p>
        </w:tc>
      </w:tr>
      <w:tr w:rsidR="007043C5" w:rsidRPr="00BF3425" w14:paraId="3E69B648"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52009A48" w14:textId="77777777" w:rsidR="007043C5" w:rsidRPr="00BF3425" w:rsidRDefault="007043C5" w:rsidP="00DA2735">
            <w:pPr>
              <w:pStyle w:val="tabteksts"/>
              <w:rPr>
                <w:b/>
                <w:noProof/>
              </w:rPr>
            </w:pPr>
            <w:r w:rsidRPr="00BF3425">
              <w:rPr>
                <w:b/>
                <w:noProof/>
              </w:rPr>
              <w:t>Pensiju izdevumi</w:t>
            </w:r>
          </w:p>
        </w:tc>
        <w:tc>
          <w:tcPr>
            <w:tcW w:w="754" w:type="dxa"/>
            <w:tcBorders>
              <w:top w:val="single" w:sz="4" w:space="0" w:color="auto"/>
              <w:left w:val="nil"/>
              <w:bottom w:val="single" w:sz="4" w:space="0" w:color="auto"/>
              <w:right w:val="single" w:sz="4" w:space="0" w:color="auto"/>
            </w:tcBorders>
            <w:vAlign w:val="bottom"/>
          </w:tcPr>
          <w:p w14:paraId="7C2BAA13" w14:textId="77777777" w:rsidR="007043C5" w:rsidRPr="00BF3425" w:rsidRDefault="007043C5" w:rsidP="00DA2735">
            <w:pPr>
              <w:pStyle w:val="tabteksts"/>
              <w:tabs>
                <w:tab w:val="decimal" w:pos="436"/>
              </w:tabs>
            </w:pPr>
            <w:r w:rsidRPr="00BF3425">
              <w:t>9,7</w:t>
            </w:r>
          </w:p>
        </w:tc>
        <w:tc>
          <w:tcPr>
            <w:tcW w:w="754" w:type="dxa"/>
            <w:tcBorders>
              <w:top w:val="single" w:sz="4" w:space="0" w:color="auto"/>
              <w:left w:val="single" w:sz="4" w:space="0" w:color="auto"/>
              <w:bottom w:val="single" w:sz="4" w:space="0" w:color="auto"/>
              <w:right w:val="single" w:sz="4" w:space="0" w:color="auto"/>
            </w:tcBorders>
            <w:vAlign w:val="bottom"/>
          </w:tcPr>
          <w:p w14:paraId="322886A7" w14:textId="77777777" w:rsidR="007043C5" w:rsidRPr="00BF3425" w:rsidRDefault="007043C5" w:rsidP="00DA2735">
            <w:pPr>
              <w:pStyle w:val="tabteksts"/>
              <w:tabs>
                <w:tab w:val="decimal" w:pos="436"/>
              </w:tabs>
            </w:pPr>
            <w:r w:rsidRPr="00BF3425">
              <w:t>6,8</w:t>
            </w:r>
          </w:p>
        </w:tc>
        <w:tc>
          <w:tcPr>
            <w:tcW w:w="754" w:type="dxa"/>
            <w:tcBorders>
              <w:top w:val="single" w:sz="4" w:space="0" w:color="auto"/>
              <w:left w:val="nil"/>
              <w:bottom w:val="single" w:sz="4" w:space="0" w:color="auto"/>
              <w:right w:val="single" w:sz="4" w:space="0" w:color="auto"/>
            </w:tcBorders>
            <w:vAlign w:val="bottom"/>
          </w:tcPr>
          <w:p w14:paraId="57C26FEF" w14:textId="77777777" w:rsidR="007043C5" w:rsidRPr="00BF3425" w:rsidRDefault="007043C5" w:rsidP="00DA2735">
            <w:pPr>
              <w:pStyle w:val="tabteksts"/>
              <w:tabs>
                <w:tab w:val="decimal" w:pos="436"/>
              </w:tabs>
            </w:pPr>
            <w:r w:rsidRPr="00BF3425">
              <w:t>6,0</w:t>
            </w:r>
          </w:p>
        </w:tc>
        <w:tc>
          <w:tcPr>
            <w:tcW w:w="754" w:type="dxa"/>
            <w:tcBorders>
              <w:top w:val="single" w:sz="4" w:space="0" w:color="auto"/>
              <w:left w:val="nil"/>
              <w:bottom w:val="single" w:sz="4" w:space="0" w:color="auto"/>
              <w:right w:val="single" w:sz="4" w:space="0" w:color="auto"/>
            </w:tcBorders>
            <w:vAlign w:val="bottom"/>
          </w:tcPr>
          <w:p w14:paraId="594D17AA" w14:textId="77777777" w:rsidR="007043C5" w:rsidRPr="00BF3425" w:rsidRDefault="007043C5" w:rsidP="00DA2735">
            <w:pPr>
              <w:pStyle w:val="tabteksts"/>
              <w:tabs>
                <w:tab w:val="decimal" w:pos="436"/>
              </w:tabs>
            </w:pPr>
            <w:r w:rsidRPr="00BF3425">
              <w:t>6,1</w:t>
            </w:r>
          </w:p>
        </w:tc>
        <w:tc>
          <w:tcPr>
            <w:tcW w:w="754" w:type="dxa"/>
            <w:tcBorders>
              <w:top w:val="single" w:sz="4" w:space="0" w:color="auto"/>
              <w:left w:val="nil"/>
              <w:bottom w:val="single" w:sz="4" w:space="0" w:color="auto"/>
              <w:right w:val="single" w:sz="4" w:space="0" w:color="auto"/>
            </w:tcBorders>
            <w:vAlign w:val="bottom"/>
          </w:tcPr>
          <w:p w14:paraId="7D91A78D" w14:textId="77777777" w:rsidR="007043C5" w:rsidRPr="00BF3425" w:rsidRDefault="007043C5" w:rsidP="00DA2735">
            <w:pPr>
              <w:pStyle w:val="tabteksts"/>
              <w:tabs>
                <w:tab w:val="decimal" w:pos="436"/>
              </w:tabs>
            </w:pPr>
            <w:r w:rsidRPr="00BF3425">
              <w:t>6,2</w:t>
            </w:r>
          </w:p>
        </w:tc>
        <w:tc>
          <w:tcPr>
            <w:tcW w:w="1485" w:type="dxa"/>
            <w:tcBorders>
              <w:top w:val="single" w:sz="4" w:space="0" w:color="auto"/>
              <w:left w:val="single" w:sz="4" w:space="0" w:color="auto"/>
              <w:bottom w:val="single" w:sz="4" w:space="0" w:color="auto"/>
              <w:right w:val="double" w:sz="6" w:space="0" w:color="auto"/>
            </w:tcBorders>
            <w:vAlign w:val="bottom"/>
          </w:tcPr>
          <w:p w14:paraId="57D5C169" w14:textId="77777777" w:rsidR="007043C5" w:rsidRPr="00BF3425" w:rsidRDefault="007043C5" w:rsidP="00DA2735">
            <w:pPr>
              <w:pStyle w:val="tabteksts"/>
              <w:tabs>
                <w:tab w:val="decimal" w:pos="436"/>
              </w:tabs>
            </w:pPr>
            <w:r w:rsidRPr="00BF3425">
              <w:t>6,0</w:t>
            </w:r>
          </w:p>
        </w:tc>
      </w:tr>
      <w:tr w:rsidR="007043C5" w:rsidRPr="00BF3425" w14:paraId="1382B6EC"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7882B986" w14:textId="77777777" w:rsidR="007043C5" w:rsidRPr="00BF3425" w:rsidRDefault="007043C5" w:rsidP="00DA2735">
            <w:pPr>
              <w:pStyle w:val="tabteksts"/>
              <w:rPr>
                <w:noProof/>
              </w:rPr>
            </w:pPr>
            <w:r w:rsidRPr="00BF3425">
              <w:rPr>
                <w:noProof/>
              </w:rPr>
              <w:t>Sociālās apdrošināšanas pensijas</w:t>
            </w:r>
          </w:p>
        </w:tc>
        <w:tc>
          <w:tcPr>
            <w:tcW w:w="754" w:type="dxa"/>
            <w:tcBorders>
              <w:top w:val="single" w:sz="4" w:space="0" w:color="auto"/>
              <w:left w:val="nil"/>
              <w:bottom w:val="single" w:sz="4" w:space="0" w:color="auto"/>
              <w:right w:val="single" w:sz="4" w:space="0" w:color="auto"/>
            </w:tcBorders>
            <w:vAlign w:val="bottom"/>
          </w:tcPr>
          <w:p w14:paraId="4A1453EC" w14:textId="77777777" w:rsidR="007043C5" w:rsidRPr="00BF3425" w:rsidRDefault="007043C5" w:rsidP="00DA2735">
            <w:pPr>
              <w:pStyle w:val="tabteksts"/>
              <w:tabs>
                <w:tab w:val="decimal" w:pos="436"/>
              </w:tabs>
            </w:pPr>
            <w:r w:rsidRPr="00BF3425">
              <w:t>9,7</w:t>
            </w:r>
          </w:p>
        </w:tc>
        <w:tc>
          <w:tcPr>
            <w:tcW w:w="754" w:type="dxa"/>
            <w:tcBorders>
              <w:top w:val="single" w:sz="4" w:space="0" w:color="auto"/>
              <w:left w:val="single" w:sz="4" w:space="0" w:color="auto"/>
              <w:bottom w:val="single" w:sz="4" w:space="0" w:color="auto"/>
              <w:right w:val="single" w:sz="4" w:space="0" w:color="auto"/>
            </w:tcBorders>
            <w:vAlign w:val="bottom"/>
          </w:tcPr>
          <w:p w14:paraId="08E46386" w14:textId="77777777" w:rsidR="007043C5" w:rsidRPr="00BF3425" w:rsidRDefault="007043C5" w:rsidP="00DA2735">
            <w:pPr>
              <w:pStyle w:val="tabteksts"/>
              <w:tabs>
                <w:tab w:val="decimal" w:pos="436"/>
              </w:tabs>
            </w:pPr>
            <w:r w:rsidRPr="00BF3425">
              <w:t>6,8</w:t>
            </w:r>
          </w:p>
        </w:tc>
        <w:tc>
          <w:tcPr>
            <w:tcW w:w="754" w:type="dxa"/>
            <w:tcBorders>
              <w:top w:val="single" w:sz="4" w:space="0" w:color="auto"/>
              <w:left w:val="nil"/>
              <w:bottom w:val="single" w:sz="4" w:space="0" w:color="auto"/>
              <w:right w:val="single" w:sz="4" w:space="0" w:color="auto"/>
            </w:tcBorders>
            <w:vAlign w:val="bottom"/>
          </w:tcPr>
          <w:p w14:paraId="3CCAB68A" w14:textId="77777777" w:rsidR="007043C5" w:rsidRPr="00BF3425" w:rsidRDefault="007043C5" w:rsidP="00DA2735">
            <w:pPr>
              <w:pStyle w:val="tabteksts"/>
              <w:tabs>
                <w:tab w:val="decimal" w:pos="436"/>
              </w:tabs>
            </w:pPr>
            <w:r w:rsidRPr="00BF3425">
              <w:t>6,0</w:t>
            </w:r>
          </w:p>
        </w:tc>
        <w:tc>
          <w:tcPr>
            <w:tcW w:w="754" w:type="dxa"/>
            <w:tcBorders>
              <w:top w:val="single" w:sz="4" w:space="0" w:color="auto"/>
              <w:left w:val="nil"/>
              <w:bottom w:val="single" w:sz="4" w:space="0" w:color="auto"/>
              <w:right w:val="single" w:sz="4" w:space="0" w:color="auto"/>
            </w:tcBorders>
            <w:vAlign w:val="bottom"/>
          </w:tcPr>
          <w:p w14:paraId="47C9A213" w14:textId="77777777" w:rsidR="007043C5" w:rsidRPr="00BF3425" w:rsidRDefault="007043C5" w:rsidP="00DA2735">
            <w:pPr>
              <w:pStyle w:val="tabteksts"/>
              <w:tabs>
                <w:tab w:val="decimal" w:pos="436"/>
              </w:tabs>
            </w:pPr>
            <w:r w:rsidRPr="00BF3425">
              <w:t>6,1</w:t>
            </w:r>
          </w:p>
        </w:tc>
        <w:tc>
          <w:tcPr>
            <w:tcW w:w="754" w:type="dxa"/>
            <w:tcBorders>
              <w:top w:val="single" w:sz="4" w:space="0" w:color="auto"/>
              <w:left w:val="nil"/>
              <w:bottom w:val="single" w:sz="4" w:space="0" w:color="auto"/>
              <w:right w:val="single" w:sz="4" w:space="0" w:color="auto"/>
            </w:tcBorders>
            <w:vAlign w:val="bottom"/>
          </w:tcPr>
          <w:p w14:paraId="1D5B99DB" w14:textId="77777777" w:rsidR="007043C5" w:rsidRPr="00BF3425" w:rsidRDefault="007043C5" w:rsidP="00DA2735">
            <w:pPr>
              <w:pStyle w:val="tabteksts"/>
              <w:tabs>
                <w:tab w:val="decimal" w:pos="436"/>
              </w:tabs>
            </w:pPr>
            <w:r w:rsidRPr="00BF3425">
              <w:t>6,2</w:t>
            </w:r>
          </w:p>
        </w:tc>
        <w:tc>
          <w:tcPr>
            <w:tcW w:w="1485" w:type="dxa"/>
            <w:tcBorders>
              <w:top w:val="single" w:sz="4" w:space="0" w:color="auto"/>
              <w:left w:val="single" w:sz="4" w:space="0" w:color="auto"/>
              <w:bottom w:val="single" w:sz="4" w:space="0" w:color="auto"/>
              <w:right w:val="double" w:sz="6" w:space="0" w:color="auto"/>
            </w:tcBorders>
            <w:vAlign w:val="bottom"/>
          </w:tcPr>
          <w:p w14:paraId="5E2A3010" w14:textId="77777777" w:rsidR="007043C5" w:rsidRPr="00BF3425" w:rsidRDefault="007043C5" w:rsidP="00DA2735">
            <w:pPr>
              <w:pStyle w:val="tabteksts"/>
              <w:tabs>
                <w:tab w:val="decimal" w:pos="436"/>
              </w:tabs>
            </w:pPr>
            <w:r w:rsidRPr="00BF3425">
              <w:t>6,0</w:t>
            </w:r>
          </w:p>
        </w:tc>
      </w:tr>
      <w:tr w:rsidR="007043C5" w:rsidRPr="00BF3425" w14:paraId="7CB236D6"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18B03ECC" w14:textId="77777777" w:rsidR="007043C5" w:rsidRPr="00BF3425" w:rsidRDefault="007043C5" w:rsidP="00DA2735">
            <w:pPr>
              <w:pStyle w:val="tabteksts"/>
              <w:ind w:left="720"/>
              <w:rPr>
                <w:noProof/>
              </w:rPr>
            </w:pPr>
            <w:r w:rsidRPr="00BF3425">
              <w:rPr>
                <w:noProof/>
              </w:rPr>
              <w:t>Vecuma un priekšlaicīgās pensijas</w:t>
            </w:r>
          </w:p>
        </w:tc>
        <w:tc>
          <w:tcPr>
            <w:tcW w:w="754" w:type="dxa"/>
            <w:tcBorders>
              <w:top w:val="single" w:sz="4" w:space="0" w:color="auto"/>
              <w:left w:val="nil"/>
              <w:bottom w:val="single" w:sz="4" w:space="0" w:color="auto"/>
              <w:right w:val="single" w:sz="4" w:space="0" w:color="auto"/>
            </w:tcBorders>
            <w:vAlign w:val="bottom"/>
          </w:tcPr>
          <w:p w14:paraId="3C65E164" w14:textId="77777777" w:rsidR="007043C5" w:rsidRPr="00BF3425" w:rsidRDefault="007043C5" w:rsidP="00DA2735">
            <w:pPr>
              <w:pStyle w:val="tabteksts"/>
              <w:tabs>
                <w:tab w:val="decimal" w:pos="436"/>
              </w:tabs>
            </w:pPr>
            <w:r w:rsidRPr="00BF3425">
              <w:t>8,7</w:t>
            </w:r>
          </w:p>
        </w:tc>
        <w:tc>
          <w:tcPr>
            <w:tcW w:w="754" w:type="dxa"/>
            <w:tcBorders>
              <w:top w:val="single" w:sz="4" w:space="0" w:color="auto"/>
              <w:left w:val="single" w:sz="4" w:space="0" w:color="auto"/>
              <w:bottom w:val="single" w:sz="4" w:space="0" w:color="auto"/>
              <w:right w:val="single" w:sz="4" w:space="0" w:color="auto"/>
            </w:tcBorders>
            <w:vAlign w:val="bottom"/>
          </w:tcPr>
          <w:p w14:paraId="2B848588" w14:textId="77777777" w:rsidR="007043C5" w:rsidRPr="00BF3425" w:rsidRDefault="007043C5" w:rsidP="00DA2735">
            <w:pPr>
              <w:pStyle w:val="tabteksts"/>
              <w:tabs>
                <w:tab w:val="decimal" w:pos="436"/>
              </w:tabs>
            </w:pPr>
            <w:r w:rsidRPr="00BF3425">
              <w:t>6,1</w:t>
            </w:r>
          </w:p>
        </w:tc>
        <w:tc>
          <w:tcPr>
            <w:tcW w:w="754" w:type="dxa"/>
            <w:tcBorders>
              <w:top w:val="single" w:sz="4" w:space="0" w:color="auto"/>
              <w:left w:val="nil"/>
              <w:bottom w:val="single" w:sz="4" w:space="0" w:color="auto"/>
              <w:right w:val="single" w:sz="4" w:space="0" w:color="auto"/>
            </w:tcBorders>
            <w:vAlign w:val="bottom"/>
          </w:tcPr>
          <w:p w14:paraId="160381D5" w14:textId="77777777" w:rsidR="007043C5" w:rsidRPr="00BF3425" w:rsidRDefault="007043C5" w:rsidP="00DA2735">
            <w:pPr>
              <w:pStyle w:val="tabteksts"/>
              <w:tabs>
                <w:tab w:val="decimal" w:pos="436"/>
              </w:tabs>
            </w:pPr>
            <w:r w:rsidRPr="00BF3425">
              <w:t>5,4</w:t>
            </w:r>
          </w:p>
        </w:tc>
        <w:tc>
          <w:tcPr>
            <w:tcW w:w="754" w:type="dxa"/>
            <w:tcBorders>
              <w:top w:val="single" w:sz="4" w:space="0" w:color="auto"/>
              <w:left w:val="nil"/>
              <w:bottom w:val="single" w:sz="4" w:space="0" w:color="auto"/>
              <w:right w:val="single" w:sz="4" w:space="0" w:color="auto"/>
            </w:tcBorders>
            <w:vAlign w:val="bottom"/>
          </w:tcPr>
          <w:p w14:paraId="1F98908A" w14:textId="77777777" w:rsidR="007043C5" w:rsidRPr="00BF3425" w:rsidRDefault="007043C5" w:rsidP="00DA2735">
            <w:pPr>
              <w:pStyle w:val="tabteksts"/>
              <w:tabs>
                <w:tab w:val="decimal" w:pos="436"/>
              </w:tabs>
            </w:pPr>
            <w:r w:rsidRPr="00BF3425">
              <w:t>5,6</w:t>
            </w:r>
          </w:p>
        </w:tc>
        <w:tc>
          <w:tcPr>
            <w:tcW w:w="754" w:type="dxa"/>
            <w:tcBorders>
              <w:top w:val="single" w:sz="4" w:space="0" w:color="auto"/>
              <w:left w:val="nil"/>
              <w:bottom w:val="single" w:sz="4" w:space="0" w:color="auto"/>
              <w:right w:val="single" w:sz="4" w:space="0" w:color="auto"/>
            </w:tcBorders>
            <w:vAlign w:val="bottom"/>
          </w:tcPr>
          <w:p w14:paraId="3AEDAE8A" w14:textId="77777777" w:rsidR="007043C5" w:rsidRPr="00BF3425" w:rsidRDefault="007043C5" w:rsidP="00DA2735">
            <w:pPr>
              <w:pStyle w:val="tabteksts"/>
              <w:tabs>
                <w:tab w:val="decimal" w:pos="436"/>
              </w:tabs>
            </w:pPr>
            <w:r w:rsidRPr="00BF3425">
              <w:t>5,8</w:t>
            </w:r>
          </w:p>
        </w:tc>
        <w:tc>
          <w:tcPr>
            <w:tcW w:w="1485" w:type="dxa"/>
            <w:tcBorders>
              <w:top w:val="single" w:sz="4" w:space="0" w:color="auto"/>
              <w:left w:val="single" w:sz="4" w:space="0" w:color="auto"/>
              <w:bottom w:val="single" w:sz="4" w:space="0" w:color="auto"/>
              <w:right w:val="double" w:sz="6" w:space="0" w:color="auto"/>
            </w:tcBorders>
            <w:vAlign w:val="bottom"/>
          </w:tcPr>
          <w:p w14:paraId="4B4DA4A5" w14:textId="77777777" w:rsidR="007043C5" w:rsidRPr="00BF3425" w:rsidRDefault="007043C5" w:rsidP="00DA2735">
            <w:pPr>
              <w:pStyle w:val="tabteksts"/>
              <w:tabs>
                <w:tab w:val="decimal" w:pos="436"/>
              </w:tabs>
            </w:pPr>
            <w:r w:rsidRPr="00BF3425">
              <w:t>5,6</w:t>
            </w:r>
          </w:p>
        </w:tc>
      </w:tr>
      <w:tr w:rsidR="007043C5" w:rsidRPr="00BF3425" w14:paraId="61756576"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5BEEBB55" w14:textId="77777777" w:rsidR="007043C5" w:rsidRPr="00BF3425" w:rsidRDefault="007043C5" w:rsidP="00DA2735">
            <w:pPr>
              <w:pStyle w:val="tabteksts"/>
              <w:ind w:left="720"/>
              <w:rPr>
                <w:noProof/>
              </w:rPr>
            </w:pPr>
            <w:r w:rsidRPr="00BF3425">
              <w:rPr>
                <w:noProof/>
              </w:rPr>
              <w:t>Citas pensijas (invaliditātes, apgādnieka zaudējuma)</w:t>
            </w:r>
          </w:p>
        </w:tc>
        <w:tc>
          <w:tcPr>
            <w:tcW w:w="754" w:type="dxa"/>
            <w:tcBorders>
              <w:top w:val="single" w:sz="4" w:space="0" w:color="auto"/>
              <w:left w:val="nil"/>
              <w:bottom w:val="single" w:sz="4" w:space="0" w:color="auto"/>
              <w:right w:val="single" w:sz="4" w:space="0" w:color="auto"/>
            </w:tcBorders>
            <w:vAlign w:val="bottom"/>
          </w:tcPr>
          <w:p w14:paraId="70959500" w14:textId="77777777" w:rsidR="007043C5" w:rsidRPr="00BF3425" w:rsidRDefault="007043C5" w:rsidP="00DA2735">
            <w:pPr>
              <w:pStyle w:val="tabteksts"/>
              <w:tabs>
                <w:tab w:val="decimal" w:pos="436"/>
              </w:tabs>
            </w:pPr>
            <w:r w:rsidRPr="00BF3425">
              <w:t>1,0</w:t>
            </w:r>
          </w:p>
        </w:tc>
        <w:tc>
          <w:tcPr>
            <w:tcW w:w="754" w:type="dxa"/>
            <w:tcBorders>
              <w:top w:val="single" w:sz="4" w:space="0" w:color="auto"/>
              <w:left w:val="single" w:sz="4" w:space="0" w:color="auto"/>
              <w:bottom w:val="single" w:sz="4" w:space="0" w:color="auto"/>
              <w:right w:val="single" w:sz="4" w:space="0" w:color="auto"/>
            </w:tcBorders>
            <w:vAlign w:val="bottom"/>
          </w:tcPr>
          <w:p w14:paraId="35821B22" w14:textId="77777777" w:rsidR="007043C5" w:rsidRPr="00BF3425" w:rsidRDefault="007043C5" w:rsidP="00DA2735">
            <w:pPr>
              <w:pStyle w:val="tabteksts"/>
              <w:tabs>
                <w:tab w:val="decimal" w:pos="436"/>
              </w:tabs>
            </w:pPr>
            <w:r w:rsidRPr="00BF3425">
              <w:t>0,7</w:t>
            </w:r>
          </w:p>
        </w:tc>
        <w:tc>
          <w:tcPr>
            <w:tcW w:w="754" w:type="dxa"/>
            <w:tcBorders>
              <w:top w:val="single" w:sz="4" w:space="0" w:color="auto"/>
              <w:left w:val="nil"/>
              <w:bottom w:val="single" w:sz="4" w:space="0" w:color="auto"/>
              <w:right w:val="single" w:sz="4" w:space="0" w:color="auto"/>
            </w:tcBorders>
            <w:vAlign w:val="bottom"/>
          </w:tcPr>
          <w:p w14:paraId="5B57C430" w14:textId="77777777" w:rsidR="007043C5" w:rsidRPr="00BF3425" w:rsidRDefault="007043C5" w:rsidP="00DA2735">
            <w:pPr>
              <w:pStyle w:val="tabteksts"/>
              <w:tabs>
                <w:tab w:val="decimal" w:pos="436"/>
              </w:tabs>
            </w:pPr>
            <w:r w:rsidRPr="00BF3425">
              <w:t>0,6</w:t>
            </w:r>
          </w:p>
        </w:tc>
        <w:tc>
          <w:tcPr>
            <w:tcW w:w="754" w:type="dxa"/>
            <w:tcBorders>
              <w:top w:val="single" w:sz="4" w:space="0" w:color="auto"/>
              <w:left w:val="nil"/>
              <w:bottom w:val="single" w:sz="4" w:space="0" w:color="auto"/>
              <w:right w:val="single" w:sz="4" w:space="0" w:color="auto"/>
            </w:tcBorders>
            <w:vAlign w:val="bottom"/>
          </w:tcPr>
          <w:p w14:paraId="510E414D" w14:textId="77777777" w:rsidR="007043C5" w:rsidRPr="00BF3425" w:rsidRDefault="007043C5" w:rsidP="00DA2735">
            <w:pPr>
              <w:pStyle w:val="tabteksts"/>
              <w:tabs>
                <w:tab w:val="decimal" w:pos="436"/>
              </w:tabs>
            </w:pPr>
            <w:r w:rsidRPr="00BF3425">
              <w:t>0,5</w:t>
            </w:r>
          </w:p>
        </w:tc>
        <w:tc>
          <w:tcPr>
            <w:tcW w:w="754" w:type="dxa"/>
            <w:tcBorders>
              <w:top w:val="single" w:sz="4" w:space="0" w:color="auto"/>
              <w:left w:val="nil"/>
              <w:bottom w:val="single" w:sz="4" w:space="0" w:color="auto"/>
              <w:right w:val="single" w:sz="4" w:space="0" w:color="auto"/>
            </w:tcBorders>
            <w:vAlign w:val="bottom"/>
          </w:tcPr>
          <w:p w14:paraId="2AEBF4FA" w14:textId="77777777" w:rsidR="007043C5" w:rsidRPr="00BF3425" w:rsidRDefault="007043C5" w:rsidP="00DA2735">
            <w:pPr>
              <w:pStyle w:val="tabteksts"/>
              <w:tabs>
                <w:tab w:val="decimal" w:pos="436"/>
              </w:tabs>
            </w:pPr>
            <w:r w:rsidRPr="00BF3425">
              <w:t>0,5</w:t>
            </w:r>
          </w:p>
        </w:tc>
        <w:tc>
          <w:tcPr>
            <w:tcW w:w="1485" w:type="dxa"/>
            <w:tcBorders>
              <w:top w:val="single" w:sz="4" w:space="0" w:color="auto"/>
              <w:left w:val="single" w:sz="4" w:space="0" w:color="auto"/>
              <w:bottom w:val="single" w:sz="4" w:space="0" w:color="auto"/>
              <w:right w:val="double" w:sz="6" w:space="0" w:color="auto"/>
            </w:tcBorders>
            <w:vAlign w:val="bottom"/>
          </w:tcPr>
          <w:p w14:paraId="3921D1AB" w14:textId="77777777" w:rsidR="007043C5" w:rsidRPr="00BF3425" w:rsidRDefault="007043C5" w:rsidP="00DA2735">
            <w:pPr>
              <w:pStyle w:val="tabteksts"/>
              <w:tabs>
                <w:tab w:val="decimal" w:pos="436"/>
              </w:tabs>
            </w:pPr>
            <w:r w:rsidRPr="00BF3425">
              <w:t>0,4</w:t>
            </w:r>
          </w:p>
        </w:tc>
      </w:tr>
      <w:tr w:rsidR="007043C5" w:rsidRPr="00BF3425" w14:paraId="3E6A6429"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6FC23F9F" w14:textId="77777777" w:rsidR="007043C5" w:rsidRPr="00BF3425" w:rsidRDefault="007043C5" w:rsidP="00DA2735">
            <w:pPr>
              <w:pStyle w:val="tabteksts"/>
              <w:rPr>
                <w:noProof/>
              </w:rPr>
            </w:pPr>
            <w:r w:rsidRPr="00BF3425">
              <w:rPr>
                <w:noProof/>
              </w:rPr>
              <w:t>Arodpensijas (ja vispārējā valdībā)</w:t>
            </w:r>
          </w:p>
        </w:tc>
        <w:tc>
          <w:tcPr>
            <w:tcW w:w="754" w:type="dxa"/>
            <w:tcBorders>
              <w:top w:val="single" w:sz="4" w:space="0" w:color="auto"/>
              <w:left w:val="nil"/>
              <w:bottom w:val="single" w:sz="4" w:space="0" w:color="auto"/>
              <w:right w:val="single" w:sz="4" w:space="0" w:color="auto"/>
            </w:tcBorders>
            <w:vAlign w:val="bottom"/>
          </w:tcPr>
          <w:p w14:paraId="0A0FBC36" w14:textId="77777777" w:rsidR="007043C5" w:rsidRPr="00BF3425"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18B42A6D"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52CC6406"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06261E83"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7F6D4361" w14:textId="77777777" w:rsidR="007043C5" w:rsidRPr="00BF3425" w:rsidRDefault="007043C5" w:rsidP="00DA2735">
            <w:pPr>
              <w:pStyle w:val="tabteksts"/>
              <w:tabs>
                <w:tab w:val="decimal" w:pos="436"/>
              </w:tabs>
            </w:pPr>
          </w:p>
        </w:tc>
        <w:tc>
          <w:tcPr>
            <w:tcW w:w="1485" w:type="dxa"/>
            <w:tcBorders>
              <w:top w:val="single" w:sz="4" w:space="0" w:color="auto"/>
              <w:left w:val="single" w:sz="4" w:space="0" w:color="auto"/>
              <w:bottom w:val="single" w:sz="4" w:space="0" w:color="auto"/>
              <w:right w:val="double" w:sz="6" w:space="0" w:color="auto"/>
            </w:tcBorders>
            <w:vAlign w:val="bottom"/>
          </w:tcPr>
          <w:p w14:paraId="1DBEDE7F" w14:textId="77777777" w:rsidR="007043C5" w:rsidRPr="00BF3425" w:rsidRDefault="007043C5" w:rsidP="00DA2735">
            <w:pPr>
              <w:pStyle w:val="tabteksts"/>
              <w:tabs>
                <w:tab w:val="decimal" w:pos="436"/>
              </w:tabs>
            </w:pPr>
          </w:p>
        </w:tc>
      </w:tr>
      <w:tr w:rsidR="007043C5" w:rsidRPr="00BF3425" w14:paraId="1F0E8E1F"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12915150" w14:textId="77777777" w:rsidR="007043C5" w:rsidRPr="00BF3425" w:rsidRDefault="007043C5" w:rsidP="00DA2735">
            <w:pPr>
              <w:pStyle w:val="tabteksts"/>
              <w:rPr>
                <w:b/>
                <w:noProof/>
              </w:rPr>
            </w:pPr>
            <w:r w:rsidRPr="00BF3425">
              <w:rPr>
                <w:b/>
                <w:noProof/>
              </w:rPr>
              <w:t>Veselības aprūpes izdevumi</w:t>
            </w:r>
          </w:p>
        </w:tc>
        <w:tc>
          <w:tcPr>
            <w:tcW w:w="754" w:type="dxa"/>
            <w:tcBorders>
              <w:top w:val="single" w:sz="4" w:space="0" w:color="auto"/>
              <w:left w:val="nil"/>
              <w:bottom w:val="single" w:sz="4" w:space="0" w:color="auto"/>
              <w:right w:val="single" w:sz="4" w:space="0" w:color="auto"/>
            </w:tcBorders>
            <w:vAlign w:val="bottom"/>
          </w:tcPr>
          <w:p w14:paraId="6BE92A6C" w14:textId="77777777" w:rsidR="007043C5" w:rsidRPr="00BF3425" w:rsidRDefault="007043C5" w:rsidP="00DA2735">
            <w:pPr>
              <w:pStyle w:val="tabteksts"/>
              <w:tabs>
                <w:tab w:val="decimal" w:pos="436"/>
              </w:tabs>
            </w:pPr>
            <w:r w:rsidRPr="00BF3425">
              <w:t>3,7</w:t>
            </w:r>
          </w:p>
        </w:tc>
        <w:tc>
          <w:tcPr>
            <w:tcW w:w="754" w:type="dxa"/>
            <w:tcBorders>
              <w:top w:val="single" w:sz="4" w:space="0" w:color="auto"/>
              <w:left w:val="single" w:sz="4" w:space="0" w:color="auto"/>
              <w:bottom w:val="single" w:sz="4" w:space="0" w:color="auto"/>
              <w:right w:val="single" w:sz="4" w:space="0" w:color="auto"/>
            </w:tcBorders>
            <w:vAlign w:val="bottom"/>
          </w:tcPr>
          <w:p w14:paraId="6B0D728F" w14:textId="77777777" w:rsidR="007043C5" w:rsidRPr="00BF3425" w:rsidRDefault="007043C5" w:rsidP="00DA2735">
            <w:pPr>
              <w:pStyle w:val="tabteksts"/>
              <w:tabs>
                <w:tab w:val="decimal" w:pos="436"/>
              </w:tabs>
            </w:pPr>
            <w:r w:rsidRPr="00BF3425">
              <w:t>3,9</w:t>
            </w:r>
          </w:p>
        </w:tc>
        <w:tc>
          <w:tcPr>
            <w:tcW w:w="754" w:type="dxa"/>
            <w:tcBorders>
              <w:top w:val="single" w:sz="4" w:space="0" w:color="auto"/>
              <w:left w:val="nil"/>
              <w:bottom w:val="single" w:sz="4" w:space="0" w:color="auto"/>
              <w:right w:val="single" w:sz="4" w:space="0" w:color="auto"/>
            </w:tcBorders>
            <w:vAlign w:val="bottom"/>
          </w:tcPr>
          <w:p w14:paraId="7DF0C591" w14:textId="77777777" w:rsidR="007043C5" w:rsidRPr="00BF3425" w:rsidRDefault="007043C5" w:rsidP="00DA2735">
            <w:pPr>
              <w:pStyle w:val="tabteksts"/>
              <w:tabs>
                <w:tab w:val="decimal" w:pos="436"/>
              </w:tabs>
            </w:pPr>
            <w:r w:rsidRPr="00BF3425">
              <w:t>4,1</w:t>
            </w:r>
          </w:p>
        </w:tc>
        <w:tc>
          <w:tcPr>
            <w:tcW w:w="754" w:type="dxa"/>
            <w:tcBorders>
              <w:top w:val="single" w:sz="4" w:space="0" w:color="auto"/>
              <w:left w:val="nil"/>
              <w:bottom w:val="single" w:sz="4" w:space="0" w:color="auto"/>
              <w:right w:val="single" w:sz="4" w:space="0" w:color="auto"/>
            </w:tcBorders>
            <w:vAlign w:val="bottom"/>
          </w:tcPr>
          <w:p w14:paraId="18D841FE" w14:textId="77777777" w:rsidR="007043C5" w:rsidRPr="00BF3425" w:rsidRDefault="007043C5" w:rsidP="00DA2735">
            <w:pPr>
              <w:pStyle w:val="tabteksts"/>
              <w:tabs>
                <w:tab w:val="decimal" w:pos="436"/>
              </w:tabs>
            </w:pPr>
            <w:r w:rsidRPr="00BF3425">
              <w:t>4,3</w:t>
            </w:r>
          </w:p>
        </w:tc>
        <w:tc>
          <w:tcPr>
            <w:tcW w:w="754" w:type="dxa"/>
            <w:tcBorders>
              <w:top w:val="single" w:sz="4" w:space="0" w:color="auto"/>
              <w:left w:val="nil"/>
              <w:bottom w:val="single" w:sz="4" w:space="0" w:color="auto"/>
              <w:right w:val="single" w:sz="4" w:space="0" w:color="auto"/>
            </w:tcBorders>
            <w:vAlign w:val="bottom"/>
          </w:tcPr>
          <w:p w14:paraId="3B68598F" w14:textId="77777777" w:rsidR="007043C5" w:rsidRPr="00BF3425" w:rsidRDefault="007043C5" w:rsidP="00DA2735">
            <w:pPr>
              <w:pStyle w:val="tabteksts"/>
              <w:tabs>
                <w:tab w:val="decimal" w:pos="436"/>
              </w:tabs>
            </w:pPr>
            <w:r w:rsidRPr="00BF3425">
              <w:t>4,4</w:t>
            </w:r>
          </w:p>
        </w:tc>
        <w:tc>
          <w:tcPr>
            <w:tcW w:w="1485" w:type="dxa"/>
            <w:tcBorders>
              <w:top w:val="single" w:sz="4" w:space="0" w:color="auto"/>
              <w:left w:val="single" w:sz="4" w:space="0" w:color="auto"/>
              <w:bottom w:val="single" w:sz="4" w:space="0" w:color="auto"/>
              <w:right w:val="double" w:sz="6" w:space="0" w:color="auto"/>
            </w:tcBorders>
            <w:vAlign w:val="bottom"/>
          </w:tcPr>
          <w:p w14:paraId="2D4083D7" w14:textId="77777777" w:rsidR="007043C5" w:rsidRPr="00BF3425" w:rsidRDefault="007043C5" w:rsidP="00DA2735">
            <w:pPr>
              <w:pStyle w:val="tabteksts"/>
              <w:tabs>
                <w:tab w:val="decimal" w:pos="436"/>
              </w:tabs>
            </w:pPr>
            <w:r w:rsidRPr="00BF3425">
              <w:t>4,4</w:t>
            </w:r>
          </w:p>
        </w:tc>
      </w:tr>
      <w:tr w:rsidR="007043C5" w:rsidRPr="00BF3425" w14:paraId="4D07D8FF"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0C6F0BE3" w14:textId="77777777" w:rsidR="007043C5" w:rsidRPr="00BF3425" w:rsidRDefault="007043C5" w:rsidP="00DA2735">
            <w:pPr>
              <w:pStyle w:val="tabteksts"/>
              <w:rPr>
                <w:b/>
                <w:noProof/>
              </w:rPr>
            </w:pPr>
            <w:r w:rsidRPr="00BF3425">
              <w:rPr>
                <w:b/>
                <w:noProof/>
              </w:rPr>
              <w:t>Ilgstošās aprūpes izdevumi</w:t>
            </w:r>
          </w:p>
        </w:tc>
        <w:tc>
          <w:tcPr>
            <w:tcW w:w="754" w:type="dxa"/>
            <w:tcBorders>
              <w:top w:val="single" w:sz="4" w:space="0" w:color="auto"/>
              <w:left w:val="nil"/>
              <w:bottom w:val="single" w:sz="4" w:space="0" w:color="auto"/>
              <w:right w:val="single" w:sz="4" w:space="0" w:color="auto"/>
            </w:tcBorders>
            <w:vAlign w:val="bottom"/>
          </w:tcPr>
          <w:p w14:paraId="1B27C807" w14:textId="77777777" w:rsidR="007043C5" w:rsidRPr="00BF3425" w:rsidRDefault="007043C5" w:rsidP="00DA2735">
            <w:pPr>
              <w:pStyle w:val="tabteksts"/>
              <w:tabs>
                <w:tab w:val="decimal" w:pos="436"/>
              </w:tabs>
            </w:pPr>
            <w:r w:rsidRPr="00BF3425">
              <w:t>0,7</w:t>
            </w:r>
          </w:p>
        </w:tc>
        <w:tc>
          <w:tcPr>
            <w:tcW w:w="754" w:type="dxa"/>
            <w:tcBorders>
              <w:top w:val="single" w:sz="4" w:space="0" w:color="auto"/>
              <w:left w:val="single" w:sz="4" w:space="0" w:color="auto"/>
              <w:bottom w:val="single" w:sz="4" w:space="0" w:color="auto"/>
              <w:right w:val="single" w:sz="4" w:space="0" w:color="auto"/>
            </w:tcBorders>
            <w:vAlign w:val="bottom"/>
          </w:tcPr>
          <w:p w14:paraId="60316FBC" w14:textId="77777777" w:rsidR="007043C5" w:rsidRPr="00BF3425" w:rsidRDefault="007043C5" w:rsidP="00DA2735">
            <w:pPr>
              <w:pStyle w:val="tabteksts"/>
              <w:tabs>
                <w:tab w:val="decimal" w:pos="436"/>
              </w:tabs>
            </w:pPr>
            <w:r w:rsidRPr="00BF3425">
              <w:t>0,7</w:t>
            </w:r>
          </w:p>
        </w:tc>
        <w:tc>
          <w:tcPr>
            <w:tcW w:w="754" w:type="dxa"/>
            <w:tcBorders>
              <w:top w:val="single" w:sz="4" w:space="0" w:color="auto"/>
              <w:left w:val="nil"/>
              <w:bottom w:val="single" w:sz="4" w:space="0" w:color="auto"/>
              <w:right w:val="single" w:sz="4" w:space="0" w:color="auto"/>
            </w:tcBorders>
            <w:vAlign w:val="bottom"/>
          </w:tcPr>
          <w:p w14:paraId="63986C2A" w14:textId="77777777" w:rsidR="007043C5" w:rsidRPr="00BF3425" w:rsidRDefault="007043C5" w:rsidP="00DA2735">
            <w:pPr>
              <w:pStyle w:val="tabteksts"/>
              <w:tabs>
                <w:tab w:val="decimal" w:pos="436"/>
              </w:tabs>
            </w:pPr>
            <w:r w:rsidRPr="00BF3425">
              <w:t>0,7</w:t>
            </w:r>
          </w:p>
        </w:tc>
        <w:tc>
          <w:tcPr>
            <w:tcW w:w="754" w:type="dxa"/>
            <w:tcBorders>
              <w:top w:val="single" w:sz="4" w:space="0" w:color="auto"/>
              <w:left w:val="nil"/>
              <w:bottom w:val="single" w:sz="4" w:space="0" w:color="auto"/>
              <w:right w:val="single" w:sz="4" w:space="0" w:color="auto"/>
            </w:tcBorders>
            <w:vAlign w:val="bottom"/>
          </w:tcPr>
          <w:p w14:paraId="697A8489" w14:textId="77777777" w:rsidR="007043C5" w:rsidRPr="00BF3425" w:rsidRDefault="007043C5" w:rsidP="00DA2735">
            <w:pPr>
              <w:pStyle w:val="tabteksts"/>
              <w:tabs>
                <w:tab w:val="decimal" w:pos="436"/>
              </w:tabs>
            </w:pPr>
            <w:r w:rsidRPr="00BF3425">
              <w:t>0,8</w:t>
            </w:r>
          </w:p>
        </w:tc>
        <w:tc>
          <w:tcPr>
            <w:tcW w:w="754" w:type="dxa"/>
            <w:tcBorders>
              <w:top w:val="single" w:sz="4" w:space="0" w:color="auto"/>
              <w:left w:val="nil"/>
              <w:bottom w:val="single" w:sz="4" w:space="0" w:color="auto"/>
              <w:right w:val="single" w:sz="4" w:space="0" w:color="auto"/>
            </w:tcBorders>
            <w:vAlign w:val="bottom"/>
          </w:tcPr>
          <w:p w14:paraId="1C3B7096" w14:textId="77777777" w:rsidR="007043C5" w:rsidRPr="00BF3425" w:rsidRDefault="007043C5" w:rsidP="00DA2735">
            <w:pPr>
              <w:pStyle w:val="tabteksts"/>
              <w:tabs>
                <w:tab w:val="decimal" w:pos="436"/>
              </w:tabs>
            </w:pPr>
            <w:r w:rsidRPr="00BF3425">
              <w:t>0,9</w:t>
            </w:r>
          </w:p>
        </w:tc>
        <w:tc>
          <w:tcPr>
            <w:tcW w:w="1485" w:type="dxa"/>
            <w:tcBorders>
              <w:top w:val="single" w:sz="4" w:space="0" w:color="auto"/>
              <w:left w:val="single" w:sz="4" w:space="0" w:color="auto"/>
              <w:bottom w:val="single" w:sz="4" w:space="0" w:color="auto"/>
              <w:right w:val="double" w:sz="6" w:space="0" w:color="auto"/>
            </w:tcBorders>
            <w:vAlign w:val="bottom"/>
          </w:tcPr>
          <w:p w14:paraId="2F5AE4CA" w14:textId="77777777" w:rsidR="007043C5" w:rsidRPr="00BF3425" w:rsidRDefault="007043C5" w:rsidP="00DA2735">
            <w:pPr>
              <w:pStyle w:val="tabteksts"/>
              <w:tabs>
                <w:tab w:val="decimal" w:pos="436"/>
              </w:tabs>
            </w:pPr>
            <w:r w:rsidRPr="00BF3425">
              <w:t>1,0</w:t>
            </w:r>
          </w:p>
        </w:tc>
      </w:tr>
      <w:tr w:rsidR="007043C5" w:rsidRPr="00BF3425" w14:paraId="4CC5CD11"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411C90A5" w14:textId="77777777" w:rsidR="007043C5" w:rsidRPr="00BF3425" w:rsidRDefault="007043C5" w:rsidP="00DA2735">
            <w:pPr>
              <w:pStyle w:val="tabteksts"/>
              <w:rPr>
                <w:b/>
                <w:noProof/>
              </w:rPr>
            </w:pPr>
            <w:r w:rsidRPr="00BF3425">
              <w:rPr>
                <w:b/>
                <w:noProof/>
              </w:rPr>
              <w:t>Izglītības izdevumi</w:t>
            </w:r>
          </w:p>
        </w:tc>
        <w:tc>
          <w:tcPr>
            <w:tcW w:w="754" w:type="dxa"/>
            <w:tcBorders>
              <w:top w:val="single" w:sz="4" w:space="0" w:color="auto"/>
              <w:left w:val="nil"/>
              <w:bottom w:val="single" w:sz="4" w:space="0" w:color="auto"/>
              <w:right w:val="single" w:sz="4" w:space="0" w:color="auto"/>
            </w:tcBorders>
            <w:vAlign w:val="bottom"/>
          </w:tcPr>
          <w:p w14:paraId="7FE5D3E4" w14:textId="77777777" w:rsidR="007043C5" w:rsidRPr="00BF3425" w:rsidRDefault="007043C5" w:rsidP="00DA2735">
            <w:pPr>
              <w:pStyle w:val="tabteksts"/>
              <w:tabs>
                <w:tab w:val="decimal" w:pos="436"/>
              </w:tabs>
            </w:pPr>
            <w:r w:rsidRPr="00BF3425">
              <w:t>4,4</w:t>
            </w:r>
          </w:p>
        </w:tc>
        <w:tc>
          <w:tcPr>
            <w:tcW w:w="754" w:type="dxa"/>
            <w:tcBorders>
              <w:top w:val="single" w:sz="4" w:space="0" w:color="auto"/>
              <w:left w:val="single" w:sz="4" w:space="0" w:color="auto"/>
              <w:bottom w:val="single" w:sz="4" w:space="0" w:color="auto"/>
              <w:right w:val="single" w:sz="4" w:space="0" w:color="auto"/>
            </w:tcBorders>
            <w:vAlign w:val="bottom"/>
          </w:tcPr>
          <w:p w14:paraId="2EFEDCBF" w14:textId="77777777" w:rsidR="007043C5" w:rsidRPr="00BF3425" w:rsidRDefault="007043C5" w:rsidP="00DA2735">
            <w:pPr>
              <w:pStyle w:val="tabteksts"/>
              <w:tabs>
                <w:tab w:val="decimal" w:pos="436"/>
              </w:tabs>
            </w:pPr>
            <w:r w:rsidRPr="00BF3425">
              <w:t>4,0</w:t>
            </w:r>
          </w:p>
        </w:tc>
        <w:tc>
          <w:tcPr>
            <w:tcW w:w="754" w:type="dxa"/>
            <w:tcBorders>
              <w:top w:val="single" w:sz="4" w:space="0" w:color="auto"/>
              <w:left w:val="nil"/>
              <w:bottom w:val="single" w:sz="4" w:space="0" w:color="auto"/>
              <w:right w:val="single" w:sz="4" w:space="0" w:color="auto"/>
            </w:tcBorders>
            <w:vAlign w:val="bottom"/>
          </w:tcPr>
          <w:p w14:paraId="02675C3D" w14:textId="77777777" w:rsidR="007043C5" w:rsidRPr="00BF3425" w:rsidRDefault="007043C5" w:rsidP="00DA2735">
            <w:pPr>
              <w:pStyle w:val="tabteksts"/>
              <w:tabs>
                <w:tab w:val="decimal" w:pos="436"/>
              </w:tabs>
            </w:pPr>
            <w:r w:rsidRPr="00BF3425">
              <w:t>3,6</w:t>
            </w:r>
          </w:p>
        </w:tc>
        <w:tc>
          <w:tcPr>
            <w:tcW w:w="754" w:type="dxa"/>
            <w:tcBorders>
              <w:top w:val="single" w:sz="4" w:space="0" w:color="auto"/>
              <w:left w:val="nil"/>
              <w:bottom w:val="single" w:sz="4" w:space="0" w:color="auto"/>
              <w:right w:val="single" w:sz="4" w:space="0" w:color="auto"/>
            </w:tcBorders>
            <w:vAlign w:val="bottom"/>
          </w:tcPr>
          <w:p w14:paraId="524A4343" w14:textId="77777777" w:rsidR="007043C5" w:rsidRPr="00BF3425" w:rsidRDefault="007043C5" w:rsidP="00DA2735">
            <w:pPr>
              <w:pStyle w:val="tabteksts"/>
              <w:tabs>
                <w:tab w:val="decimal" w:pos="436"/>
              </w:tabs>
            </w:pPr>
            <w:r w:rsidRPr="00BF3425">
              <w:t>3,2</w:t>
            </w:r>
          </w:p>
        </w:tc>
        <w:tc>
          <w:tcPr>
            <w:tcW w:w="754" w:type="dxa"/>
            <w:tcBorders>
              <w:top w:val="single" w:sz="4" w:space="0" w:color="auto"/>
              <w:left w:val="nil"/>
              <w:bottom w:val="single" w:sz="4" w:space="0" w:color="auto"/>
              <w:right w:val="single" w:sz="4" w:space="0" w:color="auto"/>
            </w:tcBorders>
            <w:vAlign w:val="bottom"/>
          </w:tcPr>
          <w:p w14:paraId="0603368A" w14:textId="77777777" w:rsidR="007043C5" w:rsidRPr="00BF3425" w:rsidRDefault="007043C5" w:rsidP="00DA2735">
            <w:pPr>
              <w:pStyle w:val="tabteksts"/>
              <w:tabs>
                <w:tab w:val="decimal" w:pos="436"/>
              </w:tabs>
            </w:pPr>
            <w:r w:rsidRPr="00BF3425">
              <w:t>3,4</w:t>
            </w:r>
          </w:p>
        </w:tc>
        <w:tc>
          <w:tcPr>
            <w:tcW w:w="1485" w:type="dxa"/>
            <w:tcBorders>
              <w:top w:val="single" w:sz="4" w:space="0" w:color="auto"/>
              <w:left w:val="single" w:sz="4" w:space="0" w:color="auto"/>
              <w:bottom w:val="single" w:sz="4" w:space="0" w:color="auto"/>
              <w:right w:val="double" w:sz="6" w:space="0" w:color="auto"/>
            </w:tcBorders>
            <w:vAlign w:val="bottom"/>
          </w:tcPr>
          <w:p w14:paraId="44500467" w14:textId="77777777" w:rsidR="007043C5" w:rsidRPr="00BF3425" w:rsidRDefault="007043C5" w:rsidP="00DA2735">
            <w:pPr>
              <w:pStyle w:val="tabteksts"/>
              <w:tabs>
                <w:tab w:val="decimal" w:pos="436"/>
              </w:tabs>
            </w:pPr>
            <w:r w:rsidRPr="00BF3425">
              <w:t>3,7</w:t>
            </w:r>
          </w:p>
        </w:tc>
      </w:tr>
      <w:tr w:rsidR="007043C5" w:rsidRPr="00BF3425" w14:paraId="733AB9A4"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5B58E35C" w14:textId="77777777" w:rsidR="007043C5" w:rsidRPr="00BF3425" w:rsidRDefault="007043C5" w:rsidP="00DA2735">
            <w:pPr>
              <w:pStyle w:val="tabteksts"/>
              <w:rPr>
                <w:noProof/>
              </w:rPr>
            </w:pPr>
            <w:r w:rsidRPr="00BF3425">
              <w:rPr>
                <w:noProof/>
              </w:rPr>
              <w:t>Citi ar vecumu saistītie izdevumi</w:t>
            </w:r>
          </w:p>
        </w:tc>
        <w:tc>
          <w:tcPr>
            <w:tcW w:w="754" w:type="dxa"/>
            <w:tcBorders>
              <w:top w:val="single" w:sz="4" w:space="0" w:color="auto"/>
              <w:left w:val="nil"/>
              <w:bottom w:val="single" w:sz="4" w:space="0" w:color="auto"/>
              <w:right w:val="single" w:sz="4" w:space="0" w:color="auto"/>
            </w:tcBorders>
            <w:vAlign w:val="bottom"/>
          </w:tcPr>
          <w:p w14:paraId="7C17269F" w14:textId="77777777" w:rsidR="007043C5" w:rsidRPr="00BF3425"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1F3198AD"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4CBAE283"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3890A83D"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092EE2D" w14:textId="77777777" w:rsidR="007043C5" w:rsidRPr="00BF3425" w:rsidRDefault="007043C5" w:rsidP="00DA2735">
            <w:pPr>
              <w:pStyle w:val="tabteksts"/>
              <w:tabs>
                <w:tab w:val="decimal" w:pos="436"/>
              </w:tabs>
            </w:pPr>
          </w:p>
        </w:tc>
        <w:tc>
          <w:tcPr>
            <w:tcW w:w="1485" w:type="dxa"/>
            <w:tcBorders>
              <w:top w:val="single" w:sz="4" w:space="0" w:color="auto"/>
              <w:left w:val="single" w:sz="4" w:space="0" w:color="auto"/>
              <w:bottom w:val="single" w:sz="4" w:space="0" w:color="auto"/>
              <w:right w:val="double" w:sz="6" w:space="0" w:color="auto"/>
            </w:tcBorders>
            <w:vAlign w:val="bottom"/>
          </w:tcPr>
          <w:p w14:paraId="3FC7E8CC" w14:textId="77777777" w:rsidR="007043C5" w:rsidRPr="00BF3425" w:rsidRDefault="007043C5" w:rsidP="00DA2735">
            <w:pPr>
              <w:pStyle w:val="tabteksts"/>
              <w:tabs>
                <w:tab w:val="decimal" w:pos="436"/>
              </w:tabs>
            </w:pPr>
          </w:p>
        </w:tc>
      </w:tr>
      <w:tr w:rsidR="007043C5" w:rsidRPr="00BF3425" w14:paraId="1C03B132"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2EF0B91F" w14:textId="77777777" w:rsidR="007043C5" w:rsidRPr="00BF3425" w:rsidRDefault="007043C5" w:rsidP="00DA2735">
            <w:pPr>
              <w:pStyle w:val="tabteksts"/>
              <w:rPr>
                <w:noProof/>
              </w:rPr>
            </w:pPr>
            <w:r w:rsidRPr="00BF3425">
              <w:rPr>
                <w:noProof/>
              </w:rPr>
              <w:t>Procentu izdevumi</w:t>
            </w:r>
          </w:p>
        </w:tc>
        <w:tc>
          <w:tcPr>
            <w:tcW w:w="754" w:type="dxa"/>
            <w:tcBorders>
              <w:top w:val="single" w:sz="4" w:space="0" w:color="auto"/>
              <w:left w:val="nil"/>
              <w:bottom w:val="single" w:sz="4" w:space="0" w:color="auto"/>
              <w:right w:val="single" w:sz="4" w:space="0" w:color="auto"/>
            </w:tcBorders>
            <w:vAlign w:val="bottom"/>
          </w:tcPr>
          <w:p w14:paraId="63FAAD81" w14:textId="77777777" w:rsidR="007043C5" w:rsidRPr="00BF3425"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22DF2680"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65D4C0E8"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DF97E44"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576DC574" w14:textId="77777777" w:rsidR="007043C5" w:rsidRPr="00BF3425" w:rsidRDefault="007043C5" w:rsidP="00DA2735">
            <w:pPr>
              <w:pStyle w:val="tabteksts"/>
              <w:tabs>
                <w:tab w:val="decimal" w:pos="436"/>
              </w:tabs>
            </w:pPr>
          </w:p>
        </w:tc>
        <w:tc>
          <w:tcPr>
            <w:tcW w:w="1485" w:type="dxa"/>
            <w:tcBorders>
              <w:top w:val="single" w:sz="4" w:space="0" w:color="auto"/>
              <w:left w:val="single" w:sz="4" w:space="0" w:color="auto"/>
              <w:bottom w:val="single" w:sz="4" w:space="0" w:color="auto"/>
              <w:right w:val="double" w:sz="6" w:space="0" w:color="auto"/>
            </w:tcBorders>
            <w:vAlign w:val="bottom"/>
          </w:tcPr>
          <w:p w14:paraId="293CC94F" w14:textId="77777777" w:rsidR="007043C5" w:rsidRPr="00BF3425" w:rsidRDefault="007043C5" w:rsidP="00DA2735">
            <w:pPr>
              <w:pStyle w:val="tabteksts"/>
              <w:tabs>
                <w:tab w:val="decimal" w:pos="436"/>
              </w:tabs>
            </w:pPr>
          </w:p>
        </w:tc>
      </w:tr>
      <w:tr w:rsidR="007043C5" w:rsidRPr="00BF3425" w14:paraId="7B7A4FF0"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54B1884E" w14:textId="77777777" w:rsidR="007043C5" w:rsidRPr="00BF3425" w:rsidRDefault="007043C5" w:rsidP="00DA2735">
            <w:pPr>
              <w:pStyle w:val="tabteksts"/>
              <w:rPr>
                <w:noProof/>
              </w:rPr>
            </w:pPr>
            <w:r w:rsidRPr="00BF3425">
              <w:rPr>
                <w:noProof/>
              </w:rPr>
              <w:t>Kopējie ieņēmumi</w:t>
            </w:r>
          </w:p>
        </w:tc>
        <w:tc>
          <w:tcPr>
            <w:tcW w:w="754" w:type="dxa"/>
            <w:tcBorders>
              <w:top w:val="single" w:sz="4" w:space="0" w:color="auto"/>
              <w:left w:val="nil"/>
              <w:bottom w:val="single" w:sz="4" w:space="0" w:color="auto"/>
              <w:right w:val="single" w:sz="4" w:space="0" w:color="auto"/>
            </w:tcBorders>
            <w:vAlign w:val="bottom"/>
          </w:tcPr>
          <w:p w14:paraId="39C6FA91" w14:textId="77777777" w:rsidR="007043C5" w:rsidRPr="00BF3425"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21876B8A"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63353EF5"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0CBD3531"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51AE59C3" w14:textId="77777777" w:rsidR="007043C5" w:rsidRPr="00BF3425" w:rsidRDefault="007043C5" w:rsidP="00DA2735">
            <w:pPr>
              <w:pStyle w:val="tabteksts"/>
              <w:tabs>
                <w:tab w:val="decimal" w:pos="436"/>
              </w:tabs>
            </w:pPr>
          </w:p>
        </w:tc>
        <w:tc>
          <w:tcPr>
            <w:tcW w:w="1485" w:type="dxa"/>
            <w:tcBorders>
              <w:top w:val="single" w:sz="4" w:space="0" w:color="auto"/>
              <w:left w:val="single" w:sz="4" w:space="0" w:color="auto"/>
              <w:bottom w:val="single" w:sz="4" w:space="0" w:color="auto"/>
              <w:right w:val="double" w:sz="6" w:space="0" w:color="auto"/>
            </w:tcBorders>
            <w:vAlign w:val="bottom"/>
          </w:tcPr>
          <w:p w14:paraId="28B67A30" w14:textId="77777777" w:rsidR="007043C5" w:rsidRPr="00BF3425" w:rsidRDefault="007043C5" w:rsidP="00DA2735">
            <w:pPr>
              <w:pStyle w:val="tabteksts"/>
              <w:tabs>
                <w:tab w:val="decimal" w:pos="436"/>
              </w:tabs>
            </w:pPr>
          </w:p>
        </w:tc>
      </w:tr>
      <w:tr w:rsidR="007043C5" w:rsidRPr="00BF3425" w14:paraId="7B7EB52B"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1E59957D" w14:textId="77777777" w:rsidR="007043C5" w:rsidRPr="00BF3425" w:rsidRDefault="007043C5" w:rsidP="00DA2735">
            <w:pPr>
              <w:pStyle w:val="tabteksts"/>
              <w:rPr>
                <w:noProof/>
              </w:rPr>
            </w:pPr>
            <w:r w:rsidRPr="00BF3425">
              <w:rPr>
                <w:noProof/>
              </w:rPr>
              <w:t>t.sk.: īpašuma ieņēmumi</w:t>
            </w:r>
          </w:p>
        </w:tc>
        <w:tc>
          <w:tcPr>
            <w:tcW w:w="754" w:type="dxa"/>
            <w:tcBorders>
              <w:top w:val="single" w:sz="4" w:space="0" w:color="auto"/>
              <w:left w:val="nil"/>
              <w:bottom w:val="single" w:sz="4" w:space="0" w:color="auto"/>
              <w:right w:val="single" w:sz="4" w:space="0" w:color="auto"/>
            </w:tcBorders>
            <w:vAlign w:val="bottom"/>
          </w:tcPr>
          <w:p w14:paraId="6DC89414" w14:textId="77777777" w:rsidR="007043C5" w:rsidRPr="00BF3425"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42E5C1E5"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034C4723"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2051AE22"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78920C77" w14:textId="77777777" w:rsidR="007043C5" w:rsidRPr="00BF3425" w:rsidRDefault="007043C5" w:rsidP="00DA2735">
            <w:pPr>
              <w:pStyle w:val="tabteksts"/>
              <w:tabs>
                <w:tab w:val="decimal" w:pos="436"/>
              </w:tabs>
            </w:pPr>
          </w:p>
        </w:tc>
        <w:tc>
          <w:tcPr>
            <w:tcW w:w="1485" w:type="dxa"/>
            <w:tcBorders>
              <w:top w:val="single" w:sz="4" w:space="0" w:color="auto"/>
              <w:left w:val="single" w:sz="4" w:space="0" w:color="auto"/>
              <w:bottom w:val="single" w:sz="4" w:space="0" w:color="auto"/>
              <w:right w:val="double" w:sz="6" w:space="0" w:color="auto"/>
            </w:tcBorders>
            <w:vAlign w:val="bottom"/>
          </w:tcPr>
          <w:p w14:paraId="15F53854" w14:textId="77777777" w:rsidR="007043C5" w:rsidRPr="00BF3425" w:rsidRDefault="007043C5" w:rsidP="00DA2735">
            <w:pPr>
              <w:pStyle w:val="tabteksts"/>
              <w:tabs>
                <w:tab w:val="decimal" w:pos="436"/>
              </w:tabs>
            </w:pPr>
          </w:p>
        </w:tc>
      </w:tr>
      <w:tr w:rsidR="007043C5" w:rsidRPr="00BF3425" w14:paraId="57BA41B8"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46F93DD6" w14:textId="77777777" w:rsidR="007043C5" w:rsidRPr="00BF3425" w:rsidRDefault="007043C5" w:rsidP="00DA2735">
            <w:pPr>
              <w:pStyle w:val="tabteksts"/>
              <w:rPr>
                <w:noProof/>
              </w:rPr>
            </w:pPr>
            <w:r w:rsidRPr="00BF3425">
              <w:rPr>
                <w:noProof/>
              </w:rPr>
              <w:t>t.sk.: pensiju iemaksas</w:t>
            </w:r>
            <w:r w:rsidRPr="00BF3425">
              <w:rPr>
                <w:rStyle w:val="FootnoteReference"/>
                <w:noProof/>
              </w:rPr>
              <w:footnoteReference w:id="23"/>
            </w:r>
          </w:p>
        </w:tc>
        <w:tc>
          <w:tcPr>
            <w:tcW w:w="754" w:type="dxa"/>
            <w:tcBorders>
              <w:top w:val="single" w:sz="4" w:space="0" w:color="auto"/>
              <w:left w:val="nil"/>
              <w:bottom w:val="single" w:sz="4" w:space="0" w:color="auto"/>
              <w:right w:val="single" w:sz="4" w:space="0" w:color="auto"/>
            </w:tcBorders>
            <w:vAlign w:val="bottom"/>
          </w:tcPr>
          <w:p w14:paraId="62C62776" w14:textId="77777777" w:rsidR="007043C5" w:rsidRPr="00BF3425" w:rsidRDefault="007043C5" w:rsidP="00DA2735">
            <w:pPr>
              <w:pStyle w:val="tabteksts"/>
              <w:tabs>
                <w:tab w:val="decimal" w:pos="436"/>
              </w:tabs>
            </w:pPr>
            <w:r w:rsidRPr="00BF3425">
              <w:t>6,9</w:t>
            </w:r>
          </w:p>
        </w:tc>
        <w:tc>
          <w:tcPr>
            <w:tcW w:w="754" w:type="dxa"/>
            <w:tcBorders>
              <w:top w:val="single" w:sz="4" w:space="0" w:color="auto"/>
              <w:left w:val="single" w:sz="4" w:space="0" w:color="auto"/>
              <w:bottom w:val="single" w:sz="4" w:space="0" w:color="auto"/>
              <w:right w:val="single" w:sz="4" w:space="0" w:color="auto"/>
            </w:tcBorders>
            <w:vAlign w:val="bottom"/>
          </w:tcPr>
          <w:p w14:paraId="66E4C935" w14:textId="77777777" w:rsidR="007043C5" w:rsidRPr="00BF3425" w:rsidRDefault="007043C5" w:rsidP="00DA2735">
            <w:pPr>
              <w:pStyle w:val="tabteksts"/>
              <w:tabs>
                <w:tab w:val="decimal" w:pos="436"/>
              </w:tabs>
            </w:pPr>
            <w:r w:rsidRPr="00BF3425">
              <w:t>8,9</w:t>
            </w:r>
          </w:p>
        </w:tc>
        <w:tc>
          <w:tcPr>
            <w:tcW w:w="754" w:type="dxa"/>
            <w:tcBorders>
              <w:top w:val="single" w:sz="4" w:space="0" w:color="auto"/>
              <w:left w:val="nil"/>
              <w:bottom w:val="single" w:sz="4" w:space="0" w:color="auto"/>
              <w:right w:val="single" w:sz="4" w:space="0" w:color="auto"/>
            </w:tcBorders>
            <w:vAlign w:val="bottom"/>
          </w:tcPr>
          <w:p w14:paraId="7207F34E" w14:textId="77777777" w:rsidR="007043C5" w:rsidRPr="00BF3425" w:rsidRDefault="007043C5" w:rsidP="00DA2735">
            <w:pPr>
              <w:pStyle w:val="tabteksts"/>
              <w:tabs>
                <w:tab w:val="decimal" w:pos="436"/>
              </w:tabs>
            </w:pPr>
            <w:r w:rsidRPr="00BF3425">
              <w:t>8,9</w:t>
            </w:r>
          </w:p>
        </w:tc>
        <w:tc>
          <w:tcPr>
            <w:tcW w:w="754" w:type="dxa"/>
            <w:tcBorders>
              <w:top w:val="single" w:sz="4" w:space="0" w:color="auto"/>
              <w:left w:val="nil"/>
              <w:bottom w:val="single" w:sz="4" w:space="0" w:color="auto"/>
              <w:right w:val="single" w:sz="4" w:space="0" w:color="auto"/>
            </w:tcBorders>
            <w:vAlign w:val="bottom"/>
          </w:tcPr>
          <w:p w14:paraId="360DFD9C" w14:textId="77777777" w:rsidR="007043C5" w:rsidRPr="00BF3425" w:rsidRDefault="007043C5" w:rsidP="00DA2735">
            <w:pPr>
              <w:pStyle w:val="tabteksts"/>
              <w:tabs>
                <w:tab w:val="decimal" w:pos="436"/>
              </w:tabs>
            </w:pPr>
            <w:r w:rsidRPr="00BF3425">
              <w:t>9,1</w:t>
            </w:r>
          </w:p>
        </w:tc>
        <w:tc>
          <w:tcPr>
            <w:tcW w:w="754" w:type="dxa"/>
            <w:tcBorders>
              <w:top w:val="single" w:sz="4" w:space="0" w:color="auto"/>
              <w:left w:val="nil"/>
              <w:bottom w:val="single" w:sz="4" w:space="0" w:color="auto"/>
              <w:right w:val="single" w:sz="4" w:space="0" w:color="auto"/>
            </w:tcBorders>
            <w:vAlign w:val="bottom"/>
          </w:tcPr>
          <w:p w14:paraId="51C71054" w14:textId="77777777" w:rsidR="007043C5" w:rsidRPr="00BF3425" w:rsidRDefault="007043C5" w:rsidP="00DA2735">
            <w:pPr>
              <w:pStyle w:val="tabteksts"/>
              <w:tabs>
                <w:tab w:val="decimal" w:pos="436"/>
              </w:tabs>
            </w:pPr>
            <w:r w:rsidRPr="00BF3425">
              <w:t>9,0</w:t>
            </w:r>
          </w:p>
        </w:tc>
        <w:tc>
          <w:tcPr>
            <w:tcW w:w="1485" w:type="dxa"/>
            <w:tcBorders>
              <w:top w:val="single" w:sz="4" w:space="0" w:color="auto"/>
              <w:left w:val="single" w:sz="4" w:space="0" w:color="auto"/>
              <w:bottom w:val="single" w:sz="4" w:space="0" w:color="auto"/>
              <w:right w:val="double" w:sz="6" w:space="0" w:color="auto"/>
            </w:tcBorders>
            <w:vAlign w:val="bottom"/>
          </w:tcPr>
          <w:p w14:paraId="5CCA4B5E" w14:textId="77777777" w:rsidR="007043C5" w:rsidRPr="00BF3425" w:rsidRDefault="007043C5" w:rsidP="00DA2735">
            <w:pPr>
              <w:pStyle w:val="tabteksts"/>
              <w:tabs>
                <w:tab w:val="decimal" w:pos="436"/>
              </w:tabs>
            </w:pPr>
            <w:r w:rsidRPr="00BF3425">
              <w:t>8,9</w:t>
            </w:r>
          </w:p>
        </w:tc>
      </w:tr>
      <w:tr w:rsidR="007043C5" w:rsidRPr="00BF3425" w14:paraId="757532FE"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1F781141" w14:textId="77777777" w:rsidR="007043C5" w:rsidRPr="00BF3425" w:rsidRDefault="007043C5" w:rsidP="00DA2735">
            <w:pPr>
              <w:pStyle w:val="tabteksts"/>
              <w:rPr>
                <w:noProof/>
              </w:rPr>
            </w:pPr>
            <w:r w:rsidRPr="00BF3425">
              <w:rPr>
                <w:noProof/>
              </w:rPr>
              <w:t>Pensiju rezerves fondu aktīvi</w:t>
            </w:r>
          </w:p>
        </w:tc>
        <w:tc>
          <w:tcPr>
            <w:tcW w:w="754" w:type="dxa"/>
            <w:tcBorders>
              <w:top w:val="single" w:sz="4" w:space="0" w:color="auto"/>
              <w:left w:val="nil"/>
              <w:bottom w:val="single" w:sz="4" w:space="0" w:color="auto"/>
              <w:right w:val="single" w:sz="4" w:space="0" w:color="auto"/>
            </w:tcBorders>
            <w:vAlign w:val="bottom"/>
          </w:tcPr>
          <w:p w14:paraId="5C3AA32F" w14:textId="77777777" w:rsidR="007043C5" w:rsidRPr="00BF3425"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5093213C"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376EC880"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300E97D7"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3AE3D591" w14:textId="77777777" w:rsidR="007043C5" w:rsidRPr="00BF3425" w:rsidRDefault="007043C5" w:rsidP="00DA2735">
            <w:pPr>
              <w:pStyle w:val="tabteksts"/>
              <w:tabs>
                <w:tab w:val="decimal" w:pos="436"/>
              </w:tabs>
            </w:pPr>
          </w:p>
        </w:tc>
        <w:tc>
          <w:tcPr>
            <w:tcW w:w="1485" w:type="dxa"/>
            <w:tcBorders>
              <w:top w:val="single" w:sz="4" w:space="0" w:color="auto"/>
              <w:left w:val="single" w:sz="4" w:space="0" w:color="auto"/>
              <w:bottom w:val="single" w:sz="4" w:space="0" w:color="auto"/>
              <w:right w:val="double" w:sz="6" w:space="0" w:color="auto"/>
            </w:tcBorders>
            <w:vAlign w:val="bottom"/>
          </w:tcPr>
          <w:p w14:paraId="5184F9EF" w14:textId="77777777" w:rsidR="007043C5" w:rsidRPr="00BF3425" w:rsidRDefault="007043C5" w:rsidP="00DA2735">
            <w:pPr>
              <w:pStyle w:val="tabteksts"/>
              <w:tabs>
                <w:tab w:val="decimal" w:pos="436"/>
              </w:tabs>
            </w:pPr>
          </w:p>
        </w:tc>
      </w:tr>
      <w:tr w:rsidR="007043C5" w:rsidRPr="00BF3425" w14:paraId="4524B62E"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2C322D11" w14:textId="77777777" w:rsidR="007043C5" w:rsidRPr="00BF3425" w:rsidRDefault="007043C5" w:rsidP="00DA2735">
            <w:pPr>
              <w:pStyle w:val="tabteksts"/>
              <w:rPr>
                <w:noProof/>
              </w:rPr>
            </w:pPr>
            <w:r w:rsidRPr="00BF3425">
              <w:rPr>
                <w:noProof/>
              </w:rPr>
              <w:t>t.sk. konsolidētie valsts pensiju fondu aktīvi (ne valdības saistības)</w:t>
            </w:r>
          </w:p>
        </w:tc>
        <w:tc>
          <w:tcPr>
            <w:tcW w:w="754" w:type="dxa"/>
            <w:tcBorders>
              <w:top w:val="single" w:sz="4" w:space="0" w:color="auto"/>
              <w:left w:val="nil"/>
              <w:bottom w:val="single" w:sz="4" w:space="0" w:color="auto"/>
              <w:right w:val="single" w:sz="4" w:space="0" w:color="auto"/>
            </w:tcBorders>
            <w:vAlign w:val="bottom"/>
          </w:tcPr>
          <w:p w14:paraId="1BF7A325" w14:textId="77777777" w:rsidR="007043C5" w:rsidRPr="00BF3425" w:rsidRDefault="007043C5" w:rsidP="00DA2735">
            <w:pPr>
              <w:pStyle w:val="tabteksts"/>
              <w:tabs>
                <w:tab w:val="decimal" w:pos="436"/>
              </w:tabs>
            </w:pPr>
          </w:p>
        </w:tc>
        <w:tc>
          <w:tcPr>
            <w:tcW w:w="754" w:type="dxa"/>
            <w:tcBorders>
              <w:top w:val="single" w:sz="4" w:space="0" w:color="auto"/>
              <w:left w:val="single" w:sz="4" w:space="0" w:color="auto"/>
              <w:bottom w:val="single" w:sz="4" w:space="0" w:color="auto"/>
              <w:right w:val="single" w:sz="4" w:space="0" w:color="auto"/>
            </w:tcBorders>
            <w:vAlign w:val="bottom"/>
          </w:tcPr>
          <w:p w14:paraId="063A7E3D"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0D099BB1"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44A68B40" w14:textId="77777777" w:rsidR="007043C5" w:rsidRPr="00BF3425" w:rsidRDefault="007043C5" w:rsidP="00DA2735">
            <w:pPr>
              <w:pStyle w:val="tabteksts"/>
              <w:tabs>
                <w:tab w:val="decimal" w:pos="436"/>
              </w:tabs>
            </w:pPr>
          </w:p>
        </w:tc>
        <w:tc>
          <w:tcPr>
            <w:tcW w:w="754" w:type="dxa"/>
            <w:tcBorders>
              <w:top w:val="single" w:sz="4" w:space="0" w:color="auto"/>
              <w:left w:val="nil"/>
              <w:bottom w:val="single" w:sz="4" w:space="0" w:color="auto"/>
              <w:right w:val="single" w:sz="4" w:space="0" w:color="auto"/>
            </w:tcBorders>
            <w:vAlign w:val="bottom"/>
          </w:tcPr>
          <w:p w14:paraId="4438E7B2" w14:textId="77777777" w:rsidR="007043C5" w:rsidRPr="00BF3425" w:rsidRDefault="007043C5" w:rsidP="00DA2735">
            <w:pPr>
              <w:pStyle w:val="tabteksts"/>
              <w:tabs>
                <w:tab w:val="decimal" w:pos="436"/>
              </w:tabs>
            </w:pPr>
          </w:p>
        </w:tc>
        <w:tc>
          <w:tcPr>
            <w:tcW w:w="1485" w:type="dxa"/>
            <w:tcBorders>
              <w:top w:val="single" w:sz="4" w:space="0" w:color="auto"/>
              <w:left w:val="single" w:sz="4" w:space="0" w:color="auto"/>
              <w:bottom w:val="single" w:sz="4" w:space="0" w:color="auto"/>
              <w:right w:val="double" w:sz="6" w:space="0" w:color="auto"/>
            </w:tcBorders>
            <w:vAlign w:val="bottom"/>
          </w:tcPr>
          <w:p w14:paraId="561D8283" w14:textId="77777777" w:rsidR="007043C5" w:rsidRPr="00BF3425" w:rsidRDefault="007043C5" w:rsidP="00DA2735">
            <w:pPr>
              <w:pStyle w:val="tabteksts"/>
              <w:tabs>
                <w:tab w:val="decimal" w:pos="436"/>
              </w:tabs>
            </w:pPr>
          </w:p>
        </w:tc>
      </w:tr>
      <w:tr w:rsidR="007043C5" w:rsidRPr="00BF3425" w14:paraId="3C14A8BC"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2C6DCD57" w14:textId="77777777" w:rsidR="007043C5" w:rsidRPr="00BF3425" w:rsidRDefault="007043C5" w:rsidP="00DA2735">
            <w:pPr>
              <w:pStyle w:val="tabteksts"/>
              <w:rPr>
                <w:noProof/>
              </w:rPr>
            </w:pPr>
            <w:r w:rsidRPr="00BF3425">
              <w:rPr>
                <w:noProof/>
              </w:rPr>
              <w:t>Pensiju iemaksas valsts fondēto pensiju shēmā</w:t>
            </w:r>
          </w:p>
        </w:tc>
        <w:tc>
          <w:tcPr>
            <w:tcW w:w="754" w:type="dxa"/>
            <w:tcBorders>
              <w:top w:val="single" w:sz="4" w:space="0" w:color="auto"/>
              <w:left w:val="nil"/>
              <w:bottom w:val="single" w:sz="4" w:space="0" w:color="auto"/>
              <w:right w:val="single" w:sz="4" w:space="0" w:color="auto"/>
            </w:tcBorders>
            <w:vAlign w:val="bottom"/>
          </w:tcPr>
          <w:p w14:paraId="0B6B5927" w14:textId="77777777" w:rsidR="007043C5" w:rsidRPr="00BF3425" w:rsidRDefault="007043C5" w:rsidP="00DA2735">
            <w:pPr>
              <w:pStyle w:val="tabteksts"/>
              <w:tabs>
                <w:tab w:val="decimal" w:pos="436"/>
              </w:tabs>
            </w:pPr>
            <w:r w:rsidRPr="00BF3425">
              <w:t>0,5</w:t>
            </w:r>
          </w:p>
        </w:tc>
        <w:tc>
          <w:tcPr>
            <w:tcW w:w="754" w:type="dxa"/>
            <w:tcBorders>
              <w:top w:val="single" w:sz="4" w:space="0" w:color="auto"/>
              <w:left w:val="single" w:sz="4" w:space="0" w:color="auto"/>
              <w:bottom w:val="single" w:sz="4" w:space="0" w:color="auto"/>
              <w:right w:val="single" w:sz="4" w:space="0" w:color="auto"/>
            </w:tcBorders>
            <w:vAlign w:val="bottom"/>
          </w:tcPr>
          <w:p w14:paraId="3047D8C7" w14:textId="77777777" w:rsidR="007043C5" w:rsidRPr="00BF3425" w:rsidRDefault="007043C5" w:rsidP="00DA2735">
            <w:pPr>
              <w:pStyle w:val="tabteksts"/>
              <w:tabs>
                <w:tab w:val="decimal" w:pos="436"/>
              </w:tabs>
            </w:pPr>
            <w:r w:rsidRPr="00BF3425">
              <w:t>1,6</w:t>
            </w:r>
          </w:p>
        </w:tc>
        <w:tc>
          <w:tcPr>
            <w:tcW w:w="754" w:type="dxa"/>
            <w:tcBorders>
              <w:top w:val="single" w:sz="4" w:space="0" w:color="auto"/>
              <w:left w:val="nil"/>
              <w:bottom w:val="single" w:sz="4" w:space="0" w:color="auto"/>
              <w:right w:val="single" w:sz="4" w:space="0" w:color="auto"/>
            </w:tcBorders>
            <w:vAlign w:val="bottom"/>
          </w:tcPr>
          <w:p w14:paraId="4F541931" w14:textId="77777777" w:rsidR="007043C5" w:rsidRPr="00BF3425" w:rsidRDefault="007043C5" w:rsidP="00DA2735">
            <w:pPr>
              <w:pStyle w:val="tabteksts"/>
              <w:tabs>
                <w:tab w:val="decimal" w:pos="436"/>
              </w:tabs>
            </w:pPr>
            <w:r w:rsidRPr="00BF3425">
              <w:t>1,7</w:t>
            </w:r>
          </w:p>
        </w:tc>
        <w:tc>
          <w:tcPr>
            <w:tcW w:w="754" w:type="dxa"/>
            <w:tcBorders>
              <w:top w:val="single" w:sz="4" w:space="0" w:color="auto"/>
              <w:left w:val="nil"/>
              <w:bottom w:val="single" w:sz="4" w:space="0" w:color="auto"/>
              <w:right w:val="single" w:sz="4" w:space="0" w:color="auto"/>
            </w:tcBorders>
            <w:vAlign w:val="bottom"/>
          </w:tcPr>
          <w:p w14:paraId="685750E7" w14:textId="77777777" w:rsidR="007043C5" w:rsidRPr="00BF3425" w:rsidRDefault="007043C5" w:rsidP="00DA2735">
            <w:pPr>
              <w:pStyle w:val="tabteksts"/>
              <w:tabs>
                <w:tab w:val="decimal" w:pos="436"/>
              </w:tabs>
            </w:pPr>
            <w:r w:rsidRPr="00BF3425">
              <w:t>1,7</w:t>
            </w:r>
          </w:p>
        </w:tc>
        <w:tc>
          <w:tcPr>
            <w:tcW w:w="754" w:type="dxa"/>
            <w:tcBorders>
              <w:top w:val="single" w:sz="4" w:space="0" w:color="auto"/>
              <w:left w:val="nil"/>
              <w:bottom w:val="single" w:sz="4" w:space="0" w:color="auto"/>
              <w:right w:val="single" w:sz="4" w:space="0" w:color="auto"/>
            </w:tcBorders>
            <w:vAlign w:val="bottom"/>
          </w:tcPr>
          <w:p w14:paraId="78C7A187" w14:textId="77777777" w:rsidR="007043C5" w:rsidRPr="00BF3425" w:rsidRDefault="007043C5" w:rsidP="00DA2735">
            <w:pPr>
              <w:pStyle w:val="tabteksts"/>
              <w:tabs>
                <w:tab w:val="decimal" w:pos="436"/>
              </w:tabs>
            </w:pPr>
            <w:r w:rsidRPr="00BF3425">
              <w:t>1,7</w:t>
            </w:r>
          </w:p>
        </w:tc>
        <w:tc>
          <w:tcPr>
            <w:tcW w:w="1485" w:type="dxa"/>
            <w:tcBorders>
              <w:top w:val="single" w:sz="4" w:space="0" w:color="auto"/>
              <w:left w:val="single" w:sz="4" w:space="0" w:color="auto"/>
              <w:bottom w:val="single" w:sz="4" w:space="0" w:color="auto"/>
              <w:right w:val="double" w:sz="6" w:space="0" w:color="auto"/>
            </w:tcBorders>
            <w:vAlign w:val="bottom"/>
          </w:tcPr>
          <w:p w14:paraId="1D8CC2AA" w14:textId="77777777" w:rsidR="007043C5" w:rsidRPr="00BF3425" w:rsidRDefault="007043C5" w:rsidP="00DA2735">
            <w:pPr>
              <w:pStyle w:val="tabteksts"/>
              <w:tabs>
                <w:tab w:val="decimal" w:pos="436"/>
              </w:tabs>
            </w:pPr>
            <w:r w:rsidRPr="00BF3425">
              <w:t>1,8</w:t>
            </w:r>
          </w:p>
        </w:tc>
      </w:tr>
      <w:tr w:rsidR="007043C5" w:rsidRPr="00BF3425" w14:paraId="3BA6C806" w14:textId="77777777" w:rsidTr="008C7F19">
        <w:tc>
          <w:tcPr>
            <w:tcW w:w="3817" w:type="dxa"/>
            <w:tcBorders>
              <w:top w:val="single" w:sz="4" w:space="0" w:color="auto"/>
              <w:left w:val="double" w:sz="6" w:space="0" w:color="auto"/>
              <w:bottom w:val="double" w:sz="6" w:space="0" w:color="auto"/>
              <w:right w:val="double" w:sz="6" w:space="0" w:color="auto"/>
            </w:tcBorders>
            <w:vAlign w:val="bottom"/>
          </w:tcPr>
          <w:p w14:paraId="7F99F7E1" w14:textId="77777777" w:rsidR="007043C5" w:rsidRPr="00BF3425" w:rsidRDefault="007043C5" w:rsidP="00DA2735">
            <w:pPr>
              <w:pStyle w:val="tabteksts"/>
              <w:rPr>
                <w:noProof/>
              </w:rPr>
            </w:pPr>
            <w:r w:rsidRPr="00BF3425">
              <w:rPr>
                <w:noProof/>
              </w:rPr>
              <w:t>Pensiju izdevumi no valsts fondēto pensiju shēmas</w:t>
            </w:r>
          </w:p>
        </w:tc>
        <w:tc>
          <w:tcPr>
            <w:tcW w:w="754" w:type="dxa"/>
            <w:tcBorders>
              <w:top w:val="single" w:sz="4" w:space="0" w:color="auto"/>
              <w:left w:val="nil"/>
              <w:bottom w:val="double" w:sz="6" w:space="0" w:color="auto"/>
              <w:right w:val="single" w:sz="4" w:space="0" w:color="auto"/>
            </w:tcBorders>
            <w:vAlign w:val="bottom"/>
          </w:tcPr>
          <w:p w14:paraId="50C76CCC" w14:textId="77777777" w:rsidR="007043C5" w:rsidRPr="00BF3425" w:rsidRDefault="007043C5" w:rsidP="00DA2735">
            <w:pPr>
              <w:pStyle w:val="tabteksts"/>
              <w:tabs>
                <w:tab w:val="decimal" w:pos="423"/>
              </w:tabs>
            </w:pPr>
            <w:r w:rsidRPr="00BF3425">
              <w:t>0,0</w:t>
            </w:r>
          </w:p>
        </w:tc>
        <w:tc>
          <w:tcPr>
            <w:tcW w:w="754" w:type="dxa"/>
            <w:tcBorders>
              <w:top w:val="single" w:sz="4" w:space="0" w:color="auto"/>
              <w:left w:val="single" w:sz="4" w:space="0" w:color="auto"/>
              <w:bottom w:val="double" w:sz="6" w:space="0" w:color="auto"/>
              <w:right w:val="single" w:sz="4" w:space="0" w:color="auto"/>
            </w:tcBorders>
            <w:vAlign w:val="bottom"/>
          </w:tcPr>
          <w:p w14:paraId="0DA5A3E8" w14:textId="77777777" w:rsidR="007043C5" w:rsidRPr="00BF3425" w:rsidRDefault="007043C5" w:rsidP="00DA2735">
            <w:pPr>
              <w:pStyle w:val="tabteksts"/>
              <w:tabs>
                <w:tab w:val="decimal" w:pos="423"/>
              </w:tabs>
            </w:pPr>
            <w:r w:rsidRPr="00BF3425">
              <w:t>0,1</w:t>
            </w:r>
          </w:p>
        </w:tc>
        <w:tc>
          <w:tcPr>
            <w:tcW w:w="754" w:type="dxa"/>
            <w:tcBorders>
              <w:top w:val="single" w:sz="4" w:space="0" w:color="auto"/>
              <w:left w:val="nil"/>
              <w:bottom w:val="double" w:sz="6" w:space="0" w:color="auto"/>
              <w:right w:val="single" w:sz="4" w:space="0" w:color="auto"/>
            </w:tcBorders>
            <w:vAlign w:val="bottom"/>
          </w:tcPr>
          <w:p w14:paraId="268DADEF" w14:textId="77777777" w:rsidR="007043C5" w:rsidRPr="00BF3425" w:rsidRDefault="007043C5" w:rsidP="00DA2735">
            <w:pPr>
              <w:pStyle w:val="tabteksts"/>
              <w:tabs>
                <w:tab w:val="decimal" w:pos="423"/>
              </w:tabs>
            </w:pPr>
            <w:r w:rsidRPr="00BF3425">
              <w:t>0,3</w:t>
            </w:r>
          </w:p>
        </w:tc>
        <w:tc>
          <w:tcPr>
            <w:tcW w:w="754" w:type="dxa"/>
            <w:tcBorders>
              <w:top w:val="single" w:sz="4" w:space="0" w:color="auto"/>
              <w:left w:val="nil"/>
              <w:bottom w:val="double" w:sz="6" w:space="0" w:color="auto"/>
              <w:right w:val="single" w:sz="4" w:space="0" w:color="auto"/>
            </w:tcBorders>
            <w:vAlign w:val="bottom"/>
          </w:tcPr>
          <w:p w14:paraId="24567B93" w14:textId="77777777" w:rsidR="007043C5" w:rsidRPr="00BF3425" w:rsidRDefault="007043C5" w:rsidP="00DA2735">
            <w:pPr>
              <w:pStyle w:val="tabteksts"/>
              <w:tabs>
                <w:tab w:val="decimal" w:pos="423"/>
              </w:tabs>
            </w:pPr>
            <w:r w:rsidRPr="00BF3425">
              <w:t>0,8</w:t>
            </w:r>
          </w:p>
        </w:tc>
        <w:tc>
          <w:tcPr>
            <w:tcW w:w="754" w:type="dxa"/>
            <w:tcBorders>
              <w:top w:val="single" w:sz="4" w:space="0" w:color="auto"/>
              <w:left w:val="nil"/>
              <w:bottom w:val="double" w:sz="6" w:space="0" w:color="auto"/>
              <w:right w:val="single" w:sz="4" w:space="0" w:color="auto"/>
            </w:tcBorders>
            <w:vAlign w:val="bottom"/>
          </w:tcPr>
          <w:p w14:paraId="24CF7066" w14:textId="77777777" w:rsidR="007043C5" w:rsidRPr="00BF3425" w:rsidRDefault="007043C5" w:rsidP="00DA2735">
            <w:pPr>
              <w:pStyle w:val="tabteksts"/>
              <w:tabs>
                <w:tab w:val="decimal" w:pos="423"/>
              </w:tabs>
            </w:pPr>
            <w:r w:rsidRPr="00BF3425">
              <w:t>1,8</w:t>
            </w:r>
          </w:p>
        </w:tc>
        <w:tc>
          <w:tcPr>
            <w:tcW w:w="1485" w:type="dxa"/>
            <w:tcBorders>
              <w:top w:val="single" w:sz="4" w:space="0" w:color="auto"/>
              <w:left w:val="single" w:sz="4" w:space="0" w:color="auto"/>
              <w:bottom w:val="double" w:sz="6" w:space="0" w:color="auto"/>
              <w:right w:val="double" w:sz="6" w:space="0" w:color="auto"/>
            </w:tcBorders>
            <w:vAlign w:val="bottom"/>
          </w:tcPr>
          <w:p w14:paraId="4517C329" w14:textId="77777777" w:rsidR="007043C5" w:rsidRPr="00BF3425" w:rsidRDefault="007043C5" w:rsidP="00DA2735">
            <w:pPr>
              <w:pStyle w:val="tabteksts"/>
              <w:tabs>
                <w:tab w:val="decimal" w:pos="423"/>
              </w:tabs>
            </w:pPr>
            <w:r w:rsidRPr="00BF3425">
              <w:t>2,9</w:t>
            </w:r>
          </w:p>
        </w:tc>
      </w:tr>
      <w:tr w:rsidR="007043C5" w:rsidRPr="00BF3425" w14:paraId="4C87F4B2" w14:textId="77777777" w:rsidTr="008C7F19">
        <w:tc>
          <w:tcPr>
            <w:tcW w:w="3817" w:type="dxa"/>
            <w:tcBorders>
              <w:top w:val="double" w:sz="6" w:space="0" w:color="auto"/>
              <w:left w:val="double" w:sz="6" w:space="0" w:color="auto"/>
              <w:bottom w:val="single" w:sz="4" w:space="0" w:color="auto"/>
              <w:right w:val="double" w:sz="6" w:space="0" w:color="auto"/>
            </w:tcBorders>
            <w:vAlign w:val="bottom"/>
          </w:tcPr>
          <w:p w14:paraId="085456A4" w14:textId="77777777" w:rsidR="007043C5" w:rsidRPr="00BF3425" w:rsidRDefault="007043C5" w:rsidP="00DA2735">
            <w:pPr>
              <w:pStyle w:val="tabteksts"/>
              <w:rPr>
                <w:noProof/>
              </w:rPr>
            </w:pPr>
            <w:r w:rsidRPr="00BF3425">
              <w:rPr>
                <w:noProof/>
              </w:rPr>
              <w:t>Darba produktivitātes pieaugums (stundā)</w:t>
            </w:r>
          </w:p>
        </w:tc>
        <w:tc>
          <w:tcPr>
            <w:tcW w:w="754" w:type="dxa"/>
            <w:tcBorders>
              <w:top w:val="double" w:sz="6" w:space="0" w:color="auto"/>
              <w:left w:val="single" w:sz="4" w:space="0" w:color="auto"/>
              <w:bottom w:val="single" w:sz="4" w:space="0" w:color="auto"/>
              <w:right w:val="single" w:sz="4" w:space="0" w:color="auto"/>
            </w:tcBorders>
            <w:vAlign w:val="bottom"/>
          </w:tcPr>
          <w:p w14:paraId="268C777E" w14:textId="77777777" w:rsidR="007043C5" w:rsidRPr="00BF3425" w:rsidRDefault="007043C5" w:rsidP="00DA2735">
            <w:pPr>
              <w:pStyle w:val="tabteksts"/>
              <w:tabs>
                <w:tab w:val="decimal" w:pos="436"/>
              </w:tabs>
            </w:pPr>
            <w:r w:rsidRPr="00BF3425">
              <w:t>5,4</w:t>
            </w:r>
          </w:p>
        </w:tc>
        <w:tc>
          <w:tcPr>
            <w:tcW w:w="754" w:type="dxa"/>
            <w:tcBorders>
              <w:top w:val="double" w:sz="6" w:space="0" w:color="auto"/>
              <w:left w:val="single" w:sz="4" w:space="0" w:color="auto"/>
              <w:bottom w:val="single" w:sz="4" w:space="0" w:color="auto"/>
              <w:right w:val="single" w:sz="4" w:space="0" w:color="auto"/>
            </w:tcBorders>
            <w:vAlign w:val="bottom"/>
          </w:tcPr>
          <w:p w14:paraId="75D0F32A" w14:textId="77777777" w:rsidR="007043C5" w:rsidRPr="00BF3425" w:rsidRDefault="007043C5" w:rsidP="00DA2735">
            <w:pPr>
              <w:pStyle w:val="tabteksts"/>
              <w:tabs>
                <w:tab w:val="decimal" w:pos="436"/>
              </w:tabs>
            </w:pPr>
            <w:r w:rsidRPr="00BF3425">
              <w:t>1,9</w:t>
            </w:r>
          </w:p>
        </w:tc>
        <w:tc>
          <w:tcPr>
            <w:tcW w:w="754" w:type="dxa"/>
            <w:tcBorders>
              <w:top w:val="double" w:sz="6" w:space="0" w:color="auto"/>
              <w:left w:val="single" w:sz="4" w:space="0" w:color="auto"/>
              <w:bottom w:val="single" w:sz="4" w:space="0" w:color="auto"/>
              <w:right w:val="single" w:sz="4" w:space="0" w:color="auto"/>
            </w:tcBorders>
            <w:vAlign w:val="bottom"/>
          </w:tcPr>
          <w:p w14:paraId="6C0D7CA7" w14:textId="77777777" w:rsidR="007043C5" w:rsidRPr="00BF3425" w:rsidRDefault="007043C5" w:rsidP="00DA2735">
            <w:pPr>
              <w:pStyle w:val="tabteksts"/>
              <w:tabs>
                <w:tab w:val="decimal" w:pos="436"/>
              </w:tabs>
            </w:pPr>
            <w:r w:rsidRPr="00BF3425">
              <w:t>2,3</w:t>
            </w:r>
          </w:p>
        </w:tc>
        <w:tc>
          <w:tcPr>
            <w:tcW w:w="754" w:type="dxa"/>
            <w:tcBorders>
              <w:top w:val="double" w:sz="6" w:space="0" w:color="auto"/>
              <w:left w:val="single" w:sz="4" w:space="0" w:color="auto"/>
              <w:bottom w:val="single" w:sz="4" w:space="0" w:color="auto"/>
              <w:right w:val="single" w:sz="4" w:space="0" w:color="auto"/>
            </w:tcBorders>
            <w:vAlign w:val="bottom"/>
          </w:tcPr>
          <w:p w14:paraId="5C74102C" w14:textId="77777777" w:rsidR="007043C5" w:rsidRPr="00BF3425" w:rsidRDefault="007043C5" w:rsidP="00DA2735">
            <w:pPr>
              <w:pStyle w:val="tabteksts"/>
              <w:tabs>
                <w:tab w:val="decimal" w:pos="436"/>
              </w:tabs>
            </w:pPr>
            <w:r w:rsidRPr="00BF3425">
              <w:t>2,3</w:t>
            </w:r>
          </w:p>
        </w:tc>
        <w:tc>
          <w:tcPr>
            <w:tcW w:w="754" w:type="dxa"/>
            <w:tcBorders>
              <w:top w:val="double" w:sz="6" w:space="0" w:color="auto"/>
              <w:left w:val="single" w:sz="4" w:space="0" w:color="auto"/>
              <w:bottom w:val="single" w:sz="4" w:space="0" w:color="auto"/>
              <w:right w:val="single" w:sz="4" w:space="0" w:color="auto"/>
            </w:tcBorders>
            <w:vAlign w:val="bottom"/>
          </w:tcPr>
          <w:p w14:paraId="6B9D4B69" w14:textId="77777777" w:rsidR="007043C5" w:rsidRPr="00BF3425" w:rsidRDefault="007043C5" w:rsidP="00DA2735">
            <w:pPr>
              <w:pStyle w:val="tabteksts"/>
              <w:tabs>
                <w:tab w:val="decimal" w:pos="436"/>
              </w:tabs>
            </w:pPr>
            <w:r w:rsidRPr="00BF3425">
              <w:t>1,9</w:t>
            </w:r>
          </w:p>
        </w:tc>
        <w:tc>
          <w:tcPr>
            <w:tcW w:w="1485" w:type="dxa"/>
            <w:tcBorders>
              <w:top w:val="double" w:sz="6" w:space="0" w:color="auto"/>
              <w:left w:val="single" w:sz="4" w:space="0" w:color="auto"/>
              <w:bottom w:val="single" w:sz="4" w:space="0" w:color="auto"/>
              <w:right w:val="double" w:sz="6" w:space="0" w:color="auto"/>
            </w:tcBorders>
            <w:vAlign w:val="bottom"/>
          </w:tcPr>
          <w:p w14:paraId="0C62FCC6" w14:textId="77777777" w:rsidR="007043C5" w:rsidRPr="00BF3425" w:rsidRDefault="007043C5" w:rsidP="00DA2735">
            <w:pPr>
              <w:pStyle w:val="tabteksts"/>
              <w:tabs>
                <w:tab w:val="decimal" w:pos="436"/>
              </w:tabs>
            </w:pPr>
            <w:r w:rsidRPr="00BF3425">
              <w:t>1,5</w:t>
            </w:r>
          </w:p>
        </w:tc>
      </w:tr>
      <w:tr w:rsidR="007043C5" w:rsidRPr="00BF3425" w14:paraId="7A4CF6C3"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16C3366B" w14:textId="77777777" w:rsidR="007043C5" w:rsidRPr="00BF3425" w:rsidRDefault="007043C5" w:rsidP="00DA2735">
            <w:pPr>
              <w:pStyle w:val="tabteksts"/>
            </w:pPr>
            <w:r w:rsidRPr="00BF3425">
              <w:t>IKP pieaugums, salīdzināmās cenās</w:t>
            </w:r>
          </w:p>
        </w:tc>
        <w:tc>
          <w:tcPr>
            <w:tcW w:w="754" w:type="dxa"/>
            <w:tcBorders>
              <w:top w:val="single" w:sz="4" w:space="0" w:color="auto"/>
              <w:left w:val="single" w:sz="4" w:space="0" w:color="auto"/>
              <w:bottom w:val="single" w:sz="4" w:space="0" w:color="auto"/>
              <w:right w:val="single" w:sz="4" w:space="0" w:color="auto"/>
            </w:tcBorders>
            <w:vAlign w:val="bottom"/>
          </w:tcPr>
          <w:p w14:paraId="5A0B73F9" w14:textId="77777777" w:rsidR="007043C5" w:rsidRPr="00BF3425" w:rsidRDefault="007043C5" w:rsidP="00DA2735">
            <w:pPr>
              <w:pStyle w:val="tabteksts"/>
              <w:tabs>
                <w:tab w:val="decimal" w:pos="436"/>
              </w:tabs>
            </w:pPr>
            <w:r w:rsidRPr="00BF3425">
              <w:t>-0,3</w:t>
            </w:r>
          </w:p>
        </w:tc>
        <w:tc>
          <w:tcPr>
            <w:tcW w:w="754" w:type="dxa"/>
            <w:tcBorders>
              <w:top w:val="single" w:sz="4" w:space="0" w:color="auto"/>
              <w:left w:val="single" w:sz="4" w:space="0" w:color="auto"/>
              <w:bottom w:val="single" w:sz="4" w:space="0" w:color="auto"/>
              <w:right w:val="single" w:sz="4" w:space="0" w:color="auto"/>
            </w:tcBorders>
            <w:vAlign w:val="bottom"/>
          </w:tcPr>
          <w:p w14:paraId="046CEDC7" w14:textId="77777777" w:rsidR="007043C5" w:rsidRPr="00BF3425" w:rsidRDefault="007043C5" w:rsidP="00DA2735">
            <w:pPr>
              <w:pStyle w:val="tabteksts"/>
              <w:tabs>
                <w:tab w:val="decimal" w:pos="436"/>
              </w:tabs>
            </w:pPr>
            <w:r w:rsidRPr="00BF3425">
              <w:t>2,1</w:t>
            </w:r>
          </w:p>
        </w:tc>
        <w:tc>
          <w:tcPr>
            <w:tcW w:w="754" w:type="dxa"/>
            <w:tcBorders>
              <w:top w:val="single" w:sz="4" w:space="0" w:color="auto"/>
              <w:left w:val="single" w:sz="4" w:space="0" w:color="auto"/>
              <w:bottom w:val="single" w:sz="4" w:space="0" w:color="auto"/>
              <w:right w:val="single" w:sz="4" w:space="0" w:color="auto"/>
            </w:tcBorders>
            <w:vAlign w:val="bottom"/>
          </w:tcPr>
          <w:p w14:paraId="61EAA85C" w14:textId="77777777" w:rsidR="007043C5" w:rsidRPr="00BF3425" w:rsidRDefault="007043C5" w:rsidP="00DA2735">
            <w:pPr>
              <w:pStyle w:val="tabteksts"/>
              <w:tabs>
                <w:tab w:val="decimal" w:pos="436"/>
              </w:tabs>
            </w:pPr>
            <w:r w:rsidRPr="00BF3425">
              <w:t>2,1</w:t>
            </w:r>
          </w:p>
        </w:tc>
        <w:tc>
          <w:tcPr>
            <w:tcW w:w="754" w:type="dxa"/>
            <w:tcBorders>
              <w:top w:val="single" w:sz="4" w:space="0" w:color="auto"/>
              <w:left w:val="single" w:sz="4" w:space="0" w:color="auto"/>
              <w:bottom w:val="single" w:sz="4" w:space="0" w:color="auto"/>
              <w:right w:val="single" w:sz="4" w:space="0" w:color="auto"/>
            </w:tcBorders>
            <w:vAlign w:val="bottom"/>
          </w:tcPr>
          <w:p w14:paraId="0249ACB0" w14:textId="77777777" w:rsidR="007043C5" w:rsidRPr="00BF3425" w:rsidRDefault="007043C5" w:rsidP="00DA2735">
            <w:pPr>
              <w:pStyle w:val="tabteksts"/>
              <w:tabs>
                <w:tab w:val="decimal" w:pos="436"/>
              </w:tabs>
            </w:pPr>
            <w:r w:rsidRPr="00BF3425">
              <w:t>1,4</w:t>
            </w:r>
          </w:p>
        </w:tc>
        <w:tc>
          <w:tcPr>
            <w:tcW w:w="754" w:type="dxa"/>
            <w:tcBorders>
              <w:top w:val="single" w:sz="4" w:space="0" w:color="auto"/>
              <w:left w:val="single" w:sz="4" w:space="0" w:color="auto"/>
              <w:bottom w:val="single" w:sz="4" w:space="0" w:color="auto"/>
              <w:right w:val="single" w:sz="4" w:space="0" w:color="auto"/>
            </w:tcBorders>
            <w:vAlign w:val="bottom"/>
          </w:tcPr>
          <w:p w14:paraId="5F72988E" w14:textId="77777777" w:rsidR="007043C5" w:rsidRPr="00BF3425" w:rsidRDefault="007043C5" w:rsidP="00DA2735">
            <w:pPr>
              <w:pStyle w:val="tabteksts"/>
              <w:tabs>
                <w:tab w:val="decimal" w:pos="436"/>
              </w:tabs>
            </w:pPr>
            <w:r w:rsidRPr="00BF3425">
              <w:t>0,3</w:t>
            </w:r>
          </w:p>
        </w:tc>
        <w:tc>
          <w:tcPr>
            <w:tcW w:w="1485" w:type="dxa"/>
            <w:tcBorders>
              <w:top w:val="single" w:sz="4" w:space="0" w:color="auto"/>
              <w:left w:val="single" w:sz="4" w:space="0" w:color="auto"/>
              <w:bottom w:val="single" w:sz="4" w:space="0" w:color="auto"/>
              <w:right w:val="double" w:sz="6" w:space="0" w:color="auto"/>
            </w:tcBorders>
            <w:vAlign w:val="bottom"/>
          </w:tcPr>
          <w:p w14:paraId="4A535767" w14:textId="77777777" w:rsidR="007043C5" w:rsidRPr="00BF3425" w:rsidRDefault="007043C5" w:rsidP="00DA2735">
            <w:pPr>
              <w:pStyle w:val="tabteksts"/>
              <w:tabs>
                <w:tab w:val="decimal" w:pos="436"/>
              </w:tabs>
            </w:pPr>
            <w:r w:rsidRPr="00BF3425">
              <w:t>0,5</w:t>
            </w:r>
          </w:p>
        </w:tc>
      </w:tr>
      <w:tr w:rsidR="007043C5" w:rsidRPr="00BF3425" w14:paraId="570CBD0E"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75A389B4" w14:textId="77777777" w:rsidR="007043C5" w:rsidRPr="00BF3425" w:rsidRDefault="007043C5" w:rsidP="00DA2735">
            <w:pPr>
              <w:pStyle w:val="tabteksts"/>
            </w:pPr>
            <w:r w:rsidRPr="00BF3425">
              <w:t>Līdzdalības līmenis, vīrieši (20-64)</w:t>
            </w:r>
          </w:p>
        </w:tc>
        <w:tc>
          <w:tcPr>
            <w:tcW w:w="754" w:type="dxa"/>
            <w:tcBorders>
              <w:top w:val="single" w:sz="4" w:space="0" w:color="auto"/>
              <w:left w:val="single" w:sz="4" w:space="0" w:color="auto"/>
              <w:bottom w:val="single" w:sz="4" w:space="0" w:color="auto"/>
              <w:right w:val="single" w:sz="4" w:space="0" w:color="auto"/>
            </w:tcBorders>
            <w:vAlign w:val="bottom"/>
          </w:tcPr>
          <w:p w14:paraId="1DE6A9C4" w14:textId="77777777" w:rsidR="007043C5" w:rsidRPr="00BF3425" w:rsidRDefault="007043C5" w:rsidP="00DA2735">
            <w:pPr>
              <w:pStyle w:val="tabteksts"/>
              <w:tabs>
                <w:tab w:val="decimal" w:pos="436"/>
              </w:tabs>
            </w:pPr>
            <w:r w:rsidRPr="00BF3425">
              <w:t>83,2</w:t>
            </w:r>
          </w:p>
        </w:tc>
        <w:tc>
          <w:tcPr>
            <w:tcW w:w="754" w:type="dxa"/>
            <w:tcBorders>
              <w:top w:val="single" w:sz="4" w:space="0" w:color="auto"/>
              <w:left w:val="single" w:sz="4" w:space="0" w:color="auto"/>
              <w:bottom w:val="single" w:sz="4" w:space="0" w:color="auto"/>
              <w:right w:val="single" w:sz="4" w:space="0" w:color="auto"/>
            </w:tcBorders>
            <w:vAlign w:val="bottom"/>
          </w:tcPr>
          <w:p w14:paraId="350B82EB" w14:textId="77777777" w:rsidR="007043C5" w:rsidRPr="00BF3425" w:rsidRDefault="007043C5" w:rsidP="00DA2735">
            <w:pPr>
              <w:pStyle w:val="tabteksts"/>
              <w:tabs>
                <w:tab w:val="decimal" w:pos="436"/>
              </w:tabs>
            </w:pPr>
            <w:r w:rsidRPr="00BF3425">
              <w:t>86,2</w:t>
            </w:r>
          </w:p>
        </w:tc>
        <w:tc>
          <w:tcPr>
            <w:tcW w:w="754" w:type="dxa"/>
            <w:tcBorders>
              <w:top w:val="single" w:sz="4" w:space="0" w:color="auto"/>
              <w:left w:val="single" w:sz="4" w:space="0" w:color="auto"/>
              <w:bottom w:val="single" w:sz="4" w:space="0" w:color="auto"/>
              <w:right w:val="single" w:sz="4" w:space="0" w:color="auto"/>
            </w:tcBorders>
            <w:vAlign w:val="bottom"/>
          </w:tcPr>
          <w:p w14:paraId="15AA4C7D" w14:textId="77777777" w:rsidR="007043C5" w:rsidRPr="00BF3425" w:rsidRDefault="007043C5" w:rsidP="00DA2735">
            <w:pPr>
              <w:pStyle w:val="tabteksts"/>
              <w:tabs>
                <w:tab w:val="decimal" w:pos="436"/>
              </w:tabs>
            </w:pPr>
            <w:r w:rsidRPr="00BF3425">
              <w:t>87,1</w:t>
            </w:r>
          </w:p>
        </w:tc>
        <w:tc>
          <w:tcPr>
            <w:tcW w:w="754" w:type="dxa"/>
            <w:tcBorders>
              <w:top w:val="single" w:sz="4" w:space="0" w:color="auto"/>
              <w:left w:val="single" w:sz="4" w:space="0" w:color="auto"/>
              <w:bottom w:val="single" w:sz="4" w:space="0" w:color="auto"/>
              <w:right w:val="single" w:sz="4" w:space="0" w:color="auto"/>
            </w:tcBorders>
            <w:vAlign w:val="bottom"/>
          </w:tcPr>
          <w:p w14:paraId="41450617" w14:textId="77777777" w:rsidR="007043C5" w:rsidRPr="00BF3425" w:rsidRDefault="007043C5" w:rsidP="00DA2735">
            <w:pPr>
              <w:pStyle w:val="tabteksts"/>
              <w:tabs>
                <w:tab w:val="decimal" w:pos="436"/>
              </w:tabs>
            </w:pPr>
            <w:r w:rsidRPr="00BF3425">
              <w:t>86,9</w:t>
            </w:r>
          </w:p>
        </w:tc>
        <w:tc>
          <w:tcPr>
            <w:tcW w:w="754" w:type="dxa"/>
            <w:tcBorders>
              <w:top w:val="single" w:sz="4" w:space="0" w:color="auto"/>
              <w:left w:val="single" w:sz="4" w:space="0" w:color="auto"/>
              <w:bottom w:val="single" w:sz="4" w:space="0" w:color="auto"/>
              <w:right w:val="single" w:sz="4" w:space="0" w:color="auto"/>
            </w:tcBorders>
            <w:vAlign w:val="bottom"/>
          </w:tcPr>
          <w:p w14:paraId="1007806B" w14:textId="77777777" w:rsidR="007043C5" w:rsidRPr="00BF3425" w:rsidRDefault="007043C5" w:rsidP="00DA2735">
            <w:pPr>
              <w:pStyle w:val="tabteksts"/>
              <w:tabs>
                <w:tab w:val="decimal" w:pos="436"/>
              </w:tabs>
            </w:pPr>
            <w:r w:rsidRPr="00BF3425">
              <w:t>85,6</w:t>
            </w:r>
          </w:p>
        </w:tc>
        <w:tc>
          <w:tcPr>
            <w:tcW w:w="1485" w:type="dxa"/>
            <w:tcBorders>
              <w:top w:val="single" w:sz="4" w:space="0" w:color="auto"/>
              <w:left w:val="single" w:sz="4" w:space="0" w:color="auto"/>
              <w:bottom w:val="single" w:sz="4" w:space="0" w:color="auto"/>
              <w:right w:val="double" w:sz="6" w:space="0" w:color="auto"/>
            </w:tcBorders>
            <w:vAlign w:val="bottom"/>
          </w:tcPr>
          <w:p w14:paraId="0AD6371B" w14:textId="77777777" w:rsidR="007043C5" w:rsidRPr="00BF3425" w:rsidRDefault="007043C5" w:rsidP="00DA2735">
            <w:pPr>
              <w:pStyle w:val="tabteksts"/>
              <w:tabs>
                <w:tab w:val="decimal" w:pos="436"/>
              </w:tabs>
            </w:pPr>
            <w:r w:rsidRPr="00BF3425">
              <w:t>87,2</w:t>
            </w:r>
          </w:p>
        </w:tc>
      </w:tr>
      <w:tr w:rsidR="007043C5" w:rsidRPr="00BF3425" w14:paraId="13F4E26E"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1EBDAF69" w14:textId="77777777" w:rsidR="007043C5" w:rsidRPr="00BF3425" w:rsidRDefault="007043C5" w:rsidP="00DA2735">
            <w:pPr>
              <w:pStyle w:val="tabteksts"/>
            </w:pPr>
            <w:r w:rsidRPr="00BF3425">
              <w:t>Līdzdalības līmenis, sievietes (20-64)</w:t>
            </w:r>
          </w:p>
        </w:tc>
        <w:tc>
          <w:tcPr>
            <w:tcW w:w="754" w:type="dxa"/>
            <w:tcBorders>
              <w:top w:val="single" w:sz="4" w:space="0" w:color="auto"/>
              <w:left w:val="single" w:sz="4" w:space="0" w:color="auto"/>
              <w:bottom w:val="single" w:sz="4" w:space="0" w:color="auto"/>
              <w:right w:val="single" w:sz="4" w:space="0" w:color="auto"/>
            </w:tcBorders>
            <w:vAlign w:val="bottom"/>
          </w:tcPr>
          <w:p w14:paraId="6DFF0324" w14:textId="77777777" w:rsidR="007043C5" w:rsidRPr="00BF3425" w:rsidRDefault="007043C5" w:rsidP="00DA2735">
            <w:pPr>
              <w:pStyle w:val="tabteksts"/>
              <w:tabs>
                <w:tab w:val="decimal" w:pos="436"/>
              </w:tabs>
            </w:pPr>
            <w:r w:rsidRPr="00BF3425">
              <w:t>76,7</w:t>
            </w:r>
          </w:p>
        </w:tc>
        <w:tc>
          <w:tcPr>
            <w:tcW w:w="754" w:type="dxa"/>
            <w:tcBorders>
              <w:top w:val="single" w:sz="4" w:space="0" w:color="auto"/>
              <w:left w:val="single" w:sz="4" w:space="0" w:color="auto"/>
              <w:bottom w:val="single" w:sz="4" w:space="0" w:color="auto"/>
              <w:right w:val="single" w:sz="4" w:space="0" w:color="auto"/>
            </w:tcBorders>
            <w:vAlign w:val="bottom"/>
          </w:tcPr>
          <w:p w14:paraId="6B287E87" w14:textId="77777777" w:rsidR="007043C5" w:rsidRPr="00BF3425" w:rsidRDefault="007043C5" w:rsidP="00DA2735">
            <w:pPr>
              <w:pStyle w:val="tabteksts"/>
              <w:tabs>
                <w:tab w:val="decimal" w:pos="436"/>
              </w:tabs>
            </w:pPr>
            <w:r w:rsidRPr="00BF3425">
              <w:t>80,3</w:t>
            </w:r>
          </w:p>
        </w:tc>
        <w:tc>
          <w:tcPr>
            <w:tcW w:w="754" w:type="dxa"/>
            <w:tcBorders>
              <w:top w:val="single" w:sz="4" w:space="0" w:color="auto"/>
              <w:left w:val="single" w:sz="4" w:space="0" w:color="auto"/>
              <w:bottom w:val="single" w:sz="4" w:space="0" w:color="auto"/>
              <w:right w:val="single" w:sz="4" w:space="0" w:color="auto"/>
            </w:tcBorders>
            <w:vAlign w:val="bottom"/>
          </w:tcPr>
          <w:p w14:paraId="0B8AE407" w14:textId="77777777" w:rsidR="007043C5" w:rsidRPr="00BF3425" w:rsidRDefault="007043C5" w:rsidP="00DA2735">
            <w:pPr>
              <w:pStyle w:val="tabteksts"/>
              <w:tabs>
                <w:tab w:val="decimal" w:pos="436"/>
              </w:tabs>
            </w:pPr>
            <w:r w:rsidRPr="00BF3425">
              <w:t>82,3</w:t>
            </w:r>
          </w:p>
        </w:tc>
        <w:tc>
          <w:tcPr>
            <w:tcW w:w="754" w:type="dxa"/>
            <w:tcBorders>
              <w:top w:val="single" w:sz="4" w:space="0" w:color="auto"/>
              <w:left w:val="single" w:sz="4" w:space="0" w:color="auto"/>
              <w:bottom w:val="single" w:sz="4" w:space="0" w:color="auto"/>
              <w:right w:val="single" w:sz="4" w:space="0" w:color="auto"/>
            </w:tcBorders>
            <w:vAlign w:val="bottom"/>
          </w:tcPr>
          <w:p w14:paraId="6A5A9211" w14:textId="77777777" w:rsidR="007043C5" w:rsidRPr="00BF3425" w:rsidRDefault="007043C5" w:rsidP="00DA2735">
            <w:pPr>
              <w:pStyle w:val="tabteksts"/>
              <w:tabs>
                <w:tab w:val="decimal" w:pos="436"/>
              </w:tabs>
            </w:pPr>
            <w:r w:rsidRPr="00BF3425">
              <w:t>82,5</w:t>
            </w:r>
          </w:p>
        </w:tc>
        <w:tc>
          <w:tcPr>
            <w:tcW w:w="754" w:type="dxa"/>
            <w:tcBorders>
              <w:top w:val="single" w:sz="4" w:space="0" w:color="auto"/>
              <w:left w:val="single" w:sz="4" w:space="0" w:color="auto"/>
              <w:bottom w:val="single" w:sz="4" w:space="0" w:color="auto"/>
              <w:right w:val="single" w:sz="4" w:space="0" w:color="auto"/>
            </w:tcBorders>
            <w:vAlign w:val="bottom"/>
          </w:tcPr>
          <w:p w14:paraId="2FA298DA" w14:textId="77777777" w:rsidR="007043C5" w:rsidRPr="00BF3425" w:rsidRDefault="007043C5" w:rsidP="00DA2735">
            <w:pPr>
              <w:pStyle w:val="tabteksts"/>
              <w:tabs>
                <w:tab w:val="decimal" w:pos="436"/>
              </w:tabs>
            </w:pPr>
            <w:r w:rsidRPr="00BF3425">
              <w:t>81,9</w:t>
            </w:r>
          </w:p>
        </w:tc>
        <w:tc>
          <w:tcPr>
            <w:tcW w:w="1485" w:type="dxa"/>
            <w:tcBorders>
              <w:top w:val="single" w:sz="4" w:space="0" w:color="auto"/>
              <w:left w:val="single" w:sz="4" w:space="0" w:color="auto"/>
              <w:bottom w:val="single" w:sz="4" w:space="0" w:color="auto"/>
              <w:right w:val="double" w:sz="6" w:space="0" w:color="auto"/>
            </w:tcBorders>
            <w:vAlign w:val="bottom"/>
          </w:tcPr>
          <w:p w14:paraId="0BCEB4A5" w14:textId="77777777" w:rsidR="007043C5" w:rsidRPr="00BF3425" w:rsidRDefault="007043C5" w:rsidP="00DA2735">
            <w:pPr>
              <w:pStyle w:val="tabteksts"/>
              <w:tabs>
                <w:tab w:val="decimal" w:pos="436"/>
              </w:tabs>
            </w:pPr>
            <w:r w:rsidRPr="00BF3425">
              <w:t>83,7</w:t>
            </w:r>
          </w:p>
        </w:tc>
      </w:tr>
      <w:tr w:rsidR="007043C5" w:rsidRPr="00BF3425" w14:paraId="694784D2"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349F4A30" w14:textId="77777777" w:rsidR="007043C5" w:rsidRPr="00BF3425" w:rsidRDefault="007043C5" w:rsidP="00DA2735">
            <w:pPr>
              <w:pStyle w:val="tabteksts"/>
            </w:pPr>
            <w:r w:rsidRPr="00BF3425">
              <w:t>Līdzdalības līmenis, kopā (20-64)</w:t>
            </w:r>
          </w:p>
        </w:tc>
        <w:tc>
          <w:tcPr>
            <w:tcW w:w="754" w:type="dxa"/>
            <w:tcBorders>
              <w:top w:val="single" w:sz="4" w:space="0" w:color="auto"/>
              <w:left w:val="single" w:sz="4" w:space="0" w:color="auto"/>
              <w:bottom w:val="single" w:sz="4" w:space="0" w:color="auto"/>
              <w:right w:val="single" w:sz="4" w:space="0" w:color="auto"/>
            </w:tcBorders>
            <w:vAlign w:val="bottom"/>
          </w:tcPr>
          <w:p w14:paraId="5DEDDE11" w14:textId="77777777" w:rsidR="007043C5" w:rsidRPr="00BF3425" w:rsidRDefault="007043C5" w:rsidP="00DA2735">
            <w:pPr>
              <w:pStyle w:val="tabteksts"/>
              <w:tabs>
                <w:tab w:val="decimal" w:pos="436"/>
              </w:tabs>
            </w:pPr>
            <w:r w:rsidRPr="00BF3425">
              <w:t>79,9</w:t>
            </w:r>
          </w:p>
        </w:tc>
        <w:tc>
          <w:tcPr>
            <w:tcW w:w="754" w:type="dxa"/>
            <w:tcBorders>
              <w:top w:val="single" w:sz="4" w:space="0" w:color="auto"/>
              <w:left w:val="single" w:sz="4" w:space="0" w:color="auto"/>
              <w:bottom w:val="single" w:sz="4" w:space="0" w:color="auto"/>
              <w:right w:val="single" w:sz="4" w:space="0" w:color="auto"/>
            </w:tcBorders>
            <w:vAlign w:val="bottom"/>
          </w:tcPr>
          <w:p w14:paraId="096D08B9" w14:textId="77777777" w:rsidR="007043C5" w:rsidRPr="00BF3425" w:rsidRDefault="007043C5" w:rsidP="00DA2735">
            <w:pPr>
              <w:pStyle w:val="tabteksts"/>
              <w:tabs>
                <w:tab w:val="decimal" w:pos="436"/>
              </w:tabs>
            </w:pPr>
            <w:r w:rsidRPr="00BF3425">
              <w:t>83,2</w:t>
            </w:r>
          </w:p>
        </w:tc>
        <w:tc>
          <w:tcPr>
            <w:tcW w:w="754" w:type="dxa"/>
            <w:tcBorders>
              <w:top w:val="single" w:sz="4" w:space="0" w:color="auto"/>
              <w:left w:val="single" w:sz="4" w:space="0" w:color="auto"/>
              <w:bottom w:val="single" w:sz="4" w:space="0" w:color="auto"/>
              <w:right w:val="single" w:sz="4" w:space="0" w:color="auto"/>
            </w:tcBorders>
            <w:vAlign w:val="bottom"/>
          </w:tcPr>
          <w:p w14:paraId="36F44CD1" w14:textId="77777777" w:rsidR="007043C5" w:rsidRPr="00BF3425" w:rsidRDefault="007043C5" w:rsidP="00DA2735">
            <w:pPr>
              <w:pStyle w:val="tabteksts"/>
              <w:tabs>
                <w:tab w:val="decimal" w:pos="436"/>
              </w:tabs>
            </w:pPr>
            <w:r w:rsidRPr="00BF3425">
              <w:t>84,7</w:t>
            </w:r>
          </w:p>
        </w:tc>
        <w:tc>
          <w:tcPr>
            <w:tcW w:w="754" w:type="dxa"/>
            <w:tcBorders>
              <w:top w:val="single" w:sz="4" w:space="0" w:color="auto"/>
              <w:left w:val="single" w:sz="4" w:space="0" w:color="auto"/>
              <w:bottom w:val="single" w:sz="4" w:space="0" w:color="auto"/>
              <w:right w:val="single" w:sz="4" w:space="0" w:color="auto"/>
            </w:tcBorders>
            <w:vAlign w:val="bottom"/>
          </w:tcPr>
          <w:p w14:paraId="5533BCD3" w14:textId="77777777" w:rsidR="007043C5" w:rsidRPr="00BF3425" w:rsidRDefault="007043C5" w:rsidP="00DA2735">
            <w:pPr>
              <w:pStyle w:val="tabteksts"/>
              <w:tabs>
                <w:tab w:val="decimal" w:pos="436"/>
              </w:tabs>
            </w:pPr>
            <w:r w:rsidRPr="00BF3425">
              <w:t>84,7</w:t>
            </w:r>
          </w:p>
        </w:tc>
        <w:tc>
          <w:tcPr>
            <w:tcW w:w="754" w:type="dxa"/>
            <w:tcBorders>
              <w:top w:val="single" w:sz="4" w:space="0" w:color="auto"/>
              <w:left w:val="single" w:sz="4" w:space="0" w:color="auto"/>
              <w:bottom w:val="single" w:sz="4" w:space="0" w:color="auto"/>
              <w:right w:val="single" w:sz="4" w:space="0" w:color="auto"/>
            </w:tcBorders>
            <w:vAlign w:val="bottom"/>
          </w:tcPr>
          <w:p w14:paraId="3CDFCEC2" w14:textId="77777777" w:rsidR="007043C5" w:rsidRPr="00BF3425" w:rsidRDefault="007043C5" w:rsidP="00DA2735">
            <w:pPr>
              <w:pStyle w:val="tabteksts"/>
              <w:tabs>
                <w:tab w:val="decimal" w:pos="436"/>
              </w:tabs>
            </w:pPr>
            <w:r w:rsidRPr="00BF3425">
              <w:t>83,8</w:t>
            </w:r>
          </w:p>
        </w:tc>
        <w:tc>
          <w:tcPr>
            <w:tcW w:w="1485" w:type="dxa"/>
            <w:tcBorders>
              <w:top w:val="single" w:sz="4" w:space="0" w:color="auto"/>
              <w:left w:val="single" w:sz="4" w:space="0" w:color="auto"/>
              <w:bottom w:val="single" w:sz="4" w:space="0" w:color="auto"/>
              <w:right w:val="double" w:sz="6" w:space="0" w:color="auto"/>
            </w:tcBorders>
            <w:vAlign w:val="bottom"/>
          </w:tcPr>
          <w:p w14:paraId="710BB5BA" w14:textId="77777777" w:rsidR="007043C5" w:rsidRPr="00BF3425" w:rsidRDefault="007043C5" w:rsidP="00DA2735">
            <w:pPr>
              <w:pStyle w:val="tabteksts"/>
              <w:tabs>
                <w:tab w:val="decimal" w:pos="436"/>
              </w:tabs>
            </w:pPr>
            <w:r w:rsidRPr="00BF3425">
              <w:t>85,5</w:t>
            </w:r>
          </w:p>
        </w:tc>
      </w:tr>
      <w:tr w:rsidR="007043C5" w:rsidRPr="00BF3425" w14:paraId="1A24FE05" w14:textId="77777777" w:rsidTr="008C7F19">
        <w:tc>
          <w:tcPr>
            <w:tcW w:w="3817" w:type="dxa"/>
            <w:tcBorders>
              <w:top w:val="single" w:sz="4" w:space="0" w:color="auto"/>
              <w:left w:val="double" w:sz="6" w:space="0" w:color="auto"/>
              <w:bottom w:val="single" w:sz="4" w:space="0" w:color="auto"/>
              <w:right w:val="double" w:sz="6" w:space="0" w:color="auto"/>
            </w:tcBorders>
            <w:vAlign w:val="bottom"/>
          </w:tcPr>
          <w:p w14:paraId="77BF6DFD" w14:textId="77777777" w:rsidR="007043C5" w:rsidRPr="00BF3425" w:rsidRDefault="007043C5" w:rsidP="00DA2735">
            <w:pPr>
              <w:pStyle w:val="tabteksts"/>
            </w:pPr>
            <w:r w:rsidRPr="00BF3425">
              <w:t>Bezdarba līmenis (20-64)</w:t>
            </w:r>
          </w:p>
        </w:tc>
        <w:tc>
          <w:tcPr>
            <w:tcW w:w="754" w:type="dxa"/>
            <w:tcBorders>
              <w:top w:val="single" w:sz="4" w:space="0" w:color="auto"/>
              <w:left w:val="single" w:sz="4" w:space="0" w:color="auto"/>
              <w:bottom w:val="single" w:sz="4" w:space="0" w:color="auto"/>
              <w:right w:val="single" w:sz="4" w:space="0" w:color="auto"/>
            </w:tcBorders>
            <w:vAlign w:val="bottom"/>
          </w:tcPr>
          <w:p w14:paraId="05EB6CDD" w14:textId="77777777" w:rsidR="007043C5" w:rsidRPr="00BF3425" w:rsidRDefault="007043C5" w:rsidP="00DA2735">
            <w:pPr>
              <w:pStyle w:val="tabteksts"/>
              <w:tabs>
                <w:tab w:val="decimal" w:pos="436"/>
              </w:tabs>
            </w:pPr>
            <w:r w:rsidRPr="00BF3425">
              <w:t>18,4</w:t>
            </w:r>
          </w:p>
        </w:tc>
        <w:tc>
          <w:tcPr>
            <w:tcW w:w="754" w:type="dxa"/>
            <w:tcBorders>
              <w:top w:val="single" w:sz="4" w:space="0" w:color="auto"/>
              <w:left w:val="single" w:sz="4" w:space="0" w:color="auto"/>
              <w:bottom w:val="single" w:sz="4" w:space="0" w:color="auto"/>
              <w:right w:val="single" w:sz="4" w:space="0" w:color="auto"/>
            </w:tcBorders>
            <w:vAlign w:val="bottom"/>
          </w:tcPr>
          <w:p w14:paraId="33BC07C5" w14:textId="77777777" w:rsidR="007043C5" w:rsidRPr="00BF3425" w:rsidRDefault="007043C5" w:rsidP="00DA2735">
            <w:pPr>
              <w:pStyle w:val="tabteksts"/>
              <w:tabs>
                <w:tab w:val="decimal" w:pos="436"/>
              </w:tabs>
            </w:pPr>
            <w:r w:rsidRPr="00BF3425">
              <w:t>18,0</w:t>
            </w:r>
          </w:p>
        </w:tc>
        <w:tc>
          <w:tcPr>
            <w:tcW w:w="754" w:type="dxa"/>
            <w:tcBorders>
              <w:top w:val="single" w:sz="4" w:space="0" w:color="auto"/>
              <w:left w:val="single" w:sz="4" w:space="0" w:color="auto"/>
              <w:bottom w:val="single" w:sz="4" w:space="0" w:color="auto"/>
              <w:right w:val="single" w:sz="4" w:space="0" w:color="auto"/>
            </w:tcBorders>
            <w:vAlign w:val="bottom"/>
          </w:tcPr>
          <w:p w14:paraId="4F82CDDB" w14:textId="77777777" w:rsidR="007043C5" w:rsidRPr="00BF3425" w:rsidRDefault="007043C5" w:rsidP="00DA2735">
            <w:pPr>
              <w:pStyle w:val="tabteksts"/>
              <w:tabs>
                <w:tab w:val="decimal" w:pos="436"/>
              </w:tabs>
            </w:pPr>
            <w:r w:rsidRPr="00BF3425">
              <w:t>8,6</w:t>
            </w:r>
          </w:p>
        </w:tc>
        <w:tc>
          <w:tcPr>
            <w:tcW w:w="754" w:type="dxa"/>
            <w:tcBorders>
              <w:top w:val="single" w:sz="4" w:space="0" w:color="auto"/>
              <w:left w:val="single" w:sz="4" w:space="0" w:color="auto"/>
              <w:bottom w:val="single" w:sz="4" w:space="0" w:color="auto"/>
              <w:right w:val="single" w:sz="4" w:space="0" w:color="auto"/>
            </w:tcBorders>
            <w:vAlign w:val="bottom"/>
          </w:tcPr>
          <w:p w14:paraId="68203AB9" w14:textId="77777777" w:rsidR="007043C5" w:rsidRPr="00BF3425" w:rsidRDefault="007043C5" w:rsidP="00DA2735">
            <w:pPr>
              <w:pStyle w:val="tabteksts"/>
              <w:tabs>
                <w:tab w:val="decimal" w:pos="436"/>
              </w:tabs>
            </w:pPr>
            <w:r w:rsidRPr="00BF3425">
              <w:t>7,5</w:t>
            </w:r>
          </w:p>
        </w:tc>
        <w:tc>
          <w:tcPr>
            <w:tcW w:w="754" w:type="dxa"/>
            <w:tcBorders>
              <w:top w:val="single" w:sz="4" w:space="0" w:color="auto"/>
              <w:left w:val="single" w:sz="4" w:space="0" w:color="auto"/>
              <w:bottom w:val="single" w:sz="4" w:space="0" w:color="auto"/>
              <w:right w:val="single" w:sz="4" w:space="0" w:color="auto"/>
            </w:tcBorders>
            <w:vAlign w:val="bottom"/>
          </w:tcPr>
          <w:p w14:paraId="3779C830" w14:textId="77777777" w:rsidR="007043C5" w:rsidRPr="00BF3425" w:rsidRDefault="007043C5" w:rsidP="00DA2735">
            <w:pPr>
              <w:pStyle w:val="tabteksts"/>
              <w:tabs>
                <w:tab w:val="decimal" w:pos="436"/>
              </w:tabs>
            </w:pPr>
            <w:r w:rsidRPr="00BF3425">
              <w:t>7,2</w:t>
            </w:r>
          </w:p>
        </w:tc>
        <w:tc>
          <w:tcPr>
            <w:tcW w:w="1485" w:type="dxa"/>
            <w:tcBorders>
              <w:top w:val="single" w:sz="4" w:space="0" w:color="auto"/>
              <w:left w:val="single" w:sz="4" w:space="0" w:color="auto"/>
              <w:bottom w:val="single" w:sz="4" w:space="0" w:color="auto"/>
              <w:right w:val="double" w:sz="6" w:space="0" w:color="auto"/>
            </w:tcBorders>
            <w:vAlign w:val="bottom"/>
          </w:tcPr>
          <w:p w14:paraId="5601B260" w14:textId="77777777" w:rsidR="007043C5" w:rsidRPr="00BF3425" w:rsidRDefault="007043C5" w:rsidP="00DA2735">
            <w:pPr>
              <w:pStyle w:val="tabteksts"/>
              <w:tabs>
                <w:tab w:val="decimal" w:pos="436"/>
              </w:tabs>
            </w:pPr>
            <w:r w:rsidRPr="00BF3425">
              <w:t>7,1</w:t>
            </w:r>
          </w:p>
        </w:tc>
      </w:tr>
      <w:tr w:rsidR="007043C5" w:rsidRPr="00BF3425" w14:paraId="7FFD111E" w14:textId="77777777" w:rsidTr="008C7F19">
        <w:tc>
          <w:tcPr>
            <w:tcW w:w="3817" w:type="dxa"/>
            <w:tcBorders>
              <w:top w:val="single" w:sz="4" w:space="0" w:color="auto"/>
              <w:left w:val="double" w:sz="6" w:space="0" w:color="auto"/>
              <w:bottom w:val="double" w:sz="6" w:space="0" w:color="auto"/>
              <w:right w:val="double" w:sz="6" w:space="0" w:color="auto"/>
            </w:tcBorders>
            <w:vAlign w:val="bottom"/>
          </w:tcPr>
          <w:p w14:paraId="1831C3EF" w14:textId="77777777" w:rsidR="007043C5" w:rsidRPr="00BF3425" w:rsidRDefault="007043C5" w:rsidP="00DA2735">
            <w:pPr>
              <w:pStyle w:val="tabteksts"/>
            </w:pPr>
            <w:r w:rsidRPr="00BF3425">
              <w:t>Iedzīvotāji 65+ no kopējā iedzīvotāju skaita, %</w:t>
            </w:r>
          </w:p>
        </w:tc>
        <w:tc>
          <w:tcPr>
            <w:tcW w:w="754" w:type="dxa"/>
            <w:tcBorders>
              <w:top w:val="single" w:sz="4" w:space="0" w:color="auto"/>
              <w:left w:val="single" w:sz="4" w:space="0" w:color="auto"/>
              <w:bottom w:val="double" w:sz="6" w:space="0" w:color="auto"/>
              <w:right w:val="single" w:sz="4" w:space="0" w:color="auto"/>
            </w:tcBorders>
            <w:vAlign w:val="bottom"/>
          </w:tcPr>
          <w:p w14:paraId="4836718E" w14:textId="77777777" w:rsidR="007043C5" w:rsidRPr="00BF3425" w:rsidRDefault="007043C5" w:rsidP="00DA2735">
            <w:pPr>
              <w:pStyle w:val="tabteksts"/>
              <w:tabs>
                <w:tab w:val="decimal" w:pos="436"/>
              </w:tabs>
            </w:pPr>
            <w:r w:rsidRPr="00BF3425">
              <w:t>17,3</w:t>
            </w:r>
          </w:p>
        </w:tc>
        <w:tc>
          <w:tcPr>
            <w:tcW w:w="754" w:type="dxa"/>
            <w:tcBorders>
              <w:top w:val="single" w:sz="4" w:space="0" w:color="auto"/>
              <w:left w:val="single" w:sz="4" w:space="0" w:color="auto"/>
              <w:bottom w:val="double" w:sz="6" w:space="0" w:color="auto"/>
              <w:right w:val="single" w:sz="4" w:space="0" w:color="auto"/>
            </w:tcBorders>
            <w:vAlign w:val="bottom"/>
          </w:tcPr>
          <w:p w14:paraId="6BAF243B" w14:textId="77777777" w:rsidR="007043C5" w:rsidRPr="00BF3425" w:rsidRDefault="007043C5" w:rsidP="00DA2735">
            <w:pPr>
              <w:pStyle w:val="tabteksts"/>
              <w:tabs>
                <w:tab w:val="decimal" w:pos="436"/>
              </w:tabs>
            </w:pPr>
            <w:r w:rsidRPr="00BF3425">
              <w:t>19,2</w:t>
            </w:r>
          </w:p>
        </w:tc>
        <w:tc>
          <w:tcPr>
            <w:tcW w:w="754" w:type="dxa"/>
            <w:tcBorders>
              <w:top w:val="single" w:sz="4" w:space="0" w:color="auto"/>
              <w:left w:val="single" w:sz="4" w:space="0" w:color="auto"/>
              <w:bottom w:val="double" w:sz="6" w:space="0" w:color="auto"/>
              <w:right w:val="single" w:sz="4" w:space="0" w:color="auto"/>
            </w:tcBorders>
            <w:vAlign w:val="bottom"/>
          </w:tcPr>
          <w:p w14:paraId="390DEEDC" w14:textId="77777777" w:rsidR="007043C5" w:rsidRPr="00BF3425" w:rsidRDefault="007043C5" w:rsidP="00DA2735">
            <w:pPr>
              <w:pStyle w:val="tabteksts"/>
              <w:tabs>
                <w:tab w:val="decimal" w:pos="436"/>
              </w:tabs>
            </w:pPr>
            <w:r w:rsidRPr="00BF3425">
              <w:t>23,2</w:t>
            </w:r>
          </w:p>
        </w:tc>
        <w:tc>
          <w:tcPr>
            <w:tcW w:w="754" w:type="dxa"/>
            <w:tcBorders>
              <w:top w:val="single" w:sz="4" w:space="0" w:color="auto"/>
              <w:left w:val="single" w:sz="4" w:space="0" w:color="auto"/>
              <w:bottom w:val="double" w:sz="6" w:space="0" w:color="auto"/>
              <w:right w:val="single" w:sz="4" w:space="0" w:color="auto"/>
            </w:tcBorders>
            <w:vAlign w:val="bottom"/>
          </w:tcPr>
          <w:p w14:paraId="66913879" w14:textId="77777777" w:rsidR="007043C5" w:rsidRPr="00BF3425" w:rsidRDefault="007043C5" w:rsidP="00DA2735">
            <w:pPr>
              <w:pStyle w:val="tabteksts"/>
              <w:tabs>
                <w:tab w:val="decimal" w:pos="436"/>
              </w:tabs>
            </w:pPr>
            <w:r w:rsidRPr="00BF3425">
              <w:t>26,8</w:t>
            </w:r>
          </w:p>
        </w:tc>
        <w:tc>
          <w:tcPr>
            <w:tcW w:w="754" w:type="dxa"/>
            <w:tcBorders>
              <w:top w:val="single" w:sz="4" w:space="0" w:color="auto"/>
              <w:left w:val="single" w:sz="4" w:space="0" w:color="auto"/>
              <w:bottom w:val="double" w:sz="6" w:space="0" w:color="auto"/>
              <w:right w:val="single" w:sz="4" w:space="0" w:color="auto"/>
            </w:tcBorders>
            <w:vAlign w:val="bottom"/>
          </w:tcPr>
          <w:p w14:paraId="6C306FE4" w14:textId="77777777" w:rsidR="007043C5" w:rsidRPr="00BF3425" w:rsidRDefault="007043C5" w:rsidP="00DA2735">
            <w:pPr>
              <w:pStyle w:val="tabteksts"/>
              <w:tabs>
                <w:tab w:val="decimal" w:pos="436"/>
              </w:tabs>
            </w:pPr>
            <w:r w:rsidRPr="00BF3425">
              <w:t>31,2</w:t>
            </w:r>
          </w:p>
        </w:tc>
        <w:tc>
          <w:tcPr>
            <w:tcW w:w="1485" w:type="dxa"/>
            <w:tcBorders>
              <w:top w:val="single" w:sz="4" w:space="0" w:color="auto"/>
              <w:left w:val="single" w:sz="4" w:space="0" w:color="auto"/>
              <w:bottom w:val="double" w:sz="6" w:space="0" w:color="auto"/>
              <w:right w:val="double" w:sz="6" w:space="0" w:color="auto"/>
            </w:tcBorders>
            <w:vAlign w:val="bottom"/>
          </w:tcPr>
          <w:p w14:paraId="19417A49" w14:textId="77777777" w:rsidR="007043C5" w:rsidRPr="00BF3425" w:rsidRDefault="007043C5" w:rsidP="00DA2735">
            <w:pPr>
              <w:pStyle w:val="tabteksts"/>
              <w:tabs>
                <w:tab w:val="decimal" w:pos="436"/>
              </w:tabs>
            </w:pPr>
            <w:r w:rsidRPr="00BF3425">
              <w:t>35,6</w:t>
            </w:r>
          </w:p>
        </w:tc>
      </w:tr>
    </w:tbl>
    <w:p w14:paraId="2A869A7F" w14:textId="77777777" w:rsidR="007043C5" w:rsidRPr="00E6694E" w:rsidRDefault="007043C5" w:rsidP="007043C5">
      <w:pPr>
        <w:spacing w:before="60"/>
        <w:ind w:firstLine="0"/>
        <w:rPr>
          <w:sz w:val="20"/>
        </w:rPr>
      </w:pPr>
      <w:r>
        <w:rPr>
          <w:sz w:val="20"/>
        </w:rPr>
        <w:t xml:space="preserve">Datu avots: </w:t>
      </w:r>
      <w:r w:rsidRPr="00BF3425">
        <w:rPr>
          <w:sz w:val="20"/>
        </w:rPr>
        <w:t>AWG</w:t>
      </w:r>
    </w:p>
    <w:p w14:paraId="08E1B183" w14:textId="77777777" w:rsidR="004928AE" w:rsidRDefault="004928AE" w:rsidP="002D62B9">
      <w:pPr>
        <w:spacing w:before="60"/>
        <w:ind w:firstLine="0"/>
        <w:rPr>
          <w:b/>
          <w:bCs/>
          <w:color w:val="000000"/>
          <w:szCs w:val="24"/>
          <w:lang w:eastAsia="lv-LV"/>
        </w:rPr>
      </w:pPr>
    </w:p>
    <w:p w14:paraId="5563AAFB" w14:textId="77777777" w:rsidR="004928AE" w:rsidRPr="001946E0" w:rsidRDefault="004928AE" w:rsidP="002D62B9">
      <w:pPr>
        <w:spacing w:before="60"/>
        <w:ind w:firstLine="0"/>
        <w:rPr>
          <w:color w:val="000000"/>
          <w:sz w:val="20"/>
        </w:rPr>
      </w:pPr>
      <w:r w:rsidRPr="001946E0">
        <w:rPr>
          <w:b/>
          <w:bCs/>
          <w:color w:val="000000"/>
          <w:szCs w:val="24"/>
          <w:lang w:eastAsia="lv-LV"/>
        </w:rPr>
        <w:t>7a.tabula Netiešās saistības</w:t>
      </w:r>
    </w:p>
    <w:tbl>
      <w:tblPr>
        <w:tblW w:w="6163" w:type="dxa"/>
        <w:tblInd w:w="250" w:type="dxa"/>
        <w:tblLook w:val="04A0" w:firstRow="1" w:lastRow="0" w:firstColumn="1" w:lastColumn="0" w:noHBand="0" w:noVBand="1"/>
      </w:tblPr>
      <w:tblGrid>
        <w:gridCol w:w="5103"/>
        <w:gridCol w:w="1060"/>
      </w:tblGrid>
      <w:tr w:rsidR="00910CEF" w:rsidRPr="001946E0" w14:paraId="721F9235" w14:textId="77777777" w:rsidTr="001429E2">
        <w:trPr>
          <w:trHeight w:val="315"/>
        </w:trPr>
        <w:tc>
          <w:tcPr>
            <w:tcW w:w="6163" w:type="dxa"/>
            <w:gridSpan w:val="2"/>
            <w:tcBorders>
              <w:top w:val="nil"/>
              <w:left w:val="nil"/>
              <w:bottom w:val="double" w:sz="4" w:space="0" w:color="auto"/>
              <w:right w:val="nil"/>
            </w:tcBorders>
            <w:shd w:val="clear" w:color="auto" w:fill="auto"/>
            <w:vAlign w:val="center"/>
            <w:hideMark/>
          </w:tcPr>
          <w:p w14:paraId="6BA34875" w14:textId="77777777" w:rsidR="00910CEF" w:rsidRPr="001946E0" w:rsidRDefault="00910CEF" w:rsidP="003A579F">
            <w:pPr>
              <w:spacing w:after="0"/>
              <w:ind w:firstLine="0"/>
              <w:rPr>
                <w:b/>
                <w:bCs/>
                <w:color w:val="000000"/>
                <w:szCs w:val="24"/>
                <w:lang w:eastAsia="lv-LV"/>
              </w:rPr>
            </w:pPr>
          </w:p>
        </w:tc>
      </w:tr>
      <w:tr w:rsidR="00B51348" w:rsidRPr="00203D1A" w14:paraId="35B7747B" w14:textId="77777777" w:rsidTr="001429E2">
        <w:trPr>
          <w:trHeight w:val="230"/>
        </w:trPr>
        <w:tc>
          <w:tcPr>
            <w:tcW w:w="5103" w:type="dxa"/>
            <w:vMerge w:val="restart"/>
            <w:tcBorders>
              <w:top w:val="double" w:sz="4" w:space="0" w:color="auto"/>
              <w:left w:val="double" w:sz="4" w:space="0" w:color="auto"/>
              <w:bottom w:val="single" w:sz="8" w:space="0" w:color="000000"/>
              <w:right w:val="nil"/>
            </w:tcBorders>
            <w:shd w:val="clear" w:color="auto" w:fill="auto"/>
            <w:vAlign w:val="center"/>
            <w:hideMark/>
          </w:tcPr>
          <w:p w14:paraId="4038F610" w14:textId="77777777" w:rsidR="00910CEF" w:rsidRPr="00203D1A" w:rsidRDefault="00910CEF" w:rsidP="003A579F">
            <w:pPr>
              <w:spacing w:after="0"/>
              <w:ind w:firstLine="0"/>
              <w:jc w:val="left"/>
              <w:rPr>
                <w:color w:val="000000"/>
                <w:sz w:val="20"/>
                <w:szCs w:val="24"/>
                <w:lang w:eastAsia="lv-LV"/>
              </w:rPr>
            </w:pPr>
            <w:r w:rsidRPr="00203D1A">
              <w:rPr>
                <w:color w:val="000000"/>
                <w:sz w:val="20"/>
                <w:szCs w:val="24"/>
                <w:lang w:eastAsia="lv-LV"/>
              </w:rPr>
              <w:t>Milj. latu</w:t>
            </w:r>
          </w:p>
        </w:tc>
        <w:tc>
          <w:tcPr>
            <w:tcW w:w="1060" w:type="dxa"/>
            <w:vMerge w:val="restart"/>
            <w:tcBorders>
              <w:top w:val="double" w:sz="4" w:space="0" w:color="auto"/>
              <w:left w:val="single" w:sz="4" w:space="0" w:color="auto"/>
              <w:bottom w:val="single" w:sz="8" w:space="0" w:color="000000"/>
              <w:right w:val="double" w:sz="4" w:space="0" w:color="auto"/>
            </w:tcBorders>
            <w:shd w:val="clear" w:color="auto" w:fill="auto"/>
            <w:vAlign w:val="center"/>
            <w:hideMark/>
          </w:tcPr>
          <w:p w14:paraId="6444928F" w14:textId="77777777" w:rsidR="00910CEF" w:rsidRPr="00203D1A" w:rsidRDefault="00383397" w:rsidP="003A579F">
            <w:pPr>
              <w:spacing w:after="0"/>
              <w:ind w:firstLine="0"/>
              <w:jc w:val="center"/>
              <w:rPr>
                <w:b/>
                <w:bCs/>
                <w:color w:val="000000"/>
                <w:sz w:val="20"/>
                <w:szCs w:val="24"/>
                <w:lang w:eastAsia="lv-LV"/>
              </w:rPr>
            </w:pPr>
            <w:r>
              <w:rPr>
                <w:b/>
                <w:bCs/>
                <w:color w:val="000000"/>
                <w:sz w:val="20"/>
                <w:szCs w:val="24"/>
                <w:lang w:eastAsia="lv-LV"/>
              </w:rPr>
              <w:t>2012</w:t>
            </w:r>
          </w:p>
        </w:tc>
      </w:tr>
      <w:tr w:rsidR="00B51348" w:rsidRPr="00203D1A" w14:paraId="732AB26C" w14:textId="77777777" w:rsidTr="001429E2">
        <w:trPr>
          <w:trHeight w:val="230"/>
        </w:trPr>
        <w:tc>
          <w:tcPr>
            <w:tcW w:w="5103" w:type="dxa"/>
            <w:vMerge/>
            <w:tcBorders>
              <w:top w:val="single" w:sz="8" w:space="0" w:color="auto"/>
              <w:left w:val="double" w:sz="4" w:space="0" w:color="auto"/>
              <w:bottom w:val="single" w:sz="8" w:space="0" w:color="000000"/>
              <w:right w:val="nil"/>
            </w:tcBorders>
            <w:vAlign w:val="center"/>
            <w:hideMark/>
          </w:tcPr>
          <w:p w14:paraId="59FC682D" w14:textId="77777777" w:rsidR="00910CEF" w:rsidRPr="00203D1A" w:rsidRDefault="00910CEF" w:rsidP="003A579F">
            <w:pPr>
              <w:spacing w:after="0"/>
              <w:ind w:firstLine="0"/>
              <w:jc w:val="left"/>
              <w:rPr>
                <w:color w:val="000000"/>
                <w:sz w:val="20"/>
                <w:szCs w:val="24"/>
                <w:lang w:eastAsia="lv-LV"/>
              </w:rPr>
            </w:pPr>
          </w:p>
        </w:tc>
        <w:tc>
          <w:tcPr>
            <w:tcW w:w="1060" w:type="dxa"/>
            <w:vMerge/>
            <w:tcBorders>
              <w:top w:val="single" w:sz="8" w:space="0" w:color="auto"/>
              <w:left w:val="single" w:sz="4" w:space="0" w:color="auto"/>
              <w:bottom w:val="single" w:sz="8" w:space="0" w:color="000000"/>
              <w:right w:val="double" w:sz="4" w:space="0" w:color="auto"/>
            </w:tcBorders>
            <w:vAlign w:val="center"/>
            <w:hideMark/>
          </w:tcPr>
          <w:p w14:paraId="433569DA" w14:textId="77777777" w:rsidR="00910CEF" w:rsidRPr="00203D1A" w:rsidRDefault="00910CEF" w:rsidP="003A579F">
            <w:pPr>
              <w:spacing w:after="0"/>
              <w:ind w:firstLine="0"/>
              <w:jc w:val="left"/>
              <w:rPr>
                <w:b/>
                <w:bCs/>
                <w:color w:val="000000"/>
                <w:sz w:val="20"/>
                <w:szCs w:val="24"/>
                <w:lang w:eastAsia="lv-LV"/>
              </w:rPr>
            </w:pPr>
          </w:p>
        </w:tc>
      </w:tr>
      <w:tr w:rsidR="00B51348" w:rsidRPr="00203D1A" w14:paraId="311DCC28" w14:textId="77777777" w:rsidTr="001429E2">
        <w:trPr>
          <w:trHeight w:val="330"/>
        </w:trPr>
        <w:tc>
          <w:tcPr>
            <w:tcW w:w="5103" w:type="dxa"/>
            <w:tcBorders>
              <w:top w:val="nil"/>
              <w:left w:val="double" w:sz="4" w:space="0" w:color="auto"/>
              <w:bottom w:val="single" w:sz="8" w:space="0" w:color="auto"/>
              <w:right w:val="nil"/>
            </w:tcBorders>
            <w:shd w:val="clear" w:color="auto" w:fill="auto"/>
            <w:vAlign w:val="center"/>
            <w:hideMark/>
          </w:tcPr>
          <w:p w14:paraId="480BDE75" w14:textId="77777777" w:rsidR="00910CEF" w:rsidRPr="00203D1A" w:rsidRDefault="00910CEF" w:rsidP="003A579F">
            <w:pPr>
              <w:spacing w:after="0"/>
              <w:ind w:firstLine="0"/>
              <w:jc w:val="left"/>
              <w:rPr>
                <w:b/>
                <w:bCs/>
                <w:color w:val="000000"/>
                <w:sz w:val="20"/>
                <w:szCs w:val="24"/>
                <w:lang w:eastAsia="lv-LV"/>
              </w:rPr>
            </w:pPr>
            <w:r w:rsidRPr="00203D1A">
              <w:rPr>
                <w:b/>
                <w:bCs/>
                <w:color w:val="000000"/>
                <w:sz w:val="20"/>
                <w:szCs w:val="24"/>
                <w:lang w:eastAsia="lv-LV"/>
              </w:rPr>
              <w:t xml:space="preserve">Valsts un pašvaldību garantijas </w:t>
            </w:r>
          </w:p>
          <w:p w14:paraId="0A6206D9" w14:textId="77777777" w:rsidR="00910CEF" w:rsidRPr="00203D1A" w:rsidRDefault="00910CEF" w:rsidP="003A579F">
            <w:pPr>
              <w:spacing w:after="0"/>
              <w:ind w:firstLine="0"/>
              <w:jc w:val="left"/>
              <w:rPr>
                <w:b/>
                <w:bCs/>
                <w:color w:val="000000"/>
                <w:sz w:val="20"/>
                <w:szCs w:val="24"/>
                <w:lang w:eastAsia="lv-LV"/>
              </w:rPr>
            </w:pPr>
            <w:r w:rsidRPr="00203D1A">
              <w:rPr>
                <w:b/>
                <w:bCs/>
                <w:color w:val="000000"/>
                <w:sz w:val="20"/>
                <w:szCs w:val="24"/>
                <w:lang w:eastAsia="lv-LV"/>
              </w:rPr>
              <w:t>(</w:t>
            </w:r>
            <w:proofErr w:type="spellStart"/>
            <w:r w:rsidRPr="00203D1A">
              <w:rPr>
                <w:b/>
                <w:bCs/>
                <w:color w:val="000000"/>
                <w:sz w:val="20"/>
                <w:szCs w:val="24"/>
                <w:lang w:eastAsia="lv-LV"/>
              </w:rPr>
              <w:t>Public</w:t>
            </w:r>
            <w:proofErr w:type="spellEnd"/>
            <w:r w:rsidRPr="00203D1A">
              <w:rPr>
                <w:b/>
                <w:bCs/>
                <w:color w:val="000000"/>
                <w:sz w:val="20"/>
                <w:szCs w:val="24"/>
                <w:lang w:eastAsia="lv-LV"/>
              </w:rPr>
              <w:t xml:space="preserve"> </w:t>
            </w:r>
            <w:proofErr w:type="spellStart"/>
            <w:r w:rsidRPr="00203D1A">
              <w:rPr>
                <w:b/>
                <w:bCs/>
                <w:color w:val="000000"/>
                <w:sz w:val="20"/>
                <w:szCs w:val="24"/>
                <w:lang w:eastAsia="lv-LV"/>
              </w:rPr>
              <w:t>guarantees</w:t>
            </w:r>
            <w:proofErr w:type="spellEnd"/>
            <w:r w:rsidRPr="00203D1A">
              <w:rPr>
                <w:b/>
                <w:bCs/>
                <w:color w:val="000000"/>
                <w:sz w:val="20"/>
                <w:szCs w:val="24"/>
                <w:lang w:eastAsia="lv-LV"/>
              </w:rPr>
              <w:t xml:space="preserve"> )</w:t>
            </w:r>
          </w:p>
        </w:tc>
        <w:tc>
          <w:tcPr>
            <w:tcW w:w="1060" w:type="dxa"/>
            <w:tcBorders>
              <w:top w:val="nil"/>
              <w:left w:val="single" w:sz="4" w:space="0" w:color="auto"/>
              <w:bottom w:val="single" w:sz="8" w:space="0" w:color="auto"/>
              <w:right w:val="double" w:sz="4" w:space="0" w:color="auto"/>
            </w:tcBorders>
            <w:shd w:val="clear" w:color="auto" w:fill="auto"/>
            <w:vAlign w:val="center"/>
            <w:hideMark/>
          </w:tcPr>
          <w:p w14:paraId="6DAD6C3A" w14:textId="77777777" w:rsidR="00910CEF" w:rsidRPr="00203D1A" w:rsidRDefault="00383397" w:rsidP="003A579F">
            <w:pPr>
              <w:spacing w:after="0"/>
              <w:ind w:firstLine="0"/>
              <w:jc w:val="center"/>
              <w:rPr>
                <w:b/>
                <w:bCs/>
                <w:color w:val="000000"/>
                <w:sz w:val="20"/>
                <w:szCs w:val="24"/>
                <w:lang w:eastAsia="lv-LV"/>
              </w:rPr>
            </w:pPr>
            <w:r>
              <w:rPr>
                <w:b/>
                <w:bCs/>
                <w:color w:val="000000"/>
                <w:sz w:val="20"/>
                <w:szCs w:val="24"/>
                <w:lang w:eastAsia="lv-LV"/>
              </w:rPr>
              <w:t>457</w:t>
            </w:r>
            <w:r w:rsidR="006E7576">
              <w:rPr>
                <w:b/>
                <w:bCs/>
                <w:color w:val="000000"/>
                <w:sz w:val="20"/>
                <w:szCs w:val="24"/>
                <w:lang w:eastAsia="lv-LV"/>
              </w:rPr>
              <w:t>,</w:t>
            </w:r>
            <w:r>
              <w:rPr>
                <w:b/>
                <w:bCs/>
                <w:color w:val="000000"/>
                <w:sz w:val="20"/>
                <w:szCs w:val="24"/>
                <w:lang w:eastAsia="lv-LV"/>
              </w:rPr>
              <w:t>4</w:t>
            </w:r>
          </w:p>
        </w:tc>
      </w:tr>
      <w:tr w:rsidR="00B51348" w:rsidRPr="00203D1A" w14:paraId="3192A607" w14:textId="77777777" w:rsidTr="001429E2">
        <w:trPr>
          <w:trHeight w:val="461"/>
        </w:trPr>
        <w:tc>
          <w:tcPr>
            <w:tcW w:w="5103" w:type="dxa"/>
            <w:tcBorders>
              <w:top w:val="nil"/>
              <w:left w:val="double" w:sz="4" w:space="0" w:color="auto"/>
              <w:bottom w:val="single" w:sz="8" w:space="0" w:color="auto"/>
              <w:right w:val="nil"/>
            </w:tcBorders>
            <w:shd w:val="clear" w:color="auto" w:fill="auto"/>
            <w:vAlign w:val="center"/>
            <w:hideMark/>
          </w:tcPr>
          <w:p w14:paraId="5F2DE156" w14:textId="77777777" w:rsidR="00910CEF" w:rsidRPr="00203D1A" w:rsidRDefault="00910CEF" w:rsidP="003A579F">
            <w:pPr>
              <w:spacing w:after="0"/>
              <w:ind w:firstLine="0"/>
              <w:jc w:val="left"/>
              <w:rPr>
                <w:i/>
                <w:iCs/>
                <w:color w:val="000000"/>
                <w:sz w:val="20"/>
                <w:szCs w:val="24"/>
                <w:lang w:eastAsia="lv-LV"/>
              </w:rPr>
            </w:pPr>
            <w:r w:rsidRPr="00203D1A">
              <w:rPr>
                <w:i/>
                <w:iCs/>
                <w:color w:val="000000"/>
                <w:sz w:val="20"/>
                <w:szCs w:val="24"/>
                <w:lang w:eastAsia="lv-LV"/>
              </w:rPr>
              <w:t xml:space="preserve">No kurām saistītas ar finanšu sektoru </w:t>
            </w:r>
          </w:p>
          <w:p w14:paraId="7E2A9307" w14:textId="77777777" w:rsidR="00910CEF" w:rsidRPr="00203D1A" w:rsidRDefault="00910CEF" w:rsidP="003A579F">
            <w:pPr>
              <w:spacing w:after="0"/>
              <w:ind w:firstLine="0"/>
              <w:jc w:val="left"/>
              <w:rPr>
                <w:i/>
                <w:iCs/>
                <w:color w:val="000000"/>
                <w:sz w:val="20"/>
                <w:szCs w:val="24"/>
                <w:lang w:eastAsia="lv-LV"/>
              </w:rPr>
            </w:pPr>
            <w:r w:rsidRPr="00203D1A">
              <w:rPr>
                <w:i/>
                <w:iCs/>
                <w:color w:val="000000"/>
                <w:sz w:val="20"/>
                <w:szCs w:val="24"/>
                <w:lang w:eastAsia="lv-LV"/>
              </w:rPr>
              <w:t>(</w:t>
            </w:r>
            <w:proofErr w:type="spellStart"/>
            <w:r w:rsidRPr="00203D1A">
              <w:rPr>
                <w:i/>
                <w:iCs/>
                <w:color w:val="000000"/>
                <w:sz w:val="20"/>
                <w:szCs w:val="24"/>
                <w:lang w:eastAsia="lv-LV"/>
              </w:rPr>
              <w:t>Of</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which</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linked</w:t>
            </w:r>
            <w:proofErr w:type="spellEnd"/>
            <w:r w:rsidRPr="00203D1A">
              <w:rPr>
                <w:i/>
                <w:iCs/>
                <w:color w:val="000000"/>
                <w:sz w:val="20"/>
                <w:szCs w:val="24"/>
                <w:lang w:eastAsia="lv-LV"/>
              </w:rPr>
              <w:t xml:space="preserve"> to </w:t>
            </w:r>
            <w:proofErr w:type="spellStart"/>
            <w:r w:rsidRPr="00203D1A">
              <w:rPr>
                <w:i/>
                <w:iCs/>
                <w:color w:val="000000"/>
                <w:sz w:val="20"/>
                <w:szCs w:val="24"/>
                <w:lang w:eastAsia="lv-LV"/>
              </w:rPr>
              <w:t>the</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financial</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sector</w:t>
            </w:r>
            <w:proofErr w:type="spellEnd"/>
            <w:r w:rsidRPr="00203D1A">
              <w:rPr>
                <w:i/>
                <w:iCs/>
                <w:color w:val="000000"/>
                <w:sz w:val="20"/>
                <w:szCs w:val="24"/>
                <w:lang w:eastAsia="lv-LV"/>
              </w:rPr>
              <w:t>)</w:t>
            </w:r>
          </w:p>
        </w:tc>
        <w:tc>
          <w:tcPr>
            <w:tcW w:w="1060" w:type="dxa"/>
            <w:tcBorders>
              <w:top w:val="nil"/>
              <w:left w:val="single" w:sz="4" w:space="0" w:color="auto"/>
              <w:bottom w:val="single" w:sz="8" w:space="0" w:color="auto"/>
              <w:right w:val="double" w:sz="4" w:space="0" w:color="auto"/>
            </w:tcBorders>
            <w:shd w:val="clear" w:color="auto" w:fill="auto"/>
            <w:vAlign w:val="center"/>
            <w:hideMark/>
          </w:tcPr>
          <w:p w14:paraId="42577E3C" w14:textId="77777777" w:rsidR="00910CEF" w:rsidRPr="00203D1A" w:rsidRDefault="00383397" w:rsidP="003A579F">
            <w:pPr>
              <w:spacing w:after="0"/>
              <w:ind w:firstLine="0"/>
              <w:jc w:val="center"/>
              <w:rPr>
                <w:b/>
                <w:bCs/>
                <w:color w:val="000000"/>
                <w:sz w:val="20"/>
                <w:szCs w:val="24"/>
                <w:lang w:eastAsia="lv-LV"/>
              </w:rPr>
            </w:pPr>
            <w:r>
              <w:rPr>
                <w:b/>
                <w:bCs/>
                <w:color w:val="000000"/>
                <w:sz w:val="20"/>
                <w:szCs w:val="24"/>
                <w:lang w:eastAsia="lv-LV"/>
              </w:rPr>
              <w:t>178</w:t>
            </w:r>
            <w:r w:rsidR="006E7576">
              <w:rPr>
                <w:b/>
                <w:bCs/>
                <w:color w:val="000000"/>
                <w:sz w:val="20"/>
                <w:szCs w:val="24"/>
                <w:lang w:eastAsia="lv-LV"/>
              </w:rPr>
              <w:t>,</w:t>
            </w:r>
            <w:r>
              <w:rPr>
                <w:b/>
                <w:bCs/>
                <w:color w:val="000000"/>
                <w:sz w:val="20"/>
                <w:szCs w:val="24"/>
                <w:lang w:eastAsia="lv-LV"/>
              </w:rPr>
              <w:t>3</w:t>
            </w:r>
          </w:p>
        </w:tc>
      </w:tr>
      <w:tr w:rsidR="00B51348" w:rsidRPr="00203D1A" w14:paraId="5BEDBE7E" w14:textId="77777777" w:rsidTr="001429E2">
        <w:trPr>
          <w:trHeight w:val="330"/>
        </w:trPr>
        <w:tc>
          <w:tcPr>
            <w:tcW w:w="5103" w:type="dxa"/>
            <w:tcBorders>
              <w:top w:val="nil"/>
              <w:left w:val="double" w:sz="4" w:space="0" w:color="auto"/>
              <w:bottom w:val="nil"/>
              <w:right w:val="nil"/>
            </w:tcBorders>
            <w:shd w:val="clear" w:color="auto" w:fill="auto"/>
            <w:vAlign w:val="center"/>
            <w:hideMark/>
          </w:tcPr>
          <w:p w14:paraId="61F83967" w14:textId="77777777" w:rsidR="00910CEF" w:rsidRPr="00203D1A" w:rsidRDefault="00910CEF" w:rsidP="003A579F">
            <w:pPr>
              <w:spacing w:after="0"/>
              <w:ind w:firstLine="0"/>
              <w:jc w:val="left"/>
              <w:rPr>
                <w:i/>
                <w:iCs/>
                <w:color w:val="000000"/>
                <w:sz w:val="20"/>
                <w:szCs w:val="24"/>
                <w:lang w:eastAsia="lv-LV"/>
              </w:rPr>
            </w:pPr>
          </w:p>
        </w:tc>
        <w:tc>
          <w:tcPr>
            <w:tcW w:w="1060" w:type="dxa"/>
            <w:tcBorders>
              <w:top w:val="nil"/>
              <w:left w:val="nil"/>
              <w:bottom w:val="nil"/>
              <w:right w:val="double" w:sz="4" w:space="0" w:color="auto"/>
            </w:tcBorders>
            <w:shd w:val="clear" w:color="auto" w:fill="auto"/>
            <w:vAlign w:val="center"/>
            <w:hideMark/>
          </w:tcPr>
          <w:p w14:paraId="0ABEFC9D" w14:textId="77777777" w:rsidR="00910CEF" w:rsidRPr="00203D1A" w:rsidRDefault="00910CEF" w:rsidP="003A579F">
            <w:pPr>
              <w:spacing w:after="0"/>
              <w:ind w:firstLine="0"/>
              <w:jc w:val="center"/>
              <w:rPr>
                <w:b/>
                <w:bCs/>
                <w:color w:val="000000"/>
                <w:sz w:val="20"/>
                <w:szCs w:val="24"/>
                <w:lang w:eastAsia="lv-LV"/>
              </w:rPr>
            </w:pPr>
          </w:p>
        </w:tc>
      </w:tr>
      <w:tr w:rsidR="00B51348" w:rsidRPr="00203D1A" w14:paraId="45FBEE76" w14:textId="77777777" w:rsidTr="001429E2">
        <w:trPr>
          <w:trHeight w:val="300"/>
        </w:trPr>
        <w:tc>
          <w:tcPr>
            <w:tcW w:w="5103" w:type="dxa"/>
            <w:vMerge w:val="restart"/>
            <w:tcBorders>
              <w:top w:val="single" w:sz="8" w:space="0" w:color="auto"/>
              <w:left w:val="double" w:sz="4" w:space="0" w:color="auto"/>
              <w:bottom w:val="single" w:sz="8" w:space="0" w:color="000000"/>
              <w:right w:val="nil"/>
            </w:tcBorders>
            <w:shd w:val="clear" w:color="auto" w:fill="auto"/>
            <w:vAlign w:val="center"/>
            <w:hideMark/>
          </w:tcPr>
          <w:p w14:paraId="4AB1CF19" w14:textId="77777777" w:rsidR="00910CEF" w:rsidRPr="00203D1A" w:rsidRDefault="00910CEF" w:rsidP="003A579F">
            <w:pPr>
              <w:spacing w:after="0"/>
              <w:ind w:firstLine="0"/>
              <w:jc w:val="left"/>
              <w:rPr>
                <w:color w:val="000000"/>
                <w:sz w:val="20"/>
                <w:szCs w:val="24"/>
                <w:lang w:eastAsia="lv-LV"/>
              </w:rPr>
            </w:pPr>
            <w:r w:rsidRPr="00203D1A">
              <w:rPr>
                <w:color w:val="000000"/>
                <w:sz w:val="20"/>
                <w:szCs w:val="24"/>
                <w:lang w:eastAsia="lv-LV"/>
              </w:rPr>
              <w:t>% no IKP</w:t>
            </w:r>
          </w:p>
        </w:tc>
        <w:tc>
          <w:tcPr>
            <w:tcW w:w="1060" w:type="dxa"/>
            <w:vMerge w:val="restart"/>
            <w:tcBorders>
              <w:top w:val="single" w:sz="8" w:space="0" w:color="auto"/>
              <w:left w:val="single" w:sz="4" w:space="0" w:color="auto"/>
              <w:bottom w:val="single" w:sz="8" w:space="0" w:color="000000"/>
              <w:right w:val="double" w:sz="4" w:space="0" w:color="auto"/>
            </w:tcBorders>
            <w:shd w:val="clear" w:color="auto" w:fill="auto"/>
            <w:vAlign w:val="center"/>
            <w:hideMark/>
          </w:tcPr>
          <w:p w14:paraId="2262DE6E" w14:textId="77777777" w:rsidR="00910CEF" w:rsidRPr="00203D1A" w:rsidRDefault="00383397" w:rsidP="003A579F">
            <w:pPr>
              <w:spacing w:after="0"/>
              <w:ind w:firstLine="0"/>
              <w:jc w:val="center"/>
              <w:rPr>
                <w:b/>
                <w:bCs/>
                <w:color w:val="000000"/>
                <w:sz w:val="20"/>
                <w:szCs w:val="24"/>
                <w:lang w:eastAsia="lv-LV"/>
              </w:rPr>
            </w:pPr>
            <w:r>
              <w:rPr>
                <w:b/>
                <w:bCs/>
                <w:color w:val="000000"/>
                <w:sz w:val="20"/>
                <w:szCs w:val="24"/>
                <w:lang w:eastAsia="lv-LV"/>
              </w:rPr>
              <w:t>2012</w:t>
            </w:r>
          </w:p>
        </w:tc>
      </w:tr>
      <w:tr w:rsidR="00B51348" w:rsidRPr="00203D1A" w14:paraId="6BB88A96" w14:textId="77777777" w:rsidTr="001429E2">
        <w:trPr>
          <w:trHeight w:val="230"/>
        </w:trPr>
        <w:tc>
          <w:tcPr>
            <w:tcW w:w="5103" w:type="dxa"/>
            <w:vMerge/>
            <w:tcBorders>
              <w:top w:val="single" w:sz="8" w:space="0" w:color="auto"/>
              <w:left w:val="double" w:sz="4" w:space="0" w:color="auto"/>
              <w:bottom w:val="single" w:sz="8" w:space="0" w:color="000000"/>
              <w:right w:val="nil"/>
            </w:tcBorders>
            <w:vAlign w:val="center"/>
            <w:hideMark/>
          </w:tcPr>
          <w:p w14:paraId="6CF81029" w14:textId="77777777" w:rsidR="00910CEF" w:rsidRPr="00203D1A" w:rsidRDefault="00910CEF" w:rsidP="003A579F">
            <w:pPr>
              <w:spacing w:after="0"/>
              <w:ind w:firstLine="0"/>
              <w:jc w:val="left"/>
              <w:rPr>
                <w:color w:val="000000"/>
                <w:sz w:val="20"/>
                <w:szCs w:val="24"/>
                <w:lang w:eastAsia="lv-LV"/>
              </w:rPr>
            </w:pPr>
          </w:p>
        </w:tc>
        <w:tc>
          <w:tcPr>
            <w:tcW w:w="1060" w:type="dxa"/>
            <w:vMerge/>
            <w:tcBorders>
              <w:top w:val="single" w:sz="8" w:space="0" w:color="auto"/>
              <w:left w:val="single" w:sz="4" w:space="0" w:color="auto"/>
              <w:bottom w:val="single" w:sz="8" w:space="0" w:color="000000"/>
              <w:right w:val="double" w:sz="4" w:space="0" w:color="auto"/>
            </w:tcBorders>
            <w:vAlign w:val="center"/>
            <w:hideMark/>
          </w:tcPr>
          <w:p w14:paraId="0390F94C" w14:textId="77777777" w:rsidR="00910CEF" w:rsidRPr="00203D1A" w:rsidRDefault="00910CEF" w:rsidP="003A579F">
            <w:pPr>
              <w:spacing w:after="0"/>
              <w:ind w:firstLine="0"/>
              <w:jc w:val="left"/>
              <w:rPr>
                <w:b/>
                <w:bCs/>
                <w:color w:val="000000"/>
                <w:sz w:val="20"/>
                <w:szCs w:val="24"/>
                <w:lang w:eastAsia="lv-LV"/>
              </w:rPr>
            </w:pPr>
          </w:p>
        </w:tc>
      </w:tr>
      <w:tr w:rsidR="00B51348" w:rsidRPr="00203D1A" w14:paraId="48178736" w14:textId="77777777" w:rsidTr="001429E2">
        <w:trPr>
          <w:trHeight w:val="330"/>
        </w:trPr>
        <w:tc>
          <w:tcPr>
            <w:tcW w:w="5103" w:type="dxa"/>
            <w:tcBorders>
              <w:top w:val="nil"/>
              <w:left w:val="double" w:sz="4" w:space="0" w:color="auto"/>
              <w:bottom w:val="single" w:sz="8" w:space="0" w:color="auto"/>
              <w:right w:val="nil"/>
            </w:tcBorders>
            <w:shd w:val="clear" w:color="auto" w:fill="auto"/>
            <w:vAlign w:val="center"/>
            <w:hideMark/>
          </w:tcPr>
          <w:p w14:paraId="21A97C41" w14:textId="77777777" w:rsidR="00910CEF" w:rsidRPr="00203D1A" w:rsidRDefault="00910CEF" w:rsidP="003A579F">
            <w:pPr>
              <w:spacing w:after="0"/>
              <w:ind w:firstLine="0"/>
              <w:jc w:val="left"/>
              <w:rPr>
                <w:b/>
                <w:bCs/>
                <w:color w:val="000000"/>
                <w:sz w:val="20"/>
                <w:szCs w:val="24"/>
                <w:lang w:eastAsia="lv-LV"/>
              </w:rPr>
            </w:pPr>
            <w:r w:rsidRPr="00203D1A">
              <w:rPr>
                <w:b/>
                <w:bCs/>
                <w:color w:val="000000"/>
                <w:sz w:val="20"/>
                <w:szCs w:val="24"/>
                <w:lang w:eastAsia="lv-LV"/>
              </w:rPr>
              <w:lastRenderedPageBreak/>
              <w:t xml:space="preserve">Valsts un pašvaldību garantijas </w:t>
            </w:r>
          </w:p>
          <w:p w14:paraId="7E10827B" w14:textId="77777777" w:rsidR="00910CEF" w:rsidRPr="00203D1A" w:rsidRDefault="00910CEF" w:rsidP="003A579F">
            <w:pPr>
              <w:spacing w:after="0"/>
              <w:ind w:firstLine="0"/>
              <w:jc w:val="left"/>
              <w:rPr>
                <w:b/>
                <w:bCs/>
                <w:color w:val="000000"/>
                <w:sz w:val="20"/>
                <w:szCs w:val="24"/>
                <w:lang w:eastAsia="lv-LV"/>
              </w:rPr>
            </w:pPr>
            <w:r w:rsidRPr="00203D1A">
              <w:rPr>
                <w:b/>
                <w:bCs/>
                <w:color w:val="000000"/>
                <w:sz w:val="20"/>
                <w:szCs w:val="24"/>
                <w:lang w:eastAsia="lv-LV"/>
              </w:rPr>
              <w:t>(</w:t>
            </w:r>
            <w:proofErr w:type="spellStart"/>
            <w:r w:rsidRPr="00203D1A">
              <w:rPr>
                <w:b/>
                <w:bCs/>
                <w:color w:val="000000"/>
                <w:sz w:val="20"/>
                <w:szCs w:val="24"/>
                <w:lang w:eastAsia="lv-LV"/>
              </w:rPr>
              <w:t>Public</w:t>
            </w:r>
            <w:proofErr w:type="spellEnd"/>
            <w:r w:rsidRPr="00203D1A">
              <w:rPr>
                <w:b/>
                <w:bCs/>
                <w:color w:val="000000"/>
                <w:sz w:val="20"/>
                <w:szCs w:val="24"/>
                <w:lang w:eastAsia="lv-LV"/>
              </w:rPr>
              <w:t xml:space="preserve"> </w:t>
            </w:r>
            <w:proofErr w:type="spellStart"/>
            <w:r w:rsidRPr="00203D1A">
              <w:rPr>
                <w:b/>
                <w:bCs/>
                <w:color w:val="000000"/>
                <w:sz w:val="20"/>
                <w:szCs w:val="24"/>
                <w:lang w:eastAsia="lv-LV"/>
              </w:rPr>
              <w:t>guarantees</w:t>
            </w:r>
            <w:proofErr w:type="spellEnd"/>
            <w:r w:rsidRPr="00203D1A">
              <w:rPr>
                <w:b/>
                <w:bCs/>
                <w:color w:val="000000"/>
                <w:sz w:val="20"/>
                <w:szCs w:val="24"/>
                <w:lang w:eastAsia="lv-LV"/>
              </w:rPr>
              <w:t xml:space="preserve"> )</w:t>
            </w:r>
          </w:p>
        </w:tc>
        <w:tc>
          <w:tcPr>
            <w:tcW w:w="1060" w:type="dxa"/>
            <w:tcBorders>
              <w:top w:val="nil"/>
              <w:left w:val="single" w:sz="4" w:space="0" w:color="auto"/>
              <w:bottom w:val="single" w:sz="8" w:space="0" w:color="auto"/>
              <w:right w:val="double" w:sz="4" w:space="0" w:color="auto"/>
            </w:tcBorders>
            <w:shd w:val="clear" w:color="auto" w:fill="auto"/>
            <w:vAlign w:val="center"/>
            <w:hideMark/>
          </w:tcPr>
          <w:p w14:paraId="5A6AA3B7" w14:textId="77777777" w:rsidR="00910CEF" w:rsidRPr="00203D1A" w:rsidRDefault="00910CEF" w:rsidP="003A579F">
            <w:pPr>
              <w:spacing w:after="0"/>
              <w:ind w:firstLine="0"/>
              <w:jc w:val="center"/>
              <w:rPr>
                <w:b/>
                <w:bCs/>
                <w:color w:val="000000"/>
                <w:sz w:val="20"/>
                <w:szCs w:val="24"/>
                <w:lang w:eastAsia="lv-LV"/>
              </w:rPr>
            </w:pPr>
            <w:r w:rsidRPr="00203D1A">
              <w:rPr>
                <w:b/>
                <w:bCs/>
                <w:color w:val="000000"/>
                <w:sz w:val="20"/>
                <w:szCs w:val="24"/>
                <w:lang w:eastAsia="lv-LV"/>
              </w:rPr>
              <w:t>2</w:t>
            </w:r>
            <w:r>
              <w:rPr>
                <w:b/>
                <w:bCs/>
                <w:color w:val="000000"/>
                <w:sz w:val="20"/>
                <w:szCs w:val="24"/>
                <w:lang w:eastAsia="lv-LV"/>
              </w:rPr>
              <w:t>,</w:t>
            </w:r>
            <w:r w:rsidR="00383397">
              <w:rPr>
                <w:b/>
                <w:bCs/>
                <w:color w:val="000000"/>
                <w:sz w:val="20"/>
                <w:szCs w:val="24"/>
                <w:lang w:eastAsia="lv-LV"/>
              </w:rPr>
              <w:t>9</w:t>
            </w:r>
            <w:r w:rsidRPr="00203D1A">
              <w:rPr>
                <w:b/>
                <w:bCs/>
                <w:color w:val="000000"/>
                <w:sz w:val="20"/>
                <w:szCs w:val="24"/>
                <w:lang w:eastAsia="lv-LV"/>
              </w:rPr>
              <w:t>%</w:t>
            </w:r>
          </w:p>
        </w:tc>
      </w:tr>
      <w:tr w:rsidR="00B51348" w:rsidRPr="00203D1A" w14:paraId="5D1CA959" w14:textId="77777777" w:rsidTr="001429E2">
        <w:trPr>
          <w:trHeight w:val="645"/>
        </w:trPr>
        <w:tc>
          <w:tcPr>
            <w:tcW w:w="5103" w:type="dxa"/>
            <w:tcBorders>
              <w:top w:val="nil"/>
              <w:left w:val="double" w:sz="4" w:space="0" w:color="auto"/>
              <w:bottom w:val="single" w:sz="8" w:space="0" w:color="auto"/>
              <w:right w:val="nil"/>
            </w:tcBorders>
            <w:shd w:val="clear" w:color="auto" w:fill="auto"/>
            <w:vAlign w:val="center"/>
            <w:hideMark/>
          </w:tcPr>
          <w:p w14:paraId="49AAF364" w14:textId="77777777" w:rsidR="00910CEF" w:rsidRPr="00203D1A" w:rsidRDefault="00910CEF" w:rsidP="003A579F">
            <w:pPr>
              <w:spacing w:after="0"/>
              <w:ind w:firstLine="0"/>
              <w:jc w:val="left"/>
              <w:rPr>
                <w:i/>
                <w:iCs/>
                <w:color w:val="000000"/>
                <w:sz w:val="20"/>
                <w:szCs w:val="24"/>
                <w:lang w:eastAsia="lv-LV"/>
              </w:rPr>
            </w:pPr>
            <w:r w:rsidRPr="00203D1A">
              <w:rPr>
                <w:i/>
                <w:iCs/>
                <w:color w:val="000000"/>
                <w:sz w:val="20"/>
                <w:szCs w:val="24"/>
                <w:lang w:eastAsia="lv-LV"/>
              </w:rPr>
              <w:t xml:space="preserve">No kurām saistītas ar finanšu sektoru </w:t>
            </w:r>
          </w:p>
          <w:p w14:paraId="3E4815D3" w14:textId="77777777" w:rsidR="00910CEF" w:rsidRPr="00203D1A" w:rsidRDefault="00910CEF" w:rsidP="003A579F">
            <w:pPr>
              <w:spacing w:after="0"/>
              <w:ind w:firstLine="0"/>
              <w:jc w:val="left"/>
              <w:rPr>
                <w:i/>
                <w:iCs/>
                <w:color w:val="000000"/>
                <w:sz w:val="20"/>
                <w:szCs w:val="24"/>
                <w:lang w:eastAsia="lv-LV"/>
              </w:rPr>
            </w:pPr>
            <w:r w:rsidRPr="00203D1A">
              <w:rPr>
                <w:i/>
                <w:iCs/>
                <w:color w:val="000000"/>
                <w:sz w:val="20"/>
                <w:szCs w:val="24"/>
                <w:lang w:eastAsia="lv-LV"/>
              </w:rPr>
              <w:t>(</w:t>
            </w:r>
            <w:proofErr w:type="spellStart"/>
            <w:r w:rsidRPr="00203D1A">
              <w:rPr>
                <w:i/>
                <w:iCs/>
                <w:color w:val="000000"/>
                <w:sz w:val="20"/>
                <w:szCs w:val="24"/>
                <w:lang w:eastAsia="lv-LV"/>
              </w:rPr>
              <w:t>Of</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which</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linked</w:t>
            </w:r>
            <w:proofErr w:type="spellEnd"/>
            <w:r w:rsidRPr="00203D1A">
              <w:rPr>
                <w:i/>
                <w:iCs/>
                <w:color w:val="000000"/>
                <w:sz w:val="20"/>
                <w:szCs w:val="24"/>
                <w:lang w:eastAsia="lv-LV"/>
              </w:rPr>
              <w:t xml:space="preserve"> to </w:t>
            </w:r>
            <w:proofErr w:type="spellStart"/>
            <w:r w:rsidRPr="00203D1A">
              <w:rPr>
                <w:i/>
                <w:iCs/>
                <w:color w:val="000000"/>
                <w:sz w:val="20"/>
                <w:szCs w:val="24"/>
                <w:lang w:eastAsia="lv-LV"/>
              </w:rPr>
              <w:t>the</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financial</w:t>
            </w:r>
            <w:proofErr w:type="spellEnd"/>
            <w:r w:rsidRPr="00203D1A">
              <w:rPr>
                <w:i/>
                <w:iCs/>
                <w:color w:val="000000"/>
                <w:sz w:val="20"/>
                <w:szCs w:val="24"/>
                <w:lang w:eastAsia="lv-LV"/>
              </w:rPr>
              <w:t xml:space="preserve"> </w:t>
            </w:r>
            <w:proofErr w:type="spellStart"/>
            <w:r w:rsidRPr="00203D1A">
              <w:rPr>
                <w:i/>
                <w:iCs/>
                <w:color w:val="000000"/>
                <w:sz w:val="20"/>
                <w:szCs w:val="24"/>
                <w:lang w:eastAsia="lv-LV"/>
              </w:rPr>
              <w:t>sector</w:t>
            </w:r>
            <w:proofErr w:type="spellEnd"/>
            <w:r w:rsidRPr="00203D1A">
              <w:rPr>
                <w:i/>
                <w:iCs/>
                <w:color w:val="000000"/>
                <w:sz w:val="20"/>
                <w:szCs w:val="24"/>
                <w:lang w:eastAsia="lv-LV"/>
              </w:rPr>
              <w:t>)</w:t>
            </w:r>
          </w:p>
        </w:tc>
        <w:tc>
          <w:tcPr>
            <w:tcW w:w="1060" w:type="dxa"/>
            <w:tcBorders>
              <w:top w:val="nil"/>
              <w:left w:val="single" w:sz="4" w:space="0" w:color="auto"/>
              <w:bottom w:val="single" w:sz="8" w:space="0" w:color="auto"/>
              <w:right w:val="double" w:sz="4" w:space="0" w:color="auto"/>
            </w:tcBorders>
            <w:shd w:val="clear" w:color="auto" w:fill="auto"/>
            <w:vAlign w:val="center"/>
            <w:hideMark/>
          </w:tcPr>
          <w:p w14:paraId="6E7A18F7" w14:textId="77777777" w:rsidR="00910CEF" w:rsidRPr="00203D1A" w:rsidRDefault="00383397" w:rsidP="00AF5CCD">
            <w:pPr>
              <w:spacing w:after="0"/>
              <w:ind w:firstLine="0"/>
              <w:jc w:val="center"/>
              <w:rPr>
                <w:b/>
                <w:bCs/>
                <w:color w:val="000000"/>
                <w:sz w:val="20"/>
                <w:szCs w:val="24"/>
                <w:lang w:eastAsia="lv-LV"/>
              </w:rPr>
            </w:pPr>
            <w:r>
              <w:rPr>
                <w:b/>
                <w:bCs/>
                <w:color w:val="000000"/>
                <w:sz w:val="20"/>
                <w:szCs w:val="24"/>
                <w:lang w:eastAsia="lv-LV"/>
              </w:rPr>
              <w:t>1</w:t>
            </w:r>
            <w:r w:rsidR="006E7576">
              <w:rPr>
                <w:b/>
                <w:bCs/>
                <w:color w:val="000000"/>
                <w:sz w:val="20"/>
                <w:szCs w:val="24"/>
                <w:lang w:eastAsia="lv-LV"/>
              </w:rPr>
              <w:t>,</w:t>
            </w:r>
            <w:r>
              <w:rPr>
                <w:b/>
                <w:bCs/>
                <w:color w:val="000000"/>
                <w:sz w:val="20"/>
                <w:szCs w:val="24"/>
                <w:lang w:eastAsia="lv-LV"/>
              </w:rPr>
              <w:t>1</w:t>
            </w:r>
            <w:r w:rsidR="00910CEF" w:rsidRPr="00203D1A">
              <w:rPr>
                <w:b/>
                <w:bCs/>
                <w:color w:val="000000"/>
                <w:sz w:val="20"/>
                <w:szCs w:val="24"/>
                <w:lang w:eastAsia="lv-LV"/>
              </w:rPr>
              <w:t>%</w:t>
            </w:r>
          </w:p>
        </w:tc>
      </w:tr>
      <w:tr w:rsidR="00B51348" w:rsidRPr="00203D1A" w14:paraId="70E556DF" w14:textId="77777777" w:rsidTr="001429E2">
        <w:trPr>
          <w:trHeight w:val="315"/>
        </w:trPr>
        <w:tc>
          <w:tcPr>
            <w:tcW w:w="5103" w:type="dxa"/>
            <w:tcBorders>
              <w:top w:val="nil"/>
              <w:left w:val="double" w:sz="4" w:space="0" w:color="auto"/>
              <w:bottom w:val="nil"/>
              <w:right w:val="nil"/>
            </w:tcBorders>
            <w:shd w:val="clear" w:color="auto" w:fill="auto"/>
            <w:noWrap/>
            <w:vAlign w:val="bottom"/>
            <w:hideMark/>
          </w:tcPr>
          <w:p w14:paraId="2F99B1A5" w14:textId="77777777" w:rsidR="00910CEF" w:rsidRPr="00203D1A" w:rsidRDefault="00910CEF" w:rsidP="003A579F">
            <w:pPr>
              <w:spacing w:after="0"/>
              <w:ind w:firstLine="0"/>
              <w:jc w:val="left"/>
              <w:rPr>
                <w:rFonts w:ascii="Arial" w:hAnsi="Arial" w:cs="Arial"/>
                <w:color w:val="000000"/>
                <w:sz w:val="20"/>
                <w:szCs w:val="24"/>
                <w:lang w:eastAsia="lv-LV"/>
              </w:rPr>
            </w:pPr>
          </w:p>
        </w:tc>
        <w:tc>
          <w:tcPr>
            <w:tcW w:w="1060" w:type="dxa"/>
            <w:tcBorders>
              <w:top w:val="nil"/>
              <w:left w:val="nil"/>
              <w:bottom w:val="nil"/>
              <w:right w:val="double" w:sz="4" w:space="0" w:color="auto"/>
            </w:tcBorders>
            <w:shd w:val="clear" w:color="auto" w:fill="auto"/>
            <w:noWrap/>
            <w:vAlign w:val="bottom"/>
            <w:hideMark/>
          </w:tcPr>
          <w:p w14:paraId="3640D983" w14:textId="77777777" w:rsidR="00910CEF" w:rsidRPr="00203D1A" w:rsidRDefault="00910CEF" w:rsidP="003A579F">
            <w:pPr>
              <w:spacing w:after="0"/>
              <w:ind w:firstLine="0"/>
              <w:jc w:val="left"/>
              <w:rPr>
                <w:rFonts w:ascii="Arial" w:hAnsi="Arial" w:cs="Arial"/>
                <w:color w:val="000000"/>
                <w:sz w:val="20"/>
                <w:szCs w:val="24"/>
                <w:lang w:eastAsia="lv-LV"/>
              </w:rPr>
            </w:pPr>
          </w:p>
        </w:tc>
      </w:tr>
      <w:tr w:rsidR="00B51348" w:rsidRPr="00203D1A" w14:paraId="3FCAAF30" w14:textId="77777777" w:rsidTr="001429E2">
        <w:trPr>
          <w:trHeight w:val="330"/>
        </w:trPr>
        <w:tc>
          <w:tcPr>
            <w:tcW w:w="5103" w:type="dxa"/>
            <w:tcBorders>
              <w:top w:val="single" w:sz="8" w:space="0" w:color="auto"/>
              <w:left w:val="double" w:sz="4" w:space="0" w:color="auto"/>
              <w:bottom w:val="double" w:sz="4" w:space="0" w:color="auto"/>
              <w:right w:val="nil"/>
            </w:tcBorders>
            <w:shd w:val="clear" w:color="auto" w:fill="auto"/>
            <w:vAlign w:val="center"/>
            <w:hideMark/>
          </w:tcPr>
          <w:p w14:paraId="29429283" w14:textId="77777777" w:rsidR="00910CEF" w:rsidRPr="00203D1A" w:rsidRDefault="00910CEF" w:rsidP="003A579F">
            <w:pPr>
              <w:spacing w:after="0"/>
              <w:ind w:firstLine="0"/>
              <w:jc w:val="left"/>
              <w:rPr>
                <w:b/>
                <w:bCs/>
                <w:color w:val="000000"/>
                <w:sz w:val="20"/>
                <w:szCs w:val="24"/>
                <w:lang w:eastAsia="lv-LV"/>
              </w:rPr>
            </w:pPr>
            <w:r w:rsidRPr="00203D1A">
              <w:rPr>
                <w:b/>
                <w:bCs/>
                <w:color w:val="000000"/>
                <w:sz w:val="20"/>
                <w:szCs w:val="24"/>
                <w:lang w:eastAsia="lv-LV"/>
              </w:rPr>
              <w:t>IKP</w:t>
            </w:r>
          </w:p>
        </w:tc>
        <w:tc>
          <w:tcPr>
            <w:tcW w:w="1060" w:type="dxa"/>
            <w:tcBorders>
              <w:top w:val="single" w:sz="8" w:space="0" w:color="auto"/>
              <w:left w:val="single" w:sz="4" w:space="0" w:color="auto"/>
              <w:bottom w:val="double" w:sz="4" w:space="0" w:color="auto"/>
              <w:right w:val="double" w:sz="4" w:space="0" w:color="auto"/>
            </w:tcBorders>
            <w:shd w:val="clear" w:color="auto" w:fill="auto"/>
            <w:vAlign w:val="center"/>
            <w:hideMark/>
          </w:tcPr>
          <w:p w14:paraId="79FB7BD6" w14:textId="77777777" w:rsidR="00910CEF" w:rsidRPr="00203D1A" w:rsidRDefault="00383397" w:rsidP="003A579F">
            <w:pPr>
              <w:spacing w:after="0"/>
              <w:ind w:firstLine="0"/>
              <w:jc w:val="center"/>
              <w:rPr>
                <w:b/>
                <w:bCs/>
                <w:color w:val="000000"/>
                <w:sz w:val="20"/>
                <w:szCs w:val="24"/>
                <w:lang w:eastAsia="lv-LV"/>
              </w:rPr>
            </w:pPr>
            <w:r>
              <w:rPr>
                <w:b/>
                <w:bCs/>
                <w:color w:val="000000"/>
                <w:sz w:val="20"/>
                <w:szCs w:val="24"/>
                <w:lang w:eastAsia="lv-LV"/>
              </w:rPr>
              <w:t>15</w:t>
            </w:r>
            <w:r w:rsidR="006E7576">
              <w:rPr>
                <w:b/>
                <w:bCs/>
                <w:color w:val="000000"/>
                <w:sz w:val="20"/>
                <w:szCs w:val="24"/>
                <w:lang w:eastAsia="lv-LV"/>
              </w:rPr>
              <w:t> </w:t>
            </w:r>
            <w:r>
              <w:rPr>
                <w:b/>
                <w:bCs/>
                <w:color w:val="000000"/>
                <w:sz w:val="20"/>
                <w:szCs w:val="24"/>
                <w:lang w:eastAsia="lv-LV"/>
              </w:rPr>
              <w:t>520</w:t>
            </w:r>
            <w:r w:rsidR="006E7576">
              <w:rPr>
                <w:b/>
                <w:bCs/>
                <w:color w:val="000000"/>
                <w:sz w:val="20"/>
                <w:szCs w:val="24"/>
                <w:lang w:eastAsia="lv-LV"/>
              </w:rPr>
              <w:t>,</w:t>
            </w:r>
            <w:r>
              <w:rPr>
                <w:b/>
                <w:bCs/>
                <w:color w:val="000000"/>
                <w:sz w:val="20"/>
                <w:szCs w:val="24"/>
                <w:lang w:eastAsia="lv-LV"/>
              </w:rPr>
              <w:t>5</w:t>
            </w:r>
          </w:p>
        </w:tc>
      </w:tr>
    </w:tbl>
    <w:p w14:paraId="5DAF9462" w14:textId="77777777" w:rsidR="002D62B9" w:rsidRPr="001946E0" w:rsidRDefault="002D62B9" w:rsidP="002D62B9">
      <w:pPr>
        <w:spacing w:before="60"/>
        <w:ind w:firstLine="0"/>
        <w:rPr>
          <w:color w:val="000000"/>
          <w:sz w:val="20"/>
        </w:rPr>
      </w:pPr>
    </w:p>
    <w:p w14:paraId="33DC6C89" w14:textId="77777777" w:rsidR="002D62B9" w:rsidRPr="001946E0" w:rsidRDefault="002D62B9" w:rsidP="002D62B9">
      <w:pPr>
        <w:pStyle w:val="T"/>
        <w:ind w:left="0"/>
        <w:rPr>
          <w:rFonts w:ascii="Times New Roman" w:hAnsi="Times New Roman"/>
          <w:color w:val="000000"/>
          <w:szCs w:val="24"/>
        </w:rPr>
      </w:pPr>
      <w:r w:rsidRPr="001946E0">
        <w:rPr>
          <w:rFonts w:ascii="Times New Roman" w:hAnsi="Times New Roman"/>
          <w:color w:val="000000"/>
          <w:szCs w:val="24"/>
        </w:rPr>
        <w:t>8. tabula. Ārējās vides pamata pieņēmumi</w:t>
      </w:r>
      <w:r w:rsidRPr="001946E0">
        <w:rPr>
          <w:rStyle w:val="FootnoteReference"/>
          <w:rFonts w:ascii="Times New Roman" w:hAnsi="Times New Roman"/>
          <w:color w:val="000000"/>
          <w:sz w:val="24"/>
          <w:szCs w:val="24"/>
        </w:rPr>
        <w:footnoteReference w:id="24"/>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47"/>
        <w:gridCol w:w="964"/>
        <w:gridCol w:w="964"/>
        <w:gridCol w:w="893"/>
        <w:gridCol w:w="1035"/>
        <w:gridCol w:w="968"/>
      </w:tblGrid>
      <w:tr w:rsidR="00F96291" w:rsidRPr="00F96291" w14:paraId="086473DC" w14:textId="77777777" w:rsidTr="008C7F19">
        <w:trPr>
          <w:jc w:val="center"/>
        </w:trPr>
        <w:tc>
          <w:tcPr>
            <w:tcW w:w="4147" w:type="dxa"/>
            <w:tcBorders>
              <w:bottom w:val="double" w:sz="4" w:space="0" w:color="auto"/>
            </w:tcBorders>
            <w:tcMar>
              <w:top w:w="0" w:type="dxa"/>
              <w:left w:w="108" w:type="dxa"/>
              <w:bottom w:w="0" w:type="dxa"/>
              <w:right w:w="108" w:type="dxa"/>
            </w:tcMar>
            <w:vAlign w:val="center"/>
          </w:tcPr>
          <w:p w14:paraId="2A3CA40E" w14:textId="77777777" w:rsidR="00F96291" w:rsidRPr="00F96291" w:rsidRDefault="00F96291" w:rsidP="00F96291">
            <w:pPr>
              <w:spacing w:after="0"/>
              <w:ind w:firstLine="0"/>
              <w:jc w:val="left"/>
              <w:rPr>
                <w:rFonts w:eastAsia="Calibri"/>
                <w:color w:val="000000"/>
                <w:sz w:val="20"/>
              </w:rPr>
            </w:pPr>
          </w:p>
        </w:tc>
        <w:tc>
          <w:tcPr>
            <w:tcW w:w="964" w:type="dxa"/>
            <w:tcBorders>
              <w:bottom w:val="double" w:sz="4" w:space="0" w:color="auto"/>
            </w:tcBorders>
            <w:tcMar>
              <w:top w:w="0" w:type="dxa"/>
              <w:left w:w="108" w:type="dxa"/>
              <w:bottom w:w="0" w:type="dxa"/>
              <w:right w:w="108" w:type="dxa"/>
            </w:tcMar>
            <w:hideMark/>
          </w:tcPr>
          <w:p w14:paraId="736E7038" w14:textId="77777777" w:rsidR="00F96291" w:rsidRPr="00F96291" w:rsidRDefault="00F96291" w:rsidP="00F96291">
            <w:pPr>
              <w:spacing w:after="0"/>
              <w:ind w:firstLine="0"/>
              <w:jc w:val="center"/>
              <w:rPr>
                <w:rFonts w:eastAsia="Calibri"/>
                <w:b/>
                <w:bCs/>
                <w:color w:val="000000"/>
                <w:sz w:val="20"/>
              </w:rPr>
            </w:pPr>
            <w:r w:rsidRPr="00F96291">
              <w:rPr>
                <w:rFonts w:eastAsia="Calibri"/>
                <w:b/>
                <w:bCs/>
                <w:color w:val="000000"/>
                <w:sz w:val="20"/>
                <w:lang w:eastAsia="lv-LV"/>
              </w:rPr>
              <w:t>2012</w:t>
            </w:r>
          </w:p>
        </w:tc>
        <w:tc>
          <w:tcPr>
            <w:tcW w:w="964" w:type="dxa"/>
            <w:tcBorders>
              <w:bottom w:val="double" w:sz="4" w:space="0" w:color="auto"/>
            </w:tcBorders>
            <w:tcMar>
              <w:top w:w="0" w:type="dxa"/>
              <w:left w:w="108" w:type="dxa"/>
              <w:bottom w:w="0" w:type="dxa"/>
              <w:right w:w="108" w:type="dxa"/>
            </w:tcMar>
            <w:hideMark/>
          </w:tcPr>
          <w:p w14:paraId="6ED40AF4" w14:textId="77777777" w:rsidR="00F96291" w:rsidRPr="00F96291" w:rsidRDefault="00F96291" w:rsidP="00F96291">
            <w:pPr>
              <w:spacing w:after="0"/>
              <w:ind w:firstLine="0"/>
              <w:jc w:val="center"/>
              <w:rPr>
                <w:rFonts w:eastAsia="Calibri"/>
                <w:b/>
                <w:bCs/>
                <w:color w:val="000000"/>
                <w:sz w:val="20"/>
              </w:rPr>
            </w:pPr>
            <w:r w:rsidRPr="00F96291">
              <w:rPr>
                <w:rFonts w:eastAsia="Calibri"/>
                <w:b/>
                <w:bCs/>
                <w:color w:val="000000"/>
                <w:sz w:val="20"/>
                <w:lang w:eastAsia="lv-LV"/>
              </w:rPr>
              <w:t>2013</w:t>
            </w:r>
          </w:p>
        </w:tc>
        <w:tc>
          <w:tcPr>
            <w:tcW w:w="893" w:type="dxa"/>
            <w:tcBorders>
              <w:bottom w:val="double" w:sz="4" w:space="0" w:color="auto"/>
            </w:tcBorders>
            <w:tcMar>
              <w:top w:w="0" w:type="dxa"/>
              <w:left w:w="108" w:type="dxa"/>
              <w:bottom w:w="0" w:type="dxa"/>
              <w:right w:w="108" w:type="dxa"/>
            </w:tcMar>
            <w:hideMark/>
          </w:tcPr>
          <w:p w14:paraId="57B52129" w14:textId="77777777" w:rsidR="00F96291" w:rsidRPr="00F96291" w:rsidRDefault="00F96291" w:rsidP="00F96291">
            <w:pPr>
              <w:spacing w:after="0"/>
              <w:ind w:firstLine="0"/>
              <w:jc w:val="center"/>
              <w:rPr>
                <w:rFonts w:eastAsia="Calibri"/>
                <w:b/>
                <w:bCs/>
                <w:color w:val="000000"/>
                <w:sz w:val="20"/>
              </w:rPr>
            </w:pPr>
            <w:r w:rsidRPr="00F96291">
              <w:rPr>
                <w:rFonts w:eastAsia="Calibri"/>
                <w:b/>
                <w:bCs/>
                <w:color w:val="000000"/>
                <w:sz w:val="20"/>
                <w:lang w:eastAsia="lv-LV"/>
              </w:rPr>
              <w:t>2014</w:t>
            </w:r>
          </w:p>
        </w:tc>
        <w:tc>
          <w:tcPr>
            <w:tcW w:w="1035" w:type="dxa"/>
            <w:tcBorders>
              <w:bottom w:val="double" w:sz="4" w:space="0" w:color="auto"/>
            </w:tcBorders>
            <w:tcMar>
              <w:top w:w="0" w:type="dxa"/>
              <w:left w:w="108" w:type="dxa"/>
              <w:bottom w:w="0" w:type="dxa"/>
              <w:right w:w="108" w:type="dxa"/>
            </w:tcMar>
            <w:hideMark/>
          </w:tcPr>
          <w:p w14:paraId="5AC5F8BC" w14:textId="77777777" w:rsidR="00F96291" w:rsidRPr="00F96291" w:rsidRDefault="00F96291" w:rsidP="00F96291">
            <w:pPr>
              <w:spacing w:after="0"/>
              <w:ind w:firstLine="0"/>
              <w:jc w:val="center"/>
              <w:rPr>
                <w:rFonts w:eastAsia="Calibri"/>
                <w:b/>
                <w:bCs/>
                <w:color w:val="000000"/>
                <w:sz w:val="20"/>
              </w:rPr>
            </w:pPr>
            <w:r w:rsidRPr="00F96291">
              <w:rPr>
                <w:rFonts w:eastAsia="Calibri"/>
                <w:b/>
                <w:bCs/>
                <w:color w:val="000000"/>
                <w:sz w:val="20"/>
                <w:lang w:eastAsia="lv-LV"/>
              </w:rPr>
              <w:t>2015</w:t>
            </w:r>
          </w:p>
        </w:tc>
        <w:tc>
          <w:tcPr>
            <w:tcW w:w="968" w:type="dxa"/>
            <w:tcBorders>
              <w:bottom w:val="double" w:sz="4" w:space="0" w:color="auto"/>
            </w:tcBorders>
            <w:tcMar>
              <w:top w:w="0" w:type="dxa"/>
              <w:left w:w="108" w:type="dxa"/>
              <w:bottom w:w="0" w:type="dxa"/>
              <w:right w:w="108" w:type="dxa"/>
            </w:tcMar>
            <w:hideMark/>
          </w:tcPr>
          <w:p w14:paraId="77E43223" w14:textId="77777777" w:rsidR="00F96291" w:rsidRPr="00F96291" w:rsidRDefault="00F96291" w:rsidP="00F96291">
            <w:pPr>
              <w:spacing w:after="0"/>
              <w:ind w:firstLine="0"/>
              <w:jc w:val="center"/>
              <w:rPr>
                <w:rFonts w:eastAsia="Calibri"/>
                <w:b/>
                <w:bCs/>
                <w:color w:val="000000"/>
                <w:sz w:val="20"/>
              </w:rPr>
            </w:pPr>
            <w:r w:rsidRPr="00F96291">
              <w:rPr>
                <w:rFonts w:eastAsia="Calibri"/>
                <w:b/>
                <w:bCs/>
                <w:color w:val="000000"/>
                <w:sz w:val="20"/>
                <w:lang w:eastAsia="lv-LV"/>
              </w:rPr>
              <w:t>2016</w:t>
            </w:r>
          </w:p>
        </w:tc>
      </w:tr>
      <w:tr w:rsidR="00F96291" w:rsidRPr="00F96291" w14:paraId="6912AC9C" w14:textId="77777777" w:rsidTr="008C7F19">
        <w:trPr>
          <w:jc w:val="center"/>
        </w:trPr>
        <w:tc>
          <w:tcPr>
            <w:tcW w:w="4147" w:type="dxa"/>
            <w:tcBorders>
              <w:bottom w:val="single" w:sz="8" w:space="0" w:color="auto"/>
            </w:tcBorders>
            <w:tcMar>
              <w:top w:w="0" w:type="dxa"/>
              <w:left w:w="108" w:type="dxa"/>
              <w:bottom w:w="0" w:type="dxa"/>
              <w:right w:w="108" w:type="dxa"/>
            </w:tcMar>
            <w:vAlign w:val="center"/>
            <w:hideMark/>
          </w:tcPr>
          <w:p w14:paraId="10BD7E3D"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 xml:space="preserve">Īstermiņa procentu likme </w:t>
            </w:r>
            <w:proofErr w:type="spellStart"/>
            <w:r w:rsidRPr="00F96291">
              <w:rPr>
                <w:rFonts w:eastAsia="Calibri"/>
                <w:color w:val="000000"/>
                <w:sz w:val="20"/>
                <w:lang w:eastAsia="lv-LV"/>
              </w:rPr>
              <w:t>eirozonā</w:t>
            </w:r>
            <w:proofErr w:type="spellEnd"/>
            <w:r w:rsidRPr="00F96291">
              <w:rPr>
                <w:rFonts w:eastAsia="Calibri"/>
                <w:color w:val="000000"/>
                <w:sz w:val="20"/>
                <w:lang w:eastAsia="lv-LV"/>
              </w:rPr>
              <w:t xml:space="preserve"> (gada vidējā)</w:t>
            </w:r>
          </w:p>
        </w:tc>
        <w:tc>
          <w:tcPr>
            <w:tcW w:w="964" w:type="dxa"/>
            <w:tcBorders>
              <w:bottom w:val="single" w:sz="8" w:space="0" w:color="auto"/>
              <w:right w:val="single" w:sz="8" w:space="0" w:color="auto"/>
            </w:tcBorders>
            <w:tcMar>
              <w:top w:w="0" w:type="dxa"/>
              <w:left w:w="108" w:type="dxa"/>
              <w:bottom w:w="0" w:type="dxa"/>
              <w:right w:w="108" w:type="dxa"/>
            </w:tcMar>
            <w:vAlign w:val="center"/>
          </w:tcPr>
          <w:p w14:paraId="50A0B04B"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0,57</w:t>
            </w:r>
          </w:p>
        </w:tc>
        <w:tc>
          <w:tcPr>
            <w:tcW w:w="964"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3F9807AF"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0,37</w:t>
            </w:r>
          </w:p>
        </w:tc>
        <w:tc>
          <w:tcPr>
            <w:tcW w:w="893"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466BA7A1"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0,67</w:t>
            </w:r>
          </w:p>
        </w:tc>
        <w:tc>
          <w:tcPr>
            <w:tcW w:w="1035"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2B0AAA46"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0,67</w:t>
            </w:r>
          </w:p>
        </w:tc>
        <w:tc>
          <w:tcPr>
            <w:tcW w:w="968" w:type="dxa"/>
            <w:tcBorders>
              <w:left w:val="single" w:sz="8" w:space="0" w:color="auto"/>
              <w:bottom w:val="single" w:sz="8" w:space="0" w:color="auto"/>
            </w:tcBorders>
            <w:tcMar>
              <w:top w:w="0" w:type="dxa"/>
              <w:left w:w="108" w:type="dxa"/>
              <w:bottom w:w="0" w:type="dxa"/>
              <w:right w:w="108" w:type="dxa"/>
            </w:tcMar>
            <w:vAlign w:val="center"/>
          </w:tcPr>
          <w:p w14:paraId="533310A7"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0,67</w:t>
            </w:r>
          </w:p>
        </w:tc>
      </w:tr>
      <w:tr w:rsidR="00F96291" w:rsidRPr="00F96291" w14:paraId="10C1A612" w14:textId="77777777" w:rsidTr="008C7F19">
        <w:trPr>
          <w:jc w:val="center"/>
        </w:trPr>
        <w:tc>
          <w:tcPr>
            <w:tcW w:w="4147" w:type="dxa"/>
            <w:tcBorders>
              <w:top w:val="single" w:sz="8" w:space="0" w:color="auto"/>
              <w:bottom w:val="single" w:sz="8" w:space="0" w:color="auto"/>
            </w:tcBorders>
            <w:tcMar>
              <w:top w:w="0" w:type="dxa"/>
              <w:left w:w="108" w:type="dxa"/>
              <w:bottom w:w="0" w:type="dxa"/>
              <w:right w:w="108" w:type="dxa"/>
            </w:tcMar>
            <w:vAlign w:val="center"/>
            <w:hideMark/>
          </w:tcPr>
          <w:p w14:paraId="0C74C3A0"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 xml:space="preserve">Ilgtermiņa procentu likme </w:t>
            </w:r>
            <w:proofErr w:type="spellStart"/>
            <w:r w:rsidRPr="00F96291">
              <w:rPr>
                <w:rFonts w:eastAsia="Calibri"/>
                <w:color w:val="000000"/>
                <w:sz w:val="20"/>
                <w:lang w:eastAsia="lv-LV"/>
              </w:rPr>
              <w:t>eirozonā</w:t>
            </w:r>
            <w:proofErr w:type="spellEnd"/>
            <w:r w:rsidRPr="00F96291">
              <w:rPr>
                <w:rFonts w:eastAsia="Calibri"/>
                <w:color w:val="000000"/>
                <w:sz w:val="20"/>
                <w:lang w:eastAsia="lv-LV"/>
              </w:rPr>
              <w:t xml:space="preserve"> (gada vidējā)</w:t>
            </w:r>
          </w:p>
        </w:tc>
        <w:tc>
          <w:tcPr>
            <w:tcW w:w="964"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76819AA0"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1,5</w:t>
            </w:r>
          </w:p>
        </w:tc>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515F398"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1,74</w:t>
            </w:r>
          </w:p>
        </w:tc>
        <w:tc>
          <w:tcPr>
            <w:tcW w:w="8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62EF7A5"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2,01</w:t>
            </w:r>
          </w:p>
        </w:tc>
        <w:tc>
          <w:tcPr>
            <w:tcW w:w="1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2DF3E39"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2,01</w:t>
            </w:r>
          </w:p>
        </w:tc>
        <w:tc>
          <w:tcPr>
            <w:tcW w:w="968" w:type="dxa"/>
            <w:tcBorders>
              <w:top w:val="single" w:sz="8" w:space="0" w:color="auto"/>
              <w:left w:val="single" w:sz="8" w:space="0" w:color="auto"/>
              <w:bottom w:val="single" w:sz="8" w:space="0" w:color="auto"/>
            </w:tcBorders>
            <w:tcMar>
              <w:top w:w="0" w:type="dxa"/>
              <w:left w:w="108" w:type="dxa"/>
              <w:bottom w:w="0" w:type="dxa"/>
              <w:right w:w="108" w:type="dxa"/>
            </w:tcMar>
            <w:vAlign w:val="center"/>
          </w:tcPr>
          <w:p w14:paraId="6962DCE8"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2,01</w:t>
            </w:r>
          </w:p>
        </w:tc>
      </w:tr>
      <w:tr w:rsidR="00F96291" w:rsidRPr="00F96291" w14:paraId="419589C9" w14:textId="77777777" w:rsidTr="008C7F19">
        <w:trPr>
          <w:jc w:val="center"/>
        </w:trPr>
        <w:tc>
          <w:tcPr>
            <w:tcW w:w="4147" w:type="dxa"/>
            <w:tcBorders>
              <w:top w:val="single" w:sz="8" w:space="0" w:color="auto"/>
              <w:bottom w:val="single" w:sz="8" w:space="0" w:color="auto"/>
            </w:tcBorders>
            <w:tcMar>
              <w:top w:w="0" w:type="dxa"/>
              <w:left w:w="108" w:type="dxa"/>
              <w:bottom w:w="0" w:type="dxa"/>
              <w:right w:w="108" w:type="dxa"/>
            </w:tcMar>
            <w:vAlign w:val="center"/>
            <w:hideMark/>
          </w:tcPr>
          <w:p w14:paraId="700CC8B1"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USD/EUR kurss (gada vidējais)</w:t>
            </w:r>
          </w:p>
        </w:tc>
        <w:tc>
          <w:tcPr>
            <w:tcW w:w="964"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357C2B6F"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1,28</w:t>
            </w:r>
          </w:p>
        </w:tc>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9B01FC"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1,35</w:t>
            </w:r>
          </w:p>
        </w:tc>
        <w:tc>
          <w:tcPr>
            <w:tcW w:w="8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0A81763"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1,35</w:t>
            </w:r>
          </w:p>
        </w:tc>
        <w:tc>
          <w:tcPr>
            <w:tcW w:w="1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95E7BD"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1,35</w:t>
            </w:r>
          </w:p>
        </w:tc>
        <w:tc>
          <w:tcPr>
            <w:tcW w:w="968" w:type="dxa"/>
            <w:tcBorders>
              <w:top w:val="single" w:sz="8" w:space="0" w:color="auto"/>
              <w:left w:val="single" w:sz="8" w:space="0" w:color="auto"/>
              <w:bottom w:val="single" w:sz="8" w:space="0" w:color="auto"/>
            </w:tcBorders>
            <w:tcMar>
              <w:top w:w="0" w:type="dxa"/>
              <w:left w:w="108" w:type="dxa"/>
              <w:bottom w:w="0" w:type="dxa"/>
              <w:right w:w="108" w:type="dxa"/>
            </w:tcMar>
            <w:vAlign w:val="center"/>
          </w:tcPr>
          <w:p w14:paraId="60E80F08"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1,35</w:t>
            </w:r>
          </w:p>
        </w:tc>
      </w:tr>
      <w:tr w:rsidR="00F96291" w:rsidRPr="00F96291" w14:paraId="24ECBD2D" w14:textId="77777777" w:rsidTr="008C7F19">
        <w:trPr>
          <w:jc w:val="center"/>
        </w:trPr>
        <w:tc>
          <w:tcPr>
            <w:tcW w:w="4147" w:type="dxa"/>
            <w:tcBorders>
              <w:top w:val="single" w:sz="8" w:space="0" w:color="auto"/>
              <w:bottom w:val="single" w:sz="8" w:space="0" w:color="auto"/>
            </w:tcBorders>
            <w:tcMar>
              <w:top w:w="0" w:type="dxa"/>
              <w:left w:w="108" w:type="dxa"/>
              <w:bottom w:w="0" w:type="dxa"/>
              <w:right w:w="108" w:type="dxa"/>
            </w:tcMar>
            <w:vAlign w:val="center"/>
            <w:hideMark/>
          </w:tcPr>
          <w:p w14:paraId="20D3C2BB"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Nominālais efektīvais maiņas kurss ES</w:t>
            </w:r>
          </w:p>
        </w:tc>
        <w:tc>
          <w:tcPr>
            <w:tcW w:w="964"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76E24A2F"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-5,3</w:t>
            </w:r>
          </w:p>
        </w:tc>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244ED80"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6,8</w:t>
            </w:r>
          </w:p>
        </w:tc>
        <w:tc>
          <w:tcPr>
            <w:tcW w:w="8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582E3B"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0,2</w:t>
            </w:r>
          </w:p>
        </w:tc>
        <w:tc>
          <w:tcPr>
            <w:tcW w:w="1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6F24209"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0,2</w:t>
            </w:r>
          </w:p>
        </w:tc>
        <w:tc>
          <w:tcPr>
            <w:tcW w:w="968" w:type="dxa"/>
            <w:tcBorders>
              <w:top w:val="single" w:sz="8" w:space="0" w:color="auto"/>
              <w:left w:val="single" w:sz="8" w:space="0" w:color="auto"/>
              <w:bottom w:val="single" w:sz="8" w:space="0" w:color="auto"/>
            </w:tcBorders>
            <w:tcMar>
              <w:top w:w="0" w:type="dxa"/>
              <w:left w:w="108" w:type="dxa"/>
              <w:bottom w:w="0" w:type="dxa"/>
              <w:right w:w="108" w:type="dxa"/>
            </w:tcMar>
            <w:vAlign w:val="center"/>
          </w:tcPr>
          <w:p w14:paraId="66DC1A60"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0,2</w:t>
            </w:r>
          </w:p>
        </w:tc>
      </w:tr>
      <w:tr w:rsidR="00F96291" w:rsidRPr="00F96291" w14:paraId="2C965994" w14:textId="77777777" w:rsidTr="008C7F19">
        <w:trPr>
          <w:jc w:val="center"/>
        </w:trPr>
        <w:tc>
          <w:tcPr>
            <w:tcW w:w="4147" w:type="dxa"/>
            <w:tcBorders>
              <w:top w:val="single" w:sz="8" w:space="0" w:color="auto"/>
              <w:bottom w:val="single" w:sz="8" w:space="0" w:color="auto"/>
            </w:tcBorders>
            <w:tcMar>
              <w:top w:w="0" w:type="dxa"/>
              <w:left w:w="108" w:type="dxa"/>
              <w:bottom w:w="0" w:type="dxa"/>
              <w:right w:w="108" w:type="dxa"/>
            </w:tcMar>
            <w:vAlign w:val="center"/>
            <w:hideMark/>
          </w:tcPr>
          <w:p w14:paraId="29223B32"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Pasaules IKP, izņemot ES, pieaugums salīdzināmās cenās, %</w:t>
            </w:r>
          </w:p>
        </w:tc>
        <w:tc>
          <w:tcPr>
            <w:tcW w:w="964"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2145AA75"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3,9</w:t>
            </w:r>
          </w:p>
        </w:tc>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8A91450"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4,0</w:t>
            </w:r>
          </w:p>
        </w:tc>
        <w:tc>
          <w:tcPr>
            <w:tcW w:w="8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97CF151"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4,5</w:t>
            </w:r>
          </w:p>
        </w:tc>
        <w:tc>
          <w:tcPr>
            <w:tcW w:w="1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942895E"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4,5</w:t>
            </w:r>
          </w:p>
        </w:tc>
        <w:tc>
          <w:tcPr>
            <w:tcW w:w="968" w:type="dxa"/>
            <w:tcBorders>
              <w:top w:val="single" w:sz="8" w:space="0" w:color="auto"/>
              <w:left w:val="single" w:sz="8" w:space="0" w:color="auto"/>
              <w:bottom w:val="single" w:sz="8" w:space="0" w:color="auto"/>
            </w:tcBorders>
            <w:tcMar>
              <w:top w:w="0" w:type="dxa"/>
              <w:left w:w="108" w:type="dxa"/>
              <w:bottom w:w="0" w:type="dxa"/>
              <w:right w:w="108" w:type="dxa"/>
            </w:tcMar>
            <w:vAlign w:val="center"/>
          </w:tcPr>
          <w:p w14:paraId="789CA5EC"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4,5</w:t>
            </w:r>
          </w:p>
        </w:tc>
      </w:tr>
      <w:tr w:rsidR="00F96291" w:rsidRPr="00F96291" w14:paraId="6A676254" w14:textId="77777777" w:rsidTr="008C7F19">
        <w:trPr>
          <w:trHeight w:val="189"/>
          <w:jc w:val="center"/>
        </w:trPr>
        <w:tc>
          <w:tcPr>
            <w:tcW w:w="4147" w:type="dxa"/>
            <w:tcBorders>
              <w:top w:val="single" w:sz="8" w:space="0" w:color="auto"/>
              <w:bottom w:val="single" w:sz="8" w:space="0" w:color="auto"/>
            </w:tcBorders>
            <w:tcMar>
              <w:top w:w="0" w:type="dxa"/>
              <w:left w:w="108" w:type="dxa"/>
              <w:bottom w:w="0" w:type="dxa"/>
              <w:right w:w="108" w:type="dxa"/>
            </w:tcMar>
            <w:vAlign w:val="center"/>
            <w:hideMark/>
          </w:tcPr>
          <w:p w14:paraId="1EF74C93"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ES IKP pieaugums salīdzināmās cenās, %</w:t>
            </w:r>
          </w:p>
        </w:tc>
        <w:tc>
          <w:tcPr>
            <w:tcW w:w="964"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104153A9"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-0,3</w:t>
            </w:r>
          </w:p>
        </w:tc>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5332CF9"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0,1</w:t>
            </w:r>
          </w:p>
        </w:tc>
        <w:tc>
          <w:tcPr>
            <w:tcW w:w="8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751173D"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1,6</w:t>
            </w:r>
          </w:p>
        </w:tc>
        <w:tc>
          <w:tcPr>
            <w:tcW w:w="1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F53D46"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1,6</w:t>
            </w:r>
          </w:p>
        </w:tc>
        <w:tc>
          <w:tcPr>
            <w:tcW w:w="968" w:type="dxa"/>
            <w:tcBorders>
              <w:top w:val="single" w:sz="8" w:space="0" w:color="auto"/>
              <w:left w:val="single" w:sz="8" w:space="0" w:color="auto"/>
              <w:bottom w:val="single" w:sz="8" w:space="0" w:color="auto"/>
            </w:tcBorders>
            <w:tcMar>
              <w:top w:w="0" w:type="dxa"/>
              <w:left w:w="108" w:type="dxa"/>
              <w:bottom w:w="0" w:type="dxa"/>
              <w:right w:w="108" w:type="dxa"/>
            </w:tcMar>
            <w:vAlign w:val="center"/>
          </w:tcPr>
          <w:p w14:paraId="773C9685"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1,6</w:t>
            </w:r>
          </w:p>
        </w:tc>
      </w:tr>
      <w:tr w:rsidR="00F96291" w:rsidRPr="00F96291" w14:paraId="292A01EE" w14:textId="77777777" w:rsidTr="008C7F19">
        <w:trPr>
          <w:jc w:val="center"/>
        </w:trPr>
        <w:tc>
          <w:tcPr>
            <w:tcW w:w="4147" w:type="dxa"/>
            <w:tcBorders>
              <w:top w:val="single" w:sz="8" w:space="0" w:color="auto"/>
              <w:bottom w:val="single" w:sz="8" w:space="0" w:color="auto"/>
            </w:tcBorders>
            <w:tcMar>
              <w:top w:w="0" w:type="dxa"/>
              <w:left w:w="108" w:type="dxa"/>
              <w:bottom w:w="0" w:type="dxa"/>
              <w:right w:w="108" w:type="dxa"/>
            </w:tcMar>
            <w:vAlign w:val="center"/>
            <w:hideMark/>
          </w:tcPr>
          <w:p w14:paraId="1B340DA7" w14:textId="77777777" w:rsidR="00F96291" w:rsidRPr="00F96291" w:rsidRDefault="00F96291" w:rsidP="00F96291">
            <w:pPr>
              <w:spacing w:after="0"/>
              <w:ind w:firstLine="0"/>
              <w:jc w:val="left"/>
              <w:rPr>
                <w:rFonts w:eastAsia="Calibri"/>
                <w:color w:val="000000"/>
                <w:sz w:val="20"/>
                <w:lang w:eastAsia="lv-LV"/>
              </w:rPr>
            </w:pPr>
            <w:r w:rsidRPr="00F96291">
              <w:rPr>
                <w:rFonts w:eastAsia="Calibri"/>
                <w:color w:val="000000"/>
                <w:sz w:val="20"/>
                <w:lang w:eastAsia="lv-LV"/>
              </w:rPr>
              <w:t>Pasaules preču un pakalpojumu tirdzniecības apjomu izmaiņas ES eksporta tirgos, izslēdzot ES, %</w:t>
            </w:r>
          </w:p>
        </w:tc>
        <w:tc>
          <w:tcPr>
            <w:tcW w:w="964"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36FC910A"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4,9</w:t>
            </w:r>
          </w:p>
        </w:tc>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2551084"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4,6</w:t>
            </w:r>
          </w:p>
        </w:tc>
        <w:tc>
          <w:tcPr>
            <w:tcW w:w="8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467504C"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5,8</w:t>
            </w:r>
          </w:p>
        </w:tc>
        <w:tc>
          <w:tcPr>
            <w:tcW w:w="1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A806439"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5,8</w:t>
            </w:r>
          </w:p>
        </w:tc>
        <w:tc>
          <w:tcPr>
            <w:tcW w:w="968" w:type="dxa"/>
            <w:tcBorders>
              <w:top w:val="single" w:sz="8" w:space="0" w:color="auto"/>
              <w:left w:val="single" w:sz="8" w:space="0" w:color="auto"/>
              <w:bottom w:val="single" w:sz="8" w:space="0" w:color="auto"/>
            </w:tcBorders>
            <w:tcMar>
              <w:top w:w="0" w:type="dxa"/>
              <w:left w:w="108" w:type="dxa"/>
              <w:bottom w:w="0" w:type="dxa"/>
              <w:right w:w="108" w:type="dxa"/>
            </w:tcMar>
            <w:vAlign w:val="center"/>
          </w:tcPr>
          <w:p w14:paraId="5A91DF22"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5,8</w:t>
            </w:r>
          </w:p>
        </w:tc>
      </w:tr>
      <w:tr w:rsidR="00F96291" w:rsidRPr="00F96291" w14:paraId="653AA83E" w14:textId="77777777" w:rsidTr="008C7F19">
        <w:trPr>
          <w:jc w:val="center"/>
        </w:trPr>
        <w:tc>
          <w:tcPr>
            <w:tcW w:w="4147" w:type="dxa"/>
            <w:tcBorders>
              <w:top w:val="single" w:sz="8" w:space="0" w:color="auto"/>
              <w:bottom w:val="single" w:sz="8" w:space="0" w:color="auto"/>
            </w:tcBorders>
            <w:tcMar>
              <w:top w:w="0" w:type="dxa"/>
              <w:left w:w="108" w:type="dxa"/>
              <w:bottom w:w="0" w:type="dxa"/>
              <w:right w:w="108" w:type="dxa"/>
            </w:tcMar>
            <w:vAlign w:val="center"/>
            <w:hideMark/>
          </w:tcPr>
          <w:p w14:paraId="4B98D47D"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Pasaules preču un pakalpojumu importa apjomu izmaiņas, izslēdzot ES, %</w:t>
            </w:r>
          </w:p>
        </w:tc>
        <w:tc>
          <w:tcPr>
            <w:tcW w:w="964"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411C8EC2"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4,0</w:t>
            </w:r>
          </w:p>
        </w:tc>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F9D9006"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4,2</w:t>
            </w:r>
          </w:p>
        </w:tc>
        <w:tc>
          <w:tcPr>
            <w:tcW w:w="8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AB376E"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6,0</w:t>
            </w:r>
          </w:p>
        </w:tc>
        <w:tc>
          <w:tcPr>
            <w:tcW w:w="10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57A5D89"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6,0</w:t>
            </w:r>
          </w:p>
        </w:tc>
        <w:tc>
          <w:tcPr>
            <w:tcW w:w="968" w:type="dxa"/>
            <w:tcBorders>
              <w:top w:val="single" w:sz="8" w:space="0" w:color="auto"/>
              <w:left w:val="single" w:sz="8" w:space="0" w:color="auto"/>
              <w:bottom w:val="single" w:sz="8" w:space="0" w:color="auto"/>
            </w:tcBorders>
            <w:tcMar>
              <w:top w:w="0" w:type="dxa"/>
              <w:left w:w="108" w:type="dxa"/>
              <w:bottom w:w="0" w:type="dxa"/>
              <w:right w:w="108" w:type="dxa"/>
            </w:tcMar>
            <w:vAlign w:val="center"/>
          </w:tcPr>
          <w:p w14:paraId="72634428"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6,0</w:t>
            </w:r>
          </w:p>
        </w:tc>
      </w:tr>
      <w:tr w:rsidR="00F96291" w:rsidRPr="00F96291" w14:paraId="2D6B09C0" w14:textId="77777777" w:rsidTr="008C7F19">
        <w:trPr>
          <w:jc w:val="center"/>
        </w:trPr>
        <w:tc>
          <w:tcPr>
            <w:tcW w:w="4147" w:type="dxa"/>
            <w:tcBorders>
              <w:top w:val="single" w:sz="8" w:space="0" w:color="auto"/>
            </w:tcBorders>
            <w:tcMar>
              <w:top w:w="0" w:type="dxa"/>
              <w:left w:w="108" w:type="dxa"/>
              <w:bottom w:w="0" w:type="dxa"/>
              <w:right w:w="108" w:type="dxa"/>
            </w:tcMar>
            <w:vAlign w:val="center"/>
            <w:hideMark/>
          </w:tcPr>
          <w:p w14:paraId="16553A27" w14:textId="77777777" w:rsidR="00F96291" w:rsidRPr="00F96291" w:rsidRDefault="00F96291" w:rsidP="00F96291">
            <w:pPr>
              <w:spacing w:after="0"/>
              <w:ind w:firstLine="0"/>
              <w:jc w:val="left"/>
              <w:rPr>
                <w:rFonts w:eastAsia="Calibri"/>
                <w:color w:val="000000"/>
                <w:sz w:val="20"/>
              </w:rPr>
            </w:pPr>
            <w:r w:rsidRPr="00F96291">
              <w:rPr>
                <w:rFonts w:eastAsia="Calibri"/>
                <w:color w:val="000000"/>
                <w:sz w:val="20"/>
                <w:lang w:eastAsia="lv-LV"/>
              </w:rPr>
              <w:t>Naftas cena (</w:t>
            </w:r>
            <w:proofErr w:type="spellStart"/>
            <w:r w:rsidRPr="00F96291">
              <w:rPr>
                <w:rFonts w:eastAsia="Calibri"/>
                <w:color w:val="000000"/>
                <w:sz w:val="20"/>
                <w:lang w:eastAsia="lv-LV"/>
              </w:rPr>
              <w:t>Brent</w:t>
            </w:r>
            <w:proofErr w:type="spellEnd"/>
            <w:r w:rsidRPr="00F96291">
              <w:rPr>
                <w:rFonts w:eastAsia="Calibri"/>
                <w:color w:val="000000"/>
                <w:sz w:val="20"/>
                <w:lang w:eastAsia="lv-LV"/>
              </w:rPr>
              <w:t>, USD par barelu)</w:t>
            </w:r>
          </w:p>
        </w:tc>
        <w:tc>
          <w:tcPr>
            <w:tcW w:w="964" w:type="dxa"/>
            <w:tcBorders>
              <w:top w:val="single" w:sz="8" w:space="0" w:color="auto"/>
              <w:right w:val="single" w:sz="8" w:space="0" w:color="auto"/>
            </w:tcBorders>
            <w:tcMar>
              <w:top w:w="0" w:type="dxa"/>
              <w:left w:w="108" w:type="dxa"/>
              <w:bottom w:w="0" w:type="dxa"/>
              <w:right w:w="108" w:type="dxa"/>
            </w:tcMar>
            <w:vAlign w:val="center"/>
          </w:tcPr>
          <w:p w14:paraId="5EA4A5A9"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111,8</w:t>
            </w:r>
          </w:p>
        </w:tc>
        <w:tc>
          <w:tcPr>
            <w:tcW w:w="964" w:type="dxa"/>
            <w:tcBorders>
              <w:top w:val="single" w:sz="8" w:space="0" w:color="auto"/>
              <w:left w:val="single" w:sz="8" w:space="0" w:color="auto"/>
              <w:right w:val="single" w:sz="8" w:space="0" w:color="auto"/>
            </w:tcBorders>
            <w:tcMar>
              <w:top w:w="0" w:type="dxa"/>
              <w:left w:w="108" w:type="dxa"/>
              <w:bottom w:w="0" w:type="dxa"/>
              <w:right w:w="108" w:type="dxa"/>
            </w:tcMar>
            <w:vAlign w:val="center"/>
          </w:tcPr>
          <w:p w14:paraId="6D7426C6"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113,7</w:t>
            </w:r>
          </w:p>
        </w:tc>
        <w:tc>
          <w:tcPr>
            <w:tcW w:w="893" w:type="dxa"/>
            <w:tcBorders>
              <w:top w:val="single" w:sz="8" w:space="0" w:color="auto"/>
              <w:left w:val="single" w:sz="8" w:space="0" w:color="auto"/>
              <w:right w:val="single" w:sz="8" w:space="0" w:color="auto"/>
            </w:tcBorders>
            <w:tcMar>
              <w:top w:w="0" w:type="dxa"/>
              <w:left w:w="108" w:type="dxa"/>
              <w:bottom w:w="0" w:type="dxa"/>
              <w:right w:w="108" w:type="dxa"/>
            </w:tcMar>
            <w:vAlign w:val="center"/>
          </w:tcPr>
          <w:p w14:paraId="1C0066BA"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106,4</w:t>
            </w:r>
          </w:p>
        </w:tc>
        <w:tc>
          <w:tcPr>
            <w:tcW w:w="1035" w:type="dxa"/>
            <w:tcBorders>
              <w:top w:val="single" w:sz="8" w:space="0" w:color="auto"/>
              <w:left w:val="single" w:sz="8" w:space="0" w:color="auto"/>
              <w:right w:val="single" w:sz="8" w:space="0" w:color="auto"/>
            </w:tcBorders>
            <w:tcMar>
              <w:top w:w="0" w:type="dxa"/>
              <w:left w:w="108" w:type="dxa"/>
              <w:bottom w:w="0" w:type="dxa"/>
              <w:right w:w="108" w:type="dxa"/>
            </w:tcMar>
            <w:vAlign w:val="center"/>
          </w:tcPr>
          <w:p w14:paraId="5671BD85"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106,4</w:t>
            </w:r>
          </w:p>
        </w:tc>
        <w:tc>
          <w:tcPr>
            <w:tcW w:w="968" w:type="dxa"/>
            <w:tcBorders>
              <w:top w:val="single" w:sz="8" w:space="0" w:color="auto"/>
              <w:left w:val="single" w:sz="8" w:space="0" w:color="auto"/>
            </w:tcBorders>
            <w:tcMar>
              <w:top w:w="0" w:type="dxa"/>
              <w:left w:w="108" w:type="dxa"/>
              <w:bottom w:w="0" w:type="dxa"/>
              <w:right w:w="108" w:type="dxa"/>
            </w:tcMar>
            <w:vAlign w:val="center"/>
          </w:tcPr>
          <w:p w14:paraId="648069E3" w14:textId="77777777" w:rsidR="00F96291" w:rsidRPr="00F96291" w:rsidRDefault="00F96291" w:rsidP="00F96291">
            <w:pPr>
              <w:spacing w:after="0" w:line="360" w:lineRule="auto"/>
              <w:ind w:firstLine="0"/>
              <w:jc w:val="center"/>
              <w:rPr>
                <w:rFonts w:eastAsia="Calibri"/>
                <w:color w:val="000000"/>
                <w:sz w:val="20"/>
              </w:rPr>
            </w:pPr>
            <w:r w:rsidRPr="00F96291">
              <w:rPr>
                <w:rFonts w:eastAsia="Calibri"/>
                <w:color w:val="000000"/>
                <w:sz w:val="20"/>
              </w:rPr>
              <w:t>106,4</w:t>
            </w:r>
          </w:p>
        </w:tc>
      </w:tr>
    </w:tbl>
    <w:p w14:paraId="7E61CDE2" w14:textId="77777777" w:rsidR="002D62B9" w:rsidRPr="001946E0" w:rsidRDefault="002D62B9" w:rsidP="002D62B9">
      <w:pPr>
        <w:pStyle w:val="T"/>
        <w:rPr>
          <w:rFonts w:ascii="Times New Roman" w:hAnsi="Times New Roman"/>
          <w:b w:val="0"/>
          <w:color w:val="000000"/>
        </w:rPr>
      </w:pPr>
    </w:p>
    <w:p w14:paraId="09244DB7" w14:textId="77777777" w:rsidR="002D62B9" w:rsidRPr="001946E0" w:rsidRDefault="002D62B9" w:rsidP="002D62B9">
      <w:pPr>
        <w:rPr>
          <w:color w:val="000000"/>
        </w:rPr>
      </w:pPr>
    </w:p>
    <w:p w14:paraId="24EDA54E" w14:textId="77777777" w:rsidR="00F90EBD" w:rsidRDefault="00F90EBD" w:rsidP="00A757D2">
      <w:pPr>
        <w:tabs>
          <w:tab w:val="left" w:pos="6804"/>
        </w:tabs>
        <w:ind w:firstLine="0"/>
        <w:rPr>
          <w:color w:val="000000"/>
          <w:szCs w:val="24"/>
        </w:rPr>
      </w:pPr>
    </w:p>
    <w:p w14:paraId="4BEB7268" w14:textId="77777777" w:rsidR="00F90EBD" w:rsidRDefault="00F90EBD" w:rsidP="00A757D2">
      <w:pPr>
        <w:tabs>
          <w:tab w:val="left" w:pos="6804"/>
        </w:tabs>
        <w:ind w:firstLine="0"/>
        <w:rPr>
          <w:color w:val="000000"/>
          <w:szCs w:val="24"/>
        </w:rPr>
      </w:pPr>
    </w:p>
    <w:p w14:paraId="2290EE27" w14:textId="77777777" w:rsidR="00F90EBD" w:rsidRDefault="00F90EBD" w:rsidP="00A757D2">
      <w:pPr>
        <w:tabs>
          <w:tab w:val="left" w:pos="6804"/>
        </w:tabs>
        <w:ind w:firstLine="0"/>
        <w:rPr>
          <w:color w:val="000000"/>
          <w:szCs w:val="24"/>
        </w:rPr>
      </w:pPr>
    </w:p>
    <w:p w14:paraId="630FD9EF" w14:textId="77777777" w:rsidR="00A757D2" w:rsidRDefault="00A757D2" w:rsidP="00A757D2">
      <w:pPr>
        <w:tabs>
          <w:tab w:val="left" w:pos="6804"/>
        </w:tabs>
        <w:ind w:firstLine="0"/>
        <w:rPr>
          <w:szCs w:val="26"/>
        </w:rPr>
      </w:pPr>
      <w:r w:rsidRPr="001946E0">
        <w:rPr>
          <w:color w:val="000000"/>
          <w:szCs w:val="24"/>
        </w:rPr>
        <w:t xml:space="preserve">Finanšu ministrs </w:t>
      </w:r>
      <w:r w:rsidRPr="001946E0">
        <w:rPr>
          <w:color w:val="000000"/>
          <w:szCs w:val="24"/>
        </w:rPr>
        <w:tab/>
      </w:r>
      <w:r w:rsidRPr="001946E0">
        <w:rPr>
          <w:color w:val="000000"/>
          <w:szCs w:val="24"/>
        </w:rPr>
        <w:tab/>
      </w:r>
      <w:r>
        <w:rPr>
          <w:color w:val="000000"/>
          <w:szCs w:val="24"/>
        </w:rPr>
        <w:tab/>
      </w:r>
      <w:r w:rsidRPr="001946E0">
        <w:rPr>
          <w:color w:val="000000"/>
          <w:szCs w:val="24"/>
        </w:rPr>
        <w:t>A.Vilks</w:t>
      </w:r>
    </w:p>
    <w:p w14:paraId="50C62DA3" w14:textId="77777777" w:rsidR="002D62B9" w:rsidRDefault="002D62B9" w:rsidP="002D62B9">
      <w:pPr>
        <w:rPr>
          <w:color w:val="000000"/>
        </w:rPr>
      </w:pPr>
    </w:p>
    <w:p w14:paraId="4336FDE5" w14:textId="77777777" w:rsidR="00A757D2" w:rsidRDefault="00A757D2" w:rsidP="002D62B9">
      <w:pPr>
        <w:rPr>
          <w:color w:val="000000"/>
        </w:rPr>
      </w:pPr>
    </w:p>
    <w:p w14:paraId="2FB705E8" w14:textId="77777777" w:rsidR="00A757D2" w:rsidRDefault="00A757D2" w:rsidP="002D62B9">
      <w:pPr>
        <w:rPr>
          <w:color w:val="000000"/>
        </w:rPr>
      </w:pPr>
    </w:p>
    <w:p w14:paraId="1B6A70FF" w14:textId="77777777" w:rsidR="00A757D2" w:rsidRDefault="00A757D2" w:rsidP="002D62B9">
      <w:pPr>
        <w:rPr>
          <w:color w:val="000000"/>
        </w:rPr>
      </w:pPr>
    </w:p>
    <w:p w14:paraId="5D7DA6B3" w14:textId="77777777" w:rsidR="00A757D2" w:rsidRDefault="00A757D2" w:rsidP="002D62B9">
      <w:pPr>
        <w:rPr>
          <w:color w:val="000000"/>
        </w:rPr>
      </w:pPr>
    </w:p>
    <w:p w14:paraId="1742AB9E" w14:textId="77777777" w:rsidR="0030645A" w:rsidRDefault="0030645A" w:rsidP="00A757D2">
      <w:pPr>
        <w:pStyle w:val="Header"/>
        <w:spacing w:after="0"/>
        <w:ind w:firstLine="0"/>
        <w:rPr>
          <w:sz w:val="20"/>
          <w:lang w:val="lv-LV"/>
        </w:rPr>
      </w:pPr>
      <w:r>
        <w:rPr>
          <w:sz w:val="20"/>
        </w:rPr>
        <w:t>25.04.2013 16:13</w:t>
      </w:r>
    </w:p>
    <w:p w14:paraId="5603883B" w14:textId="1E2548CA" w:rsidR="00A757D2" w:rsidRPr="0015337F" w:rsidRDefault="00F90EBD" w:rsidP="00A757D2">
      <w:pPr>
        <w:pStyle w:val="Header"/>
        <w:spacing w:after="0"/>
        <w:ind w:firstLine="0"/>
        <w:rPr>
          <w:sz w:val="20"/>
        </w:rPr>
      </w:pPr>
      <w:r>
        <w:rPr>
          <w:sz w:val="20"/>
          <w:lang w:val="de-DE"/>
        </w:rPr>
        <w:t>31 40</w:t>
      </w:r>
      <w:r w:rsidR="00A05904">
        <w:rPr>
          <w:sz w:val="20"/>
          <w:lang w:val="de-DE"/>
        </w:rPr>
        <w:t>4</w:t>
      </w:r>
    </w:p>
    <w:p w14:paraId="608E215D" w14:textId="77777777" w:rsidR="00A757D2" w:rsidRPr="0015337F" w:rsidRDefault="00A757D2" w:rsidP="00A757D2">
      <w:pPr>
        <w:spacing w:after="0"/>
        <w:ind w:firstLine="0"/>
        <w:rPr>
          <w:color w:val="000000"/>
          <w:sz w:val="20"/>
        </w:rPr>
      </w:pPr>
      <w:r w:rsidRPr="0015337F">
        <w:rPr>
          <w:sz w:val="20"/>
        </w:rPr>
        <w:t>Anda Apse</w:t>
      </w:r>
      <w:r w:rsidRPr="0015337F">
        <w:rPr>
          <w:color w:val="000000"/>
          <w:sz w:val="20"/>
        </w:rPr>
        <w:t xml:space="preserve"> </w:t>
      </w:r>
    </w:p>
    <w:p w14:paraId="47A2D622" w14:textId="77777777" w:rsidR="00A757D2" w:rsidRPr="0015337F" w:rsidRDefault="00A757D2" w:rsidP="00A757D2">
      <w:pPr>
        <w:spacing w:after="0"/>
        <w:ind w:firstLine="0"/>
        <w:rPr>
          <w:color w:val="000000"/>
          <w:sz w:val="20"/>
        </w:rPr>
      </w:pPr>
      <w:r w:rsidRPr="0015337F">
        <w:rPr>
          <w:color w:val="000000"/>
          <w:sz w:val="20"/>
        </w:rPr>
        <w:t xml:space="preserve">67083887, </w:t>
      </w:r>
      <w:hyperlink r:id="rId75" w:history="1">
        <w:r w:rsidRPr="0015337F">
          <w:rPr>
            <w:rStyle w:val="Hyperlink"/>
            <w:sz w:val="20"/>
          </w:rPr>
          <w:t>Anda.Apse@fm.gov.lv</w:t>
        </w:r>
      </w:hyperlink>
    </w:p>
    <w:p w14:paraId="266E7F24" w14:textId="77777777" w:rsidR="00D83AC8" w:rsidRDefault="00D83AC8" w:rsidP="0015337F">
      <w:pPr>
        <w:tabs>
          <w:tab w:val="left" w:pos="6804"/>
        </w:tabs>
        <w:spacing w:after="0"/>
        <w:ind w:firstLine="0"/>
        <w:rPr>
          <w:szCs w:val="26"/>
        </w:rPr>
      </w:pPr>
    </w:p>
    <w:sectPr w:rsidR="00D83AC8" w:rsidSect="00F90EBD">
      <w:footerReference w:type="default" r:id="rId76"/>
      <w:pgSz w:w="11906" w:h="16838"/>
      <w:pgMar w:top="1418" w:right="1134" w:bottom="1134" w:left="1701" w:header="709" w:footer="2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B37A54" w15:done="0"/>
  <w15:commentEx w15:paraId="28FDCC94" w15:done="0"/>
  <w15:commentEx w15:paraId="60BFF1C5" w15:done="0"/>
  <w15:commentEx w15:paraId="3EAB00F0" w15:done="0"/>
  <w15:commentEx w15:paraId="414FC005" w15:done="0"/>
  <w15:commentEx w15:paraId="2B8648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6A30E" w14:textId="77777777" w:rsidR="008C62DB" w:rsidRDefault="008C62DB" w:rsidP="000F6956">
      <w:pPr>
        <w:spacing w:after="0"/>
      </w:pPr>
      <w:r>
        <w:separator/>
      </w:r>
    </w:p>
    <w:p w14:paraId="3D6A4918" w14:textId="77777777" w:rsidR="008C62DB" w:rsidRDefault="008C62DB"/>
  </w:endnote>
  <w:endnote w:type="continuationSeparator" w:id="0">
    <w:p w14:paraId="0A656359" w14:textId="77777777" w:rsidR="008C62DB" w:rsidRDefault="008C62DB" w:rsidP="000F6956">
      <w:pPr>
        <w:spacing w:after="0"/>
      </w:pPr>
      <w:r>
        <w:continuationSeparator/>
      </w:r>
    </w:p>
    <w:p w14:paraId="6EA0F378" w14:textId="77777777" w:rsidR="008C62DB" w:rsidRDefault="008C62DB"/>
  </w:endnote>
  <w:endnote w:type="continuationNotice" w:id="1">
    <w:p w14:paraId="085261DE" w14:textId="77777777" w:rsidR="008C62DB" w:rsidRDefault="008C62DB">
      <w:pPr>
        <w:spacing w:after="0"/>
      </w:pPr>
    </w:p>
    <w:p w14:paraId="5B81338D" w14:textId="77777777" w:rsidR="008C62DB" w:rsidRDefault="008C6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mn-ea">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9FF34" w14:textId="5710FA42" w:rsidR="008C62DB" w:rsidRPr="00E2547E" w:rsidRDefault="008C62DB" w:rsidP="00FF3965">
    <w:pPr>
      <w:pStyle w:val="Footer"/>
      <w:ind w:firstLine="0"/>
      <w:rPr>
        <w:sz w:val="20"/>
        <w:lang w:val="lv-LV"/>
      </w:rPr>
    </w:pPr>
    <w:r w:rsidRPr="00E2547E">
      <w:rPr>
        <w:sz w:val="20"/>
        <w:lang w:val="lv-LV"/>
      </w:rPr>
      <w:t>FMZino_</w:t>
    </w:r>
    <w:r>
      <w:rPr>
        <w:sz w:val="20"/>
        <w:lang w:val="lv-LV"/>
      </w:rPr>
      <w:t>250413_Konv; Latvijas Konverģences programma 2013.-2016. gadam</w:t>
    </w:r>
  </w:p>
  <w:p w14:paraId="17403839" w14:textId="77777777" w:rsidR="008C62DB" w:rsidRDefault="008C62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952753"/>
      <w:docPartObj>
        <w:docPartGallery w:val="Page Numbers (Bottom of Page)"/>
        <w:docPartUnique/>
      </w:docPartObj>
    </w:sdtPr>
    <w:sdtEndPr/>
    <w:sdtContent>
      <w:p w14:paraId="7E131FFA" w14:textId="77777777" w:rsidR="008C62DB" w:rsidRPr="00E2547E" w:rsidRDefault="008C62DB" w:rsidP="00703119">
        <w:pPr>
          <w:pStyle w:val="Footer"/>
          <w:ind w:firstLine="0"/>
          <w:rPr>
            <w:sz w:val="20"/>
            <w:lang w:val="lv-LV"/>
          </w:rPr>
        </w:pPr>
        <w:r w:rsidRPr="00E2547E">
          <w:rPr>
            <w:sz w:val="20"/>
            <w:lang w:val="lv-LV"/>
          </w:rPr>
          <w:t>FMZino_</w:t>
        </w:r>
        <w:r>
          <w:rPr>
            <w:sz w:val="20"/>
            <w:lang w:val="lv-LV"/>
          </w:rPr>
          <w:t>250413_Konv; Latvijas Konverģences programma 2013.-2016. gadam</w:t>
        </w:r>
      </w:p>
      <w:p w14:paraId="0CD74E56" w14:textId="77777777" w:rsidR="008C62DB" w:rsidRDefault="008C62DB" w:rsidP="00D615DF">
        <w:pPr>
          <w:pStyle w:val="Footer"/>
          <w:jc w:val="right"/>
        </w:pPr>
        <w:r>
          <w:t xml:space="preserve">                                                    </w:t>
        </w:r>
        <w:r>
          <w:fldChar w:fldCharType="begin"/>
        </w:r>
        <w:r>
          <w:instrText xml:space="preserve"> PAGE   \* MERGEFORMAT </w:instrText>
        </w:r>
        <w:r>
          <w:fldChar w:fldCharType="separate"/>
        </w:r>
        <w:r w:rsidR="00796989">
          <w:rPr>
            <w:noProof/>
          </w:rPr>
          <w:t>89</w:t>
        </w:r>
        <w:r>
          <w:rPr>
            <w:noProof/>
          </w:rPr>
          <w:fldChar w:fldCharType="end"/>
        </w:r>
      </w:p>
    </w:sdtContent>
  </w:sdt>
  <w:p w14:paraId="3AE4E048" w14:textId="77777777" w:rsidR="008C62DB" w:rsidRDefault="008C6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3AAB6" w14:textId="77777777" w:rsidR="008C62DB" w:rsidRDefault="008C62DB" w:rsidP="000F6956">
      <w:pPr>
        <w:spacing w:after="0"/>
      </w:pPr>
      <w:r>
        <w:separator/>
      </w:r>
    </w:p>
    <w:p w14:paraId="7B58CDA6" w14:textId="77777777" w:rsidR="008C62DB" w:rsidRDefault="008C62DB"/>
  </w:footnote>
  <w:footnote w:type="continuationSeparator" w:id="0">
    <w:p w14:paraId="6FB0BEF1" w14:textId="77777777" w:rsidR="008C62DB" w:rsidRDefault="008C62DB" w:rsidP="000F6956">
      <w:pPr>
        <w:spacing w:after="0"/>
      </w:pPr>
      <w:r>
        <w:continuationSeparator/>
      </w:r>
    </w:p>
    <w:p w14:paraId="6A9A064E" w14:textId="77777777" w:rsidR="008C62DB" w:rsidRDefault="008C62DB"/>
  </w:footnote>
  <w:footnote w:type="continuationNotice" w:id="1">
    <w:p w14:paraId="7D2C4D1E" w14:textId="77777777" w:rsidR="008C62DB" w:rsidRDefault="008C62DB">
      <w:pPr>
        <w:spacing w:after="0"/>
      </w:pPr>
    </w:p>
    <w:p w14:paraId="27976A77" w14:textId="77777777" w:rsidR="008C62DB" w:rsidRDefault="008C62DB"/>
  </w:footnote>
  <w:footnote w:id="2">
    <w:p w14:paraId="6DC1999B" w14:textId="77777777" w:rsidR="008C62DB" w:rsidRDefault="008C62DB" w:rsidP="007043C5">
      <w:pPr>
        <w:pStyle w:val="FootnoteText"/>
      </w:pPr>
      <w:r>
        <w:rPr>
          <w:rStyle w:val="FootnoteReference"/>
        </w:rPr>
        <w:footnoteRef/>
      </w:r>
      <w:r>
        <w:t xml:space="preserve"> Datu avots: </w:t>
      </w:r>
      <w:proofErr w:type="spellStart"/>
      <w:r>
        <w:t>World</w:t>
      </w:r>
      <w:proofErr w:type="spellEnd"/>
      <w:r>
        <w:t xml:space="preserve"> </w:t>
      </w:r>
      <w:proofErr w:type="spellStart"/>
      <w:r>
        <w:t>Economic</w:t>
      </w:r>
      <w:proofErr w:type="spellEnd"/>
      <w:r>
        <w:t xml:space="preserve"> Outlook </w:t>
      </w:r>
      <w:proofErr w:type="spellStart"/>
      <w:r>
        <w:t>Update</w:t>
      </w:r>
      <w:proofErr w:type="spellEnd"/>
      <w:r>
        <w:t xml:space="preserve">, </w:t>
      </w:r>
      <w:proofErr w:type="spellStart"/>
      <w:r>
        <w:t>January</w:t>
      </w:r>
      <w:proofErr w:type="spellEnd"/>
      <w:r>
        <w:t xml:space="preserve"> 23, 2013, </w:t>
      </w:r>
      <w:proofErr w:type="spellStart"/>
      <w:r>
        <w:t>International</w:t>
      </w:r>
      <w:proofErr w:type="spellEnd"/>
      <w:r>
        <w:t xml:space="preserve"> </w:t>
      </w:r>
      <w:proofErr w:type="spellStart"/>
      <w:r>
        <w:t>Monetary</w:t>
      </w:r>
      <w:proofErr w:type="spellEnd"/>
      <w:r>
        <w:t xml:space="preserve"> </w:t>
      </w:r>
      <w:proofErr w:type="spellStart"/>
      <w:r>
        <w:t>Fund</w:t>
      </w:r>
      <w:proofErr w:type="spellEnd"/>
      <w:r>
        <w:t xml:space="preserve">. Interneta vietne: </w:t>
      </w:r>
      <w:r w:rsidRPr="00AE194D">
        <w:t>http://www.imf.org/external/pubs/ft/weo/2013/update/01/pdf/0113.pdf</w:t>
      </w:r>
    </w:p>
  </w:footnote>
  <w:footnote w:id="3">
    <w:p w14:paraId="372ED189" w14:textId="77777777" w:rsidR="008C62DB" w:rsidRPr="00970020" w:rsidRDefault="008C62DB" w:rsidP="00970020">
      <w:pPr>
        <w:pStyle w:val="FootnoteText"/>
        <w:ind w:left="0" w:firstLine="0"/>
        <w:jc w:val="both"/>
      </w:pPr>
      <w:r>
        <w:rPr>
          <w:rStyle w:val="FootnoteReference"/>
        </w:rPr>
        <w:footnoteRef/>
      </w:r>
      <w:r>
        <w:t xml:space="preserve"> </w:t>
      </w:r>
      <w:proofErr w:type="spellStart"/>
      <w:r>
        <w:t>Agregētā</w:t>
      </w:r>
      <w:proofErr w:type="spellEnd"/>
      <w:r>
        <w:t xml:space="preserve"> partnervalstu (Igaunija, Lietuva, Krievija, Vācija, Polija, Zviedrija) vidējā izaugsme, svērta ar  vidējo eksporta īpatsvaru 2012. gadā. Datu avots: </w:t>
      </w:r>
      <w:proofErr w:type="spellStart"/>
      <w:r w:rsidRPr="00AE194D">
        <w:t>European</w:t>
      </w:r>
      <w:proofErr w:type="spellEnd"/>
      <w:r w:rsidRPr="00AE194D">
        <w:t xml:space="preserve"> </w:t>
      </w:r>
      <w:proofErr w:type="spellStart"/>
      <w:r w:rsidRPr="00AE194D">
        <w:t>economic</w:t>
      </w:r>
      <w:proofErr w:type="spellEnd"/>
      <w:r w:rsidRPr="00AE194D">
        <w:t xml:space="preserve"> </w:t>
      </w:r>
      <w:proofErr w:type="spellStart"/>
      <w:r w:rsidRPr="00AE194D">
        <w:t>forecast</w:t>
      </w:r>
      <w:proofErr w:type="spellEnd"/>
      <w:r w:rsidRPr="00AE194D">
        <w:t xml:space="preserve"> - </w:t>
      </w:r>
      <w:proofErr w:type="spellStart"/>
      <w:r w:rsidRPr="00AE194D">
        <w:t>winter</w:t>
      </w:r>
      <w:proofErr w:type="spellEnd"/>
      <w:r w:rsidRPr="00AE194D">
        <w:t xml:space="preserve"> 2013</w:t>
      </w:r>
      <w:r>
        <w:t xml:space="preserve">, </w:t>
      </w:r>
      <w:proofErr w:type="spellStart"/>
      <w:r>
        <w:t>European</w:t>
      </w:r>
      <w:proofErr w:type="spellEnd"/>
      <w:r>
        <w:t xml:space="preserve"> </w:t>
      </w:r>
      <w:proofErr w:type="spellStart"/>
      <w:r>
        <w:t>Commission</w:t>
      </w:r>
      <w:proofErr w:type="spellEnd"/>
      <w:r>
        <w:t>. Interneta vietne:</w:t>
      </w:r>
      <w:r w:rsidRPr="00AF5CCD">
        <w:rPr>
          <w:lang w:val="lv-LV"/>
        </w:rPr>
        <w:t xml:space="preserve"> </w:t>
      </w:r>
      <w:hyperlink r:id="rId1" w:history="1">
        <w:r w:rsidRPr="00696D17">
          <w:rPr>
            <w:rStyle w:val="Hyperlink"/>
          </w:rPr>
          <w:t>http://ec.europa.eu/economy_finance/publications/european_economy/2013/pdf/ee1_en.pdf</w:t>
        </w:r>
      </w:hyperlink>
    </w:p>
    <w:p w14:paraId="1A2942EC" w14:textId="77777777" w:rsidR="008C62DB" w:rsidRPr="00AF5CCD" w:rsidRDefault="008C62DB" w:rsidP="007043C5">
      <w:pPr>
        <w:pStyle w:val="FootnoteText"/>
        <w:jc w:val="both"/>
        <w:rPr>
          <w:lang w:val="lv-LV"/>
        </w:rPr>
      </w:pPr>
    </w:p>
  </w:footnote>
  <w:footnote w:id="4">
    <w:p w14:paraId="3BF91C85" w14:textId="77777777" w:rsidR="008C62DB" w:rsidRPr="00AF5CCD" w:rsidRDefault="008C62DB" w:rsidP="00DA2735">
      <w:pPr>
        <w:pStyle w:val="FootnoteText"/>
        <w:ind w:left="0" w:firstLine="0"/>
        <w:rPr>
          <w:lang w:val="lv-LV"/>
        </w:rPr>
      </w:pPr>
      <w:r w:rsidRPr="00D07E4A">
        <w:rPr>
          <w:rStyle w:val="FootnoteReference"/>
        </w:rPr>
        <w:footnoteRef/>
      </w:r>
      <w:r w:rsidRPr="00D07E4A">
        <w:t xml:space="preserve"> </w:t>
      </w:r>
      <w:r w:rsidRPr="00D07E4A">
        <w:rPr>
          <w:rFonts w:eastAsia="EUAlbertina-Bold-Identity-H"/>
          <w:color w:val="000000" w:themeColor="text1"/>
          <w:szCs w:val="24"/>
        </w:rPr>
        <w:t>Izvērtējuma metodoloģija ir pilnveidota, līdz ar ko informācija par ES fondu ietekmi uz makroekonomiskajiem rādītājiem atšķiras no informācijas, kas sniegta</w:t>
      </w:r>
      <w:r w:rsidRPr="00AF5CCD">
        <w:rPr>
          <w:rFonts w:eastAsia="EUAlbertina-Bold-Identity-H"/>
          <w:color w:val="000000" w:themeColor="text1"/>
          <w:lang w:val="lv-LV"/>
        </w:rPr>
        <w:t xml:space="preserve"> iepriekšējā ziņojumā</w:t>
      </w:r>
    </w:p>
  </w:footnote>
  <w:footnote w:id="5">
    <w:p w14:paraId="38935D66" w14:textId="243538D2" w:rsidR="008C62DB" w:rsidRPr="00F90EBD" w:rsidRDefault="008C62DB">
      <w:pPr>
        <w:pStyle w:val="FootnoteText"/>
        <w:rPr>
          <w:lang w:val="lv-LV"/>
        </w:rPr>
      </w:pPr>
      <w:r>
        <w:rPr>
          <w:rStyle w:val="FootnoteReference"/>
        </w:rPr>
        <w:footnoteRef/>
      </w:r>
      <w:r>
        <w:t xml:space="preserve"> </w:t>
      </w:r>
      <w:r>
        <w:rPr>
          <w:sz w:val="18"/>
          <w:szCs w:val="18"/>
        </w:rPr>
        <w:t>Labklājības ministres 04.04.2013 rīkojums Nr.24 „Par nabadzības, sociālās atstumtības un nevienlīdzības mazināšanas priekšlikumu izstrādes darba grupa izveidi”.</w:t>
      </w:r>
    </w:p>
  </w:footnote>
  <w:footnote w:id="6">
    <w:p w14:paraId="522B027E" w14:textId="662F3860" w:rsidR="008C62DB" w:rsidRPr="00B4692F" w:rsidRDefault="008C62DB" w:rsidP="00543A72">
      <w:pPr>
        <w:pStyle w:val="FootnoteText"/>
        <w:jc w:val="both"/>
        <w:rPr>
          <w:lang w:val="lv-LV"/>
        </w:rPr>
      </w:pPr>
      <w:r>
        <w:rPr>
          <w:rStyle w:val="FootnoteReference"/>
        </w:rPr>
        <w:footnoteRef/>
      </w:r>
      <w:r>
        <w:t xml:space="preserve"> </w:t>
      </w:r>
      <w:r>
        <w:rPr>
          <w:lang w:eastAsia="lv-LV"/>
        </w:rPr>
        <w:t>Saska</w:t>
      </w:r>
      <w:r>
        <w:rPr>
          <w:lang w:val="lv-LV" w:eastAsia="lv-LV"/>
        </w:rPr>
        <w:t xml:space="preserve">ņā ar </w:t>
      </w:r>
      <w:r w:rsidRPr="00186A5C">
        <w:rPr>
          <w:lang w:eastAsia="lv-LV"/>
        </w:rPr>
        <w:t xml:space="preserve">Padomes 1996.gada 25.jūnija regulas (EK) </w:t>
      </w:r>
      <w:proofErr w:type="spellStart"/>
      <w:r w:rsidRPr="00186A5C">
        <w:rPr>
          <w:lang w:eastAsia="lv-LV"/>
        </w:rPr>
        <w:t>Nr</w:t>
      </w:r>
      <w:proofErr w:type="spellEnd"/>
      <w:r w:rsidRPr="00186A5C">
        <w:rPr>
          <w:lang w:eastAsia="lv-LV"/>
        </w:rPr>
        <w:t xml:space="preserve">. </w:t>
      </w:r>
      <w:hyperlink r:id="rId2" w:tgtFrame="_blank" w:tooltip="Atvērt regulas konsolidēto versiju" w:history="1">
        <w:r w:rsidRPr="00025D7F">
          <w:rPr>
            <w:color w:val="0000FF"/>
            <w:u w:val="single"/>
            <w:lang w:eastAsia="lv-LV"/>
          </w:rPr>
          <w:t>2223/96</w:t>
        </w:r>
      </w:hyperlink>
      <w:r w:rsidRPr="00025D7F">
        <w:rPr>
          <w:lang w:eastAsia="lv-LV"/>
        </w:rPr>
        <w:t xml:space="preserve"> par Eiropas nacionālo un reģionālo kontu sistēmu Kopienā A pielikuma 2.70.punkt</w:t>
      </w:r>
      <w:r w:rsidRPr="00025D7F">
        <w:rPr>
          <w:lang w:val="lv-LV" w:eastAsia="lv-LV"/>
        </w:rPr>
        <w:t>ā</w:t>
      </w:r>
      <w:r w:rsidRPr="00025D7F">
        <w:rPr>
          <w:lang w:eastAsia="lv-LV"/>
        </w:rPr>
        <w:t xml:space="preserve"> </w:t>
      </w:r>
      <w:r w:rsidRPr="00025D7F">
        <w:rPr>
          <w:lang w:val="lv-LV" w:eastAsia="lv-LV"/>
        </w:rPr>
        <w:t>noteikto</w:t>
      </w:r>
      <w:r w:rsidRPr="00025D7F">
        <w:rPr>
          <w:lang w:eastAsia="lv-LV"/>
        </w:rPr>
        <w:t xml:space="preserve"> </w:t>
      </w:r>
      <w:r w:rsidRPr="00025D7F">
        <w:t xml:space="preserve">valsts pārvaldes sektora </w:t>
      </w:r>
      <w:proofErr w:type="spellStart"/>
      <w:r w:rsidRPr="00543A72">
        <w:t>apakšsektor</w:t>
      </w:r>
      <w:r w:rsidRPr="00543A72">
        <w:rPr>
          <w:lang w:val="lv-LV"/>
        </w:rPr>
        <w:t>u</w:t>
      </w:r>
      <w:proofErr w:type="spellEnd"/>
      <w:r w:rsidRPr="00543A72">
        <w:rPr>
          <w:lang w:val="lv-LV"/>
        </w:rPr>
        <w:t xml:space="preserve"> dalījumu</w:t>
      </w:r>
      <w:r w:rsidRPr="00543A72">
        <w:rPr>
          <w:lang w:eastAsia="lv-LV"/>
        </w:rPr>
        <w:t>.</w:t>
      </w:r>
      <w:r w:rsidRPr="00543A72">
        <w:rPr>
          <w:lang w:val="lv-LV" w:eastAsia="lv-LV"/>
        </w:rPr>
        <w:t xml:space="preserve"> Šīs regulas izpratnē ar centrālo valdību tiek saprasts valsts pamatbudžet</w:t>
      </w:r>
      <w:r>
        <w:rPr>
          <w:lang w:val="lv-LV" w:eastAsia="lv-LV"/>
        </w:rPr>
        <w:t>s, sociālās nodrošināšanas fondi</w:t>
      </w:r>
      <w:r w:rsidRPr="00543A72">
        <w:rPr>
          <w:lang w:val="lv-LV" w:eastAsia="lv-LV"/>
        </w:rPr>
        <w:t xml:space="preserve"> – valsts speciālais budžets un vietējā valdība – pašvaldību budžets.</w:t>
      </w:r>
    </w:p>
  </w:footnote>
  <w:footnote w:id="7">
    <w:p w14:paraId="570B8605" w14:textId="77777777" w:rsidR="008C62DB" w:rsidRDefault="008C62DB" w:rsidP="0060396D">
      <w:pPr>
        <w:pStyle w:val="FootnoteText"/>
      </w:pPr>
      <w:r>
        <w:rPr>
          <w:rStyle w:val="FootnoteReference"/>
        </w:rPr>
        <w:footnoteRef/>
      </w:r>
      <w:r>
        <w:t xml:space="preserve"> Datu avots: 2013. gada aprīļa valsts</w:t>
      </w:r>
      <w:r w:rsidRPr="00A637F5">
        <w:t xml:space="preserve"> budžeta </w:t>
      </w:r>
      <w:r>
        <w:t>deficīta un parāda notifikācija, FM prognozes.</w:t>
      </w:r>
    </w:p>
  </w:footnote>
  <w:footnote w:id="8">
    <w:p w14:paraId="25B0E05C" w14:textId="362E9B6A" w:rsidR="008C62DB" w:rsidRPr="0038002F" w:rsidRDefault="008C62DB">
      <w:pPr>
        <w:pStyle w:val="FootnoteText"/>
        <w:rPr>
          <w:lang w:val="lv-LV"/>
        </w:rPr>
      </w:pPr>
      <w:r>
        <w:rPr>
          <w:rStyle w:val="FootnoteReference"/>
        </w:rPr>
        <w:footnoteRef/>
      </w:r>
      <w:r>
        <w:t xml:space="preserve"> </w:t>
      </w:r>
      <w:r>
        <w:rPr>
          <w:lang w:val="lv-LV"/>
        </w:rPr>
        <w:t>Atbilstoši FDL 10.panta bilances nosacījumam</w:t>
      </w:r>
    </w:p>
  </w:footnote>
  <w:footnote w:id="9">
    <w:p w14:paraId="70215D62" w14:textId="77777777" w:rsidR="008C62DB" w:rsidRPr="00CD0D85" w:rsidRDefault="008C62DB" w:rsidP="00476CBC">
      <w:pPr>
        <w:pStyle w:val="FootnoteText"/>
        <w:jc w:val="both"/>
        <w:rPr>
          <w:lang w:val="lv-LV"/>
        </w:rPr>
      </w:pPr>
      <w:r>
        <w:rPr>
          <w:rStyle w:val="FootnoteReference"/>
        </w:rPr>
        <w:footnoteRef/>
      </w:r>
      <w:r>
        <w:t xml:space="preserve"> </w:t>
      </w:r>
      <w:r w:rsidRPr="00476CBC">
        <w:rPr>
          <w:lang w:val="lv-LV"/>
        </w:rPr>
        <w:t xml:space="preserve">Stabilitātes un izaugsmes pakts nosaka maksimāli iespējamo strukturālo deficītu, lai nodrošinātu, ka nepastāv risks, ka nominālais deficīts varētu pārsniegt Māstrihtas kritēriju 3% robežu, jeb tā saucamā  </w:t>
      </w:r>
      <w:r w:rsidRPr="00476CBC">
        <w:t>drošības rezerve attiecībā pret deficīta atsauces vērtību</w:t>
      </w:r>
      <w:r w:rsidRPr="00476CBC">
        <w:rPr>
          <w:lang w:val="lv-LV"/>
        </w:rPr>
        <w:t xml:space="preserve">. Šī drošības rezerve katrai dalībvalstij ir specifiska un Latvijai tā ir 1,8% no IKP.  Saskaņā ar </w:t>
      </w:r>
      <w:r w:rsidRPr="00476CBC">
        <w:t>Regul</w:t>
      </w:r>
      <w:r w:rsidRPr="00476CBC">
        <w:rPr>
          <w:lang w:val="lv-LV"/>
        </w:rPr>
        <w:t>u</w:t>
      </w:r>
      <w:r w:rsidRPr="00476CBC">
        <w:t xml:space="preserve"> nr. 1175/2011</w:t>
      </w:r>
      <w:r w:rsidRPr="00476CBC">
        <w:rPr>
          <w:lang w:val="lv-LV"/>
        </w:rPr>
        <w:t>, jebkura atkāpe nedrīkst būt tik liela, lai pārsniegtu šo drošības rezervi, tātad Latvijai jebkura kumulatīvā atkāpe no MTO nedrīkst pieļaut strukturālo deficītu, kas būtu lielāks par 1,8% no IKP.</w:t>
      </w:r>
      <w:r>
        <w:rPr>
          <w:lang w:val="lv-LV"/>
        </w:rPr>
        <w:t xml:space="preserve">   </w:t>
      </w:r>
    </w:p>
  </w:footnote>
  <w:footnote w:id="10">
    <w:p w14:paraId="4B086433" w14:textId="18ACDE4D" w:rsidR="008C62DB" w:rsidRPr="00225345" w:rsidRDefault="008C62DB" w:rsidP="0060396D">
      <w:pPr>
        <w:pStyle w:val="FootnoteText"/>
        <w:rPr>
          <w:lang w:val="lv-LV"/>
        </w:rPr>
      </w:pPr>
      <w:r>
        <w:rPr>
          <w:rStyle w:val="FootnoteReference"/>
        </w:rPr>
        <w:footnoteRef/>
      </w:r>
      <w:r>
        <w:t xml:space="preserve"> </w:t>
      </w:r>
      <w:r w:rsidRPr="00225345">
        <w:rPr>
          <w:lang w:val="lv-LV"/>
        </w:rPr>
        <w:t>Ievērojot korekciju sakarā ar atkāpi no MTO sa</w:t>
      </w:r>
      <w:r>
        <w:rPr>
          <w:lang w:val="lv-LV"/>
        </w:rPr>
        <w:t>istībā</w:t>
      </w:r>
      <w:r w:rsidRPr="00225345">
        <w:rPr>
          <w:lang w:val="lv-LV"/>
        </w:rPr>
        <w:t xml:space="preserve"> ar iemaksu palielinājumu 2.pensiju līmenī.</w:t>
      </w:r>
    </w:p>
  </w:footnote>
  <w:footnote w:id="11">
    <w:p w14:paraId="179DE352" w14:textId="7B0FD225" w:rsidR="008C62DB" w:rsidRPr="00476CBC" w:rsidRDefault="008C62DB">
      <w:pPr>
        <w:pStyle w:val="FootnoteText"/>
        <w:rPr>
          <w:lang w:val="lv-LV"/>
        </w:rPr>
      </w:pPr>
      <w:r>
        <w:rPr>
          <w:rStyle w:val="FootnoteReference"/>
        </w:rPr>
        <w:footnoteRef/>
      </w:r>
      <w:r>
        <w:t xml:space="preserve"> </w:t>
      </w:r>
      <w:r>
        <w:rPr>
          <w:lang w:val="lv-LV"/>
        </w:rPr>
        <w:t>Vispārējās valdības budžeta ieņēmumu un izdevumu aprēķināšana</w:t>
      </w:r>
    </w:p>
  </w:footnote>
  <w:footnote w:id="12">
    <w:p w14:paraId="1869C6EA" w14:textId="77777777" w:rsidR="008C62DB" w:rsidRPr="00091EEC" w:rsidRDefault="008C62DB" w:rsidP="00252A22">
      <w:pPr>
        <w:pStyle w:val="FootnoteText"/>
        <w:ind w:left="284" w:hanging="284"/>
        <w:jc w:val="both"/>
      </w:pPr>
      <w:r>
        <w:rPr>
          <w:rStyle w:val="FootnoteReference"/>
        </w:rPr>
        <w:footnoteRef/>
      </w:r>
      <w:r w:rsidRPr="00091EEC">
        <w:rPr>
          <w:rStyle w:val="FootnoteReference"/>
        </w:rPr>
        <w:t xml:space="preserve"> </w:t>
      </w:r>
      <w:r>
        <w:t xml:space="preserve">     </w:t>
      </w:r>
      <w:r w:rsidRPr="00091EEC">
        <w:t>Aprēķinos ņemts vērā:</w:t>
      </w:r>
    </w:p>
    <w:p w14:paraId="2D00B9AE" w14:textId="77777777" w:rsidR="008C62DB" w:rsidRPr="009A61A2" w:rsidRDefault="008C62DB" w:rsidP="00252A22">
      <w:pPr>
        <w:pStyle w:val="FootnoteText"/>
        <w:numPr>
          <w:ilvl w:val="0"/>
          <w:numId w:val="20"/>
        </w:numPr>
        <w:jc w:val="both"/>
      </w:pPr>
      <w:r w:rsidRPr="009A61A2">
        <w:t>Budžeta bilances cikliskās komponentes aprēķinā izmantota budžeta jutība 0,28</w:t>
      </w:r>
      <w:r>
        <w:t>.</w:t>
      </w:r>
      <w:r w:rsidRPr="009A61A2">
        <w:t xml:space="preserve"> (Datu avots: </w:t>
      </w:r>
      <w:r w:rsidRPr="009A61A2">
        <w:rPr>
          <w:noProof/>
          <w:szCs w:val="24"/>
          <w:lang w:val="en-GB"/>
        </w:rPr>
        <w:t>New and updated budgetary elasticity and sensitivity parameters for all EU Member States, REP/54284, 20.09.2005</w:t>
      </w:r>
      <w:r>
        <w:rPr>
          <w:noProof/>
          <w:szCs w:val="24"/>
          <w:lang w:val="en-GB"/>
        </w:rPr>
        <w:t>)</w:t>
      </w:r>
      <w:r w:rsidRPr="009A61A2">
        <w:rPr>
          <w:noProof/>
          <w:szCs w:val="24"/>
          <w:lang w:val="en-GB"/>
        </w:rPr>
        <w:t>;</w:t>
      </w:r>
    </w:p>
    <w:p w14:paraId="0FE0044F" w14:textId="45ED02AB" w:rsidR="008C62DB" w:rsidRPr="00D03622" w:rsidRDefault="008C62DB" w:rsidP="00252A22">
      <w:pPr>
        <w:pStyle w:val="FootnoteText"/>
        <w:numPr>
          <w:ilvl w:val="0"/>
          <w:numId w:val="20"/>
        </w:numPr>
        <w:jc w:val="both"/>
      </w:pPr>
      <w:r>
        <w:rPr>
          <w:noProof/>
          <w:lang w:val="lv-LV"/>
        </w:rPr>
        <w:t>Vienreizēji un citi īslaicīgi</w:t>
      </w:r>
      <w:r>
        <w:t xml:space="preserve"> pasākumi: 2009.-2011. gadā valdības ieguldījumi AS Parex banka (2009. gadā 113,5 milj. latu, 2010. gadā 219,0 milj. latu, 2011. gadā 27,4 milj. latu), </w:t>
      </w:r>
      <w:r w:rsidRPr="00D03622">
        <w:t xml:space="preserve">2012.gadā finanšu korekcija par aktīvu pārvērtēšanu saistībā ar AS </w:t>
      </w:r>
      <w:proofErr w:type="spellStart"/>
      <w:r w:rsidRPr="00D03622">
        <w:t>Reverta</w:t>
      </w:r>
      <w:proofErr w:type="spellEnd"/>
      <w:r w:rsidRPr="00D03622">
        <w:t xml:space="preserve"> iekļaušanu vispārējās valdības sektorā </w:t>
      </w:r>
      <w:r>
        <w:t>(</w:t>
      </w:r>
      <w:r w:rsidRPr="00D03622">
        <w:t xml:space="preserve">81,3 milj. latu). </w:t>
      </w:r>
    </w:p>
  </w:footnote>
  <w:footnote w:id="13">
    <w:p w14:paraId="7CD27666" w14:textId="77777777" w:rsidR="008C62DB" w:rsidRDefault="008C62DB" w:rsidP="00D61CDB">
      <w:pPr>
        <w:pStyle w:val="FootnoteText"/>
      </w:pPr>
      <w:r>
        <w:rPr>
          <w:rStyle w:val="FootnoteReference"/>
        </w:rPr>
        <w:footnoteRef/>
      </w:r>
      <w:r>
        <w:t xml:space="preserve"> Ieskaitot iemaksas valsts fondēto pensiju shēmā</w:t>
      </w:r>
    </w:p>
  </w:footnote>
  <w:footnote w:id="14">
    <w:p w14:paraId="31153472" w14:textId="77777777" w:rsidR="008C62DB" w:rsidRPr="00DA405B" w:rsidRDefault="008C62DB" w:rsidP="00D61CDB">
      <w:pPr>
        <w:pStyle w:val="FootnoteText"/>
        <w:rPr>
          <w:sz w:val="18"/>
          <w:lang w:val="lv-LV"/>
        </w:rPr>
      </w:pPr>
      <w:r>
        <w:rPr>
          <w:rStyle w:val="FootnoteReference"/>
        </w:rPr>
        <w:footnoteRef/>
      </w:r>
      <w:r>
        <w:t xml:space="preserve"> </w:t>
      </w:r>
      <w:r w:rsidRPr="00DA405B">
        <w:rPr>
          <w:sz w:val="18"/>
          <w:lang w:val="lv-LV"/>
        </w:rPr>
        <w:t xml:space="preserve">ar 2009.gada 1.janvāri </w:t>
      </w:r>
      <w:r w:rsidRPr="00090302">
        <w:rPr>
          <w:sz w:val="18"/>
          <w:szCs w:val="18"/>
        </w:rPr>
        <w:t>no 18 % uz 21 %</w:t>
      </w:r>
      <w:r w:rsidRPr="00DA405B">
        <w:rPr>
          <w:sz w:val="18"/>
          <w:lang w:val="lv-LV"/>
        </w:rPr>
        <w:t>;</w:t>
      </w:r>
    </w:p>
    <w:p w14:paraId="1589C9F7" w14:textId="77777777" w:rsidR="008C62DB" w:rsidRPr="00DA405B" w:rsidRDefault="008C62DB" w:rsidP="00D61CDB">
      <w:pPr>
        <w:pStyle w:val="FootnoteText"/>
        <w:rPr>
          <w:sz w:val="18"/>
          <w:lang w:val="lv-LV"/>
        </w:rPr>
      </w:pPr>
      <w:r w:rsidRPr="00DA405B">
        <w:rPr>
          <w:sz w:val="18"/>
          <w:lang w:val="lv-LV"/>
        </w:rPr>
        <w:t xml:space="preserve">  ar 2011.gada 1.janvāri no 21 % uz 22 %</w:t>
      </w:r>
    </w:p>
  </w:footnote>
  <w:footnote w:id="15">
    <w:p w14:paraId="6215C652" w14:textId="77777777" w:rsidR="008C62DB" w:rsidRDefault="008C62DB" w:rsidP="00D61CDB">
      <w:pPr>
        <w:pStyle w:val="FootnoteText"/>
      </w:pPr>
      <w:r>
        <w:rPr>
          <w:rStyle w:val="FootnoteReference"/>
        </w:rPr>
        <w:footnoteRef/>
      </w:r>
      <w:r>
        <w:t xml:space="preserve"> Neskaitot iemaksas valsts fondēto pensiju shēmā.</w:t>
      </w:r>
    </w:p>
  </w:footnote>
  <w:footnote w:id="16">
    <w:p w14:paraId="78661D77" w14:textId="77777777" w:rsidR="008C62DB" w:rsidRPr="00753A6D" w:rsidRDefault="008C62DB" w:rsidP="00D61CDB">
      <w:pPr>
        <w:spacing w:after="0"/>
        <w:ind w:firstLine="0"/>
        <w:rPr>
          <w:sz w:val="16"/>
        </w:rPr>
      </w:pPr>
      <w:r>
        <w:rPr>
          <w:rStyle w:val="FootnoteReference"/>
        </w:rPr>
        <w:footnoteRef/>
      </w:r>
      <w:r>
        <w:t> S</w:t>
      </w:r>
      <w:r w:rsidRPr="00753A6D">
        <w:rPr>
          <w:iCs/>
          <w:sz w:val="20"/>
        </w:rPr>
        <w:t>askaņā ar</w:t>
      </w:r>
      <w:r w:rsidRPr="00753A6D">
        <w:rPr>
          <w:sz w:val="20"/>
        </w:rPr>
        <w:t xml:space="preserve"> E</w:t>
      </w:r>
      <w:r>
        <w:rPr>
          <w:sz w:val="20"/>
        </w:rPr>
        <w:t>iropas kontu sistēmas</w:t>
      </w:r>
      <w:r w:rsidRPr="00753A6D">
        <w:rPr>
          <w:sz w:val="20"/>
        </w:rPr>
        <w:t xml:space="preserve"> metodoloģiju, sociālās apdrošināšanas iemaksas, kas tiek novirzītas valsts fondēto pensiju shēmā, netiek uzskaitītas kā vispārējās valdības budžeta ieņēmumi.</w:t>
      </w:r>
    </w:p>
  </w:footnote>
  <w:footnote w:id="17">
    <w:p w14:paraId="7B66A308" w14:textId="77777777" w:rsidR="008C62DB" w:rsidRPr="00F2563F" w:rsidRDefault="008C62DB" w:rsidP="00A83AEC">
      <w:pPr>
        <w:pStyle w:val="FootnoteText"/>
        <w:rPr>
          <w:lang w:val="lv-LV"/>
        </w:rPr>
      </w:pPr>
      <w:r>
        <w:rPr>
          <w:rStyle w:val="FootnoteReference"/>
        </w:rPr>
        <w:footnoteRef/>
      </w:r>
      <w:r>
        <w:t xml:space="preserve"> </w:t>
      </w:r>
      <w:r>
        <w:rPr>
          <w:lang w:val="lv-LV"/>
        </w:rPr>
        <w:t>Salīdzinot ar 2012. (bāzes) gadu.</w:t>
      </w:r>
    </w:p>
  </w:footnote>
  <w:footnote w:id="18">
    <w:p w14:paraId="14909C03" w14:textId="77777777" w:rsidR="008C62DB" w:rsidRPr="00026883" w:rsidRDefault="008C62DB" w:rsidP="007043C5">
      <w:pPr>
        <w:pStyle w:val="FootnoteText"/>
      </w:pPr>
      <w:r w:rsidRPr="00026883">
        <w:rPr>
          <w:rStyle w:val="FootnoteReference"/>
        </w:rPr>
        <w:footnoteRef/>
      </w:r>
      <w:r w:rsidRPr="00026883">
        <w:t xml:space="preserve"> Bērnu un pensijas vecuma iedzīvotāju attiecība pret darbspējas vecuma (15-64) iedzīvotājiem.</w:t>
      </w:r>
    </w:p>
  </w:footnote>
  <w:footnote w:id="19">
    <w:p w14:paraId="0ABDDBC9" w14:textId="77777777" w:rsidR="008C62DB" w:rsidRPr="00026883" w:rsidRDefault="008C62DB" w:rsidP="007043C5">
      <w:pPr>
        <w:pStyle w:val="FootnoteText"/>
      </w:pPr>
      <w:r w:rsidRPr="00026883">
        <w:rPr>
          <w:rStyle w:val="FootnoteReference"/>
        </w:rPr>
        <w:footnoteRef/>
      </w:r>
      <w:r w:rsidRPr="00026883">
        <w:t xml:space="preserve"> Pensijas un bezdarbnieku pabalsta saņēmēju attiecība pret nodarbinātajiem.</w:t>
      </w:r>
    </w:p>
  </w:footnote>
  <w:footnote w:id="20">
    <w:p w14:paraId="30A571F1" w14:textId="77777777" w:rsidR="008C62DB" w:rsidRDefault="008C62DB" w:rsidP="007043C5">
      <w:pPr>
        <w:pStyle w:val="FootnoteText"/>
      </w:pPr>
      <w:r w:rsidRPr="00026883">
        <w:rPr>
          <w:rStyle w:val="FootnoteReference"/>
        </w:rPr>
        <w:footnoteRef/>
      </w:r>
      <w:r w:rsidRPr="00026883">
        <w:t xml:space="preserve"> Nodarbināto skaita attiecība pret kopējo iedzīvotāju skaitu konkrētā vecuma kohortā.</w:t>
      </w:r>
    </w:p>
  </w:footnote>
  <w:footnote w:id="21">
    <w:p w14:paraId="56110A6C" w14:textId="77777777" w:rsidR="008C62DB" w:rsidRPr="00BF0383" w:rsidRDefault="008C62DB" w:rsidP="007043C5">
      <w:pPr>
        <w:pStyle w:val="FootnoteText"/>
        <w:ind w:left="142" w:hanging="142"/>
      </w:pPr>
      <w:r w:rsidRPr="00BF0383">
        <w:rPr>
          <w:rStyle w:val="FootnoteReference"/>
        </w:rPr>
        <w:footnoteRef/>
      </w:r>
      <w:r>
        <w:t xml:space="preserve"> </w:t>
      </w:r>
      <w:r w:rsidRPr="00BF0383">
        <w:t>AWG – Eiropas Savienības Padomes Ekonomikas politikas komitejas Sabiedrības novecošanās un valsts finanšu ilgtspējas darba grupa.</w:t>
      </w:r>
    </w:p>
  </w:footnote>
  <w:footnote w:id="22">
    <w:p w14:paraId="66C9A796" w14:textId="77777777" w:rsidR="008C62DB" w:rsidRDefault="008C62DB" w:rsidP="007043C5">
      <w:pPr>
        <w:pStyle w:val="FootnoteText"/>
      </w:pPr>
      <w:r w:rsidRPr="00BF0383">
        <w:rPr>
          <w:rStyle w:val="FootnoteReference"/>
        </w:rPr>
        <w:footnoteRef/>
      </w:r>
      <w:r w:rsidRPr="00BF0383">
        <w:t xml:space="preserve"> ieskaitot iemaksas valsts fondēto pensiju shēmā.</w:t>
      </w:r>
    </w:p>
  </w:footnote>
  <w:footnote w:id="23">
    <w:p w14:paraId="612F1FA0" w14:textId="77777777" w:rsidR="008C62DB" w:rsidRDefault="008C62DB" w:rsidP="007043C5">
      <w:pPr>
        <w:pStyle w:val="FootnoteText"/>
      </w:pPr>
      <w:r>
        <w:rPr>
          <w:rStyle w:val="FootnoteReference"/>
        </w:rPr>
        <w:footnoteRef/>
      </w:r>
      <w:r>
        <w:t xml:space="preserve"> ieskaitot iemaksas valsts fondēto pensiju shēmā.</w:t>
      </w:r>
    </w:p>
  </w:footnote>
  <w:footnote w:id="24">
    <w:p w14:paraId="67DD19CF" w14:textId="77777777" w:rsidR="008C62DB" w:rsidRDefault="008C62DB" w:rsidP="002D62B9">
      <w:pPr>
        <w:pStyle w:val="FootnoteText"/>
      </w:pPr>
      <w:r>
        <w:rPr>
          <w:rStyle w:val="FootnoteReference"/>
        </w:rPr>
        <w:footnoteRef/>
      </w:r>
      <w:r>
        <w:t xml:space="preserve"> Tehniski pieņēmumi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9334B" w14:textId="77777777" w:rsidR="008C62DB" w:rsidRDefault="008C62D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90</w:t>
    </w:r>
    <w:r>
      <w:rPr>
        <w:rStyle w:val="PageNumber"/>
      </w:rPr>
      <w:fldChar w:fldCharType="end"/>
    </w:r>
  </w:p>
  <w:p w14:paraId="1551B0F8" w14:textId="77777777" w:rsidR="008C62DB" w:rsidRDefault="008C62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A2698" w14:textId="1431C3D2" w:rsidR="008C62DB" w:rsidRDefault="008C62DB">
    <w:pPr>
      <w:pStyle w:val="Header"/>
      <w:jc w:val="center"/>
    </w:pPr>
  </w:p>
  <w:p w14:paraId="17877534" w14:textId="77777777" w:rsidR="008C62DB" w:rsidRDefault="008C62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7BDAF" w14:textId="77777777" w:rsidR="008C62DB" w:rsidRDefault="008C62DB" w:rsidP="000F695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2663"/>
    <w:multiLevelType w:val="hybridMultilevel"/>
    <w:tmpl w:val="DA72DA0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E2B3CA7"/>
    <w:multiLevelType w:val="hybridMultilevel"/>
    <w:tmpl w:val="0652D854"/>
    <w:lvl w:ilvl="0" w:tplc="AAEA8012">
      <w:start w:val="1"/>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E62742B"/>
    <w:multiLevelType w:val="hybridMultilevel"/>
    <w:tmpl w:val="C32E419E"/>
    <w:lvl w:ilvl="0" w:tplc="E2FA3DD0">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8D7B8A"/>
    <w:multiLevelType w:val="hybridMultilevel"/>
    <w:tmpl w:val="61BCF776"/>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nsid w:val="13D62519"/>
    <w:multiLevelType w:val="hybridMultilevel"/>
    <w:tmpl w:val="A7B2F120"/>
    <w:lvl w:ilvl="0" w:tplc="662077D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CE70BE"/>
    <w:multiLevelType w:val="hybridMultilevel"/>
    <w:tmpl w:val="0CD0D5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17A77E0"/>
    <w:multiLevelType w:val="hybridMultilevel"/>
    <w:tmpl w:val="3334BFEA"/>
    <w:lvl w:ilvl="0" w:tplc="AAEA8012">
      <w:start w:val="1"/>
      <w:numFmt w:val="bullet"/>
      <w:lvlText w:val="-"/>
      <w:lvlJc w:val="left"/>
      <w:pPr>
        <w:ind w:left="1080" w:hanging="360"/>
      </w:pPr>
      <w:rPr>
        <w:rFonts w:ascii="Calibri" w:eastAsia="Calibr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nsid w:val="34A55D84"/>
    <w:multiLevelType w:val="hybridMultilevel"/>
    <w:tmpl w:val="A95469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98C6302"/>
    <w:multiLevelType w:val="hybridMultilevel"/>
    <w:tmpl w:val="449C73C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nsid w:val="3D0F3AE9"/>
    <w:multiLevelType w:val="hybridMultilevel"/>
    <w:tmpl w:val="962A3D4A"/>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
    <w:nsid w:val="3FB7221E"/>
    <w:multiLevelType w:val="hybridMultilevel"/>
    <w:tmpl w:val="669C09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01F297F"/>
    <w:multiLevelType w:val="hybridMultilevel"/>
    <w:tmpl w:val="C42201C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3">
    <w:nsid w:val="408A32D6"/>
    <w:multiLevelType w:val="hybridMultilevel"/>
    <w:tmpl w:val="D55491C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nsid w:val="4627034B"/>
    <w:multiLevelType w:val="hybridMultilevel"/>
    <w:tmpl w:val="2AC4FC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B5011F3"/>
    <w:multiLevelType w:val="hybridMultilevel"/>
    <w:tmpl w:val="5EDCA33C"/>
    <w:lvl w:ilvl="0" w:tplc="CE02BA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1520714"/>
    <w:multiLevelType w:val="hybridMultilevel"/>
    <w:tmpl w:val="8B34B55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7">
    <w:nsid w:val="557946FA"/>
    <w:multiLevelType w:val="hybridMultilevel"/>
    <w:tmpl w:val="51361DC6"/>
    <w:lvl w:ilvl="0" w:tplc="AAEA8012">
      <w:start w:val="1"/>
      <w:numFmt w:val="bullet"/>
      <w:lvlText w:val="-"/>
      <w:lvlJc w:val="left"/>
      <w:pPr>
        <w:ind w:left="720" w:hanging="360"/>
      </w:pPr>
      <w:rPr>
        <w:rFonts w:ascii="Calibri" w:eastAsia="Calibri" w:hAnsi="Calibri" w:cs="Calibri" w:hint="default"/>
        <w:i w:val="0"/>
      </w:rPr>
    </w:lvl>
    <w:lvl w:ilvl="1" w:tplc="AAEA8012">
      <w:start w:val="1"/>
      <w:numFmt w:val="bullet"/>
      <w:lvlText w:val="-"/>
      <w:lvlJc w:val="left"/>
      <w:pPr>
        <w:ind w:left="1440" w:hanging="360"/>
      </w:pPr>
      <w:rPr>
        <w:rFonts w:ascii="Calibri" w:eastAsia="Calibri" w:hAnsi="Calibri" w:cs="Calibri" w:hint="default"/>
        <w:i w:val="0"/>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5CCE215D"/>
    <w:multiLevelType w:val="hybridMultilevel"/>
    <w:tmpl w:val="34F63C12"/>
    <w:lvl w:ilvl="0" w:tplc="AAEA8012">
      <w:start w:val="1"/>
      <w:numFmt w:val="bullet"/>
      <w:lvlText w:val="-"/>
      <w:lvlJc w:val="left"/>
      <w:pPr>
        <w:ind w:left="1080" w:hanging="360"/>
      </w:pPr>
      <w:rPr>
        <w:rFonts w:ascii="Calibri" w:eastAsia="Calibri" w:hAnsi="Calibri" w:cs="Calibri"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nsid w:val="63AD2281"/>
    <w:multiLevelType w:val="hybridMultilevel"/>
    <w:tmpl w:val="DDCEAAC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7CF63CEB"/>
    <w:multiLevelType w:val="hybridMultilevel"/>
    <w:tmpl w:val="64F44428"/>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20"/>
  </w:num>
  <w:num w:numId="2">
    <w:abstractNumId w:val="5"/>
  </w:num>
  <w:num w:numId="3">
    <w:abstractNumId w:val="0"/>
  </w:num>
  <w:num w:numId="4">
    <w:abstractNumId w:val="19"/>
  </w:num>
  <w:num w:numId="5">
    <w:abstractNumId w:val="12"/>
  </w:num>
  <w:num w:numId="6">
    <w:abstractNumId w:val="11"/>
  </w:num>
  <w:num w:numId="7">
    <w:abstractNumId w:val="2"/>
  </w:num>
  <w:num w:numId="8">
    <w:abstractNumId w:val="14"/>
  </w:num>
  <w:num w:numId="9">
    <w:abstractNumId w:val="15"/>
  </w:num>
  <w:num w:numId="10">
    <w:abstractNumId w:val="16"/>
  </w:num>
  <w:num w:numId="11">
    <w:abstractNumId w:val="6"/>
  </w:num>
  <w:num w:numId="12">
    <w:abstractNumId w:val="3"/>
  </w:num>
  <w:num w:numId="13">
    <w:abstractNumId w:val="9"/>
  </w:num>
  <w:num w:numId="14">
    <w:abstractNumId w:val="13"/>
  </w:num>
  <w:num w:numId="15">
    <w:abstractNumId w:val="18"/>
  </w:num>
  <w:num w:numId="16">
    <w:abstractNumId w:val="17"/>
  </w:num>
  <w:num w:numId="17">
    <w:abstractNumId w:val="7"/>
  </w:num>
  <w:num w:numId="18">
    <w:abstractNumId w:val="1"/>
  </w:num>
  <w:num w:numId="19">
    <w:abstractNumId w:val="8"/>
  </w:num>
  <w:num w:numId="20">
    <w:abstractNumId w:val="4"/>
  </w:num>
  <w:num w:numId="21">
    <w:abstractNumId w:val="1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upovnieks Gints">
    <w15:presenceInfo w15:providerId="None" w15:userId="Trupovnieks Gin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oNotTrackMoves/>
  <w:defaultTabStop w:val="720"/>
  <w:characterSpacingControl w:val="doNotCompress"/>
  <w:hdrShapeDefaults>
    <o:shapedefaults v:ext="edit" spidmax="98305" style="mso-position-horizontal-relative:margin;mso-position-vertical-relative:margin" fill="f" fillcolor="white" stroke="f">
      <v:fill color="white" on="f"/>
      <v:stroke on="f"/>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F6956"/>
    <w:rsid w:val="00000D13"/>
    <w:rsid w:val="00002315"/>
    <w:rsid w:val="0000329C"/>
    <w:rsid w:val="00003474"/>
    <w:rsid w:val="00004A73"/>
    <w:rsid w:val="000052FA"/>
    <w:rsid w:val="000061A5"/>
    <w:rsid w:val="00006A6D"/>
    <w:rsid w:val="00006DD2"/>
    <w:rsid w:val="00011568"/>
    <w:rsid w:val="00012824"/>
    <w:rsid w:val="00012DE8"/>
    <w:rsid w:val="00014041"/>
    <w:rsid w:val="0001749E"/>
    <w:rsid w:val="00021FE1"/>
    <w:rsid w:val="000233FD"/>
    <w:rsid w:val="00023C3E"/>
    <w:rsid w:val="00024F65"/>
    <w:rsid w:val="0002544F"/>
    <w:rsid w:val="00025D7F"/>
    <w:rsid w:val="00027681"/>
    <w:rsid w:val="0003226C"/>
    <w:rsid w:val="00032491"/>
    <w:rsid w:val="00035496"/>
    <w:rsid w:val="000357A3"/>
    <w:rsid w:val="00037D77"/>
    <w:rsid w:val="00040F36"/>
    <w:rsid w:val="00042FC7"/>
    <w:rsid w:val="000437CE"/>
    <w:rsid w:val="00043D23"/>
    <w:rsid w:val="0004418B"/>
    <w:rsid w:val="00044688"/>
    <w:rsid w:val="00045692"/>
    <w:rsid w:val="000461AC"/>
    <w:rsid w:val="000467C2"/>
    <w:rsid w:val="000521E5"/>
    <w:rsid w:val="000548BF"/>
    <w:rsid w:val="00055140"/>
    <w:rsid w:val="000634FF"/>
    <w:rsid w:val="00063DE4"/>
    <w:rsid w:val="000673A8"/>
    <w:rsid w:val="00067454"/>
    <w:rsid w:val="0006756D"/>
    <w:rsid w:val="000676ED"/>
    <w:rsid w:val="00067A5D"/>
    <w:rsid w:val="000705E3"/>
    <w:rsid w:val="00075C71"/>
    <w:rsid w:val="00076DE6"/>
    <w:rsid w:val="0007787A"/>
    <w:rsid w:val="00081B36"/>
    <w:rsid w:val="0008285F"/>
    <w:rsid w:val="000833EE"/>
    <w:rsid w:val="00084FF5"/>
    <w:rsid w:val="00085372"/>
    <w:rsid w:val="000855EA"/>
    <w:rsid w:val="00085D9A"/>
    <w:rsid w:val="00085F95"/>
    <w:rsid w:val="00087808"/>
    <w:rsid w:val="00087ECA"/>
    <w:rsid w:val="000901B5"/>
    <w:rsid w:val="00092708"/>
    <w:rsid w:val="00092BBA"/>
    <w:rsid w:val="00096D57"/>
    <w:rsid w:val="00097545"/>
    <w:rsid w:val="00097E66"/>
    <w:rsid w:val="000A0699"/>
    <w:rsid w:val="000A1A54"/>
    <w:rsid w:val="000A5529"/>
    <w:rsid w:val="000A691D"/>
    <w:rsid w:val="000A6FF8"/>
    <w:rsid w:val="000A7E91"/>
    <w:rsid w:val="000B328C"/>
    <w:rsid w:val="000B7045"/>
    <w:rsid w:val="000C03FB"/>
    <w:rsid w:val="000C2A69"/>
    <w:rsid w:val="000C515F"/>
    <w:rsid w:val="000C51ED"/>
    <w:rsid w:val="000D2D1F"/>
    <w:rsid w:val="000D4427"/>
    <w:rsid w:val="000D6A66"/>
    <w:rsid w:val="000D6DBE"/>
    <w:rsid w:val="000D730A"/>
    <w:rsid w:val="000E07CF"/>
    <w:rsid w:val="000E13CE"/>
    <w:rsid w:val="000E281E"/>
    <w:rsid w:val="000E31A2"/>
    <w:rsid w:val="000E42F5"/>
    <w:rsid w:val="000E49D3"/>
    <w:rsid w:val="000E5433"/>
    <w:rsid w:val="000E754C"/>
    <w:rsid w:val="000F02ED"/>
    <w:rsid w:val="000F04E2"/>
    <w:rsid w:val="000F1311"/>
    <w:rsid w:val="000F1429"/>
    <w:rsid w:val="000F240F"/>
    <w:rsid w:val="000F2C16"/>
    <w:rsid w:val="000F5417"/>
    <w:rsid w:val="000F5C3B"/>
    <w:rsid w:val="000F6956"/>
    <w:rsid w:val="000F69C9"/>
    <w:rsid w:val="00102F37"/>
    <w:rsid w:val="001034C5"/>
    <w:rsid w:val="0010615E"/>
    <w:rsid w:val="00107299"/>
    <w:rsid w:val="00111103"/>
    <w:rsid w:val="00111F8F"/>
    <w:rsid w:val="0011298C"/>
    <w:rsid w:val="00112D09"/>
    <w:rsid w:val="00113E0D"/>
    <w:rsid w:val="00117618"/>
    <w:rsid w:val="0012103D"/>
    <w:rsid w:val="00121CC8"/>
    <w:rsid w:val="00123163"/>
    <w:rsid w:val="00126B21"/>
    <w:rsid w:val="001273EB"/>
    <w:rsid w:val="001314F1"/>
    <w:rsid w:val="0013257F"/>
    <w:rsid w:val="001329C2"/>
    <w:rsid w:val="00133159"/>
    <w:rsid w:val="00133517"/>
    <w:rsid w:val="00133C11"/>
    <w:rsid w:val="0013431E"/>
    <w:rsid w:val="001367D7"/>
    <w:rsid w:val="001372AB"/>
    <w:rsid w:val="00137860"/>
    <w:rsid w:val="001412EF"/>
    <w:rsid w:val="0014252C"/>
    <w:rsid w:val="001429E2"/>
    <w:rsid w:val="001431B2"/>
    <w:rsid w:val="00146EA3"/>
    <w:rsid w:val="001507D4"/>
    <w:rsid w:val="00151D76"/>
    <w:rsid w:val="00151FC8"/>
    <w:rsid w:val="0015337F"/>
    <w:rsid w:val="00154DB0"/>
    <w:rsid w:val="00157E57"/>
    <w:rsid w:val="0016351E"/>
    <w:rsid w:val="00163B37"/>
    <w:rsid w:val="0016508C"/>
    <w:rsid w:val="00166699"/>
    <w:rsid w:val="00166AE2"/>
    <w:rsid w:val="00167825"/>
    <w:rsid w:val="001679F8"/>
    <w:rsid w:val="00173466"/>
    <w:rsid w:val="0017780F"/>
    <w:rsid w:val="00185D29"/>
    <w:rsid w:val="00185EE1"/>
    <w:rsid w:val="00186AF9"/>
    <w:rsid w:val="001878FE"/>
    <w:rsid w:val="00187D66"/>
    <w:rsid w:val="00190C6F"/>
    <w:rsid w:val="00191889"/>
    <w:rsid w:val="0019363C"/>
    <w:rsid w:val="00193AA6"/>
    <w:rsid w:val="00193D91"/>
    <w:rsid w:val="00195423"/>
    <w:rsid w:val="001A11D2"/>
    <w:rsid w:val="001A18CC"/>
    <w:rsid w:val="001A2704"/>
    <w:rsid w:val="001A537A"/>
    <w:rsid w:val="001A77E7"/>
    <w:rsid w:val="001B130F"/>
    <w:rsid w:val="001B1A50"/>
    <w:rsid w:val="001B20A9"/>
    <w:rsid w:val="001B41A6"/>
    <w:rsid w:val="001B47DC"/>
    <w:rsid w:val="001C28CF"/>
    <w:rsid w:val="001C3C00"/>
    <w:rsid w:val="001C4719"/>
    <w:rsid w:val="001C47DC"/>
    <w:rsid w:val="001C497F"/>
    <w:rsid w:val="001C7411"/>
    <w:rsid w:val="001D2E43"/>
    <w:rsid w:val="001D4221"/>
    <w:rsid w:val="001D4739"/>
    <w:rsid w:val="001D56AF"/>
    <w:rsid w:val="001D5CC2"/>
    <w:rsid w:val="001D635A"/>
    <w:rsid w:val="001D7D04"/>
    <w:rsid w:val="001E1359"/>
    <w:rsid w:val="001E1E2D"/>
    <w:rsid w:val="001E1F67"/>
    <w:rsid w:val="001E4A65"/>
    <w:rsid w:val="001E5EF4"/>
    <w:rsid w:val="001E62C1"/>
    <w:rsid w:val="001E6929"/>
    <w:rsid w:val="001E6AFE"/>
    <w:rsid w:val="001E6B86"/>
    <w:rsid w:val="001E7F5F"/>
    <w:rsid w:val="001F0444"/>
    <w:rsid w:val="001F04CA"/>
    <w:rsid w:val="001F1CC8"/>
    <w:rsid w:val="001F23F6"/>
    <w:rsid w:val="001F40C1"/>
    <w:rsid w:val="00202216"/>
    <w:rsid w:val="00203D1A"/>
    <w:rsid w:val="002048B4"/>
    <w:rsid w:val="0020691E"/>
    <w:rsid w:val="002202E5"/>
    <w:rsid w:val="00224E7E"/>
    <w:rsid w:val="00225205"/>
    <w:rsid w:val="00225345"/>
    <w:rsid w:val="00225EF9"/>
    <w:rsid w:val="00227C3B"/>
    <w:rsid w:val="00231542"/>
    <w:rsid w:val="00233A74"/>
    <w:rsid w:val="002340E1"/>
    <w:rsid w:val="0023518A"/>
    <w:rsid w:val="00236099"/>
    <w:rsid w:val="002362D9"/>
    <w:rsid w:val="0023718E"/>
    <w:rsid w:val="00237378"/>
    <w:rsid w:val="00241A3D"/>
    <w:rsid w:val="002422CE"/>
    <w:rsid w:val="00242409"/>
    <w:rsid w:val="00245AD2"/>
    <w:rsid w:val="00247851"/>
    <w:rsid w:val="002500C6"/>
    <w:rsid w:val="00251CD7"/>
    <w:rsid w:val="00252717"/>
    <w:rsid w:val="00252A22"/>
    <w:rsid w:val="00252A61"/>
    <w:rsid w:val="00252D30"/>
    <w:rsid w:val="0025316E"/>
    <w:rsid w:val="00253FAD"/>
    <w:rsid w:val="00255BA9"/>
    <w:rsid w:val="002651B4"/>
    <w:rsid w:val="00267CD3"/>
    <w:rsid w:val="0027236C"/>
    <w:rsid w:val="002738FA"/>
    <w:rsid w:val="00274146"/>
    <w:rsid w:val="002807F8"/>
    <w:rsid w:val="002829DA"/>
    <w:rsid w:val="00283B8B"/>
    <w:rsid w:val="0029395A"/>
    <w:rsid w:val="00293D4D"/>
    <w:rsid w:val="0029434D"/>
    <w:rsid w:val="0029439E"/>
    <w:rsid w:val="00294420"/>
    <w:rsid w:val="00296E94"/>
    <w:rsid w:val="00296F8E"/>
    <w:rsid w:val="002A1F83"/>
    <w:rsid w:val="002A3F2F"/>
    <w:rsid w:val="002A406D"/>
    <w:rsid w:val="002A4DE0"/>
    <w:rsid w:val="002A63FE"/>
    <w:rsid w:val="002A7C9A"/>
    <w:rsid w:val="002B0FF8"/>
    <w:rsid w:val="002B225F"/>
    <w:rsid w:val="002B244F"/>
    <w:rsid w:val="002B3045"/>
    <w:rsid w:val="002B402C"/>
    <w:rsid w:val="002B43EF"/>
    <w:rsid w:val="002C0396"/>
    <w:rsid w:val="002C0523"/>
    <w:rsid w:val="002C1C16"/>
    <w:rsid w:val="002C2179"/>
    <w:rsid w:val="002C25E4"/>
    <w:rsid w:val="002C4465"/>
    <w:rsid w:val="002C5A20"/>
    <w:rsid w:val="002D0A34"/>
    <w:rsid w:val="002D1987"/>
    <w:rsid w:val="002D3003"/>
    <w:rsid w:val="002D356E"/>
    <w:rsid w:val="002D62B9"/>
    <w:rsid w:val="002D6C72"/>
    <w:rsid w:val="002D6F2B"/>
    <w:rsid w:val="002D72BF"/>
    <w:rsid w:val="002D7837"/>
    <w:rsid w:val="002E102C"/>
    <w:rsid w:val="002E1381"/>
    <w:rsid w:val="002E20C1"/>
    <w:rsid w:val="002E27DC"/>
    <w:rsid w:val="002E357B"/>
    <w:rsid w:val="002E370C"/>
    <w:rsid w:val="002E5CBB"/>
    <w:rsid w:val="002F2067"/>
    <w:rsid w:val="002F29B6"/>
    <w:rsid w:val="002F36E1"/>
    <w:rsid w:val="002F3EC6"/>
    <w:rsid w:val="002F56D0"/>
    <w:rsid w:val="002F656C"/>
    <w:rsid w:val="002F77FD"/>
    <w:rsid w:val="0030350B"/>
    <w:rsid w:val="00303C4C"/>
    <w:rsid w:val="00304205"/>
    <w:rsid w:val="00304735"/>
    <w:rsid w:val="0030645A"/>
    <w:rsid w:val="0030767E"/>
    <w:rsid w:val="00310713"/>
    <w:rsid w:val="00311BF6"/>
    <w:rsid w:val="00314BED"/>
    <w:rsid w:val="003150E1"/>
    <w:rsid w:val="003156ED"/>
    <w:rsid w:val="00316611"/>
    <w:rsid w:val="00316FDE"/>
    <w:rsid w:val="00320B19"/>
    <w:rsid w:val="0032204D"/>
    <w:rsid w:val="003229BD"/>
    <w:rsid w:val="0032415C"/>
    <w:rsid w:val="00325A52"/>
    <w:rsid w:val="003322D4"/>
    <w:rsid w:val="003324D5"/>
    <w:rsid w:val="00335209"/>
    <w:rsid w:val="00335AF5"/>
    <w:rsid w:val="00335F62"/>
    <w:rsid w:val="00337AD4"/>
    <w:rsid w:val="0034003C"/>
    <w:rsid w:val="00340C17"/>
    <w:rsid w:val="00340E24"/>
    <w:rsid w:val="00341E48"/>
    <w:rsid w:val="00341ED5"/>
    <w:rsid w:val="00342941"/>
    <w:rsid w:val="00345E0D"/>
    <w:rsid w:val="00347F77"/>
    <w:rsid w:val="00350C95"/>
    <w:rsid w:val="0035118C"/>
    <w:rsid w:val="00353A2C"/>
    <w:rsid w:val="0035548E"/>
    <w:rsid w:val="00357357"/>
    <w:rsid w:val="0035776A"/>
    <w:rsid w:val="00360FF6"/>
    <w:rsid w:val="00366472"/>
    <w:rsid w:val="00372D8A"/>
    <w:rsid w:val="00372FDF"/>
    <w:rsid w:val="00376953"/>
    <w:rsid w:val="00377FB2"/>
    <w:rsid w:val="0038002F"/>
    <w:rsid w:val="003805AC"/>
    <w:rsid w:val="00383397"/>
    <w:rsid w:val="00384B13"/>
    <w:rsid w:val="00387E6A"/>
    <w:rsid w:val="00391811"/>
    <w:rsid w:val="00391B7D"/>
    <w:rsid w:val="003941BE"/>
    <w:rsid w:val="003942F8"/>
    <w:rsid w:val="00394924"/>
    <w:rsid w:val="00395614"/>
    <w:rsid w:val="00395DFF"/>
    <w:rsid w:val="0039733F"/>
    <w:rsid w:val="00397EDD"/>
    <w:rsid w:val="003A1ACE"/>
    <w:rsid w:val="003A1F5B"/>
    <w:rsid w:val="003A2E39"/>
    <w:rsid w:val="003A374E"/>
    <w:rsid w:val="003A443A"/>
    <w:rsid w:val="003A4878"/>
    <w:rsid w:val="003A579F"/>
    <w:rsid w:val="003A5CE4"/>
    <w:rsid w:val="003A5DC4"/>
    <w:rsid w:val="003A6E78"/>
    <w:rsid w:val="003B097A"/>
    <w:rsid w:val="003B0A25"/>
    <w:rsid w:val="003B0CEE"/>
    <w:rsid w:val="003B3EB1"/>
    <w:rsid w:val="003B4B8C"/>
    <w:rsid w:val="003B5657"/>
    <w:rsid w:val="003C07E4"/>
    <w:rsid w:val="003C0BB7"/>
    <w:rsid w:val="003C1B28"/>
    <w:rsid w:val="003C425C"/>
    <w:rsid w:val="003C560C"/>
    <w:rsid w:val="003C6FA6"/>
    <w:rsid w:val="003D351D"/>
    <w:rsid w:val="003D37AE"/>
    <w:rsid w:val="003D4464"/>
    <w:rsid w:val="003D4A06"/>
    <w:rsid w:val="003D4AF8"/>
    <w:rsid w:val="003D4CDB"/>
    <w:rsid w:val="003D5A3E"/>
    <w:rsid w:val="003E011A"/>
    <w:rsid w:val="003E2290"/>
    <w:rsid w:val="003E2421"/>
    <w:rsid w:val="003E43B7"/>
    <w:rsid w:val="003E50FB"/>
    <w:rsid w:val="003E52AE"/>
    <w:rsid w:val="003E5B5A"/>
    <w:rsid w:val="003E6294"/>
    <w:rsid w:val="003F0BAB"/>
    <w:rsid w:val="003F1283"/>
    <w:rsid w:val="003F2358"/>
    <w:rsid w:val="003F2FAA"/>
    <w:rsid w:val="003F4D64"/>
    <w:rsid w:val="003F4DE5"/>
    <w:rsid w:val="003F58BD"/>
    <w:rsid w:val="003F5998"/>
    <w:rsid w:val="003F61A1"/>
    <w:rsid w:val="003F7493"/>
    <w:rsid w:val="003F7938"/>
    <w:rsid w:val="00400CF5"/>
    <w:rsid w:val="00400D5C"/>
    <w:rsid w:val="004019EE"/>
    <w:rsid w:val="0040603C"/>
    <w:rsid w:val="00407459"/>
    <w:rsid w:val="004103B1"/>
    <w:rsid w:val="00411849"/>
    <w:rsid w:val="004132A0"/>
    <w:rsid w:val="0041373B"/>
    <w:rsid w:val="004146B6"/>
    <w:rsid w:val="00414BFC"/>
    <w:rsid w:val="00414CC1"/>
    <w:rsid w:val="00415018"/>
    <w:rsid w:val="0041664E"/>
    <w:rsid w:val="00417399"/>
    <w:rsid w:val="004203C2"/>
    <w:rsid w:val="00421E54"/>
    <w:rsid w:val="0042200D"/>
    <w:rsid w:val="004221AB"/>
    <w:rsid w:val="004244A7"/>
    <w:rsid w:val="00426797"/>
    <w:rsid w:val="00431321"/>
    <w:rsid w:val="004347CA"/>
    <w:rsid w:val="004355B1"/>
    <w:rsid w:val="00435998"/>
    <w:rsid w:val="00435DD0"/>
    <w:rsid w:val="004367BC"/>
    <w:rsid w:val="00440077"/>
    <w:rsid w:val="004408D8"/>
    <w:rsid w:val="00440E4D"/>
    <w:rsid w:val="00441EBB"/>
    <w:rsid w:val="0044226E"/>
    <w:rsid w:val="00442BBD"/>
    <w:rsid w:val="004438CE"/>
    <w:rsid w:val="00443A2C"/>
    <w:rsid w:val="00444865"/>
    <w:rsid w:val="00444878"/>
    <w:rsid w:val="004452FB"/>
    <w:rsid w:val="00445D0B"/>
    <w:rsid w:val="00446ACC"/>
    <w:rsid w:val="0045002A"/>
    <w:rsid w:val="00451419"/>
    <w:rsid w:val="0045177E"/>
    <w:rsid w:val="004522C7"/>
    <w:rsid w:val="00453F11"/>
    <w:rsid w:val="00455264"/>
    <w:rsid w:val="00455D18"/>
    <w:rsid w:val="00456278"/>
    <w:rsid w:val="00460AA7"/>
    <w:rsid w:val="0046152E"/>
    <w:rsid w:val="00461850"/>
    <w:rsid w:val="00465E81"/>
    <w:rsid w:val="00467FEC"/>
    <w:rsid w:val="004706D1"/>
    <w:rsid w:val="004728AA"/>
    <w:rsid w:val="00476CBC"/>
    <w:rsid w:val="00480875"/>
    <w:rsid w:val="00480A1F"/>
    <w:rsid w:val="00481E4F"/>
    <w:rsid w:val="00482E85"/>
    <w:rsid w:val="004839C7"/>
    <w:rsid w:val="00485817"/>
    <w:rsid w:val="004919CB"/>
    <w:rsid w:val="004928AE"/>
    <w:rsid w:val="00492C6E"/>
    <w:rsid w:val="00493D3E"/>
    <w:rsid w:val="00494A60"/>
    <w:rsid w:val="00496285"/>
    <w:rsid w:val="00496FE3"/>
    <w:rsid w:val="004975DD"/>
    <w:rsid w:val="00497A78"/>
    <w:rsid w:val="004A04CA"/>
    <w:rsid w:val="004A1034"/>
    <w:rsid w:val="004A1312"/>
    <w:rsid w:val="004A2B1E"/>
    <w:rsid w:val="004A2F21"/>
    <w:rsid w:val="004A36FB"/>
    <w:rsid w:val="004A3F07"/>
    <w:rsid w:val="004A4DD3"/>
    <w:rsid w:val="004A4E17"/>
    <w:rsid w:val="004A6332"/>
    <w:rsid w:val="004A6F50"/>
    <w:rsid w:val="004A7065"/>
    <w:rsid w:val="004B05F4"/>
    <w:rsid w:val="004B0C3D"/>
    <w:rsid w:val="004B53F8"/>
    <w:rsid w:val="004B7734"/>
    <w:rsid w:val="004B791B"/>
    <w:rsid w:val="004B7928"/>
    <w:rsid w:val="004B7D62"/>
    <w:rsid w:val="004B7F3A"/>
    <w:rsid w:val="004C5245"/>
    <w:rsid w:val="004C662B"/>
    <w:rsid w:val="004C797A"/>
    <w:rsid w:val="004C7B0D"/>
    <w:rsid w:val="004D0E25"/>
    <w:rsid w:val="004D284F"/>
    <w:rsid w:val="004D48FF"/>
    <w:rsid w:val="004D59A7"/>
    <w:rsid w:val="004D5F5B"/>
    <w:rsid w:val="004D6B57"/>
    <w:rsid w:val="004E09E3"/>
    <w:rsid w:val="004E10E4"/>
    <w:rsid w:val="004E427D"/>
    <w:rsid w:val="004E49F3"/>
    <w:rsid w:val="004E4FFF"/>
    <w:rsid w:val="004E730D"/>
    <w:rsid w:val="004E7826"/>
    <w:rsid w:val="004F21FA"/>
    <w:rsid w:val="005005E6"/>
    <w:rsid w:val="005022A9"/>
    <w:rsid w:val="00503A43"/>
    <w:rsid w:val="00503D60"/>
    <w:rsid w:val="0050416B"/>
    <w:rsid w:val="00505EA0"/>
    <w:rsid w:val="00505F15"/>
    <w:rsid w:val="0050658A"/>
    <w:rsid w:val="00511E8A"/>
    <w:rsid w:val="00512E99"/>
    <w:rsid w:val="005133CA"/>
    <w:rsid w:val="0051389D"/>
    <w:rsid w:val="00514688"/>
    <w:rsid w:val="0051562C"/>
    <w:rsid w:val="0051638B"/>
    <w:rsid w:val="00516F58"/>
    <w:rsid w:val="00520A56"/>
    <w:rsid w:val="00521AD6"/>
    <w:rsid w:val="00522E49"/>
    <w:rsid w:val="005231AC"/>
    <w:rsid w:val="00525064"/>
    <w:rsid w:val="005309B3"/>
    <w:rsid w:val="005342B6"/>
    <w:rsid w:val="005345D4"/>
    <w:rsid w:val="00536393"/>
    <w:rsid w:val="0053737E"/>
    <w:rsid w:val="00537974"/>
    <w:rsid w:val="00540E4B"/>
    <w:rsid w:val="00543A72"/>
    <w:rsid w:val="00545F0F"/>
    <w:rsid w:val="0054794A"/>
    <w:rsid w:val="00547D49"/>
    <w:rsid w:val="005525BC"/>
    <w:rsid w:val="005547D5"/>
    <w:rsid w:val="00555D34"/>
    <w:rsid w:val="00561037"/>
    <w:rsid w:val="00562B24"/>
    <w:rsid w:val="00563C1B"/>
    <w:rsid w:val="0056412B"/>
    <w:rsid w:val="005656B0"/>
    <w:rsid w:val="00566DD6"/>
    <w:rsid w:val="00567155"/>
    <w:rsid w:val="00567B2F"/>
    <w:rsid w:val="0057152C"/>
    <w:rsid w:val="005723C3"/>
    <w:rsid w:val="005752E1"/>
    <w:rsid w:val="005777AD"/>
    <w:rsid w:val="005812C7"/>
    <w:rsid w:val="00586AC4"/>
    <w:rsid w:val="00586EFF"/>
    <w:rsid w:val="005873A8"/>
    <w:rsid w:val="005901D6"/>
    <w:rsid w:val="00590C56"/>
    <w:rsid w:val="005933E2"/>
    <w:rsid w:val="005A06FA"/>
    <w:rsid w:val="005A28AF"/>
    <w:rsid w:val="005A3511"/>
    <w:rsid w:val="005A3B98"/>
    <w:rsid w:val="005A3DFC"/>
    <w:rsid w:val="005A4670"/>
    <w:rsid w:val="005A5201"/>
    <w:rsid w:val="005A585C"/>
    <w:rsid w:val="005A73BB"/>
    <w:rsid w:val="005B0839"/>
    <w:rsid w:val="005B0FA5"/>
    <w:rsid w:val="005B41A0"/>
    <w:rsid w:val="005B59D0"/>
    <w:rsid w:val="005B721C"/>
    <w:rsid w:val="005C038C"/>
    <w:rsid w:val="005C3ECE"/>
    <w:rsid w:val="005C6BF4"/>
    <w:rsid w:val="005D22CF"/>
    <w:rsid w:val="005D37B4"/>
    <w:rsid w:val="005D3B4C"/>
    <w:rsid w:val="005D4FB8"/>
    <w:rsid w:val="005D6CAC"/>
    <w:rsid w:val="005E1DC7"/>
    <w:rsid w:val="005E208F"/>
    <w:rsid w:val="005E45EB"/>
    <w:rsid w:val="005E4DEE"/>
    <w:rsid w:val="005F00E5"/>
    <w:rsid w:val="005F0CAC"/>
    <w:rsid w:val="005F1F38"/>
    <w:rsid w:val="005F323B"/>
    <w:rsid w:val="005F3EF1"/>
    <w:rsid w:val="005F5245"/>
    <w:rsid w:val="005F52AA"/>
    <w:rsid w:val="005F6867"/>
    <w:rsid w:val="005F68C8"/>
    <w:rsid w:val="005F6A39"/>
    <w:rsid w:val="005F72BD"/>
    <w:rsid w:val="005F7723"/>
    <w:rsid w:val="0060230F"/>
    <w:rsid w:val="006034EF"/>
    <w:rsid w:val="0060396D"/>
    <w:rsid w:val="0060508C"/>
    <w:rsid w:val="00605C0C"/>
    <w:rsid w:val="00607A2A"/>
    <w:rsid w:val="00607C1B"/>
    <w:rsid w:val="00612AB9"/>
    <w:rsid w:val="0061326C"/>
    <w:rsid w:val="00613A06"/>
    <w:rsid w:val="00614215"/>
    <w:rsid w:val="0061488E"/>
    <w:rsid w:val="00625189"/>
    <w:rsid w:val="00626EF9"/>
    <w:rsid w:val="006274B8"/>
    <w:rsid w:val="00627EFB"/>
    <w:rsid w:val="006305BC"/>
    <w:rsid w:val="00631057"/>
    <w:rsid w:val="00632759"/>
    <w:rsid w:val="0063302C"/>
    <w:rsid w:val="006336DE"/>
    <w:rsid w:val="00633BDF"/>
    <w:rsid w:val="00633F49"/>
    <w:rsid w:val="00634888"/>
    <w:rsid w:val="00642049"/>
    <w:rsid w:val="00650549"/>
    <w:rsid w:val="006524E5"/>
    <w:rsid w:val="00653C0D"/>
    <w:rsid w:val="00654239"/>
    <w:rsid w:val="006543CE"/>
    <w:rsid w:val="006546CA"/>
    <w:rsid w:val="00656706"/>
    <w:rsid w:val="00656D23"/>
    <w:rsid w:val="00656DA8"/>
    <w:rsid w:val="00657524"/>
    <w:rsid w:val="00660F2A"/>
    <w:rsid w:val="00661CCE"/>
    <w:rsid w:val="006629D8"/>
    <w:rsid w:val="00663425"/>
    <w:rsid w:val="0066394A"/>
    <w:rsid w:val="00663E9A"/>
    <w:rsid w:val="00663F66"/>
    <w:rsid w:val="006647B8"/>
    <w:rsid w:val="0066765F"/>
    <w:rsid w:val="006677FA"/>
    <w:rsid w:val="0067268A"/>
    <w:rsid w:val="006726FB"/>
    <w:rsid w:val="006742EB"/>
    <w:rsid w:val="00674AAE"/>
    <w:rsid w:val="00675C88"/>
    <w:rsid w:val="00676C5C"/>
    <w:rsid w:val="0067750A"/>
    <w:rsid w:val="00681608"/>
    <w:rsid w:val="00682334"/>
    <w:rsid w:val="006828B2"/>
    <w:rsid w:val="00683ED2"/>
    <w:rsid w:val="00684A97"/>
    <w:rsid w:val="00685AC3"/>
    <w:rsid w:val="00685EE6"/>
    <w:rsid w:val="00686162"/>
    <w:rsid w:val="00687CE6"/>
    <w:rsid w:val="006927E5"/>
    <w:rsid w:val="006962E5"/>
    <w:rsid w:val="00697B40"/>
    <w:rsid w:val="006A0CF6"/>
    <w:rsid w:val="006A12C3"/>
    <w:rsid w:val="006A332D"/>
    <w:rsid w:val="006A3BD9"/>
    <w:rsid w:val="006A4289"/>
    <w:rsid w:val="006A57AD"/>
    <w:rsid w:val="006A59F6"/>
    <w:rsid w:val="006A7CAA"/>
    <w:rsid w:val="006B277F"/>
    <w:rsid w:val="006B3258"/>
    <w:rsid w:val="006B50C9"/>
    <w:rsid w:val="006B61F4"/>
    <w:rsid w:val="006C23A2"/>
    <w:rsid w:val="006C3B0C"/>
    <w:rsid w:val="006C5D67"/>
    <w:rsid w:val="006C6703"/>
    <w:rsid w:val="006D000E"/>
    <w:rsid w:val="006D1007"/>
    <w:rsid w:val="006D15C5"/>
    <w:rsid w:val="006D1EFA"/>
    <w:rsid w:val="006D6C1C"/>
    <w:rsid w:val="006D76AC"/>
    <w:rsid w:val="006E231D"/>
    <w:rsid w:val="006E2A97"/>
    <w:rsid w:val="006E4793"/>
    <w:rsid w:val="006E543B"/>
    <w:rsid w:val="006E67C1"/>
    <w:rsid w:val="006E7094"/>
    <w:rsid w:val="006E7576"/>
    <w:rsid w:val="006F0333"/>
    <w:rsid w:val="006F125F"/>
    <w:rsid w:val="006F4BA6"/>
    <w:rsid w:val="006F69AF"/>
    <w:rsid w:val="006F6F42"/>
    <w:rsid w:val="006F72DA"/>
    <w:rsid w:val="006F7A5B"/>
    <w:rsid w:val="00700BC8"/>
    <w:rsid w:val="00701AE3"/>
    <w:rsid w:val="00701D88"/>
    <w:rsid w:val="00702D7B"/>
    <w:rsid w:val="00702D82"/>
    <w:rsid w:val="00703119"/>
    <w:rsid w:val="0070395C"/>
    <w:rsid w:val="00703FA7"/>
    <w:rsid w:val="007043C5"/>
    <w:rsid w:val="007058C2"/>
    <w:rsid w:val="00706D8C"/>
    <w:rsid w:val="00707106"/>
    <w:rsid w:val="0071166F"/>
    <w:rsid w:val="00713D75"/>
    <w:rsid w:val="00714457"/>
    <w:rsid w:val="00714DFE"/>
    <w:rsid w:val="00716656"/>
    <w:rsid w:val="00716F6D"/>
    <w:rsid w:val="0071769F"/>
    <w:rsid w:val="0072157F"/>
    <w:rsid w:val="00722D9C"/>
    <w:rsid w:val="00723451"/>
    <w:rsid w:val="0072579B"/>
    <w:rsid w:val="007262D3"/>
    <w:rsid w:val="00726490"/>
    <w:rsid w:val="00726ADD"/>
    <w:rsid w:val="00731718"/>
    <w:rsid w:val="00733057"/>
    <w:rsid w:val="00734486"/>
    <w:rsid w:val="00734E20"/>
    <w:rsid w:val="00736129"/>
    <w:rsid w:val="00736FAB"/>
    <w:rsid w:val="007405E0"/>
    <w:rsid w:val="00740E24"/>
    <w:rsid w:val="0074103C"/>
    <w:rsid w:val="00742A72"/>
    <w:rsid w:val="00746628"/>
    <w:rsid w:val="007467C3"/>
    <w:rsid w:val="00746854"/>
    <w:rsid w:val="00746BF3"/>
    <w:rsid w:val="00750035"/>
    <w:rsid w:val="0075015A"/>
    <w:rsid w:val="007538E3"/>
    <w:rsid w:val="00755718"/>
    <w:rsid w:val="00756EDE"/>
    <w:rsid w:val="00756F4A"/>
    <w:rsid w:val="00762843"/>
    <w:rsid w:val="00762950"/>
    <w:rsid w:val="007633E9"/>
    <w:rsid w:val="007636E6"/>
    <w:rsid w:val="0076500C"/>
    <w:rsid w:val="00767D4B"/>
    <w:rsid w:val="00772159"/>
    <w:rsid w:val="00773A85"/>
    <w:rsid w:val="00775DB3"/>
    <w:rsid w:val="007772AE"/>
    <w:rsid w:val="00777544"/>
    <w:rsid w:val="007828F0"/>
    <w:rsid w:val="007836C3"/>
    <w:rsid w:val="0078456C"/>
    <w:rsid w:val="00785274"/>
    <w:rsid w:val="00787EB1"/>
    <w:rsid w:val="007900B4"/>
    <w:rsid w:val="00790245"/>
    <w:rsid w:val="00791342"/>
    <w:rsid w:val="00791FF6"/>
    <w:rsid w:val="0079339C"/>
    <w:rsid w:val="007935DE"/>
    <w:rsid w:val="00794462"/>
    <w:rsid w:val="00795AAE"/>
    <w:rsid w:val="00796934"/>
    <w:rsid w:val="00796989"/>
    <w:rsid w:val="007A15BC"/>
    <w:rsid w:val="007A23F7"/>
    <w:rsid w:val="007A5949"/>
    <w:rsid w:val="007A7565"/>
    <w:rsid w:val="007B18BE"/>
    <w:rsid w:val="007B1CA7"/>
    <w:rsid w:val="007B3D92"/>
    <w:rsid w:val="007B5CA5"/>
    <w:rsid w:val="007B65DE"/>
    <w:rsid w:val="007B6715"/>
    <w:rsid w:val="007B781C"/>
    <w:rsid w:val="007C02DC"/>
    <w:rsid w:val="007C097B"/>
    <w:rsid w:val="007C306E"/>
    <w:rsid w:val="007C39C3"/>
    <w:rsid w:val="007C4C76"/>
    <w:rsid w:val="007C5AAA"/>
    <w:rsid w:val="007D0CDA"/>
    <w:rsid w:val="007D3A43"/>
    <w:rsid w:val="007D4AB7"/>
    <w:rsid w:val="007D55C3"/>
    <w:rsid w:val="007D72A1"/>
    <w:rsid w:val="007D7784"/>
    <w:rsid w:val="007E0A0D"/>
    <w:rsid w:val="007E0A14"/>
    <w:rsid w:val="007E2319"/>
    <w:rsid w:val="007E6B49"/>
    <w:rsid w:val="007E6F21"/>
    <w:rsid w:val="007E6FAF"/>
    <w:rsid w:val="007E7161"/>
    <w:rsid w:val="007F02D1"/>
    <w:rsid w:val="007F0410"/>
    <w:rsid w:val="007F1224"/>
    <w:rsid w:val="007F14CE"/>
    <w:rsid w:val="007F1AA1"/>
    <w:rsid w:val="007F2930"/>
    <w:rsid w:val="007F4E13"/>
    <w:rsid w:val="007F6C2D"/>
    <w:rsid w:val="00802962"/>
    <w:rsid w:val="00802B26"/>
    <w:rsid w:val="00804E6F"/>
    <w:rsid w:val="00805511"/>
    <w:rsid w:val="0080554D"/>
    <w:rsid w:val="00805E6B"/>
    <w:rsid w:val="00810A77"/>
    <w:rsid w:val="00811142"/>
    <w:rsid w:val="008119DB"/>
    <w:rsid w:val="0081255B"/>
    <w:rsid w:val="008136C7"/>
    <w:rsid w:val="0081392F"/>
    <w:rsid w:val="00815200"/>
    <w:rsid w:val="008154B9"/>
    <w:rsid w:val="008206BE"/>
    <w:rsid w:val="00820DAC"/>
    <w:rsid w:val="00821D69"/>
    <w:rsid w:val="0082305C"/>
    <w:rsid w:val="00825D21"/>
    <w:rsid w:val="00826206"/>
    <w:rsid w:val="00826553"/>
    <w:rsid w:val="00831253"/>
    <w:rsid w:val="00835840"/>
    <w:rsid w:val="00836C86"/>
    <w:rsid w:val="00840984"/>
    <w:rsid w:val="008430CE"/>
    <w:rsid w:val="008467C8"/>
    <w:rsid w:val="008503E0"/>
    <w:rsid w:val="00850F59"/>
    <w:rsid w:val="008518DC"/>
    <w:rsid w:val="00851BFF"/>
    <w:rsid w:val="008561F3"/>
    <w:rsid w:val="008570AF"/>
    <w:rsid w:val="00860760"/>
    <w:rsid w:val="0086085C"/>
    <w:rsid w:val="00861E1F"/>
    <w:rsid w:val="00862D21"/>
    <w:rsid w:val="00862E91"/>
    <w:rsid w:val="00864520"/>
    <w:rsid w:val="00865197"/>
    <w:rsid w:val="00865FD2"/>
    <w:rsid w:val="008676B0"/>
    <w:rsid w:val="00867953"/>
    <w:rsid w:val="00867C2A"/>
    <w:rsid w:val="00867C8A"/>
    <w:rsid w:val="00867CF6"/>
    <w:rsid w:val="00870D85"/>
    <w:rsid w:val="00871351"/>
    <w:rsid w:val="00873033"/>
    <w:rsid w:val="00876C88"/>
    <w:rsid w:val="0087768C"/>
    <w:rsid w:val="00877BCB"/>
    <w:rsid w:val="0088146B"/>
    <w:rsid w:val="00881707"/>
    <w:rsid w:val="00881BC4"/>
    <w:rsid w:val="00883348"/>
    <w:rsid w:val="00885DDF"/>
    <w:rsid w:val="00890CDD"/>
    <w:rsid w:val="00891E71"/>
    <w:rsid w:val="00892667"/>
    <w:rsid w:val="00895C1A"/>
    <w:rsid w:val="008A2BD6"/>
    <w:rsid w:val="008A6828"/>
    <w:rsid w:val="008A6F3E"/>
    <w:rsid w:val="008A7114"/>
    <w:rsid w:val="008B0459"/>
    <w:rsid w:val="008B0B29"/>
    <w:rsid w:val="008B2071"/>
    <w:rsid w:val="008B3132"/>
    <w:rsid w:val="008B3313"/>
    <w:rsid w:val="008B4591"/>
    <w:rsid w:val="008B4A73"/>
    <w:rsid w:val="008B4FFF"/>
    <w:rsid w:val="008B5077"/>
    <w:rsid w:val="008B5538"/>
    <w:rsid w:val="008B7A6C"/>
    <w:rsid w:val="008C1488"/>
    <w:rsid w:val="008C2AD4"/>
    <w:rsid w:val="008C4DBF"/>
    <w:rsid w:val="008C62DB"/>
    <w:rsid w:val="008C6EF2"/>
    <w:rsid w:val="008C7917"/>
    <w:rsid w:val="008C7F19"/>
    <w:rsid w:val="008D0C3A"/>
    <w:rsid w:val="008D3540"/>
    <w:rsid w:val="008D3A67"/>
    <w:rsid w:val="008D4374"/>
    <w:rsid w:val="008D4E83"/>
    <w:rsid w:val="008E1F30"/>
    <w:rsid w:val="008E211B"/>
    <w:rsid w:val="008E2E83"/>
    <w:rsid w:val="008E348B"/>
    <w:rsid w:val="008E5577"/>
    <w:rsid w:val="008E6578"/>
    <w:rsid w:val="008F088E"/>
    <w:rsid w:val="008F2FBD"/>
    <w:rsid w:val="008F59B6"/>
    <w:rsid w:val="008F6419"/>
    <w:rsid w:val="008F7956"/>
    <w:rsid w:val="009005DC"/>
    <w:rsid w:val="00900F58"/>
    <w:rsid w:val="00901F3F"/>
    <w:rsid w:val="009041A6"/>
    <w:rsid w:val="009048B4"/>
    <w:rsid w:val="00904AF3"/>
    <w:rsid w:val="00905D34"/>
    <w:rsid w:val="00905DA5"/>
    <w:rsid w:val="0090733A"/>
    <w:rsid w:val="009106AC"/>
    <w:rsid w:val="00910CEF"/>
    <w:rsid w:val="00914541"/>
    <w:rsid w:val="009145FF"/>
    <w:rsid w:val="009147B3"/>
    <w:rsid w:val="00914CEF"/>
    <w:rsid w:val="00915D5E"/>
    <w:rsid w:val="00921889"/>
    <w:rsid w:val="00921908"/>
    <w:rsid w:val="00924FAF"/>
    <w:rsid w:val="009270AB"/>
    <w:rsid w:val="00930CE7"/>
    <w:rsid w:val="00931AFE"/>
    <w:rsid w:val="00931CA3"/>
    <w:rsid w:val="00932115"/>
    <w:rsid w:val="00934965"/>
    <w:rsid w:val="00937AC6"/>
    <w:rsid w:val="00941DD2"/>
    <w:rsid w:val="00945BAD"/>
    <w:rsid w:val="00946391"/>
    <w:rsid w:val="0094753B"/>
    <w:rsid w:val="00950861"/>
    <w:rsid w:val="009519D0"/>
    <w:rsid w:val="00951B9C"/>
    <w:rsid w:val="00954E40"/>
    <w:rsid w:val="00955652"/>
    <w:rsid w:val="00956ECC"/>
    <w:rsid w:val="00960C3C"/>
    <w:rsid w:val="0096190F"/>
    <w:rsid w:val="009621E6"/>
    <w:rsid w:val="009630F5"/>
    <w:rsid w:val="00963935"/>
    <w:rsid w:val="0096456A"/>
    <w:rsid w:val="00965D20"/>
    <w:rsid w:val="00967DAF"/>
    <w:rsid w:val="00970020"/>
    <w:rsid w:val="009717FA"/>
    <w:rsid w:val="00972D8E"/>
    <w:rsid w:val="0097509C"/>
    <w:rsid w:val="00975353"/>
    <w:rsid w:val="00976140"/>
    <w:rsid w:val="00976BDC"/>
    <w:rsid w:val="00983DB9"/>
    <w:rsid w:val="00984AE5"/>
    <w:rsid w:val="009856BE"/>
    <w:rsid w:val="0098775C"/>
    <w:rsid w:val="00990217"/>
    <w:rsid w:val="0099095C"/>
    <w:rsid w:val="00990E4C"/>
    <w:rsid w:val="00992F7D"/>
    <w:rsid w:val="00994F51"/>
    <w:rsid w:val="0099576B"/>
    <w:rsid w:val="009A0D21"/>
    <w:rsid w:val="009A14DF"/>
    <w:rsid w:val="009A5500"/>
    <w:rsid w:val="009B0788"/>
    <w:rsid w:val="009B258E"/>
    <w:rsid w:val="009B2615"/>
    <w:rsid w:val="009B6686"/>
    <w:rsid w:val="009B6CDF"/>
    <w:rsid w:val="009B79BA"/>
    <w:rsid w:val="009C1845"/>
    <w:rsid w:val="009C27C0"/>
    <w:rsid w:val="009C610B"/>
    <w:rsid w:val="009C610D"/>
    <w:rsid w:val="009D0EDE"/>
    <w:rsid w:val="009D201B"/>
    <w:rsid w:val="009D4B21"/>
    <w:rsid w:val="009E23F8"/>
    <w:rsid w:val="009E2671"/>
    <w:rsid w:val="009E2A7E"/>
    <w:rsid w:val="009E4416"/>
    <w:rsid w:val="009E5C1A"/>
    <w:rsid w:val="009E5DBD"/>
    <w:rsid w:val="009E65F7"/>
    <w:rsid w:val="009F07ED"/>
    <w:rsid w:val="009F370B"/>
    <w:rsid w:val="009F49AA"/>
    <w:rsid w:val="009F6FA1"/>
    <w:rsid w:val="00A013CB"/>
    <w:rsid w:val="00A0175C"/>
    <w:rsid w:val="00A04CDD"/>
    <w:rsid w:val="00A04FB5"/>
    <w:rsid w:val="00A05904"/>
    <w:rsid w:val="00A05B4D"/>
    <w:rsid w:val="00A06AAE"/>
    <w:rsid w:val="00A10A2A"/>
    <w:rsid w:val="00A11559"/>
    <w:rsid w:val="00A14B1D"/>
    <w:rsid w:val="00A14EFF"/>
    <w:rsid w:val="00A17EC8"/>
    <w:rsid w:val="00A2034E"/>
    <w:rsid w:val="00A223AA"/>
    <w:rsid w:val="00A22CB2"/>
    <w:rsid w:val="00A24809"/>
    <w:rsid w:val="00A25539"/>
    <w:rsid w:val="00A26586"/>
    <w:rsid w:val="00A30405"/>
    <w:rsid w:val="00A31583"/>
    <w:rsid w:val="00A32D68"/>
    <w:rsid w:val="00A3303F"/>
    <w:rsid w:val="00A340F1"/>
    <w:rsid w:val="00A3460C"/>
    <w:rsid w:val="00A34AEB"/>
    <w:rsid w:val="00A4048C"/>
    <w:rsid w:val="00A41B12"/>
    <w:rsid w:val="00A427BF"/>
    <w:rsid w:val="00A43D43"/>
    <w:rsid w:val="00A45F60"/>
    <w:rsid w:val="00A466D6"/>
    <w:rsid w:val="00A476CF"/>
    <w:rsid w:val="00A508D2"/>
    <w:rsid w:val="00A51D1B"/>
    <w:rsid w:val="00A52180"/>
    <w:rsid w:val="00A52537"/>
    <w:rsid w:val="00A52624"/>
    <w:rsid w:val="00A56A02"/>
    <w:rsid w:val="00A609E1"/>
    <w:rsid w:val="00A60B6E"/>
    <w:rsid w:val="00A652BA"/>
    <w:rsid w:val="00A6537C"/>
    <w:rsid w:val="00A7045E"/>
    <w:rsid w:val="00A70F97"/>
    <w:rsid w:val="00A746E9"/>
    <w:rsid w:val="00A7556C"/>
    <w:rsid w:val="00A757D2"/>
    <w:rsid w:val="00A774AE"/>
    <w:rsid w:val="00A80EC0"/>
    <w:rsid w:val="00A817C0"/>
    <w:rsid w:val="00A8204F"/>
    <w:rsid w:val="00A82596"/>
    <w:rsid w:val="00A82FAE"/>
    <w:rsid w:val="00A83777"/>
    <w:rsid w:val="00A83AEC"/>
    <w:rsid w:val="00A83FEC"/>
    <w:rsid w:val="00A84569"/>
    <w:rsid w:val="00A84DBE"/>
    <w:rsid w:val="00A85582"/>
    <w:rsid w:val="00A86DD8"/>
    <w:rsid w:val="00A9119C"/>
    <w:rsid w:val="00A93A7C"/>
    <w:rsid w:val="00A95005"/>
    <w:rsid w:val="00AA03BA"/>
    <w:rsid w:val="00AA03E8"/>
    <w:rsid w:val="00AA2082"/>
    <w:rsid w:val="00AA303F"/>
    <w:rsid w:val="00AA3795"/>
    <w:rsid w:val="00AA6363"/>
    <w:rsid w:val="00AA6960"/>
    <w:rsid w:val="00AA7885"/>
    <w:rsid w:val="00AA7C05"/>
    <w:rsid w:val="00AA7CFB"/>
    <w:rsid w:val="00AA7F1B"/>
    <w:rsid w:val="00AB0752"/>
    <w:rsid w:val="00AB08D1"/>
    <w:rsid w:val="00AB0ACA"/>
    <w:rsid w:val="00AB20D0"/>
    <w:rsid w:val="00AB33D1"/>
    <w:rsid w:val="00AB3854"/>
    <w:rsid w:val="00AB447C"/>
    <w:rsid w:val="00AB5D6E"/>
    <w:rsid w:val="00AB7333"/>
    <w:rsid w:val="00AC104C"/>
    <w:rsid w:val="00AC1A6A"/>
    <w:rsid w:val="00AC5072"/>
    <w:rsid w:val="00AC5FBB"/>
    <w:rsid w:val="00AD336E"/>
    <w:rsid w:val="00AD361B"/>
    <w:rsid w:val="00AD4445"/>
    <w:rsid w:val="00AE4202"/>
    <w:rsid w:val="00AE5D86"/>
    <w:rsid w:val="00AE62E3"/>
    <w:rsid w:val="00AE7331"/>
    <w:rsid w:val="00AF1E4C"/>
    <w:rsid w:val="00AF25DC"/>
    <w:rsid w:val="00AF3795"/>
    <w:rsid w:val="00AF399D"/>
    <w:rsid w:val="00AF4111"/>
    <w:rsid w:val="00AF5CCD"/>
    <w:rsid w:val="00B00335"/>
    <w:rsid w:val="00B0328D"/>
    <w:rsid w:val="00B03EEA"/>
    <w:rsid w:val="00B0436A"/>
    <w:rsid w:val="00B10680"/>
    <w:rsid w:val="00B142BA"/>
    <w:rsid w:val="00B1534C"/>
    <w:rsid w:val="00B1559E"/>
    <w:rsid w:val="00B1645A"/>
    <w:rsid w:val="00B20C50"/>
    <w:rsid w:val="00B22328"/>
    <w:rsid w:val="00B24674"/>
    <w:rsid w:val="00B2709E"/>
    <w:rsid w:val="00B27B60"/>
    <w:rsid w:val="00B27CB2"/>
    <w:rsid w:val="00B302B9"/>
    <w:rsid w:val="00B31AF3"/>
    <w:rsid w:val="00B3280C"/>
    <w:rsid w:val="00B32E99"/>
    <w:rsid w:val="00B34600"/>
    <w:rsid w:val="00B3486B"/>
    <w:rsid w:val="00B35038"/>
    <w:rsid w:val="00B3518F"/>
    <w:rsid w:val="00B40B13"/>
    <w:rsid w:val="00B41B03"/>
    <w:rsid w:val="00B42486"/>
    <w:rsid w:val="00B4266D"/>
    <w:rsid w:val="00B440F5"/>
    <w:rsid w:val="00B45263"/>
    <w:rsid w:val="00B4692F"/>
    <w:rsid w:val="00B47FC3"/>
    <w:rsid w:val="00B505CA"/>
    <w:rsid w:val="00B512DE"/>
    <w:rsid w:val="00B51348"/>
    <w:rsid w:val="00B519F4"/>
    <w:rsid w:val="00B54B48"/>
    <w:rsid w:val="00B54EAE"/>
    <w:rsid w:val="00B63ACD"/>
    <w:rsid w:val="00B64633"/>
    <w:rsid w:val="00B7550A"/>
    <w:rsid w:val="00B75885"/>
    <w:rsid w:val="00B77238"/>
    <w:rsid w:val="00B77823"/>
    <w:rsid w:val="00B83E5F"/>
    <w:rsid w:val="00B848E0"/>
    <w:rsid w:val="00B85602"/>
    <w:rsid w:val="00B86F46"/>
    <w:rsid w:val="00B87EFC"/>
    <w:rsid w:val="00B928D5"/>
    <w:rsid w:val="00B92934"/>
    <w:rsid w:val="00B94E39"/>
    <w:rsid w:val="00B974CA"/>
    <w:rsid w:val="00B97CD4"/>
    <w:rsid w:val="00B97D61"/>
    <w:rsid w:val="00BA0F46"/>
    <w:rsid w:val="00BA2841"/>
    <w:rsid w:val="00BA3176"/>
    <w:rsid w:val="00BA413A"/>
    <w:rsid w:val="00BA4477"/>
    <w:rsid w:val="00BA5107"/>
    <w:rsid w:val="00BA5E30"/>
    <w:rsid w:val="00BA61F9"/>
    <w:rsid w:val="00BB0C27"/>
    <w:rsid w:val="00BB0D91"/>
    <w:rsid w:val="00BB111B"/>
    <w:rsid w:val="00BB2B9B"/>
    <w:rsid w:val="00BB58C9"/>
    <w:rsid w:val="00BC012C"/>
    <w:rsid w:val="00BC1070"/>
    <w:rsid w:val="00BC1661"/>
    <w:rsid w:val="00BC1B00"/>
    <w:rsid w:val="00BC6C6F"/>
    <w:rsid w:val="00BC75CD"/>
    <w:rsid w:val="00BD0C67"/>
    <w:rsid w:val="00BD2783"/>
    <w:rsid w:val="00BD33D0"/>
    <w:rsid w:val="00BD4AFA"/>
    <w:rsid w:val="00BD6F38"/>
    <w:rsid w:val="00BD71A1"/>
    <w:rsid w:val="00BD74BB"/>
    <w:rsid w:val="00BE08C1"/>
    <w:rsid w:val="00BE0A51"/>
    <w:rsid w:val="00BE13C0"/>
    <w:rsid w:val="00BE4866"/>
    <w:rsid w:val="00BE5D7D"/>
    <w:rsid w:val="00BE6035"/>
    <w:rsid w:val="00BE6ABA"/>
    <w:rsid w:val="00BE6EC3"/>
    <w:rsid w:val="00BE7E35"/>
    <w:rsid w:val="00BF0BB7"/>
    <w:rsid w:val="00BF0F4F"/>
    <w:rsid w:val="00BF442C"/>
    <w:rsid w:val="00BF5B35"/>
    <w:rsid w:val="00C01A6C"/>
    <w:rsid w:val="00C023AB"/>
    <w:rsid w:val="00C02635"/>
    <w:rsid w:val="00C035E8"/>
    <w:rsid w:val="00C04DE7"/>
    <w:rsid w:val="00C0630C"/>
    <w:rsid w:val="00C06862"/>
    <w:rsid w:val="00C0704C"/>
    <w:rsid w:val="00C070E9"/>
    <w:rsid w:val="00C11157"/>
    <w:rsid w:val="00C11B49"/>
    <w:rsid w:val="00C12290"/>
    <w:rsid w:val="00C1232D"/>
    <w:rsid w:val="00C14B27"/>
    <w:rsid w:val="00C1532A"/>
    <w:rsid w:val="00C15C74"/>
    <w:rsid w:val="00C16524"/>
    <w:rsid w:val="00C1672F"/>
    <w:rsid w:val="00C2021D"/>
    <w:rsid w:val="00C20249"/>
    <w:rsid w:val="00C20617"/>
    <w:rsid w:val="00C20DCD"/>
    <w:rsid w:val="00C2226E"/>
    <w:rsid w:val="00C22685"/>
    <w:rsid w:val="00C26CC6"/>
    <w:rsid w:val="00C271D5"/>
    <w:rsid w:val="00C30BF3"/>
    <w:rsid w:val="00C33BAD"/>
    <w:rsid w:val="00C34D48"/>
    <w:rsid w:val="00C34E2D"/>
    <w:rsid w:val="00C40413"/>
    <w:rsid w:val="00C406C8"/>
    <w:rsid w:val="00C41372"/>
    <w:rsid w:val="00C41C14"/>
    <w:rsid w:val="00C45907"/>
    <w:rsid w:val="00C516D5"/>
    <w:rsid w:val="00C52379"/>
    <w:rsid w:val="00C529CF"/>
    <w:rsid w:val="00C52F5F"/>
    <w:rsid w:val="00C53CDD"/>
    <w:rsid w:val="00C5432B"/>
    <w:rsid w:val="00C54ADC"/>
    <w:rsid w:val="00C5794C"/>
    <w:rsid w:val="00C62401"/>
    <w:rsid w:val="00C63635"/>
    <w:rsid w:val="00C64C0A"/>
    <w:rsid w:val="00C64E72"/>
    <w:rsid w:val="00C66EEE"/>
    <w:rsid w:val="00C70940"/>
    <w:rsid w:val="00C72330"/>
    <w:rsid w:val="00C73D54"/>
    <w:rsid w:val="00C740F1"/>
    <w:rsid w:val="00C752F0"/>
    <w:rsid w:val="00C7620F"/>
    <w:rsid w:val="00C76829"/>
    <w:rsid w:val="00C775E3"/>
    <w:rsid w:val="00C81678"/>
    <w:rsid w:val="00C82D6F"/>
    <w:rsid w:val="00C84F40"/>
    <w:rsid w:val="00C90BBB"/>
    <w:rsid w:val="00C91547"/>
    <w:rsid w:val="00C91AD2"/>
    <w:rsid w:val="00C939AE"/>
    <w:rsid w:val="00C96A47"/>
    <w:rsid w:val="00CA0663"/>
    <w:rsid w:val="00CA1192"/>
    <w:rsid w:val="00CA1480"/>
    <w:rsid w:val="00CA17C6"/>
    <w:rsid w:val="00CA2552"/>
    <w:rsid w:val="00CA7FD8"/>
    <w:rsid w:val="00CB040F"/>
    <w:rsid w:val="00CB1845"/>
    <w:rsid w:val="00CB49CA"/>
    <w:rsid w:val="00CB5077"/>
    <w:rsid w:val="00CB5F52"/>
    <w:rsid w:val="00CB7D73"/>
    <w:rsid w:val="00CC1A7F"/>
    <w:rsid w:val="00CC363A"/>
    <w:rsid w:val="00CC3F9B"/>
    <w:rsid w:val="00CC5508"/>
    <w:rsid w:val="00CC74C7"/>
    <w:rsid w:val="00CC74F0"/>
    <w:rsid w:val="00CC76D9"/>
    <w:rsid w:val="00CD301B"/>
    <w:rsid w:val="00CD4EA0"/>
    <w:rsid w:val="00CD6E41"/>
    <w:rsid w:val="00CD7122"/>
    <w:rsid w:val="00CE0674"/>
    <w:rsid w:val="00CE19FF"/>
    <w:rsid w:val="00CE3BA2"/>
    <w:rsid w:val="00CE4990"/>
    <w:rsid w:val="00CE67E9"/>
    <w:rsid w:val="00CF0FBB"/>
    <w:rsid w:val="00CF147C"/>
    <w:rsid w:val="00CF3D7A"/>
    <w:rsid w:val="00CF47BB"/>
    <w:rsid w:val="00CF7798"/>
    <w:rsid w:val="00D01375"/>
    <w:rsid w:val="00D03B2F"/>
    <w:rsid w:val="00D05128"/>
    <w:rsid w:val="00D052F6"/>
    <w:rsid w:val="00D056AD"/>
    <w:rsid w:val="00D0670D"/>
    <w:rsid w:val="00D117D0"/>
    <w:rsid w:val="00D1359D"/>
    <w:rsid w:val="00D17A16"/>
    <w:rsid w:val="00D2120C"/>
    <w:rsid w:val="00D212AE"/>
    <w:rsid w:val="00D2216C"/>
    <w:rsid w:val="00D22825"/>
    <w:rsid w:val="00D2307B"/>
    <w:rsid w:val="00D2441D"/>
    <w:rsid w:val="00D252A8"/>
    <w:rsid w:val="00D27F7C"/>
    <w:rsid w:val="00D30A4A"/>
    <w:rsid w:val="00D32CD3"/>
    <w:rsid w:val="00D3627A"/>
    <w:rsid w:val="00D36888"/>
    <w:rsid w:val="00D37D9B"/>
    <w:rsid w:val="00D4023B"/>
    <w:rsid w:val="00D4557C"/>
    <w:rsid w:val="00D46112"/>
    <w:rsid w:val="00D51A9D"/>
    <w:rsid w:val="00D52C6A"/>
    <w:rsid w:val="00D53C4A"/>
    <w:rsid w:val="00D553F9"/>
    <w:rsid w:val="00D55669"/>
    <w:rsid w:val="00D55888"/>
    <w:rsid w:val="00D57E75"/>
    <w:rsid w:val="00D6049F"/>
    <w:rsid w:val="00D60D56"/>
    <w:rsid w:val="00D615DF"/>
    <w:rsid w:val="00D61CDB"/>
    <w:rsid w:val="00D62F0A"/>
    <w:rsid w:val="00D633B0"/>
    <w:rsid w:val="00D63519"/>
    <w:rsid w:val="00D63ED5"/>
    <w:rsid w:val="00D65320"/>
    <w:rsid w:val="00D65345"/>
    <w:rsid w:val="00D66164"/>
    <w:rsid w:val="00D676A3"/>
    <w:rsid w:val="00D70007"/>
    <w:rsid w:val="00D701F0"/>
    <w:rsid w:val="00D72A55"/>
    <w:rsid w:val="00D73066"/>
    <w:rsid w:val="00D73A01"/>
    <w:rsid w:val="00D75D10"/>
    <w:rsid w:val="00D75F7F"/>
    <w:rsid w:val="00D77BA7"/>
    <w:rsid w:val="00D81FD3"/>
    <w:rsid w:val="00D8211E"/>
    <w:rsid w:val="00D82C46"/>
    <w:rsid w:val="00D838DD"/>
    <w:rsid w:val="00D83AC8"/>
    <w:rsid w:val="00D8478E"/>
    <w:rsid w:val="00D84D32"/>
    <w:rsid w:val="00D86378"/>
    <w:rsid w:val="00D866EF"/>
    <w:rsid w:val="00D9028A"/>
    <w:rsid w:val="00D914E3"/>
    <w:rsid w:val="00D92194"/>
    <w:rsid w:val="00D9247B"/>
    <w:rsid w:val="00D92F20"/>
    <w:rsid w:val="00D9397F"/>
    <w:rsid w:val="00D94DE6"/>
    <w:rsid w:val="00DA0568"/>
    <w:rsid w:val="00DA1C08"/>
    <w:rsid w:val="00DA2735"/>
    <w:rsid w:val="00DA2CF2"/>
    <w:rsid w:val="00DA405B"/>
    <w:rsid w:val="00DA4BDE"/>
    <w:rsid w:val="00DB1922"/>
    <w:rsid w:val="00DB2A0B"/>
    <w:rsid w:val="00DB2F87"/>
    <w:rsid w:val="00DB385C"/>
    <w:rsid w:val="00DB4AEE"/>
    <w:rsid w:val="00DB55B3"/>
    <w:rsid w:val="00DB66E5"/>
    <w:rsid w:val="00DB75D2"/>
    <w:rsid w:val="00DB7CAB"/>
    <w:rsid w:val="00DC2EC0"/>
    <w:rsid w:val="00DC4544"/>
    <w:rsid w:val="00DC5F28"/>
    <w:rsid w:val="00DD2120"/>
    <w:rsid w:val="00DD375D"/>
    <w:rsid w:val="00DD5619"/>
    <w:rsid w:val="00DD7206"/>
    <w:rsid w:val="00DE0BC3"/>
    <w:rsid w:val="00DE1265"/>
    <w:rsid w:val="00DE276E"/>
    <w:rsid w:val="00DE6832"/>
    <w:rsid w:val="00DE6E4F"/>
    <w:rsid w:val="00DF31D4"/>
    <w:rsid w:val="00DF346D"/>
    <w:rsid w:val="00DF3C6F"/>
    <w:rsid w:val="00DF5B08"/>
    <w:rsid w:val="00DF5F16"/>
    <w:rsid w:val="00DF6139"/>
    <w:rsid w:val="00E00849"/>
    <w:rsid w:val="00E00D23"/>
    <w:rsid w:val="00E020EE"/>
    <w:rsid w:val="00E0315E"/>
    <w:rsid w:val="00E03406"/>
    <w:rsid w:val="00E069FA"/>
    <w:rsid w:val="00E07B04"/>
    <w:rsid w:val="00E1182C"/>
    <w:rsid w:val="00E126D1"/>
    <w:rsid w:val="00E13318"/>
    <w:rsid w:val="00E15916"/>
    <w:rsid w:val="00E175FA"/>
    <w:rsid w:val="00E22700"/>
    <w:rsid w:val="00E22B98"/>
    <w:rsid w:val="00E235C2"/>
    <w:rsid w:val="00E23D50"/>
    <w:rsid w:val="00E2547E"/>
    <w:rsid w:val="00E25E80"/>
    <w:rsid w:val="00E27EA6"/>
    <w:rsid w:val="00E3034D"/>
    <w:rsid w:val="00E30DE7"/>
    <w:rsid w:val="00E31268"/>
    <w:rsid w:val="00E314B4"/>
    <w:rsid w:val="00E32D66"/>
    <w:rsid w:val="00E331E7"/>
    <w:rsid w:val="00E35EA6"/>
    <w:rsid w:val="00E36D67"/>
    <w:rsid w:val="00E36F1C"/>
    <w:rsid w:val="00E40563"/>
    <w:rsid w:val="00E409D4"/>
    <w:rsid w:val="00E42CA4"/>
    <w:rsid w:val="00E442AF"/>
    <w:rsid w:val="00E44E49"/>
    <w:rsid w:val="00E45D3C"/>
    <w:rsid w:val="00E47ACE"/>
    <w:rsid w:val="00E506F0"/>
    <w:rsid w:val="00E52A3B"/>
    <w:rsid w:val="00E5326A"/>
    <w:rsid w:val="00E54AB9"/>
    <w:rsid w:val="00E5623B"/>
    <w:rsid w:val="00E56F6C"/>
    <w:rsid w:val="00E6169C"/>
    <w:rsid w:val="00E61A2C"/>
    <w:rsid w:val="00E61A4F"/>
    <w:rsid w:val="00E62395"/>
    <w:rsid w:val="00E64825"/>
    <w:rsid w:val="00E64EAD"/>
    <w:rsid w:val="00E65E0E"/>
    <w:rsid w:val="00E67A8F"/>
    <w:rsid w:val="00E67DA7"/>
    <w:rsid w:val="00E67FD8"/>
    <w:rsid w:val="00E71F8C"/>
    <w:rsid w:val="00E72E3B"/>
    <w:rsid w:val="00E75036"/>
    <w:rsid w:val="00E75EE6"/>
    <w:rsid w:val="00E8266C"/>
    <w:rsid w:val="00E84490"/>
    <w:rsid w:val="00E84A4F"/>
    <w:rsid w:val="00E85469"/>
    <w:rsid w:val="00E85A8F"/>
    <w:rsid w:val="00E90A49"/>
    <w:rsid w:val="00E90BE6"/>
    <w:rsid w:val="00E910F9"/>
    <w:rsid w:val="00E9197F"/>
    <w:rsid w:val="00E939C4"/>
    <w:rsid w:val="00E93D1A"/>
    <w:rsid w:val="00E948E8"/>
    <w:rsid w:val="00E96987"/>
    <w:rsid w:val="00E9723A"/>
    <w:rsid w:val="00EA1AD8"/>
    <w:rsid w:val="00EA6C2F"/>
    <w:rsid w:val="00EA762F"/>
    <w:rsid w:val="00EB15F3"/>
    <w:rsid w:val="00EB2C59"/>
    <w:rsid w:val="00EB3E19"/>
    <w:rsid w:val="00EB5008"/>
    <w:rsid w:val="00EB6A0A"/>
    <w:rsid w:val="00EB7304"/>
    <w:rsid w:val="00EB745F"/>
    <w:rsid w:val="00EB7761"/>
    <w:rsid w:val="00EC0132"/>
    <w:rsid w:val="00EC078F"/>
    <w:rsid w:val="00EC2DF4"/>
    <w:rsid w:val="00EC4FDB"/>
    <w:rsid w:val="00EC5D24"/>
    <w:rsid w:val="00EC7C50"/>
    <w:rsid w:val="00ED1255"/>
    <w:rsid w:val="00ED22F4"/>
    <w:rsid w:val="00ED4264"/>
    <w:rsid w:val="00ED4A83"/>
    <w:rsid w:val="00ED53FA"/>
    <w:rsid w:val="00ED59CD"/>
    <w:rsid w:val="00EE10B7"/>
    <w:rsid w:val="00EE140F"/>
    <w:rsid w:val="00EE1B6A"/>
    <w:rsid w:val="00EE2C8C"/>
    <w:rsid w:val="00EE2D7B"/>
    <w:rsid w:val="00EF0059"/>
    <w:rsid w:val="00EF0A4C"/>
    <w:rsid w:val="00EF0D6A"/>
    <w:rsid w:val="00EF1CE4"/>
    <w:rsid w:val="00EF1E01"/>
    <w:rsid w:val="00EF38FE"/>
    <w:rsid w:val="00EF4A72"/>
    <w:rsid w:val="00EF6369"/>
    <w:rsid w:val="00EF6BF3"/>
    <w:rsid w:val="00F01BFC"/>
    <w:rsid w:val="00F03CED"/>
    <w:rsid w:val="00F04AC5"/>
    <w:rsid w:val="00F05C88"/>
    <w:rsid w:val="00F0680E"/>
    <w:rsid w:val="00F070D2"/>
    <w:rsid w:val="00F103CF"/>
    <w:rsid w:val="00F1097B"/>
    <w:rsid w:val="00F11E09"/>
    <w:rsid w:val="00F1296A"/>
    <w:rsid w:val="00F138D9"/>
    <w:rsid w:val="00F14A0E"/>
    <w:rsid w:val="00F14F71"/>
    <w:rsid w:val="00F16157"/>
    <w:rsid w:val="00F21B76"/>
    <w:rsid w:val="00F2208D"/>
    <w:rsid w:val="00F229C1"/>
    <w:rsid w:val="00F242E9"/>
    <w:rsid w:val="00F24DB6"/>
    <w:rsid w:val="00F27493"/>
    <w:rsid w:val="00F27B53"/>
    <w:rsid w:val="00F3052A"/>
    <w:rsid w:val="00F30F70"/>
    <w:rsid w:val="00F31971"/>
    <w:rsid w:val="00F327A1"/>
    <w:rsid w:val="00F32EB3"/>
    <w:rsid w:val="00F33194"/>
    <w:rsid w:val="00F33841"/>
    <w:rsid w:val="00F33ECF"/>
    <w:rsid w:val="00F34072"/>
    <w:rsid w:val="00F35291"/>
    <w:rsid w:val="00F3620B"/>
    <w:rsid w:val="00F37E17"/>
    <w:rsid w:val="00F43705"/>
    <w:rsid w:val="00F43B3E"/>
    <w:rsid w:val="00F440B3"/>
    <w:rsid w:val="00F442F7"/>
    <w:rsid w:val="00F451DD"/>
    <w:rsid w:val="00F4600B"/>
    <w:rsid w:val="00F46473"/>
    <w:rsid w:val="00F46EE0"/>
    <w:rsid w:val="00F473B9"/>
    <w:rsid w:val="00F47A50"/>
    <w:rsid w:val="00F51474"/>
    <w:rsid w:val="00F51C19"/>
    <w:rsid w:val="00F54936"/>
    <w:rsid w:val="00F55E50"/>
    <w:rsid w:val="00F57830"/>
    <w:rsid w:val="00F57914"/>
    <w:rsid w:val="00F57CC9"/>
    <w:rsid w:val="00F6387B"/>
    <w:rsid w:val="00F65292"/>
    <w:rsid w:val="00F65D3B"/>
    <w:rsid w:val="00F667BA"/>
    <w:rsid w:val="00F70344"/>
    <w:rsid w:val="00F76139"/>
    <w:rsid w:val="00F768F3"/>
    <w:rsid w:val="00F77DCB"/>
    <w:rsid w:val="00F82F1A"/>
    <w:rsid w:val="00F82FC8"/>
    <w:rsid w:val="00F8608C"/>
    <w:rsid w:val="00F90754"/>
    <w:rsid w:val="00F90CC1"/>
    <w:rsid w:val="00F90EBD"/>
    <w:rsid w:val="00F93ADA"/>
    <w:rsid w:val="00F94435"/>
    <w:rsid w:val="00F95DC6"/>
    <w:rsid w:val="00F96291"/>
    <w:rsid w:val="00F964AB"/>
    <w:rsid w:val="00F9712B"/>
    <w:rsid w:val="00FA09C0"/>
    <w:rsid w:val="00FA0F20"/>
    <w:rsid w:val="00FA1355"/>
    <w:rsid w:val="00FA2F3D"/>
    <w:rsid w:val="00FA2FB9"/>
    <w:rsid w:val="00FA39EE"/>
    <w:rsid w:val="00FA4C50"/>
    <w:rsid w:val="00FA4EA4"/>
    <w:rsid w:val="00FA54F2"/>
    <w:rsid w:val="00FA5B2A"/>
    <w:rsid w:val="00FB0ADF"/>
    <w:rsid w:val="00FB0DD8"/>
    <w:rsid w:val="00FB1D03"/>
    <w:rsid w:val="00FB25E9"/>
    <w:rsid w:val="00FC12F6"/>
    <w:rsid w:val="00FC4650"/>
    <w:rsid w:val="00FC51A7"/>
    <w:rsid w:val="00FC64E5"/>
    <w:rsid w:val="00FC727E"/>
    <w:rsid w:val="00FC7B05"/>
    <w:rsid w:val="00FD04DD"/>
    <w:rsid w:val="00FD059E"/>
    <w:rsid w:val="00FD1BFE"/>
    <w:rsid w:val="00FD3D26"/>
    <w:rsid w:val="00FD4302"/>
    <w:rsid w:val="00FD6767"/>
    <w:rsid w:val="00FD7E85"/>
    <w:rsid w:val="00FE0E5F"/>
    <w:rsid w:val="00FE51AD"/>
    <w:rsid w:val="00FF3378"/>
    <w:rsid w:val="00FF3965"/>
    <w:rsid w:val="00FF45AC"/>
    <w:rsid w:val="00FF5AA6"/>
    <w:rsid w:val="00FF642B"/>
    <w:rsid w:val="00FF65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98305"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5626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6956"/>
    <w:pPr>
      <w:spacing w:after="120"/>
      <w:ind w:firstLine="567"/>
      <w:jc w:val="both"/>
    </w:pPr>
    <w:rPr>
      <w:rFonts w:eastAsia="Times New Roman"/>
      <w:sz w:val="24"/>
      <w:lang w:eastAsia="en-US"/>
    </w:rPr>
  </w:style>
  <w:style w:type="paragraph" w:styleId="Heading1">
    <w:name w:val="heading 1"/>
    <w:basedOn w:val="Normal"/>
    <w:next w:val="Normal"/>
    <w:link w:val="Heading1Char"/>
    <w:uiPriority w:val="9"/>
    <w:qFormat/>
    <w:rsid w:val="0050658A"/>
    <w:pPr>
      <w:keepNext/>
      <w:keepLines/>
      <w:spacing w:before="480" w:after="0"/>
      <w:outlineLvl w:val="0"/>
    </w:pPr>
    <w:rPr>
      <w:rFonts w:ascii="Cambria" w:hAnsi="Cambria"/>
      <w:b/>
      <w:bCs/>
      <w:color w:val="365F91"/>
      <w:sz w:val="20"/>
      <w:szCs w:val="28"/>
      <w:lang w:val="x-none" w:eastAsia="x-none"/>
    </w:rPr>
  </w:style>
  <w:style w:type="paragraph" w:styleId="Heading3">
    <w:name w:val="heading 3"/>
    <w:basedOn w:val="Normal"/>
    <w:next w:val="Normal"/>
    <w:link w:val="Heading3Char"/>
    <w:uiPriority w:val="9"/>
    <w:unhideWhenUsed/>
    <w:qFormat/>
    <w:rsid w:val="005A06FA"/>
    <w:pPr>
      <w:keepNext/>
      <w:spacing w:before="240" w:after="60"/>
      <w:outlineLvl w:val="2"/>
    </w:pPr>
    <w:rPr>
      <w:rFonts w:ascii="Cambria"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F6956"/>
    <w:pPr>
      <w:tabs>
        <w:tab w:val="center" w:pos="4153"/>
        <w:tab w:val="right" w:pos="8306"/>
      </w:tabs>
    </w:pPr>
    <w:rPr>
      <w:lang w:val="x-none" w:eastAsia="x-none"/>
    </w:rPr>
  </w:style>
  <w:style w:type="character" w:customStyle="1" w:styleId="FooterChar">
    <w:name w:val="Footer Char"/>
    <w:link w:val="Footer"/>
    <w:uiPriority w:val="99"/>
    <w:rsid w:val="000F6956"/>
    <w:rPr>
      <w:rFonts w:eastAsia="Times New Roman" w:cs="Times New Roman"/>
      <w:sz w:val="24"/>
      <w:szCs w:val="20"/>
    </w:rPr>
  </w:style>
  <w:style w:type="character" w:styleId="PageNumber">
    <w:name w:val="page number"/>
    <w:basedOn w:val="DefaultParagraphFont"/>
    <w:rsid w:val="000F6956"/>
  </w:style>
  <w:style w:type="character" w:customStyle="1" w:styleId="HeaderChar">
    <w:name w:val="Header Char"/>
    <w:link w:val="Header"/>
    <w:uiPriority w:val="99"/>
    <w:rsid w:val="000F6956"/>
    <w:rPr>
      <w:sz w:val="24"/>
    </w:rPr>
  </w:style>
  <w:style w:type="paragraph" w:styleId="Header">
    <w:name w:val="header"/>
    <w:basedOn w:val="Normal"/>
    <w:link w:val="HeaderChar"/>
    <w:uiPriority w:val="99"/>
    <w:rsid w:val="000F6956"/>
    <w:pPr>
      <w:tabs>
        <w:tab w:val="center" w:pos="4153"/>
        <w:tab w:val="right" w:pos="8306"/>
      </w:tabs>
    </w:pPr>
    <w:rPr>
      <w:rFonts w:eastAsia="Calibri"/>
      <w:lang w:val="x-none" w:eastAsia="x-none"/>
    </w:rPr>
  </w:style>
  <w:style w:type="character" w:customStyle="1" w:styleId="HeaderChar1">
    <w:name w:val="Header Char1"/>
    <w:uiPriority w:val="99"/>
    <w:semiHidden/>
    <w:rsid w:val="000F6956"/>
    <w:rPr>
      <w:rFonts w:eastAsia="Times New Roman" w:cs="Times New Roman"/>
      <w:sz w:val="24"/>
      <w:szCs w:val="20"/>
    </w:rPr>
  </w:style>
  <w:style w:type="paragraph" w:customStyle="1" w:styleId="H1">
    <w:name w:val="H1"/>
    <w:link w:val="H1Char"/>
    <w:rsid w:val="00283B8B"/>
    <w:pPr>
      <w:keepNext/>
      <w:keepLines/>
      <w:pageBreakBefore/>
      <w:pBdr>
        <w:bottom w:val="thickThinLargeGap" w:sz="24" w:space="1" w:color="17365D"/>
      </w:pBdr>
      <w:tabs>
        <w:tab w:val="left" w:pos="1134"/>
      </w:tabs>
      <w:spacing w:after="120"/>
      <w:ind w:left="1134" w:hanging="567"/>
      <w:outlineLvl w:val="0"/>
    </w:pPr>
    <w:rPr>
      <w:rFonts w:eastAsia="Times New Roman"/>
      <w:b/>
      <w:sz w:val="36"/>
      <w:lang w:eastAsia="en-US"/>
    </w:rPr>
  </w:style>
  <w:style w:type="character" w:styleId="CommentReference">
    <w:name w:val="annotation reference"/>
    <w:uiPriority w:val="99"/>
    <w:semiHidden/>
    <w:unhideWhenUsed/>
    <w:rsid w:val="000F6956"/>
    <w:rPr>
      <w:sz w:val="16"/>
      <w:szCs w:val="16"/>
    </w:rPr>
  </w:style>
  <w:style w:type="paragraph" w:styleId="CommentText">
    <w:name w:val="annotation text"/>
    <w:basedOn w:val="Normal"/>
    <w:link w:val="CommentTextChar"/>
    <w:uiPriority w:val="99"/>
    <w:unhideWhenUsed/>
    <w:rsid w:val="00B51348"/>
    <w:rPr>
      <w:sz w:val="20"/>
      <w:lang w:val="x-none" w:eastAsia="x-none"/>
    </w:rPr>
  </w:style>
  <w:style w:type="character" w:customStyle="1" w:styleId="CommentTextChar">
    <w:name w:val="Comment Text Char"/>
    <w:link w:val="CommentText"/>
    <w:uiPriority w:val="99"/>
    <w:rsid w:val="000F6956"/>
    <w:rPr>
      <w:rFonts w:eastAsia="Times New Roman"/>
      <w:lang w:val="x-none" w:eastAsia="x-none"/>
    </w:rPr>
  </w:style>
  <w:style w:type="paragraph" w:styleId="BalloonText">
    <w:name w:val="Balloon Text"/>
    <w:basedOn w:val="Normal"/>
    <w:link w:val="BalloonTextChar"/>
    <w:uiPriority w:val="99"/>
    <w:semiHidden/>
    <w:unhideWhenUsed/>
    <w:rsid w:val="000F6956"/>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0F6956"/>
    <w:rPr>
      <w:rFonts w:ascii="Tahoma" w:eastAsia="Times New Roman" w:hAnsi="Tahoma" w:cs="Tahoma"/>
      <w:sz w:val="16"/>
      <w:szCs w:val="16"/>
    </w:rPr>
  </w:style>
  <w:style w:type="paragraph" w:customStyle="1" w:styleId="H2">
    <w:name w:val="H2"/>
    <w:link w:val="H2Char"/>
    <w:uiPriority w:val="99"/>
    <w:rsid w:val="000F6956"/>
    <w:pPr>
      <w:keepNext/>
      <w:tabs>
        <w:tab w:val="left" w:pos="1134"/>
      </w:tabs>
      <w:spacing w:before="480" w:after="240"/>
      <w:ind w:left="1134" w:hanging="567"/>
      <w:outlineLvl w:val="1"/>
    </w:pPr>
    <w:rPr>
      <w:rFonts w:ascii="Calibri" w:eastAsia="Times New Roman" w:hAnsi="Calibri"/>
      <w:b/>
      <w:sz w:val="32"/>
      <w:lang w:eastAsia="en-US"/>
    </w:rPr>
  </w:style>
  <w:style w:type="paragraph" w:customStyle="1" w:styleId="H4">
    <w:name w:val="H4"/>
    <w:uiPriority w:val="99"/>
    <w:rsid w:val="000F6956"/>
    <w:pPr>
      <w:spacing w:before="120" w:after="120"/>
      <w:ind w:left="567"/>
      <w:outlineLvl w:val="3"/>
    </w:pPr>
    <w:rPr>
      <w:rFonts w:ascii="Calibri" w:eastAsia="Times New Roman" w:hAnsi="Calibri"/>
      <w:b/>
      <w:sz w:val="28"/>
      <w:lang w:eastAsia="en-US"/>
    </w:rPr>
  </w:style>
  <w:style w:type="paragraph" w:customStyle="1" w:styleId="H3">
    <w:name w:val="H3"/>
    <w:link w:val="H3Char"/>
    <w:rsid w:val="000F6956"/>
    <w:pPr>
      <w:keepNext/>
      <w:spacing w:before="480" w:after="120"/>
      <w:ind w:left="1701" w:hanging="1134"/>
      <w:outlineLvl w:val="2"/>
    </w:pPr>
    <w:rPr>
      <w:rFonts w:ascii="Calibri" w:eastAsia="Times New Roman" w:hAnsi="Calibri"/>
      <w:b/>
      <w:sz w:val="28"/>
      <w:lang w:eastAsia="en-US"/>
    </w:rPr>
  </w:style>
  <w:style w:type="paragraph" w:customStyle="1" w:styleId="T">
    <w:name w:val="T"/>
    <w:basedOn w:val="Normal"/>
    <w:rsid w:val="000F6956"/>
    <w:pPr>
      <w:keepNext/>
      <w:ind w:left="567" w:firstLine="0"/>
      <w:jc w:val="left"/>
    </w:pPr>
    <w:rPr>
      <w:rFonts w:ascii="Calibri" w:hAnsi="Calibri"/>
      <w:b/>
    </w:rPr>
  </w:style>
  <w:style w:type="paragraph" w:customStyle="1" w:styleId="Z">
    <w:name w:val="Z"/>
    <w:basedOn w:val="T"/>
    <w:uiPriority w:val="99"/>
    <w:rsid w:val="000F6956"/>
    <w:pPr>
      <w:ind w:right="1701"/>
    </w:pPr>
    <w:rPr>
      <w:b w:val="0"/>
      <w:sz w:val="20"/>
    </w:rPr>
  </w:style>
  <w:style w:type="paragraph" w:customStyle="1" w:styleId="tabteksts">
    <w:name w:val="tab_teksts"/>
    <w:basedOn w:val="Normal"/>
    <w:uiPriority w:val="99"/>
    <w:rsid w:val="000F6956"/>
    <w:pPr>
      <w:spacing w:after="0"/>
      <w:ind w:firstLine="0"/>
      <w:jc w:val="left"/>
    </w:pPr>
    <w:rPr>
      <w:sz w:val="20"/>
    </w:rPr>
  </w:style>
  <w:style w:type="paragraph" w:styleId="FootnoteText">
    <w:name w:val="footnote text"/>
    <w:aliases w:val="Footnote,Fußnote,Fußnote Char Char Char"/>
    <w:basedOn w:val="Normal"/>
    <w:link w:val="FootnoteTextChar"/>
    <w:uiPriority w:val="99"/>
    <w:semiHidden/>
    <w:rsid w:val="000F6956"/>
    <w:pPr>
      <w:keepLines/>
      <w:widowControl w:val="0"/>
      <w:spacing w:after="0"/>
      <w:ind w:left="340" w:hanging="340"/>
      <w:jc w:val="left"/>
    </w:pPr>
    <w:rPr>
      <w:snapToGrid w:val="0"/>
      <w:color w:val="000000"/>
      <w:sz w:val="20"/>
      <w:lang w:val="x-none" w:eastAsia="x-none"/>
    </w:rPr>
  </w:style>
  <w:style w:type="character" w:customStyle="1" w:styleId="FootnoteTextChar">
    <w:name w:val="Footnote Text Char"/>
    <w:aliases w:val="Footnote Char,Fußnote Char,Fußnote Char Char Char Char"/>
    <w:link w:val="FootnoteText"/>
    <w:uiPriority w:val="99"/>
    <w:semiHidden/>
    <w:rsid w:val="000F6956"/>
    <w:rPr>
      <w:rFonts w:eastAsia="Times New Roman" w:cs="Times New Roman"/>
      <w:snapToGrid w:val="0"/>
      <w:color w:val="000000"/>
      <w:sz w:val="20"/>
      <w:szCs w:val="20"/>
    </w:rPr>
  </w:style>
  <w:style w:type="character" w:styleId="FootnoteReference">
    <w:name w:val="footnote reference"/>
    <w:aliases w:val="Footnote Reference Number"/>
    <w:uiPriority w:val="99"/>
    <w:semiHidden/>
    <w:rsid w:val="000F6956"/>
    <w:rPr>
      <w:rFonts w:ascii="Garamond" w:hAnsi="Garamond"/>
      <w:sz w:val="20"/>
      <w:vertAlign w:val="superscript"/>
    </w:rPr>
  </w:style>
  <w:style w:type="paragraph" w:customStyle="1" w:styleId="Zpar">
    <w:name w:val="Z_par"/>
    <w:basedOn w:val="Z"/>
    <w:rsid w:val="000F6956"/>
    <w:pPr>
      <w:spacing w:after="480"/>
      <w:ind w:left="1418" w:hanging="851"/>
    </w:pPr>
    <w:rPr>
      <w:i/>
    </w:rPr>
  </w:style>
  <w:style w:type="character" w:styleId="Strong">
    <w:name w:val="Strong"/>
    <w:uiPriority w:val="99"/>
    <w:qFormat/>
    <w:rsid w:val="000F6956"/>
    <w:rPr>
      <w:b/>
      <w:bCs/>
    </w:rPr>
  </w:style>
  <w:style w:type="paragraph" w:styleId="ListParagraph">
    <w:name w:val="List Paragraph"/>
    <w:basedOn w:val="Normal"/>
    <w:link w:val="ListParagraphChar"/>
    <w:uiPriority w:val="34"/>
    <w:qFormat/>
    <w:rsid w:val="000F6956"/>
    <w:pPr>
      <w:spacing w:after="200" w:line="276" w:lineRule="auto"/>
      <w:ind w:left="720" w:firstLine="0"/>
      <w:contextualSpacing/>
      <w:jc w:val="left"/>
    </w:pPr>
    <w:rPr>
      <w:rFonts w:ascii="Calibri" w:hAnsi="Calibri"/>
      <w:sz w:val="22"/>
      <w:lang w:val="x-none" w:eastAsia="x-none"/>
    </w:rPr>
  </w:style>
  <w:style w:type="character" w:styleId="Emphasis">
    <w:name w:val="Emphasis"/>
    <w:uiPriority w:val="20"/>
    <w:qFormat/>
    <w:rsid w:val="000F6956"/>
    <w:rPr>
      <w:i/>
      <w:iCs/>
    </w:rPr>
  </w:style>
  <w:style w:type="paragraph" w:styleId="BodyTextIndent2">
    <w:name w:val="Body Text Indent 2"/>
    <w:basedOn w:val="Normal"/>
    <w:link w:val="BodyTextIndent2Char"/>
    <w:semiHidden/>
    <w:rsid w:val="000F6956"/>
    <w:pPr>
      <w:spacing w:before="120"/>
      <w:ind w:firstLine="706"/>
    </w:pPr>
    <w:rPr>
      <w:lang w:val="x-none" w:eastAsia="x-none"/>
    </w:rPr>
  </w:style>
  <w:style w:type="character" w:customStyle="1" w:styleId="BodyTextIndent2Char">
    <w:name w:val="Body Text Indent 2 Char"/>
    <w:link w:val="BodyTextIndent2"/>
    <w:semiHidden/>
    <w:rsid w:val="000F6956"/>
    <w:rPr>
      <w:rFonts w:eastAsia="Times New Roman" w:cs="Times New Roman"/>
      <w:sz w:val="24"/>
      <w:szCs w:val="20"/>
    </w:rPr>
  </w:style>
  <w:style w:type="paragraph" w:customStyle="1" w:styleId="Default">
    <w:name w:val="Default"/>
    <w:rsid w:val="000F6956"/>
    <w:pPr>
      <w:autoSpaceDE w:val="0"/>
      <w:autoSpaceDN w:val="0"/>
      <w:adjustRightInd w:val="0"/>
    </w:pPr>
    <w:rPr>
      <w:rFonts w:eastAsia="Times New Roman"/>
      <w:color w:val="000000"/>
      <w:sz w:val="24"/>
      <w:szCs w:val="24"/>
    </w:rPr>
  </w:style>
  <w:style w:type="paragraph" w:styleId="BodyTextIndent">
    <w:name w:val="Body Text Indent"/>
    <w:basedOn w:val="Normal"/>
    <w:link w:val="BodyTextIndentChar"/>
    <w:semiHidden/>
    <w:unhideWhenUsed/>
    <w:rsid w:val="000F6956"/>
    <w:pPr>
      <w:ind w:left="283"/>
    </w:pPr>
    <w:rPr>
      <w:lang w:val="x-none" w:eastAsia="x-none"/>
    </w:rPr>
  </w:style>
  <w:style w:type="character" w:customStyle="1" w:styleId="BodyTextIndentChar">
    <w:name w:val="Body Text Indent Char"/>
    <w:link w:val="BodyTextIndent"/>
    <w:semiHidden/>
    <w:rsid w:val="000F6956"/>
    <w:rPr>
      <w:rFonts w:eastAsia="Times New Roman" w:cs="Times New Roman"/>
      <w:sz w:val="24"/>
      <w:szCs w:val="20"/>
    </w:rPr>
  </w:style>
  <w:style w:type="paragraph" w:customStyle="1" w:styleId="ridk">
    <w:name w:val="ridk"/>
    <w:basedOn w:val="Normal"/>
    <w:rsid w:val="000F6956"/>
    <w:pPr>
      <w:spacing w:before="100" w:beforeAutospacing="1" w:after="100" w:afterAutospacing="1"/>
      <w:ind w:firstLine="0"/>
      <w:jc w:val="left"/>
    </w:pPr>
    <w:rPr>
      <w:rFonts w:ascii="Arial Unicode MS" w:eastAsia="Arial Unicode MS" w:hAnsi="Arial Unicode MS" w:cs="Arial Unicode MS"/>
      <w:szCs w:val="24"/>
      <w:lang w:val="en-US"/>
    </w:rPr>
  </w:style>
  <w:style w:type="character" w:customStyle="1" w:styleId="ListParagraphChar">
    <w:name w:val="List Paragraph Char"/>
    <w:link w:val="ListParagraph"/>
    <w:uiPriority w:val="34"/>
    <w:locked/>
    <w:rsid w:val="00FA2F3D"/>
    <w:rPr>
      <w:rFonts w:ascii="Calibri" w:eastAsia="Times New Roman" w:hAnsi="Calibri" w:cs="Times New Roman"/>
      <w:sz w:val="22"/>
    </w:rPr>
  </w:style>
  <w:style w:type="table" w:styleId="TableGrid">
    <w:name w:val="Table Grid"/>
    <w:basedOn w:val="TableNormal"/>
    <w:uiPriority w:val="59"/>
    <w:rsid w:val="00B5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rsraksts1">
    <w:name w:val="Virsraksts1"/>
    <w:basedOn w:val="Heading1"/>
    <w:rsid w:val="001D56AF"/>
    <w:pPr>
      <w:keepLines w:val="0"/>
      <w:spacing w:before="240" w:after="60"/>
      <w:ind w:firstLine="709"/>
    </w:pPr>
    <w:rPr>
      <w:rFonts w:ascii="Times New Roman" w:eastAsia="Calibri" w:hAnsi="Times New Roman"/>
      <w:color w:val="auto"/>
      <w:kern w:val="32"/>
      <w:sz w:val="40"/>
      <w:szCs w:val="40"/>
    </w:rPr>
  </w:style>
  <w:style w:type="character" w:customStyle="1" w:styleId="Heading1Char">
    <w:name w:val="Heading 1 Char"/>
    <w:link w:val="Heading1"/>
    <w:uiPriority w:val="9"/>
    <w:rsid w:val="001D56AF"/>
    <w:rPr>
      <w:rFonts w:ascii="Cambria" w:eastAsia="Times New Roman" w:hAnsi="Cambria"/>
      <w:b/>
      <w:bCs/>
      <w:color w:val="365F91"/>
      <w:szCs w:val="28"/>
      <w:lang w:val="x-none" w:eastAsia="x-none"/>
    </w:rPr>
  </w:style>
  <w:style w:type="character" w:customStyle="1" w:styleId="spelle">
    <w:name w:val="spelle"/>
    <w:basedOn w:val="DefaultParagraphFont"/>
    <w:rsid w:val="006F0333"/>
  </w:style>
  <w:style w:type="paragraph" w:customStyle="1" w:styleId="ParagraphNumbering">
    <w:name w:val="Paragraph Numbering"/>
    <w:basedOn w:val="Normal"/>
    <w:uiPriority w:val="1"/>
    <w:qFormat/>
    <w:rsid w:val="006F0333"/>
    <w:pPr>
      <w:numPr>
        <w:numId w:val="2"/>
      </w:numPr>
      <w:spacing w:after="240" w:line="264" w:lineRule="auto"/>
      <w:jc w:val="left"/>
    </w:pPr>
    <w:rPr>
      <w:rFonts w:eastAsia="Calibri"/>
      <w:szCs w:val="24"/>
      <w:lang w:val="en-US"/>
    </w:rPr>
  </w:style>
  <w:style w:type="paragraph" w:styleId="CommentSubject">
    <w:name w:val="annotation subject"/>
    <w:basedOn w:val="CommentText"/>
    <w:next w:val="CommentText"/>
    <w:link w:val="CommentSubjectChar"/>
    <w:uiPriority w:val="99"/>
    <w:semiHidden/>
    <w:unhideWhenUsed/>
    <w:rsid w:val="00EF6369"/>
    <w:rPr>
      <w:b/>
      <w:bCs/>
    </w:rPr>
  </w:style>
  <w:style w:type="character" w:customStyle="1" w:styleId="CommentSubjectChar">
    <w:name w:val="Comment Subject Char"/>
    <w:link w:val="CommentSubject"/>
    <w:uiPriority w:val="99"/>
    <w:semiHidden/>
    <w:rsid w:val="00EF6369"/>
    <w:rPr>
      <w:rFonts w:eastAsia="Times New Roman" w:cs="Times New Roman"/>
      <w:b/>
      <w:bCs/>
      <w:sz w:val="20"/>
      <w:szCs w:val="20"/>
    </w:rPr>
  </w:style>
  <w:style w:type="paragraph" w:customStyle="1" w:styleId="PIRMAIS">
    <w:name w:val="PIRMAIS"/>
    <w:basedOn w:val="H1"/>
    <w:link w:val="PIRMAISChar"/>
    <w:qFormat/>
    <w:rsid w:val="00283B8B"/>
    <w:pPr>
      <w:tabs>
        <w:tab w:val="clear" w:pos="1134"/>
        <w:tab w:val="left" w:pos="567"/>
      </w:tabs>
      <w:ind w:left="567"/>
    </w:pPr>
  </w:style>
  <w:style w:type="paragraph" w:customStyle="1" w:styleId="otrais">
    <w:name w:val="otrais"/>
    <w:basedOn w:val="H2"/>
    <w:link w:val="otraisChar"/>
    <w:qFormat/>
    <w:rsid w:val="00283B8B"/>
    <w:pPr>
      <w:tabs>
        <w:tab w:val="clear" w:pos="1134"/>
        <w:tab w:val="left" w:pos="567"/>
      </w:tabs>
      <w:ind w:left="567"/>
    </w:pPr>
    <w:rPr>
      <w:rFonts w:ascii="Times New Roman" w:hAnsi="Times New Roman"/>
    </w:rPr>
  </w:style>
  <w:style w:type="character" w:customStyle="1" w:styleId="H1Char">
    <w:name w:val="H1 Char"/>
    <w:link w:val="H1"/>
    <w:rsid w:val="00283B8B"/>
    <w:rPr>
      <w:rFonts w:eastAsia="Times New Roman"/>
      <w:b/>
      <w:sz w:val="36"/>
      <w:lang w:eastAsia="en-US" w:bidi="ar-SA"/>
    </w:rPr>
  </w:style>
  <w:style w:type="character" w:customStyle="1" w:styleId="PIRMAISChar">
    <w:name w:val="PIRMAIS Char"/>
    <w:basedOn w:val="H1Char"/>
    <w:link w:val="PIRMAIS"/>
    <w:rsid w:val="00283B8B"/>
    <w:rPr>
      <w:rFonts w:eastAsia="Times New Roman"/>
      <w:b/>
      <w:sz w:val="36"/>
      <w:lang w:eastAsia="en-US" w:bidi="ar-SA"/>
    </w:rPr>
  </w:style>
  <w:style w:type="paragraph" w:customStyle="1" w:styleId="tresais">
    <w:name w:val="tresais"/>
    <w:basedOn w:val="H3"/>
    <w:link w:val="tresaisChar"/>
    <w:qFormat/>
    <w:rsid w:val="00283B8B"/>
    <w:pPr>
      <w:ind w:left="0" w:firstLine="0"/>
    </w:pPr>
    <w:rPr>
      <w:rFonts w:ascii="Times New Roman" w:hAnsi="Times New Roman"/>
    </w:rPr>
  </w:style>
  <w:style w:type="character" w:customStyle="1" w:styleId="H2Char">
    <w:name w:val="H2 Char"/>
    <w:link w:val="H2"/>
    <w:uiPriority w:val="99"/>
    <w:rsid w:val="00283B8B"/>
    <w:rPr>
      <w:rFonts w:ascii="Calibri" w:eastAsia="Times New Roman" w:hAnsi="Calibri"/>
      <w:b/>
      <w:sz w:val="32"/>
      <w:lang w:eastAsia="en-US" w:bidi="ar-SA"/>
    </w:rPr>
  </w:style>
  <w:style w:type="character" w:customStyle="1" w:styleId="otraisChar">
    <w:name w:val="otrais Char"/>
    <w:basedOn w:val="H2Char"/>
    <w:link w:val="otrais"/>
    <w:rsid w:val="00283B8B"/>
    <w:rPr>
      <w:rFonts w:ascii="Calibri" w:eastAsia="Times New Roman" w:hAnsi="Calibri"/>
      <w:b/>
      <w:sz w:val="32"/>
      <w:lang w:eastAsia="en-US" w:bidi="ar-SA"/>
    </w:rPr>
  </w:style>
  <w:style w:type="paragraph" w:styleId="TOCHeading">
    <w:name w:val="TOC Heading"/>
    <w:basedOn w:val="Heading1"/>
    <w:next w:val="Normal"/>
    <w:uiPriority w:val="39"/>
    <w:semiHidden/>
    <w:unhideWhenUsed/>
    <w:qFormat/>
    <w:rsid w:val="0050658A"/>
    <w:pPr>
      <w:spacing w:line="276" w:lineRule="auto"/>
      <w:ind w:firstLine="0"/>
      <w:jc w:val="left"/>
      <w:outlineLvl w:val="9"/>
    </w:pPr>
    <w:rPr>
      <w:rFonts w:eastAsia="MS Gothic"/>
      <w:lang w:val="en-US" w:eastAsia="ja-JP"/>
    </w:rPr>
  </w:style>
  <w:style w:type="character" w:customStyle="1" w:styleId="H3Char">
    <w:name w:val="H3 Char"/>
    <w:link w:val="H3"/>
    <w:rsid w:val="00283B8B"/>
    <w:rPr>
      <w:rFonts w:ascii="Calibri" w:eastAsia="Times New Roman" w:hAnsi="Calibri"/>
      <w:b/>
      <w:sz w:val="28"/>
      <w:lang w:eastAsia="en-US" w:bidi="ar-SA"/>
    </w:rPr>
  </w:style>
  <w:style w:type="character" w:customStyle="1" w:styleId="tresaisChar">
    <w:name w:val="tresais Char"/>
    <w:basedOn w:val="H3Char"/>
    <w:link w:val="tresais"/>
    <w:rsid w:val="00283B8B"/>
    <w:rPr>
      <w:rFonts w:ascii="Calibri" w:eastAsia="Times New Roman" w:hAnsi="Calibri"/>
      <w:b/>
      <w:sz w:val="28"/>
      <w:lang w:eastAsia="en-US" w:bidi="ar-SA"/>
    </w:rPr>
  </w:style>
  <w:style w:type="paragraph" w:styleId="TOC1">
    <w:name w:val="toc 1"/>
    <w:basedOn w:val="Normal"/>
    <w:next w:val="Normal"/>
    <w:autoRedefine/>
    <w:uiPriority w:val="39"/>
    <w:unhideWhenUsed/>
    <w:rsid w:val="007E0A0D"/>
    <w:pPr>
      <w:tabs>
        <w:tab w:val="left" w:pos="284"/>
        <w:tab w:val="right" w:leader="dot" w:pos="9072"/>
      </w:tabs>
      <w:spacing w:after="0"/>
      <w:ind w:left="284" w:right="991" w:hanging="284"/>
    </w:pPr>
  </w:style>
  <w:style w:type="paragraph" w:styleId="TOC2">
    <w:name w:val="toc 2"/>
    <w:basedOn w:val="Normal"/>
    <w:next w:val="Normal"/>
    <w:autoRedefine/>
    <w:uiPriority w:val="39"/>
    <w:unhideWhenUsed/>
    <w:rsid w:val="00984AE5"/>
    <w:pPr>
      <w:tabs>
        <w:tab w:val="right" w:leader="dot" w:pos="9072"/>
      </w:tabs>
      <w:spacing w:after="0"/>
      <w:ind w:left="238"/>
    </w:pPr>
  </w:style>
  <w:style w:type="paragraph" w:styleId="TOC3">
    <w:name w:val="toc 3"/>
    <w:basedOn w:val="Normal"/>
    <w:next w:val="Normal"/>
    <w:autoRedefine/>
    <w:uiPriority w:val="39"/>
    <w:unhideWhenUsed/>
    <w:rsid w:val="00984AE5"/>
    <w:pPr>
      <w:tabs>
        <w:tab w:val="right" w:leader="dot" w:pos="9061"/>
      </w:tabs>
      <w:spacing w:after="0"/>
      <w:ind w:left="482"/>
    </w:pPr>
  </w:style>
  <w:style w:type="character" w:styleId="Hyperlink">
    <w:name w:val="Hyperlink"/>
    <w:uiPriority w:val="99"/>
    <w:unhideWhenUsed/>
    <w:rsid w:val="00283B8B"/>
    <w:rPr>
      <w:color w:val="0000FF"/>
      <w:u w:val="single"/>
    </w:rPr>
  </w:style>
  <w:style w:type="paragraph" w:styleId="NoSpacing">
    <w:name w:val="No Spacing"/>
    <w:uiPriority w:val="1"/>
    <w:qFormat/>
    <w:rsid w:val="00D3627A"/>
    <w:pPr>
      <w:ind w:firstLine="567"/>
      <w:jc w:val="both"/>
    </w:pPr>
    <w:rPr>
      <w:rFonts w:eastAsia="Times New Roman"/>
      <w:sz w:val="24"/>
      <w:lang w:eastAsia="en-US"/>
    </w:rPr>
  </w:style>
  <w:style w:type="paragraph" w:customStyle="1" w:styleId="naisf">
    <w:name w:val="naisf"/>
    <w:basedOn w:val="Normal"/>
    <w:rsid w:val="0072157F"/>
    <w:pPr>
      <w:spacing w:before="100" w:beforeAutospacing="1" w:after="100" w:afterAutospacing="1"/>
      <w:ind w:firstLine="0"/>
      <w:jc w:val="left"/>
    </w:pPr>
    <w:rPr>
      <w:szCs w:val="24"/>
      <w:lang w:eastAsia="lv-LV"/>
    </w:rPr>
  </w:style>
  <w:style w:type="paragraph" w:customStyle="1" w:styleId="teksts">
    <w:name w:val="teksts"/>
    <w:rsid w:val="00BD74BB"/>
    <w:pPr>
      <w:spacing w:after="120"/>
      <w:jc w:val="both"/>
    </w:pPr>
    <w:rPr>
      <w:rFonts w:ascii="Garamond" w:eastAsia="Times New Roman" w:hAnsi="Garamond"/>
      <w:sz w:val="24"/>
      <w:lang w:eastAsia="en-US"/>
    </w:rPr>
  </w:style>
  <w:style w:type="paragraph" w:customStyle="1" w:styleId="EE-paragr">
    <w:name w:val="EE-paragr"/>
    <w:basedOn w:val="Normal"/>
    <w:autoRedefine/>
    <w:uiPriority w:val="99"/>
    <w:rsid w:val="00BD74BB"/>
    <w:pPr>
      <w:spacing w:before="120"/>
      <w:ind w:firstLine="0"/>
    </w:pPr>
    <w:rPr>
      <w:iCs/>
      <w:szCs w:val="24"/>
      <w:lang w:eastAsia="lv-LV" w:bidi="lo-LA"/>
    </w:rPr>
  </w:style>
  <w:style w:type="paragraph" w:customStyle="1" w:styleId="tabtekst">
    <w:name w:val="tab_tekst"/>
    <w:basedOn w:val="Normal"/>
    <w:rsid w:val="00BD74BB"/>
    <w:pPr>
      <w:spacing w:after="0"/>
      <w:ind w:firstLine="0"/>
      <w:jc w:val="left"/>
    </w:pPr>
    <w:rPr>
      <w:color w:val="000000"/>
      <w:sz w:val="20"/>
    </w:rPr>
  </w:style>
  <w:style w:type="paragraph" w:styleId="NormalWeb">
    <w:name w:val="Normal (Web)"/>
    <w:basedOn w:val="Normal"/>
    <w:uiPriority w:val="99"/>
    <w:unhideWhenUsed/>
    <w:rsid w:val="00BD74BB"/>
    <w:pPr>
      <w:spacing w:before="100" w:beforeAutospacing="1" w:after="100" w:afterAutospacing="1"/>
      <w:ind w:firstLine="0"/>
      <w:jc w:val="left"/>
    </w:pPr>
    <w:rPr>
      <w:szCs w:val="24"/>
      <w:lang w:eastAsia="lv-LV"/>
    </w:rPr>
  </w:style>
  <w:style w:type="paragraph" w:customStyle="1" w:styleId="Normal11pt">
    <w:name w:val="Normal + 11 pt"/>
    <w:aliases w:val="Bold,Justified,Line spacing:  1.5 lines"/>
    <w:basedOn w:val="Normal"/>
    <w:rsid w:val="00BD74BB"/>
    <w:pPr>
      <w:widowControl w:val="0"/>
      <w:adjustRightInd w:val="0"/>
      <w:spacing w:after="0" w:line="360" w:lineRule="auto"/>
      <w:ind w:firstLine="0"/>
      <w:textAlignment w:val="baseline"/>
    </w:pPr>
    <w:rPr>
      <w:b/>
      <w:sz w:val="22"/>
      <w:szCs w:val="22"/>
      <w:lang w:val="en-GB" w:eastAsia="lv-LV"/>
    </w:rPr>
  </w:style>
  <w:style w:type="character" w:customStyle="1" w:styleId="Heading3Char">
    <w:name w:val="Heading 3 Char"/>
    <w:link w:val="Heading3"/>
    <w:uiPriority w:val="9"/>
    <w:rsid w:val="005A06FA"/>
    <w:rPr>
      <w:rFonts w:ascii="Cambria" w:eastAsia="Times New Roman" w:hAnsi="Cambria" w:cs="Times New Roman"/>
      <w:b/>
      <w:bCs/>
      <w:sz w:val="26"/>
      <w:szCs w:val="26"/>
      <w:lang w:eastAsia="en-US"/>
    </w:rPr>
  </w:style>
  <w:style w:type="paragraph" w:styleId="BodyText">
    <w:name w:val="Body Text"/>
    <w:basedOn w:val="Normal"/>
    <w:link w:val="BodyTextChar"/>
    <w:uiPriority w:val="99"/>
    <w:semiHidden/>
    <w:unhideWhenUsed/>
    <w:rsid w:val="005A06FA"/>
    <w:rPr>
      <w:lang w:val="x-none"/>
    </w:rPr>
  </w:style>
  <w:style w:type="character" w:customStyle="1" w:styleId="BodyTextChar">
    <w:name w:val="Body Text Char"/>
    <w:link w:val="BodyText"/>
    <w:uiPriority w:val="99"/>
    <w:semiHidden/>
    <w:rsid w:val="005A06FA"/>
    <w:rPr>
      <w:rFonts w:eastAsia="Times New Roman"/>
      <w:sz w:val="24"/>
      <w:lang w:eastAsia="en-US"/>
    </w:rPr>
  </w:style>
  <w:style w:type="paragraph" w:styleId="BodyText3">
    <w:name w:val="Body Text 3"/>
    <w:basedOn w:val="Normal"/>
    <w:link w:val="BodyText3Char"/>
    <w:uiPriority w:val="99"/>
    <w:semiHidden/>
    <w:unhideWhenUsed/>
    <w:rsid w:val="005A06FA"/>
    <w:rPr>
      <w:sz w:val="16"/>
      <w:szCs w:val="16"/>
      <w:lang w:val="x-none"/>
    </w:rPr>
  </w:style>
  <w:style w:type="character" w:customStyle="1" w:styleId="BodyText3Char">
    <w:name w:val="Body Text 3 Char"/>
    <w:link w:val="BodyText3"/>
    <w:uiPriority w:val="99"/>
    <w:semiHidden/>
    <w:rsid w:val="005A06FA"/>
    <w:rPr>
      <w:rFonts w:eastAsia="Times New Roman"/>
      <w:sz w:val="16"/>
      <w:szCs w:val="16"/>
      <w:lang w:eastAsia="en-US"/>
    </w:rPr>
  </w:style>
  <w:style w:type="paragraph" w:styleId="TOC8">
    <w:name w:val="toc 8"/>
    <w:basedOn w:val="Normal"/>
    <w:next w:val="Normal"/>
    <w:autoRedefine/>
    <w:uiPriority w:val="39"/>
    <w:semiHidden/>
    <w:unhideWhenUsed/>
    <w:rsid w:val="00D117D0"/>
    <w:pPr>
      <w:ind w:left="1680"/>
    </w:pPr>
  </w:style>
  <w:style w:type="paragraph" w:styleId="PlainText">
    <w:name w:val="Plain Text"/>
    <w:basedOn w:val="Normal"/>
    <w:link w:val="PlainTextChar"/>
    <w:uiPriority w:val="99"/>
    <w:unhideWhenUsed/>
    <w:rsid w:val="00F37E17"/>
    <w:pPr>
      <w:spacing w:after="0"/>
      <w:ind w:firstLine="0"/>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37E17"/>
    <w:rPr>
      <w:rFonts w:ascii="Consolas" w:hAnsi="Consolas"/>
      <w:sz w:val="21"/>
      <w:szCs w:val="21"/>
    </w:rPr>
  </w:style>
  <w:style w:type="paragraph" w:customStyle="1" w:styleId="Text1">
    <w:name w:val="Text 1"/>
    <w:basedOn w:val="Normal"/>
    <w:uiPriority w:val="99"/>
    <w:rsid w:val="003E6294"/>
    <w:pPr>
      <w:spacing w:before="120"/>
      <w:ind w:left="850" w:firstLine="0"/>
    </w:pPr>
    <w:rPr>
      <w:lang w:val="en-GB" w:eastAsia="de-DE"/>
    </w:rPr>
  </w:style>
  <w:style w:type="character" w:styleId="FollowedHyperlink">
    <w:name w:val="FollowedHyperlink"/>
    <w:uiPriority w:val="99"/>
    <w:semiHidden/>
    <w:unhideWhenUsed/>
    <w:rsid w:val="00DE6E4F"/>
    <w:rPr>
      <w:color w:val="800080"/>
      <w:u w:val="single"/>
    </w:rPr>
  </w:style>
  <w:style w:type="paragraph" w:styleId="Revision">
    <w:name w:val="Revision"/>
    <w:hidden/>
    <w:uiPriority w:val="99"/>
    <w:semiHidden/>
    <w:rsid w:val="0050658A"/>
    <w:rPr>
      <w:rFonts w:eastAsia="Times New Roman"/>
      <w:sz w:val="24"/>
      <w:lang w:eastAsia="en-US"/>
    </w:rPr>
  </w:style>
  <w:style w:type="paragraph" w:customStyle="1" w:styleId="tv2131">
    <w:name w:val="tv2131"/>
    <w:basedOn w:val="Normal"/>
    <w:rsid w:val="008D3A67"/>
    <w:pPr>
      <w:spacing w:before="240" w:after="0" w:line="360" w:lineRule="auto"/>
      <w:ind w:firstLine="300"/>
    </w:pPr>
    <w:rPr>
      <w:rFonts w:ascii="Verdana" w:hAnsi="Verdana"/>
      <w:sz w:val="18"/>
      <w:szCs w:val="18"/>
      <w:lang w:eastAsia="lv-LV"/>
    </w:rPr>
  </w:style>
  <w:style w:type="paragraph" w:customStyle="1" w:styleId="CM1">
    <w:name w:val="CM1"/>
    <w:basedOn w:val="Default"/>
    <w:next w:val="Default"/>
    <w:uiPriority w:val="99"/>
    <w:rsid w:val="0060396D"/>
    <w:rPr>
      <w:rFonts w:ascii="EUAlbertina" w:eastAsia="Calibri" w:hAnsi="EUAlbertina"/>
      <w:color w:val="auto"/>
      <w:lang w:val="en-GB" w:eastAsia="en-GB"/>
    </w:rPr>
  </w:style>
  <w:style w:type="character" w:customStyle="1" w:styleId="st1">
    <w:name w:val="st1"/>
    <w:basedOn w:val="DefaultParagraphFont"/>
    <w:rsid w:val="000322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6956"/>
    <w:pPr>
      <w:spacing w:after="120"/>
      <w:ind w:firstLine="567"/>
      <w:jc w:val="both"/>
    </w:pPr>
    <w:rPr>
      <w:rFonts w:eastAsia="Times New Roman"/>
      <w:sz w:val="24"/>
      <w:lang w:eastAsia="en-US"/>
    </w:rPr>
  </w:style>
  <w:style w:type="paragraph" w:styleId="Heading1">
    <w:name w:val="heading 1"/>
    <w:basedOn w:val="Normal"/>
    <w:next w:val="Normal"/>
    <w:link w:val="Heading1Char"/>
    <w:uiPriority w:val="9"/>
    <w:qFormat/>
    <w:rsid w:val="0050658A"/>
    <w:pPr>
      <w:keepNext/>
      <w:keepLines/>
      <w:spacing w:before="480" w:after="0"/>
      <w:outlineLvl w:val="0"/>
    </w:pPr>
    <w:rPr>
      <w:rFonts w:ascii="Cambria" w:hAnsi="Cambria"/>
      <w:b/>
      <w:bCs/>
      <w:color w:val="365F91"/>
      <w:sz w:val="20"/>
      <w:szCs w:val="28"/>
      <w:lang w:val="x-none" w:eastAsia="x-none"/>
    </w:rPr>
  </w:style>
  <w:style w:type="paragraph" w:styleId="Heading3">
    <w:name w:val="heading 3"/>
    <w:basedOn w:val="Normal"/>
    <w:next w:val="Normal"/>
    <w:link w:val="Heading3Char"/>
    <w:uiPriority w:val="9"/>
    <w:unhideWhenUsed/>
    <w:qFormat/>
    <w:rsid w:val="005A06FA"/>
    <w:pPr>
      <w:keepNext/>
      <w:spacing w:before="240" w:after="60"/>
      <w:outlineLvl w:val="2"/>
    </w:pPr>
    <w:rPr>
      <w:rFonts w:ascii="Cambria"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F6956"/>
    <w:pPr>
      <w:tabs>
        <w:tab w:val="center" w:pos="4153"/>
        <w:tab w:val="right" w:pos="8306"/>
      </w:tabs>
    </w:pPr>
    <w:rPr>
      <w:lang w:val="x-none" w:eastAsia="x-none"/>
    </w:rPr>
  </w:style>
  <w:style w:type="character" w:customStyle="1" w:styleId="FooterChar">
    <w:name w:val="Footer Char"/>
    <w:link w:val="Footer"/>
    <w:uiPriority w:val="99"/>
    <w:rsid w:val="000F6956"/>
    <w:rPr>
      <w:rFonts w:eastAsia="Times New Roman" w:cs="Times New Roman"/>
      <w:sz w:val="24"/>
      <w:szCs w:val="20"/>
    </w:rPr>
  </w:style>
  <w:style w:type="character" w:styleId="PageNumber">
    <w:name w:val="page number"/>
    <w:basedOn w:val="DefaultParagraphFont"/>
    <w:rsid w:val="000F6956"/>
  </w:style>
  <w:style w:type="character" w:customStyle="1" w:styleId="HeaderChar">
    <w:name w:val="Header Char"/>
    <w:link w:val="Header"/>
    <w:uiPriority w:val="99"/>
    <w:rsid w:val="000F6956"/>
    <w:rPr>
      <w:sz w:val="24"/>
    </w:rPr>
  </w:style>
  <w:style w:type="paragraph" w:styleId="Header">
    <w:name w:val="header"/>
    <w:basedOn w:val="Normal"/>
    <w:link w:val="HeaderChar"/>
    <w:uiPriority w:val="99"/>
    <w:rsid w:val="000F6956"/>
    <w:pPr>
      <w:tabs>
        <w:tab w:val="center" w:pos="4153"/>
        <w:tab w:val="right" w:pos="8306"/>
      </w:tabs>
    </w:pPr>
    <w:rPr>
      <w:rFonts w:eastAsia="Calibri"/>
      <w:lang w:val="x-none" w:eastAsia="x-none"/>
    </w:rPr>
  </w:style>
  <w:style w:type="character" w:customStyle="1" w:styleId="HeaderChar1">
    <w:name w:val="Header Char1"/>
    <w:uiPriority w:val="99"/>
    <w:semiHidden/>
    <w:rsid w:val="000F6956"/>
    <w:rPr>
      <w:rFonts w:eastAsia="Times New Roman" w:cs="Times New Roman"/>
      <w:sz w:val="24"/>
      <w:szCs w:val="20"/>
    </w:rPr>
  </w:style>
  <w:style w:type="paragraph" w:customStyle="1" w:styleId="H1">
    <w:name w:val="H1"/>
    <w:link w:val="H1Char"/>
    <w:rsid w:val="00283B8B"/>
    <w:pPr>
      <w:keepNext/>
      <w:keepLines/>
      <w:pageBreakBefore/>
      <w:pBdr>
        <w:bottom w:val="thickThinLargeGap" w:sz="24" w:space="1" w:color="17365D"/>
      </w:pBdr>
      <w:tabs>
        <w:tab w:val="left" w:pos="1134"/>
      </w:tabs>
      <w:spacing w:after="120"/>
      <w:ind w:left="1134" w:hanging="567"/>
      <w:outlineLvl w:val="0"/>
    </w:pPr>
    <w:rPr>
      <w:rFonts w:eastAsia="Times New Roman"/>
      <w:b/>
      <w:sz w:val="36"/>
      <w:lang w:eastAsia="en-US"/>
    </w:rPr>
  </w:style>
  <w:style w:type="character" w:styleId="CommentReference">
    <w:name w:val="annotation reference"/>
    <w:uiPriority w:val="99"/>
    <w:semiHidden/>
    <w:unhideWhenUsed/>
    <w:rsid w:val="000F6956"/>
    <w:rPr>
      <w:sz w:val="16"/>
      <w:szCs w:val="16"/>
    </w:rPr>
  </w:style>
  <w:style w:type="paragraph" w:styleId="CommentText">
    <w:name w:val="annotation text"/>
    <w:basedOn w:val="Normal"/>
    <w:link w:val="CommentTextChar"/>
    <w:uiPriority w:val="99"/>
    <w:unhideWhenUsed/>
    <w:rsid w:val="00B51348"/>
    <w:rPr>
      <w:sz w:val="20"/>
      <w:lang w:val="x-none" w:eastAsia="x-none"/>
    </w:rPr>
  </w:style>
  <w:style w:type="character" w:customStyle="1" w:styleId="CommentTextChar">
    <w:name w:val="Comment Text Char"/>
    <w:link w:val="CommentText"/>
    <w:uiPriority w:val="99"/>
    <w:rsid w:val="000F6956"/>
    <w:rPr>
      <w:rFonts w:eastAsia="Times New Roman"/>
      <w:lang w:val="x-none" w:eastAsia="x-none"/>
    </w:rPr>
  </w:style>
  <w:style w:type="paragraph" w:styleId="BalloonText">
    <w:name w:val="Balloon Text"/>
    <w:basedOn w:val="Normal"/>
    <w:link w:val="BalloonTextChar"/>
    <w:uiPriority w:val="99"/>
    <w:semiHidden/>
    <w:unhideWhenUsed/>
    <w:rsid w:val="000F6956"/>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0F6956"/>
    <w:rPr>
      <w:rFonts w:ascii="Tahoma" w:eastAsia="Times New Roman" w:hAnsi="Tahoma" w:cs="Tahoma"/>
      <w:sz w:val="16"/>
      <w:szCs w:val="16"/>
    </w:rPr>
  </w:style>
  <w:style w:type="paragraph" w:customStyle="1" w:styleId="H2">
    <w:name w:val="H2"/>
    <w:link w:val="H2Char"/>
    <w:uiPriority w:val="99"/>
    <w:rsid w:val="000F6956"/>
    <w:pPr>
      <w:keepNext/>
      <w:tabs>
        <w:tab w:val="left" w:pos="1134"/>
      </w:tabs>
      <w:spacing w:before="480" w:after="240"/>
      <w:ind w:left="1134" w:hanging="567"/>
      <w:outlineLvl w:val="1"/>
    </w:pPr>
    <w:rPr>
      <w:rFonts w:ascii="Calibri" w:eastAsia="Times New Roman" w:hAnsi="Calibri"/>
      <w:b/>
      <w:sz w:val="32"/>
      <w:lang w:eastAsia="en-US"/>
    </w:rPr>
  </w:style>
  <w:style w:type="paragraph" w:customStyle="1" w:styleId="H4">
    <w:name w:val="H4"/>
    <w:uiPriority w:val="99"/>
    <w:rsid w:val="000F6956"/>
    <w:pPr>
      <w:spacing w:before="120" w:after="120"/>
      <w:ind w:left="567"/>
      <w:outlineLvl w:val="3"/>
    </w:pPr>
    <w:rPr>
      <w:rFonts w:ascii="Calibri" w:eastAsia="Times New Roman" w:hAnsi="Calibri"/>
      <w:b/>
      <w:sz w:val="28"/>
      <w:lang w:eastAsia="en-US"/>
    </w:rPr>
  </w:style>
  <w:style w:type="paragraph" w:customStyle="1" w:styleId="H3">
    <w:name w:val="H3"/>
    <w:link w:val="H3Char"/>
    <w:rsid w:val="000F6956"/>
    <w:pPr>
      <w:keepNext/>
      <w:spacing w:before="480" w:after="120"/>
      <w:ind w:left="1701" w:hanging="1134"/>
      <w:outlineLvl w:val="2"/>
    </w:pPr>
    <w:rPr>
      <w:rFonts w:ascii="Calibri" w:eastAsia="Times New Roman" w:hAnsi="Calibri"/>
      <w:b/>
      <w:sz w:val="28"/>
      <w:lang w:eastAsia="en-US"/>
    </w:rPr>
  </w:style>
  <w:style w:type="paragraph" w:customStyle="1" w:styleId="T">
    <w:name w:val="T"/>
    <w:basedOn w:val="Normal"/>
    <w:rsid w:val="000F6956"/>
    <w:pPr>
      <w:keepNext/>
      <w:ind w:left="567" w:firstLine="0"/>
      <w:jc w:val="left"/>
    </w:pPr>
    <w:rPr>
      <w:rFonts w:ascii="Calibri" w:hAnsi="Calibri"/>
      <w:b/>
    </w:rPr>
  </w:style>
  <w:style w:type="paragraph" w:customStyle="1" w:styleId="Z">
    <w:name w:val="Z"/>
    <w:basedOn w:val="T"/>
    <w:uiPriority w:val="99"/>
    <w:rsid w:val="000F6956"/>
    <w:pPr>
      <w:ind w:right="1701"/>
    </w:pPr>
    <w:rPr>
      <w:b w:val="0"/>
      <w:sz w:val="20"/>
    </w:rPr>
  </w:style>
  <w:style w:type="paragraph" w:customStyle="1" w:styleId="tabteksts">
    <w:name w:val="tab_teksts"/>
    <w:basedOn w:val="Normal"/>
    <w:uiPriority w:val="99"/>
    <w:rsid w:val="000F6956"/>
    <w:pPr>
      <w:spacing w:after="0"/>
      <w:ind w:firstLine="0"/>
      <w:jc w:val="left"/>
    </w:pPr>
    <w:rPr>
      <w:sz w:val="20"/>
    </w:rPr>
  </w:style>
  <w:style w:type="paragraph" w:styleId="FootnoteText">
    <w:name w:val="footnote text"/>
    <w:aliases w:val="Footnote,Fußnote,Fußnote Char Char Char"/>
    <w:basedOn w:val="Normal"/>
    <w:link w:val="FootnoteTextChar"/>
    <w:uiPriority w:val="99"/>
    <w:semiHidden/>
    <w:rsid w:val="000F6956"/>
    <w:pPr>
      <w:keepLines/>
      <w:widowControl w:val="0"/>
      <w:spacing w:after="0"/>
      <w:ind w:left="340" w:hanging="340"/>
      <w:jc w:val="left"/>
    </w:pPr>
    <w:rPr>
      <w:snapToGrid w:val="0"/>
      <w:color w:val="000000"/>
      <w:sz w:val="20"/>
      <w:lang w:val="x-none" w:eastAsia="x-none"/>
    </w:rPr>
  </w:style>
  <w:style w:type="character" w:customStyle="1" w:styleId="FootnoteTextChar">
    <w:name w:val="Footnote Text Char"/>
    <w:aliases w:val="Footnote Char,Fußnote Char,Fußnote Char Char Char Char"/>
    <w:link w:val="FootnoteText"/>
    <w:uiPriority w:val="99"/>
    <w:semiHidden/>
    <w:rsid w:val="000F6956"/>
    <w:rPr>
      <w:rFonts w:eastAsia="Times New Roman" w:cs="Times New Roman"/>
      <w:snapToGrid w:val="0"/>
      <w:color w:val="000000"/>
      <w:sz w:val="20"/>
      <w:szCs w:val="20"/>
    </w:rPr>
  </w:style>
  <w:style w:type="character" w:styleId="FootnoteReference">
    <w:name w:val="footnote reference"/>
    <w:aliases w:val="Footnote Reference Number"/>
    <w:uiPriority w:val="99"/>
    <w:semiHidden/>
    <w:rsid w:val="000F6956"/>
    <w:rPr>
      <w:rFonts w:ascii="Garamond" w:hAnsi="Garamond"/>
      <w:sz w:val="20"/>
      <w:vertAlign w:val="superscript"/>
    </w:rPr>
  </w:style>
  <w:style w:type="paragraph" w:customStyle="1" w:styleId="Zpar">
    <w:name w:val="Z_par"/>
    <w:basedOn w:val="Z"/>
    <w:rsid w:val="000F6956"/>
    <w:pPr>
      <w:spacing w:after="480"/>
      <w:ind w:left="1418" w:hanging="851"/>
    </w:pPr>
    <w:rPr>
      <w:i/>
    </w:rPr>
  </w:style>
  <w:style w:type="character" w:styleId="Strong">
    <w:name w:val="Strong"/>
    <w:uiPriority w:val="99"/>
    <w:qFormat/>
    <w:rsid w:val="000F6956"/>
    <w:rPr>
      <w:b/>
      <w:bCs/>
    </w:rPr>
  </w:style>
  <w:style w:type="paragraph" w:styleId="ListParagraph">
    <w:name w:val="List Paragraph"/>
    <w:basedOn w:val="Normal"/>
    <w:link w:val="ListParagraphChar"/>
    <w:uiPriority w:val="34"/>
    <w:qFormat/>
    <w:rsid w:val="000F6956"/>
    <w:pPr>
      <w:spacing w:after="200" w:line="276" w:lineRule="auto"/>
      <w:ind w:left="720" w:firstLine="0"/>
      <w:contextualSpacing/>
      <w:jc w:val="left"/>
    </w:pPr>
    <w:rPr>
      <w:rFonts w:ascii="Calibri" w:hAnsi="Calibri"/>
      <w:sz w:val="22"/>
      <w:lang w:val="x-none" w:eastAsia="x-none"/>
    </w:rPr>
  </w:style>
  <w:style w:type="character" w:styleId="Emphasis">
    <w:name w:val="Emphasis"/>
    <w:uiPriority w:val="20"/>
    <w:qFormat/>
    <w:rsid w:val="000F6956"/>
    <w:rPr>
      <w:i/>
      <w:iCs/>
    </w:rPr>
  </w:style>
  <w:style w:type="paragraph" w:styleId="BodyTextIndent2">
    <w:name w:val="Body Text Indent 2"/>
    <w:basedOn w:val="Normal"/>
    <w:link w:val="BodyTextIndent2Char"/>
    <w:semiHidden/>
    <w:rsid w:val="000F6956"/>
    <w:pPr>
      <w:spacing w:before="120"/>
      <w:ind w:firstLine="706"/>
    </w:pPr>
    <w:rPr>
      <w:lang w:val="x-none" w:eastAsia="x-none"/>
    </w:rPr>
  </w:style>
  <w:style w:type="character" w:customStyle="1" w:styleId="BodyTextIndent2Char">
    <w:name w:val="Body Text Indent 2 Char"/>
    <w:link w:val="BodyTextIndent2"/>
    <w:semiHidden/>
    <w:rsid w:val="000F6956"/>
    <w:rPr>
      <w:rFonts w:eastAsia="Times New Roman" w:cs="Times New Roman"/>
      <w:sz w:val="24"/>
      <w:szCs w:val="20"/>
    </w:rPr>
  </w:style>
  <w:style w:type="paragraph" w:customStyle="1" w:styleId="Default">
    <w:name w:val="Default"/>
    <w:rsid w:val="000F6956"/>
    <w:pPr>
      <w:autoSpaceDE w:val="0"/>
      <w:autoSpaceDN w:val="0"/>
      <w:adjustRightInd w:val="0"/>
    </w:pPr>
    <w:rPr>
      <w:rFonts w:eastAsia="Times New Roman"/>
      <w:color w:val="000000"/>
      <w:sz w:val="24"/>
      <w:szCs w:val="24"/>
    </w:rPr>
  </w:style>
  <w:style w:type="paragraph" w:styleId="BodyTextIndent">
    <w:name w:val="Body Text Indent"/>
    <w:basedOn w:val="Normal"/>
    <w:link w:val="BodyTextIndentChar"/>
    <w:semiHidden/>
    <w:unhideWhenUsed/>
    <w:rsid w:val="000F6956"/>
    <w:pPr>
      <w:ind w:left="283"/>
    </w:pPr>
    <w:rPr>
      <w:lang w:val="x-none" w:eastAsia="x-none"/>
    </w:rPr>
  </w:style>
  <w:style w:type="character" w:customStyle="1" w:styleId="BodyTextIndentChar">
    <w:name w:val="Body Text Indent Char"/>
    <w:link w:val="BodyTextIndent"/>
    <w:semiHidden/>
    <w:rsid w:val="000F6956"/>
    <w:rPr>
      <w:rFonts w:eastAsia="Times New Roman" w:cs="Times New Roman"/>
      <w:sz w:val="24"/>
      <w:szCs w:val="20"/>
    </w:rPr>
  </w:style>
  <w:style w:type="paragraph" w:customStyle="1" w:styleId="ridk">
    <w:name w:val="ridk"/>
    <w:basedOn w:val="Normal"/>
    <w:rsid w:val="000F6956"/>
    <w:pPr>
      <w:spacing w:before="100" w:beforeAutospacing="1" w:after="100" w:afterAutospacing="1"/>
      <w:ind w:firstLine="0"/>
      <w:jc w:val="left"/>
    </w:pPr>
    <w:rPr>
      <w:rFonts w:ascii="Arial Unicode MS" w:eastAsia="Arial Unicode MS" w:hAnsi="Arial Unicode MS" w:cs="Arial Unicode MS"/>
      <w:szCs w:val="24"/>
      <w:lang w:val="en-US"/>
    </w:rPr>
  </w:style>
  <w:style w:type="character" w:customStyle="1" w:styleId="ListParagraphChar">
    <w:name w:val="List Paragraph Char"/>
    <w:link w:val="ListParagraph"/>
    <w:uiPriority w:val="34"/>
    <w:locked/>
    <w:rsid w:val="00FA2F3D"/>
    <w:rPr>
      <w:rFonts w:ascii="Calibri" w:eastAsia="Times New Roman" w:hAnsi="Calibri" w:cs="Times New Roman"/>
      <w:sz w:val="22"/>
    </w:rPr>
  </w:style>
  <w:style w:type="table" w:styleId="TableGrid">
    <w:name w:val="Table Grid"/>
    <w:basedOn w:val="TableNormal"/>
    <w:uiPriority w:val="59"/>
    <w:rsid w:val="00B5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rsraksts1">
    <w:name w:val="Virsraksts1"/>
    <w:basedOn w:val="Heading1"/>
    <w:rsid w:val="001D56AF"/>
    <w:pPr>
      <w:keepLines w:val="0"/>
      <w:spacing w:before="240" w:after="60"/>
      <w:ind w:firstLine="709"/>
    </w:pPr>
    <w:rPr>
      <w:rFonts w:ascii="Times New Roman" w:eastAsia="Calibri" w:hAnsi="Times New Roman"/>
      <w:color w:val="auto"/>
      <w:kern w:val="32"/>
      <w:sz w:val="40"/>
      <w:szCs w:val="40"/>
    </w:rPr>
  </w:style>
  <w:style w:type="character" w:customStyle="1" w:styleId="Heading1Char">
    <w:name w:val="Heading 1 Char"/>
    <w:link w:val="Heading1"/>
    <w:uiPriority w:val="9"/>
    <w:rsid w:val="001D56AF"/>
    <w:rPr>
      <w:rFonts w:ascii="Cambria" w:eastAsia="Times New Roman" w:hAnsi="Cambria"/>
      <w:b/>
      <w:bCs/>
      <w:color w:val="365F91"/>
      <w:szCs w:val="28"/>
      <w:lang w:val="x-none" w:eastAsia="x-none"/>
    </w:rPr>
  </w:style>
  <w:style w:type="character" w:customStyle="1" w:styleId="spelle">
    <w:name w:val="spelle"/>
    <w:basedOn w:val="DefaultParagraphFont"/>
    <w:rsid w:val="006F0333"/>
  </w:style>
  <w:style w:type="paragraph" w:customStyle="1" w:styleId="ParagraphNumbering">
    <w:name w:val="Paragraph Numbering"/>
    <w:basedOn w:val="Normal"/>
    <w:uiPriority w:val="1"/>
    <w:qFormat/>
    <w:rsid w:val="006F0333"/>
    <w:pPr>
      <w:numPr>
        <w:numId w:val="2"/>
      </w:numPr>
      <w:spacing w:after="240" w:line="264" w:lineRule="auto"/>
      <w:jc w:val="left"/>
    </w:pPr>
    <w:rPr>
      <w:rFonts w:eastAsia="Calibri"/>
      <w:szCs w:val="24"/>
      <w:lang w:val="en-US"/>
    </w:rPr>
  </w:style>
  <w:style w:type="paragraph" w:styleId="CommentSubject">
    <w:name w:val="annotation subject"/>
    <w:basedOn w:val="CommentText"/>
    <w:next w:val="CommentText"/>
    <w:link w:val="CommentSubjectChar"/>
    <w:uiPriority w:val="99"/>
    <w:semiHidden/>
    <w:unhideWhenUsed/>
    <w:rsid w:val="00EF6369"/>
    <w:rPr>
      <w:b/>
      <w:bCs/>
    </w:rPr>
  </w:style>
  <w:style w:type="character" w:customStyle="1" w:styleId="CommentSubjectChar">
    <w:name w:val="Comment Subject Char"/>
    <w:link w:val="CommentSubject"/>
    <w:uiPriority w:val="99"/>
    <w:semiHidden/>
    <w:rsid w:val="00EF6369"/>
    <w:rPr>
      <w:rFonts w:eastAsia="Times New Roman" w:cs="Times New Roman"/>
      <w:b/>
      <w:bCs/>
      <w:sz w:val="20"/>
      <w:szCs w:val="20"/>
    </w:rPr>
  </w:style>
  <w:style w:type="paragraph" w:customStyle="1" w:styleId="PIRMAIS">
    <w:name w:val="PIRMAIS"/>
    <w:basedOn w:val="H1"/>
    <w:link w:val="PIRMAISChar"/>
    <w:qFormat/>
    <w:rsid w:val="00283B8B"/>
    <w:pPr>
      <w:tabs>
        <w:tab w:val="clear" w:pos="1134"/>
        <w:tab w:val="left" w:pos="567"/>
      </w:tabs>
      <w:ind w:left="567"/>
    </w:pPr>
  </w:style>
  <w:style w:type="paragraph" w:customStyle="1" w:styleId="otrais">
    <w:name w:val="otrais"/>
    <w:basedOn w:val="H2"/>
    <w:link w:val="otraisChar"/>
    <w:qFormat/>
    <w:rsid w:val="00283B8B"/>
    <w:pPr>
      <w:tabs>
        <w:tab w:val="clear" w:pos="1134"/>
        <w:tab w:val="left" w:pos="567"/>
      </w:tabs>
      <w:ind w:left="567"/>
    </w:pPr>
    <w:rPr>
      <w:rFonts w:ascii="Times New Roman" w:hAnsi="Times New Roman"/>
    </w:rPr>
  </w:style>
  <w:style w:type="character" w:customStyle="1" w:styleId="H1Char">
    <w:name w:val="H1 Char"/>
    <w:link w:val="H1"/>
    <w:rsid w:val="00283B8B"/>
    <w:rPr>
      <w:rFonts w:eastAsia="Times New Roman"/>
      <w:b/>
      <w:sz w:val="36"/>
      <w:lang w:eastAsia="en-US" w:bidi="ar-SA"/>
    </w:rPr>
  </w:style>
  <w:style w:type="character" w:customStyle="1" w:styleId="PIRMAISChar">
    <w:name w:val="PIRMAIS Char"/>
    <w:basedOn w:val="H1Char"/>
    <w:link w:val="PIRMAIS"/>
    <w:rsid w:val="00283B8B"/>
    <w:rPr>
      <w:rFonts w:eastAsia="Times New Roman"/>
      <w:b/>
      <w:sz w:val="36"/>
      <w:lang w:eastAsia="en-US" w:bidi="ar-SA"/>
    </w:rPr>
  </w:style>
  <w:style w:type="paragraph" w:customStyle="1" w:styleId="tresais">
    <w:name w:val="tresais"/>
    <w:basedOn w:val="H3"/>
    <w:link w:val="tresaisChar"/>
    <w:qFormat/>
    <w:rsid w:val="00283B8B"/>
    <w:pPr>
      <w:ind w:left="0" w:firstLine="0"/>
    </w:pPr>
    <w:rPr>
      <w:rFonts w:ascii="Times New Roman" w:hAnsi="Times New Roman"/>
    </w:rPr>
  </w:style>
  <w:style w:type="character" w:customStyle="1" w:styleId="H2Char">
    <w:name w:val="H2 Char"/>
    <w:link w:val="H2"/>
    <w:uiPriority w:val="99"/>
    <w:rsid w:val="00283B8B"/>
    <w:rPr>
      <w:rFonts w:ascii="Calibri" w:eastAsia="Times New Roman" w:hAnsi="Calibri"/>
      <w:b/>
      <w:sz w:val="32"/>
      <w:lang w:eastAsia="en-US" w:bidi="ar-SA"/>
    </w:rPr>
  </w:style>
  <w:style w:type="character" w:customStyle="1" w:styleId="otraisChar">
    <w:name w:val="otrais Char"/>
    <w:basedOn w:val="H2Char"/>
    <w:link w:val="otrais"/>
    <w:rsid w:val="00283B8B"/>
    <w:rPr>
      <w:rFonts w:ascii="Calibri" w:eastAsia="Times New Roman" w:hAnsi="Calibri"/>
      <w:b/>
      <w:sz w:val="32"/>
      <w:lang w:eastAsia="en-US" w:bidi="ar-SA"/>
    </w:rPr>
  </w:style>
  <w:style w:type="paragraph" w:styleId="TOCHeading">
    <w:name w:val="TOC Heading"/>
    <w:basedOn w:val="Heading1"/>
    <w:next w:val="Normal"/>
    <w:uiPriority w:val="39"/>
    <w:semiHidden/>
    <w:unhideWhenUsed/>
    <w:qFormat/>
    <w:rsid w:val="0050658A"/>
    <w:pPr>
      <w:spacing w:line="276" w:lineRule="auto"/>
      <w:ind w:firstLine="0"/>
      <w:jc w:val="left"/>
      <w:outlineLvl w:val="9"/>
    </w:pPr>
    <w:rPr>
      <w:rFonts w:eastAsia="MS Gothic"/>
      <w:lang w:val="en-US" w:eastAsia="ja-JP"/>
    </w:rPr>
  </w:style>
  <w:style w:type="character" w:customStyle="1" w:styleId="H3Char">
    <w:name w:val="H3 Char"/>
    <w:link w:val="H3"/>
    <w:rsid w:val="00283B8B"/>
    <w:rPr>
      <w:rFonts w:ascii="Calibri" w:eastAsia="Times New Roman" w:hAnsi="Calibri"/>
      <w:b/>
      <w:sz w:val="28"/>
      <w:lang w:eastAsia="en-US" w:bidi="ar-SA"/>
    </w:rPr>
  </w:style>
  <w:style w:type="character" w:customStyle="1" w:styleId="tresaisChar">
    <w:name w:val="tresais Char"/>
    <w:basedOn w:val="H3Char"/>
    <w:link w:val="tresais"/>
    <w:rsid w:val="00283B8B"/>
    <w:rPr>
      <w:rFonts w:ascii="Calibri" w:eastAsia="Times New Roman" w:hAnsi="Calibri"/>
      <w:b/>
      <w:sz w:val="28"/>
      <w:lang w:eastAsia="en-US" w:bidi="ar-SA"/>
    </w:rPr>
  </w:style>
  <w:style w:type="paragraph" w:styleId="TOC1">
    <w:name w:val="toc 1"/>
    <w:basedOn w:val="Normal"/>
    <w:next w:val="Normal"/>
    <w:autoRedefine/>
    <w:uiPriority w:val="39"/>
    <w:unhideWhenUsed/>
    <w:rsid w:val="007E0A0D"/>
    <w:pPr>
      <w:tabs>
        <w:tab w:val="left" w:pos="284"/>
        <w:tab w:val="right" w:leader="dot" w:pos="9072"/>
      </w:tabs>
      <w:spacing w:after="0"/>
      <w:ind w:left="284" w:right="991" w:hanging="284"/>
    </w:pPr>
  </w:style>
  <w:style w:type="paragraph" w:styleId="TOC2">
    <w:name w:val="toc 2"/>
    <w:basedOn w:val="Normal"/>
    <w:next w:val="Normal"/>
    <w:autoRedefine/>
    <w:uiPriority w:val="39"/>
    <w:unhideWhenUsed/>
    <w:rsid w:val="00984AE5"/>
    <w:pPr>
      <w:tabs>
        <w:tab w:val="right" w:leader="dot" w:pos="9072"/>
      </w:tabs>
      <w:spacing w:after="0"/>
      <w:ind w:left="238"/>
    </w:pPr>
  </w:style>
  <w:style w:type="paragraph" w:styleId="TOC3">
    <w:name w:val="toc 3"/>
    <w:basedOn w:val="Normal"/>
    <w:next w:val="Normal"/>
    <w:autoRedefine/>
    <w:uiPriority w:val="39"/>
    <w:unhideWhenUsed/>
    <w:rsid w:val="00984AE5"/>
    <w:pPr>
      <w:tabs>
        <w:tab w:val="right" w:leader="dot" w:pos="9061"/>
      </w:tabs>
      <w:spacing w:after="0"/>
      <w:ind w:left="482"/>
    </w:pPr>
  </w:style>
  <w:style w:type="character" w:styleId="Hyperlink">
    <w:name w:val="Hyperlink"/>
    <w:uiPriority w:val="99"/>
    <w:unhideWhenUsed/>
    <w:rsid w:val="00283B8B"/>
    <w:rPr>
      <w:color w:val="0000FF"/>
      <w:u w:val="single"/>
    </w:rPr>
  </w:style>
  <w:style w:type="paragraph" w:styleId="NoSpacing">
    <w:name w:val="No Spacing"/>
    <w:uiPriority w:val="1"/>
    <w:qFormat/>
    <w:rsid w:val="00D3627A"/>
    <w:pPr>
      <w:ind w:firstLine="567"/>
      <w:jc w:val="both"/>
    </w:pPr>
    <w:rPr>
      <w:rFonts w:eastAsia="Times New Roman"/>
      <w:sz w:val="24"/>
      <w:lang w:eastAsia="en-US"/>
    </w:rPr>
  </w:style>
  <w:style w:type="paragraph" w:customStyle="1" w:styleId="naisf">
    <w:name w:val="naisf"/>
    <w:basedOn w:val="Normal"/>
    <w:rsid w:val="0072157F"/>
    <w:pPr>
      <w:spacing w:before="100" w:beforeAutospacing="1" w:after="100" w:afterAutospacing="1"/>
      <w:ind w:firstLine="0"/>
      <w:jc w:val="left"/>
    </w:pPr>
    <w:rPr>
      <w:szCs w:val="24"/>
      <w:lang w:eastAsia="lv-LV"/>
    </w:rPr>
  </w:style>
  <w:style w:type="paragraph" w:customStyle="1" w:styleId="teksts">
    <w:name w:val="teksts"/>
    <w:rsid w:val="00BD74BB"/>
    <w:pPr>
      <w:spacing w:after="120"/>
      <w:jc w:val="both"/>
    </w:pPr>
    <w:rPr>
      <w:rFonts w:ascii="Garamond" w:eastAsia="Times New Roman" w:hAnsi="Garamond"/>
      <w:sz w:val="24"/>
      <w:lang w:eastAsia="en-US"/>
    </w:rPr>
  </w:style>
  <w:style w:type="paragraph" w:customStyle="1" w:styleId="EE-paragr">
    <w:name w:val="EE-paragr"/>
    <w:basedOn w:val="Normal"/>
    <w:autoRedefine/>
    <w:uiPriority w:val="99"/>
    <w:rsid w:val="00BD74BB"/>
    <w:pPr>
      <w:spacing w:before="120"/>
      <w:ind w:firstLine="0"/>
    </w:pPr>
    <w:rPr>
      <w:iCs/>
      <w:szCs w:val="24"/>
      <w:lang w:eastAsia="lv-LV" w:bidi="lo-LA"/>
    </w:rPr>
  </w:style>
  <w:style w:type="paragraph" w:customStyle="1" w:styleId="tabtekst">
    <w:name w:val="tab_tekst"/>
    <w:basedOn w:val="Normal"/>
    <w:rsid w:val="00BD74BB"/>
    <w:pPr>
      <w:spacing w:after="0"/>
      <w:ind w:firstLine="0"/>
      <w:jc w:val="left"/>
    </w:pPr>
    <w:rPr>
      <w:color w:val="000000"/>
      <w:sz w:val="20"/>
    </w:rPr>
  </w:style>
  <w:style w:type="paragraph" w:styleId="NormalWeb">
    <w:name w:val="Normal (Web)"/>
    <w:basedOn w:val="Normal"/>
    <w:uiPriority w:val="99"/>
    <w:unhideWhenUsed/>
    <w:rsid w:val="00BD74BB"/>
    <w:pPr>
      <w:spacing w:before="100" w:beforeAutospacing="1" w:after="100" w:afterAutospacing="1"/>
      <w:ind w:firstLine="0"/>
      <w:jc w:val="left"/>
    </w:pPr>
    <w:rPr>
      <w:szCs w:val="24"/>
      <w:lang w:eastAsia="lv-LV"/>
    </w:rPr>
  </w:style>
  <w:style w:type="paragraph" w:customStyle="1" w:styleId="Normal11pt">
    <w:name w:val="Normal + 11 pt"/>
    <w:aliases w:val="Bold,Justified,Line spacing:  1.5 lines"/>
    <w:basedOn w:val="Normal"/>
    <w:rsid w:val="00BD74BB"/>
    <w:pPr>
      <w:widowControl w:val="0"/>
      <w:adjustRightInd w:val="0"/>
      <w:spacing w:after="0" w:line="360" w:lineRule="auto"/>
      <w:ind w:firstLine="0"/>
      <w:textAlignment w:val="baseline"/>
    </w:pPr>
    <w:rPr>
      <w:b/>
      <w:sz w:val="22"/>
      <w:szCs w:val="22"/>
      <w:lang w:val="en-GB" w:eastAsia="lv-LV"/>
    </w:rPr>
  </w:style>
  <w:style w:type="character" w:customStyle="1" w:styleId="Heading3Char">
    <w:name w:val="Heading 3 Char"/>
    <w:link w:val="Heading3"/>
    <w:uiPriority w:val="9"/>
    <w:rsid w:val="005A06FA"/>
    <w:rPr>
      <w:rFonts w:ascii="Cambria" w:eastAsia="Times New Roman" w:hAnsi="Cambria" w:cs="Times New Roman"/>
      <w:b/>
      <w:bCs/>
      <w:sz w:val="26"/>
      <w:szCs w:val="26"/>
      <w:lang w:eastAsia="en-US"/>
    </w:rPr>
  </w:style>
  <w:style w:type="paragraph" w:styleId="BodyText">
    <w:name w:val="Body Text"/>
    <w:basedOn w:val="Normal"/>
    <w:link w:val="BodyTextChar"/>
    <w:uiPriority w:val="99"/>
    <w:semiHidden/>
    <w:unhideWhenUsed/>
    <w:rsid w:val="005A06FA"/>
    <w:rPr>
      <w:lang w:val="x-none"/>
    </w:rPr>
  </w:style>
  <w:style w:type="character" w:customStyle="1" w:styleId="BodyTextChar">
    <w:name w:val="Body Text Char"/>
    <w:link w:val="BodyText"/>
    <w:uiPriority w:val="99"/>
    <w:semiHidden/>
    <w:rsid w:val="005A06FA"/>
    <w:rPr>
      <w:rFonts w:eastAsia="Times New Roman"/>
      <w:sz w:val="24"/>
      <w:lang w:eastAsia="en-US"/>
    </w:rPr>
  </w:style>
  <w:style w:type="paragraph" w:styleId="BodyText3">
    <w:name w:val="Body Text 3"/>
    <w:basedOn w:val="Normal"/>
    <w:link w:val="BodyText3Char"/>
    <w:uiPriority w:val="99"/>
    <w:semiHidden/>
    <w:unhideWhenUsed/>
    <w:rsid w:val="005A06FA"/>
    <w:rPr>
      <w:sz w:val="16"/>
      <w:szCs w:val="16"/>
      <w:lang w:val="x-none"/>
    </w:rPr>
  </w:style>
  <w:style w:type="character" w:customStyle="1" w:styleId="BodyText3Char">
    <w:name w:val="Body Text 3 Char"/>
    <w:link w:val="BodyText3"/>
    <w:uiPriority w:val="99"/>
    <w:semiHidden/>
    <w:rsid w:val="005A06FA"/>
    <w:rPr>
      <w:rFonts w:eastAsia="Times New Roman"/>
      <w:sz w:val="16"/>
      <w:szCs w:val="16"/>
      <w:lang w:eastAsia="en-US"/>
    </w:rPr>
  </w:style>
  <w:style w:type="paragraph" w:styleId="TOC8">
    <w:name w:val="toc 8"/>
    <w:basedOn w:val="Normal"/>
    <w:next w:val="Normal"/>
    <w:autoRedefine/>
    <w:uiPriority w:val="39"/>
    <w:semiHidden/>
    <w:unhideWhenUsed/>
    <w:rsid w:val="00D117D0"/>
    <w:pPr>
      <w:ind w:left="1680"/>
    </w:pPr>
  </w:style>
  <w:style w:type="paragraph" w:styleId="PlainText">
    <w:name w:val="Plain Text"/>
    <w:basedOn w:val="Normal"/>
    <w:link w:val="PlainTextChar"/>
    <w:uiPriority w:val="99"/>
    <w:unhideWhenUsed/>
    <w:rsid w:val="00F37E17"/>
    <w:pPr>
      <w:spacing w:after="0"/>
      <w:ind w:firstLine="0"/>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37E17"/>
    <w:rPr>
      <w:rFonts w:ascii="Consolas" w:hAnsi="Consolas"/>
      <w:sz w:val="21"/>
      <w:szCs w:val="21"/>
    </w:rPr>
  </w:style>
  <w:style w:type="paragraph" w:customStyle="1" w:styleId="Text1">
    <w:name w:val="Text 1"/>
    <w:basedOn w:val="Normal"/>
    <w:uiPriority w:val="99"/>
    <w:rsid w:val="003E6294"/>
    <w:pPr>
      <w:spacing w:before="120"/>
      <w:ind w:left="850" w:firstLine="0"/>
    </w:pPr>
    <w:rPr>
      <w:lang w:val="en-GB" w:eastAsia="de-DE"/>
    </w:rPr>
  </w:style>
  <w:style w:type="character" w:styleId="FollowedHyperlink">
    <w:name w:val="FollowedHyperlink"/>
    <w:uiPriority w:val="99"/>
    <w:semiHidden/>
    <w:unhideWhenUsed/>
    <w:rsid w:val="00DE6E4F"/>
    <w:rPr>
      <w:color w:val="800080"/>
      <w:u w:val="single"/>
    </w:rPr>
  </w:style>
  <w:style w:type="paragraph" w:styleId="Revision">
    <w:name w:val="Revision"/>
    <w:hidden/>
    <w:uiPriority w:val="99"/>
    <w:semiHidden/>
    <w:rsid w:val="0050658A"/>
    <w:rPr>
      <w:rFonts w:eastAsia="Times New Roman"/>
      <w:sz w:val="24"/>
      <w:lang w:eastAsia="en-US"/>
    </w:rPr>
  </w:style>
  <w:style w:type="paragraph" w:customStyle="1" w:styleId="tv2131">
    <w:name w:val="tv2131"/>
    <w:basedOn w:val="Normal"/>
    <w:rsid w:val="008D3A67"/>
    <w:pPr>
      <w:spacing w:before="240" w:after="0" w:line="360" w:lineRule="auto"/>
      <w:ind w:firstLine="300"/>
    </w:pPr>
    <w:rPr>
      <w:rFonts w:ascii="Verdana" w:hAnsi="Verdana"/>
      <w:sz w:val="18"/>
      <w:szCs w:val="18"/>
      <w:lang w:eastAsia="lv-LV"/>
    </w:rPr>
  </w:style>
  <w:style w:type="paragraph" w:customStyle="1" w:styleId="CM1">
    <w:name w:val="CM1"/>
    <w:basedOn w:val="Default"/>
    <w:next w:val="Default"/>
    <w:uiPriority w:val="99"/>
    <w:rsid w:val="0060396D"/>
    <w:rPr>
      <w:rFonts w:ascii="EUAlbertina" w:eastAsia="Calibri" w:hAnsi="EUAlbertina"/>
      <w:color w:val="auto"/>
      <w:lang w:val="en-GB" w:eastAsia="en-GB"/>
    </w:rPr>
  </w:style>
  <w:style w:type="character" w:customStyle="1" w:styleId="st1">
    <w:name w:val="st1"/>
    <w:basedOn w:val="DefaultParagraphFont"/>
    <w:rsid w:val="00032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48308">
      <w:bodyDiv w:val="1"/>
      <w:marLeft w:val="0"/>
      <w:marRight w:val="0"/>
      <w:marTop w:val="0"/>
      <w:marBottom w:val="0"/>
      <w:divBdr>
        <w:top w:val="none" w:sz="0" w:space="0" w:color="auto"/>
        <w:left w:val="none" w:sz="0" w:space="0" w:color="auto"/>
        <w:bottom w:val="none" w:sz="0" w:space="0" w:color="auto"/>
        <w:right w:val="none" w:sz="0" w:space="0" w:color="auto"/>
      </w:divBdr>
    </w:div>
    <w:div w:id="59524733">
      <w:bodyDiv w:val="1"/>
      <w:marLeft w:val="0"/>
      <w:marRight w:val="0"/>
      <w:marTop w:val="0"/>
      <w:marBottom w:val="0"/>
      <w:divBdr>
        <w:top w:val="none" w:sz="0" w:space="0" w:color="auto"/>
        <w:left w:val="none" w:sz="0" w:space="0" w:color="auto"/>
        <w:bottom w:val="none" w:sz="0" w:space="0" w:color="auto"/>
        <w:right w:val="none" w:sz="0" w:space="0" w:color="auto"/>
      </w:divBdr>
      <w:divsChild>
        <w:div w:id="477651685">
          <w:marLeft w:val="547"/>
          <w:marRight w:val="0"/>
          <w:marTop w:val="115"/>
          <w:marBottom w:val="0"/>
          <w:divBdr>
            <w:top w:val="none" w:sz="0" w:space="0" w:color="auto"/>
            <w:left w:val="none" w:sz="0" w:space="0" w:color="auto"/>
            <w:bottom w:val="none" w:sz="0" w:space="0" w:color="auto"/>
            <w:right w:val="none" w:sz="0" w:space="0" w:color="auto"/>
          </w:divBdr>
        </w:div>
      </w:divsChild>
    </w:div>
    <w:div w:id="78215503">
      <w:bodyDiv w:val="1"/>
      <w:marLeft w:val="0"/>
      <w:marRight w:val="0"/>
      <w:marTop w:val="0"/>
      <w:marBottom w:val="0"/>
      <w:divBdr>
        <w:top w:val="none" w:sz="0" w:space="0" w:color="auto"/>
        <w:left w:val="none" w:sz="0" w:space="0" w:color="auto"/>
        <w:bottom w:val="none" w:sz="0" w:space="0" w:color="auto"/>
        <w:right w:val="none" w:sz="0" w:space="0" w:color="auto"/>
      </w:divBdr>
    </w:div>
    <w:div w:id="78841574">
      <w:bodyDiv w:val="1"/>
      <w:marLeft w:val="0"/>
      <w:marRight w:val="0"/>
      <w:marTop w:val="0"/>
      <w:marBottom w:val="0"/>
      <w:divBdr>
        <w:top w:val="none" w:sz="0" w:space="0" w:color="auto"/>
        <w:left w:val="none" w:sz="0" w:space="0" w:color="auto"/>
        <w:bottom w:val="none" w:sz="0" w:space="0" w:color="auto"/>
        <w:right w:val="none" w:sz="0" w:space="0" w:color="auto"/>
      </w:divBdr>
    </w:div>
    <w:div w:id="97528532">
      <w:bodyDiv w:val="1"/>
      <w:marLeft w:val="0"/>
      <w:marRight w:val="0"/>
      <w:marTop w:val="0"/>
      <w:marBottom w:val="0"/>
      <w:divBdr>
        <w:top w:val="none" w:sz="0" w:space="0" w:color="auto"/>
        <w:left w:val="none" w:sz="0" w:space="0" w:color="auto"/>
        <w:bottom w:val="none" w:sz="0" w:space="0" w:color="auto"/>
        <w:right w:val="none" w:sz="0" w:space="0" w:color="auto"/>
      </w:divBdr>
    </w:div>
    <w:div w:id="115956441">
      <w:bodyDiv w:val="1"/>
      <w:marLeft w:val="0"/>
      <w:marRight w:val="0"/>
      <w:marTop w:val="0"/>
      <w:marBottom w:val="0"/>
      <w:divBdr>
        <w:top w:val="none" w:sz="0" w:space="0" w:color="auto"/>
        <w:left w:val="none" w:sz="0" w:space="0" w:color="auto"/>
        <w:bottom w:val="none" w:sz="0" w:space="0" w:color="auto"/>
        <w:right w:val="none" w:sz="0" w:space="0" w:color="auto"/>
      </w:divBdr>
    </w:div>
    <w:div w:id="152533527">
      <w:bodyDiv w:val="1"/>
      <w:marLeft w:val="0"/>
      <w:marRight w:val="0"/>
      <w:marTop w:val="0"/>
      <w:marBottom w:val="0"/>
      <w:divBdr>
        <w:top w:val="none" w:sz="0" w:space="0" w:color="auto"/>
        <w:left w:val="none" w:sz="0" w:space="0" w:color="auto"/>
        <w:bottom w:val="none" w:sz="0" w:space="0" w:color="auto"/>
        <w:right w:val="none" w:sz="0" w:space="0" w:color="auto"/>
      </w:divBdr>
    </w:div>
    <w:div w:id="217933036">
      <w:bodyDiv w:val="1"/>
      <w:marLeft w:val="0"/>
      <w:marRight w:val="0"/>
      <w:marTop w:val="0"/>
      <w:marBottom w:val="0"/>
      <w:divBdr>
        <w:top w:val="none" w:sz="0" w:space="0" w:color="auto"/>
        <w:left w:val="none" w:sz="0" w:space="0" w:color="auto"/>
        <w:bottom w:val="none" w:sz="0" w:space="0" w:color="auto"/>
        <w:right w:val="none" w:sz="0" w:space="0" w:color="auto"/>
      </w:divBdr>
    </w:div>
    <w:div w:id="246577193">
      <w:bodyDiv w:val="1"/>
      <w:marLeft w:val="0"/>
      <w:marRight w:val="0"/>
      <w:marTop w:val="0"/>
      <w:marBottom w:val="0"/>
      <w:divBdr>
        <w:top w:val="none" w:sz="0" w:space="0" w:color="auto"/>
        <w:left w:val="none" w:sz="0" w:space="0" w:color="auto"/>
        <w:bottom w:val="none" w:sz="0" w:space="0" w:color="auto"/>
        <w:right w:val="none" w:sz="0" w:space="0" w:color="auto"/>
      </w:divBdr>
    </w:div>
    <w:div w:id="257448177">
      <w:bodyDiv w:val="1"/>
      <w:marLeft w:val="0"/>
      <w:marRight w:val="0"/>
      <w:marTop w:val="0"/>
      <w:marBottom w:val="0"/>
      <w:divBdr>
        <w:top w:val="none" w:sz="0" w:space="0" w:color="auto"/>
        <w:left w:val="none" w:sz="0" w:space="0" w:color="auto"/>
        <w:bottom w:val="none" w:sz="0" w:space="0" w:color="auto"/>
        <w:right w:val="none" w:sz="0" w:space="0" w:color="auto"/>
      </w:divBdr>
    </w:div>
    <w:div w:id="315257808">
      <w:bodyDiv w:val="1"/>
      <w:marLeft w:val="0"/>
      <w:marRight w:val="0"/>
      <w:marTop w:val="0"/>
      <w:marBottom w:val="0"/>
      <w:divBdr>
        <w:top w:val="none" w:sz="0" w:space="0" w:color="auto"/>
        <w:left w:val="none" w:sz="0" w:space="0" w:color="auto"/>
        <w:bottom w:val="none" w:sz="0" w:space="0" w:color="auto"/>
        <w:right w:val="none" w:sz="0" w:space="0" w:color="auto"/>
      </w:divBdr>
    </w:div>
    <w:div w:id="320081712">
      <w:bodyDiv w:val="1"/>
      <w:marLeft w:val="0"/>
      <w:marRight w:val="0"/>
      <w:marTop w:val="0"/>
      <w:marBottom w:val="0"/>
      <w:divBdr>
        <w:top w:val="none" w:sz="0" w:space="0" w:color="auto"/>
        <w:left w:val="none" w:sz="0" w:space="0" w:color="auto"/>
        <w:bottom w:val="none" w:sz="0" w:space="0" w:color="auto"/>
        <w:right w:val="none" w:sz="0" w:space="0" w:color="auto"/>
      </w:divBdr>
    </w:div>
    <w:div w:id="323509622">
      <w:bodyDiv w:val="1"/>
      <w:marLeft w:val="0"/>
      <w:marRight w:val="0"/>
      <w:marTop w:val="0"/>
      <w:marBottom w:val="0"/>
      <w:divBdr>
        <w:top w:val="none" w:sz="0" w:space="0" w:color="auto"/>
        <w:left w:val="none" w:sz="0" w:space="0" w:color="auto"/>
        <w:bottom w:val="none" w:sz="0" w:space="0" w:color="auto"/>
        <w:right w:val="none" w:sz="0" w:space="0" w:color="auto"/>
      </w:divBdr>
    </w:div>
    <w:div w:id="323709127">
      <w:bodyDiv w:val="1"/>
      <w:marLeft w:val="0"/>
      <w:marRight w:val="0"/>
      <w:marTop w:val="0"/>
      <w:marBottom w:val="0"/>
      <w:divBdr>
        <w:top w:val="none" w:sz="0" w:space="0" w:color="auto"/>
        <w:left w:val="none" w:sz="0" w:space="0" w:color="auto"/>
        <w:bottom w:val="none" w:sz="0" w:space="0" w:color="auto"/>
        <w:right w:val="none" w:sz="0" w:space="0" w:color="auto"/>
      </w:divBdr>
    </w:div>
    <w:div w:id="335159526">
      <w:bodyDiv w:val="1"/>
      <w:marLeft w:val="0"/>
      <w:marRight w:val="0"/>
      <w:marTop w:val="0"/>
      <w:marBottom w:val="0"/>
      <w:divBdr>
        <w:top w:val="none" w:sz="0" w:space="0" w:color="auto"/>
        <w:left w:val="none" w:sz="0" w:space="0" w:color="auto"/>
        <w:bottom w:val="none" w:sz="0" w:space="0" w:color="auto"/>
        <w:right w:val="none" w:sz="0" w:space="0" w:color="auto"/>
      </w:divBdr>
    </w:div>
    <w:div w:id="353307604">
      <w:bodyDiv w:val="1"/>
      <w:marLeft w:val="0"/>
      <w:marRight w:val="0"/>
      <w:marTop w:val="0"/>
      <w:marBottom w:val="0"/>
      <w:divBdr>
        <w:top w:val="none" w:sz="0" w:space="0" w:color="auto"/>
        <w:left w:val="none" w:sz="0" w:space="0" w:color="auto"/>
        <w:bottom w:val="none" w:sz="0" w:space="0" w:color="auto"/>
        <w:right w:val="none" w:sz="0" w:space="0" w:color="auto"/>
      </w:divBdr>
    </w:div>
    <w:div w:id="391199432">
      <w:bodyDiv w:val="1"/>
      <w:marLeft w:val="0"/>
      <w:marRight w:val="0"/>
      <w:marTop w:val="0"/>
      <w:marBottom w:val="0"/>
      <w:divBdr>
        <w:top w:val="none" w:sz="0" w:space="0" w:color="auto"/>
        <w:left w:val="none" w:sz="0" w:space="0" w:color="auto"/>
        <w:bottom w:val="none" w:sz="0" w:space="0" w:color="auto"/>
        <w:right w:val="none" w:sz="0" w:space="0" w:color="auto"/>
      </w:divBdr>
    </w:div>
    <w:div w:id="474951935">
      <w:bodyDiv w:val="1"/>
      <w:marLeft w:val="0"/>
      <w:marRight w:val="0"/>
      <w:marTop w:val="0"/>
      <w:marBottom w:val="0"/>
      <w:divBdr>
        <w:top w:val="none" w:sz="0" w:space="0" w:color="auto"/>
        <w:left w:val="none" w:sz="0" w:space="0" w:color="auto"/>
        <w:bottom w:val="none" w:sz="0" w:space="0" w:color="auto"/>
        <w:right w:val="none" w:sz="0" w:space="0" w:color="auto"/>
      </w:divBdr>
    </w:div>
    <w:div w:id="482506125">
      <w:bodyDiv w:val="1"/>
      <w:marLeft w:val="0"/>
      <w:marRight w:val="0"/>
      <w:marTop w:val="0"/>
      <w:marBottom w:val="0"/>
      <w:divBdr>
        <w:top w:val="none" w:sz="0" w:space="0" w:color="auto"/>
        <w:left w:val="none" w:sz="0" w:space="0" w:color="auto"/>
        <w:bottom w:val="none" w:sz="0" w:space="0" w:color="auto"/>
        <w:right w:val="none" w:sz="0" w:space="0" w:color="auto"/>
      </w:divBdr>
    </w:div>
    <w:div w:id="489758182">
      <w:bodyDiv w:val="1"/>
      <w:marLeft w:val="0"/>
      <w:marRight w:val="0"/>
      <w:marTop w:val="0"/>
      <w:marBottom w:val="0"/>
      <w:divBdr>
        <w:top w:val="none" w:sz="0" w:space="0" w:color="auto"/>
        <w:left w:val="none" w:sz="0" w:space="0" w:color="auto"/>
        <w:bottom w:val="none" w:sz="0" w:space="0" w:color="auto"/>
        <w:right w:val="none" w:sz="0" w:space="0" w:color="auto"/>
      </w:divBdr>
    </w:div>
    <w:div w:id="583536455">
      <w:bodyDiv w:val="1"/>
      <w:marLeft w:val="0"/>
      <w:marRight w:val="0"/>
      <w:marTop w:val="0"/>
      <w:marBottom w:val="0"/>
      <w:divBdr>
        <w:top w:val="none" w:sz="0" w:space="0" w:color="auto"/>
        <w:left w:val="none" w:sz="0" w:space="0" w:color="auto"/>
        <w:bottom w:val="none" w:sz="0" w:space="0" w:color="auto"/>
        <w:right w:val="none" w:sz="0" w:space="0" w:color="auto"/>
      </w:divBdr>
    </w:div>
    <w:div w:id="615067437">
      <w:bodyDiv w:val="1"/>
      <w:marLeft w:val="0"/>
      <w:marRight w:val="0"/>
      <w:marTop w:val="0"/>
      <w:marBottom w:val="0"/>
      <w:divBdr>
        <w:top w:val="none" w:sz="0" w:space="0" w:color="auto"/>
        <w:left w:val="none" w:sz="0" w:space="0" w:color="auto"/>
        <w:bottom w:val="none" w:sz="0" w:space="0" w:color="auto"/>
        <w:right w:val="none" w:sz="0" w:space="0" w:color="auto"/>
      </w:divBdr>
    </w:div>
    <w:div w:id="677273377">
      <w:bodyDiv w:val="1"/>
      <w:marLeft w:val="0"/>
      <w:marRight w:val="0"/>
      <w:marTop w:val="0"/>
      <w:marBottom w:val="0"/>
      <w:divBdr>
        <w:top w:val="none" w:sz="0" w:space="0" w:color="auto"/>
        <w:left w:val="none" w:sz="0" w:space="0" w:color="auto"/>
        <w:bottom w:val="none" w:sz="0" w:space="0" w:color="auto"/>
        <w:right w:val="none" w:sz="0" w:space="0" w:color="auto"/>
      </w:divBdr>
    </w:div>
    <w:div w:id="711031402">
      <w:bodyDiv w:val="1"/>
      <w:marLeft w:val="0"/>
      <w:marRight w:val="0"/>
      <w:marTop w:val="0"/>
      <w:marBottom w:val="0"/>
      <w:divBdr>
        <w:top w:val="none" w:sz="0" w:space="0" w:color="auto"/>
        <w:left w:val="none" w:sz="0" w:space="0" w:color="auto"/>
        <w:bottom w:val="none" w:sz="0" w:space="0" w:color="auto"/>
        <w:right w:val="none" w:sz="0" w:space="0" w:color="auto"/>
      </w:divBdr>
    </w:div>
    <w:div w:id="732191853">
      <w:bodyDiv w:val="1"/>
      <w:marLeft w:val="0"/>
      <w:marRight w:val="0"/>
      <w:marTop w:val="0"/>
      <w:marBottom w:val="0"/>
      <w:divBdr>
        <w:top w:val="none" w:sz="0" w:space="0" w:color="auto"/>
        <w:left w:val="none" w:sz="0" w:space="0" w:color="auto"/>
        <w:bottom w:val="none" w:sz="0" w:space="0" w:color="auto"/>
        <w:right w:val="none" w:sz="0" w:space="0" w:color="auto"/>
      </w:divBdr>
    </w:div>
    <w:div w:id="745415715">
      <w:bodyDiv w:val="1"/>
      <w:marLeft w:val="0"/>
      <w:marRight w:val="0"/>
      <w:marTop w:val="0"/>
      <w:marBottom w:val="0"/>
      <w:divBdr>
        <w:top w:val="none" w:sz="0" w:space="0" w:color="auto"/>
        <w:left w:val="none" w:sz="0" w:space="0" w:color="auto"/>
        <w:bottom w:val="none" w:sz="0" w:space="0" w:color="auto"/>
        <w:right w:val="none" w:sz="0" w:space="0" w:color="auto"/>
      </w:divBdr>
    </w:div>
    <w:div w:id="746808589">
      <w:bodyDiv w:val="1"/>
      <w:marLeft w:val="0"/>
      <w:marRight w:val="0"/>
      <w:marTop w:val="0"/>
      <w:marBottom w:val="0"/>
      <w:divBdr>
        <w:top w:val="none" w:sz="0" w:space="0" w:color="auto"/>
        <w:left w:val="none" w:sz="0" w:space="0" w:color="auto"/>
        <w:bottom w:val="none" w:sz="0" w:space="0" w:color="auto"/>
        <w:right w:val="none" w:sz="0" w:space="0" w:color="auto"/>
      </w:divBdr>
    </w:div>
    <w:div w:id="763916453">
      <w:bodyDiv w:val="1"/>
      <w:marLeft w:val="0"/>
      <w:marRight w:val="0"/>
      <w:marTop w:val="0"/>
      <w:marBottom w:val="0"/>
      <w:divBdr>
        <w:top w:val="none" w:sz="0" w:space="0" w:color="auto"/>
        <w:left w:val="none" w:sz="0" w:space="0" w:color="auto"/>
        <w:bottom w:val="none" w:sz="0" w:space="0" w:color="auto"/>
        <w:right w:val="none" w:sz="0" w:space="0" w:color="auto"/>
      </w:divBdr>
    </w:div>
    <w:div w:id="792557403">
      <w:bodyDiv w:val="1"/>
      <w:marLeft w:val="0"/>
      <w:marRight w:val="0"/>
      <w:marTop w:val="0"/>
      <w:marBottom w:val="0"/>
      <w:divBdr>
        <w:top w:val="none" w:sz="0" w:space="0" w:color="auto"/>
        <w:left w:val="none" w:sz="0" w:space="0" w:color="auto"/>
        <w:bottom w:val="none" w:sz="0" w:space="0" w:color="auto"/>
        <w:right w:val="none" w:sz="0" w:space="0" w:color="auto"/>
      </w:divBdr>
    </w:div>
    <w:div w:id="972564478">
      <w:bodyDiv w:val="1"/>
      <w:marLeft w:val="0"/>
      <w:marRight w:val="0"/>
      <w:marTop w:val="0"/>
      <w:marBottom w:val="0"/>
      <w:divBdr>
        <w:top w:val="none" w:sz="0" w:space="0" w:color="auto"/>
        <w:left w:val="none" w:sz="0" w:space="0" w:color="auto"/>
        <w:bottom w:val="none" w:sz="0" w:space="0" w:color="auto"/>
        <w:right w:val="none" w:sz="0" w:space="0" w:color="auto"/>
      </w:divBdr>
    </w:div>
    <w:div w:id="1047530873">
      <w:bodyDiv w:val="1"/>
      <w:marLeft w:val="0"/>
      <w:marRight w:val="0"/>
      <w:marTop w:val="0"/>
      <w:marBottom w:val="0"/>
      <w:divBdr>
        <w:top w:val="none" w:sz="0" w:space="0" w:color="auto"/>
        <w:left w:val="none" w:sz="0" w:space="0" w:color="auto"/>
        <w:bottom w:val="none" w:sz="0" w:space="0" w:color="auto"/>
        <w:right w:val="none" w:sz="0" w:space="0" w:color="auto"/>
      </w:divBdr>
    </w:div>
    <w:div w:id="1174956974">
      <w:bodyDiv w:val="1"/>
      <w:marLeft w:val="0"/>
      <w:marRight w:val="0"/>
      <w:marTop w:val="0"/>
      <w:marBottom w:val="0"/>
      <w:divBdr>
        <w:top w:val="none" w:sz="0" w:space="0" w:color="auto"/>
        <w:left w:val="none" w:sz="0" w:space="0" w:color="auto"/>
        <w:bottom w:val="none" w:sz="0" w:space="0" w:color="auto"/>
        <w:right w:val="none" w:sz="0" w:space="0" w:color="auto"/>
      </w:divBdr>
    </w:div>
    <w:div w:id="1185245292">
      <w:bodyDiv w:val="1"/>
      <w:marLeft w:val="0"/>
      <w:marRight w:val="0"/>
      <w:marTop w:val="0"/>
      <w:marBottom w:val="0"/>
      <w:divBdr>
        <w:top w:val="none" w:sz="0" w:space="0" w:color="auto"/>
        <w:left w:val="none" w:sz="0" w:space="0" w:color="auto"/>
        <w:bottom w:val="none" w:sz="0" w:space="0" w:color="auto"/>
        <w:right w:val="none" w:sz="0" w:space="0" w:color="auto"/>
      </w:divBdr>
    </w:div>
    <w:div w:id="1288925429">
      <w:bodyDiv w:val="1"/>
      <w:marLeft w:val="0"/>
      <w:marRight w:val="0"/>
      <w:marTop w:val="0"/>
      <w:marBottom w:val="0"/>
      <w:divBdr>
        <w:top w:val="none" w:sz="0" w:space="0" w:color="auto"/>
        <w:left w:val="none" w:sz="0" w:space="0" w:color="auto"/>
        <w:bottom w:val="none" w:sz="0" w:space="0" w:color="auto"/>
        <w:right w:val="none" w:sz="0" w:space="0" w:color="auto"/>
      </w:divBdr>
    </w:div>
    <w:div w:id="1310020397">
      <w:bodyDiv w:val="1"/>
      <w:marLeft w:val="0"/>
      <w:marRight w:val="0"/>
      <w:marTop w:val="0"/>
      <w:marBottom w:val="0"/>
      <w:divBdr>
        <w:top w:val="none" w:sz="0" w:space="0" w:color="auto"/>
        <w:left w:val="none" w:sz="0" w:space="0" w:color="auto"/>
        <w:bottom w:val="none" w:sz="0" w:space="0" w:color="auto"/>
        <w:right w:val="none" w:sz="0" w:space="0" w:color="auto"/>
      </w:divBdr>
    </w:div>
    <w:div w:id="1366710611">
      <w:bodyDiv w:val="1"/>
      <w:marLeft w:val="0"/>
      <w:marRight w:val="0"/>
      <w:marTop w:val="0"/>
      <w:marBottom w:val="0"/>
      <w:divBdr>
        <w:top w:val="none" w:sz="0" w:space="0" w:color="auto"/>
        <w:left w:val="none" w:sz="0" w:space="0" w:color="auto"/>
        <w:bottom w:val="none" w:sz="0" w:space="0" w:color="auto"/>
        <w:right w:val="none" w:sz="0" w:space="0" w:color="auto"/>
      </w:divBdr>
    </w:div>
    <w:div w:id="1394817738">
      <w:bodyDiv w:val="1"/>
      <w:marLeft w:val="0"/>
      <w:marRight w:val="0"/>
      <w:marTop w:val="0"/>
      <w:marBottom w:val="0"/>
      <w:divBdr>
        <w:top w:val="none" w:sz="0" w:space="0" w:color="auto"/>
        <w:left w:val="none" w:sz="0" w:space="0" w:color="auto"/>
        <w:bottom w:val="none" w:sz="0" w:space="0" w:color="auto"/>
        <w:right w:val="none" w:sz="0" w:space="0" w:color="auto"/>
      </w:divBdr>
    </w:div>
    <w:div w:id="1540168377">
      <w:bodyDiv w:val="1"/>
      <w:marLeft w:val="0"/>
      <w:marRight w:val="0"/>
      <w:marTop w:val="0"/>
      <w:marBottom w:val="0"/>
      <w:divBdr>
        <w:top w:val="none" w:sz="0" w:space="0" w:color="auto"/>
        <w:left w:val="none" w:sz="0" w:space="0" w:color="auto"/>
        <w:bottom w:val="none" w:sz="0" w:space="0" w:color="auto"/>
        <w:right w:val="none" w:sz="0" w:space="0" w:color="auto"/>
      </w:divBdr>
    </w:div>
    <w:div w:id="1570773674">
      <w:bodyDiv w:val="1"/>
      <w:marLeft w:val="0"/>
      <w:marRight w:val="0"/>
      <w:marTop w:val="0"/>
      <w:marBottom w:val="0"/>
      <w:divBdr>
        <w:top w:val="none" w:sz="0" w:space="0" w:color="auto"/>
        <w:left w:val="none" w:sz="0" w:space="0" w:color="auto"/>
        <w:bottom w:val="none" w:sz="0" w:space="0" w:color="auto"/>
        <w:right w:val="none" w:sz="0" w:space="0" w:color="auto"/>
      </w:divBdr>
    </w:div>
    <w:div w:id="1602831445">
      <w:bodyDiv w:val="1"/>
      <w:marLeft w:val="0"/>
      <w:marRight w:val="0"/>
      <w:marTop w:val="0"/>
      <w:marBottom w:val="0"/>
      <w:divBdr>
        <w:top w:val="none" w:sz="0" w:space="0" w:color="auto"/>
        <w:left w:val="none" w:sz="0" w:space="0" w:color="auto"/>
        <w:bottom w:val="none" w:sz="0" w:space="0" w:color="auto"/>
        <w:right w:val="none" w:sz="0" w:space="0" w:color="auto"/>
      </w:divBdr>
    </w:div>
    <w:div w:id="1690832703">
      <w:bodyDiv w:val="1"/>
      <w:marLeft w:val="0"/>
      <w:marRight w:val="0"/>
      <w:marTop w:val="0"/>
      <w:marBottom w:val="0"/>
      <w:divBdr>
        <w:top w:val="none" w:sz="0" w:space="0" w:color="auto"/>
        <w:left w:val="none" w:sz="0" w:space="0" w:color="auto"/>
        <w:bottom w:val="none" w:sz="0" w:space="0" w:color="auto"/>
        <w:right w:val="none" w:sz="0" w:space="0" w:color="auto"/>
      </w:divBdr>
    </w:div>
    <w:div w:id="1725173312">
      <w:bodyDiv w:val="1"/>
      <w:marLeft w:val="0"/>
      <w:marRight w:val="0"/>
      <w:marTop w:val="0"/>
      <w:marBottom w:val="0"/>
      <w:divBdr>
        <w:top w:val="none" w:sz="0" w:space="0" w:color="auto"/>
        <w:left w:val="none" w:sz="0" w:space="0" w:color="auto"/>
        <w:bottom w:val="none" w:sz="0" w:space="0" w:color="auto"/>
        <w:right w:val="none" w:sz="0" w:space="0" w:color="auto"/>
      </w:divBdr>
    </w:div>
    <w:div w:id="1727994082">
      <w:bodyDiv w:val="1"/>
      <w:marLeft w:val="0"/>
      <w:marRight w:val="0"/>
      <w:marTop w:val="0"/>
      <w:marBottom w:val="0"/>
      <w:divBdr>
        <w:top w:val="none" w:sz="0" w:space="0" w:color="auto"/>
        <w:left w:val="none" w:sz="0" w:space="0" w:color="auto"/>
        <w:bottom w:val="none" w:sz="0" w:space="0" w:color="auto"/>
        <w:right w:val="none" w:sz="0" w:space="0" w:color="auto"/>
      </w:divBdr>
    </w:div>
    <w:div w:id="1747871660">
      <w:bodyDiv w:val="1"/>
      <w:marLeft w:val="0"/>
      <w:marRight w:val="0"/>
      <w:marTop w:val="0"/>
      <w:marBottom w:val="0"/>
      <w:divBdr>
        <w:top w:val="none" w:sz="0" w:space="0" w:color="auto"/>
        <w:left w:val="none" w:sz="0" w:space="0" w:color="auto"/>
        <w:bottom w:val="none" w:sz="0" w:space="0" w:color="auto"/>
        <w:right w:val="none" w:sz="0" w:space="0" w:color="auto"/>
      </w:divBdr>
    </w:div>
    <w:div w:id="1748962890">
      <w:bodyDiv w:val="1"/>
      <w:marLeft w:val="0"/>
      <w:marRight w:val="0"/>
      <w:marTop w:val="0"/>
      <w:marBottom w:val="0"/>
      <w:divBdr>
        <w:top w:val="none" w:sz="0" w:space="0" w:color="auto"/>
        <w:left w:val="none" w:sz="0" w:space="0" w:color="auto"/>
        <w:bottom w:val="none" w:sz="0" w:space="0" w:color="auto"/>
        <w:right w:val="none" w:sz="0" w:space="0" w:color="auto"/>
      </w:divBdr>
      <w:divsChild>
        <w:div w:id="1777481858">
          <w:marLeft w:val="547"/>
          <w:marRight w:val="0"/>
          <w:marTop w:val="115"/>
          <w:marBottom w:val="0"/>
          <w:divBdr>
            <w:top w:val="none" w:sz="0" w:space="0" w:color="auto"/>
            <w:left w:val="none" w:sz="0" w:space="0" w:color="auto"/>
            <w:bottom w:val="none" w:sz="0" w:space="0" w:color="auto"/>
            <w:right w:val="none" w:sz="0" w:space="0" w:color="auto"/>
          </w:divBdr>
        </w:div>
      </w:divsChild>
    </w:div>
    <w:div w:id="1866597574">
      <w:bodyDiv w:val="1"/>
      <w:marLeft w:val="0"/>
      <w:marRight w:val="0"/>
      <w:marTop w:val="0"/>
      <w:marBottom w:val="0"/>
      <w:divBdr>
        <w:top w:val="none" w:sz="0" w:space="0" w:color="auto"/>
        <w:left w:val="none" w:sz="0" w:space="0" w:color="auto"/>
        <w:bottom w:val="none" w:sz="0" w:space="0" w:color="auto"/>
        <w:right w:val="none" w:sz="0" w:space="0" w:color="auto"/>
      </w:divBdr>
    </w:div>
    <w:div w:id="1874079147">
      <w:bodyDiv w:val="1"/>
      <w:marLeft w:val="0"/>
      <w:marRight w:val="0"/>
      <w:marTop w:val="0"/>
      <w:marBottom w:val="0"/>
      <w:divBdr>
        <w:top w:val="none" w:sz="0" w:space="0" w:color="auto"/>
        <w:left w:val="none" w:sz="0" w:space="0" w:color="auto"/>
        <w:bottom w:val="none" w:sz="0" w:space="0" w:color="auto"/>
        <w:right w:val="none" w:sz="0" w:space="0" w:color="auto"/>
      </w:divBdr>
    </w:div>
    <w:div w:id="1885630103">
      <w:bodyDiv w:val="1"/>
      <w:marLeft w:val="0"/>
      <w:marRight w:val="0"/>
      <w:marTop w:val="0"/>
      <w:marBottom w:val="0"/>
      <w:divBdr>
        <w:top w:val="none" w:sz="0" w:space="0" w:color="auto"/>
        <w:left w:val="none" w:sz="0" w:space="0" w:color="auto"/>
        <w:bottom w:val="none" w:sz="0" w:space="0" w:color="auto"/>
        <w:right w:val="none" w:sz="0" w:space="0" w:color="auto"/>
      </w:divBdr>
    </w:div>
    <w:div w:id="1907059511">
      <w:bodyDiv w:val="1"/>
      <w:marLeft w:val="0"/>
      <w:marRight w:val="0"/>
      <w:marTop w:val="0"/>
      <w:marBottom w:val="0"/>
      <w:divBdr>
        <w:top w:val="none" w:sz="0" w:space="0" w:color="auto"/>
        <w:left w:val="none" w:sz="0" w:space="0" w:color="auto"/>
        <w:bottom w:val="none" w:sz="0" w:space="0" w:color="auto"/>
        <w:right w:val="none" w:sz="0" w:space="0" w:color="auto"/>
      </w:divBdr>
    </w:div>
    <w:div w:id="2029868814">
      <w:bodyDiv w:val="1"/>
      <w:marLeft w:val="0"/>
      <w:marRight w:val="0"/>
      <w:marTop w:val="0"/>
      <w:marBottom w:val="0"/>
      <w:divBdr>
        <w:top w:val="none" w:sz="0" w:space="0" w:color="auto"/>
        <w:left w:val="none" w:sz="0" w:space="0" w:color="auto"/>
        <w:bottom w:val="none" w:sz="0" w:space="0" w:color="auto"/>
        <w:right w:val="none" w:sz="0" w:space="0" w:color="auto"/>
      </w:divBdr>
    </w:div>
    <w:div w:id="2054846668">
      <w:bodyDiv w:val="1"/>
      <w:marLeft w:val="0"/>
      <w:marRight w:val="0"/>
      <w:marTop w:val="0"/>
      <w:marBottom w:val="0"/>
      <w:divBdr>
        <w:top w:val="none" w:sz="0" w:space="0" w:color="auto"/>
        <w:left w:val="none" w:sz="0" w:space="0" w:color="auto"/>
        <w:bottom w:val="none" w:sz="0" w:space="0" w:color="auto"/>
        <w:right w:val="none" w:sz="0" w:space="0" w:color="auto"/>
      </w:divBdr>
    </w:div>
    <w:div w:id="2124349474">
      <w:bodyDiv w:val="1"/>
      <w:marLeft w:val="0"/>
      <w:marRight w:val="0"/>
      <w:marTop w:val="0"/>
      <w:marBottom w:val="0"/>
      <w:divBdr>
        <w:top w:val="none" w:sz="0" w:space="0" w:color="auto"/>
        <w:left w:val="none" w:sz="0" w:space="0" w:color="auto"/>
        <w:bottom w:val="none" w:sz="0" w:space="0" w:color="auto"/>
        <w:right w:val="none" w:sz="0" w:space="0" w:color="auto"/>
      </w:divBdr>
    </w:div>
    <w:div w:id="2130463744">
      <w:bodyDiv w:val="1"/>
      <w:marLeft w:val="0"/>
      <w:marRight w:val="0"/>
      <w:marTop w:val="0"/>
      <w:marBottom w:val="0"/>
      <w:divBdr>
        <w:top w:val="none" w:sz="0" w:space="0" w:color="auto"/>
        <w:left w:val="none" w:sz="0" w:space="0" w:color="auto"/>
        <w:bottom w:val="none" w:sz="0" w:space="0" w:color="auto"/>
        <w:right w:val="none" w:sz="0" w:space="0" w:color="auto"/>
      </w:divBdr>
    </w:div>
    <w:div w:id="2141028175">
      <w:bodyDiv w:val="1"/>
      <w:marLeft w:val="0"/>
      <w:marRight w:val="0"/>
      <w:marTop w:val="0"/>
      <w:marBottom w:val="0"/>
      <w:divBdr>
        <w:top w:val="none" w:sz="0" w:space="0" w:color="auto"/>
        <w:left w:val="none" w:sz="0" w:space="0" w:color="auto"/>
        <w:bottom w:val="none" w:sz="0" w:space="0" w:color="auto"/>
        <w:right w:val="none" w:sz="0" w:space="0" w:color="auto"/>
      </w:divBdr>
    </w:div>
    <w:div w:id="214199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webSettings" Target="webSettings.xml"/><Relationship Id="rId50" Type="http://schemas.openxmlformats.org/officeDocument/2006/relationships/header" Target="header1.xml"/><Relationship Id="rId55" Type="http://schemas.openxmlformats.org/officeDocument/2006/relationships/image" Target="media/image2.emf"/><Relationship Id="rId63" Type="http://schemas.openxmlformats.org/officeDocument/2006/relationships/image" Target="media/image8.emf"/><Relationship Id="rId68" Type="http://schemas.openxmlformats.org/officeDocument/2006/relationships/image" Target="media/image13.png"/><Relationship Id="rId76"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microsoft.com/office/2007/relationships/stylesWithEffects" Target="stylesWithEffects.xml"/><Relationship Id="rId53" Type="http://schemas.openxmlformats.org/officeDocument/2006/relationships/footer" Target="footer1.xml"/><Relationship Id="rId58" Type="http://schemas.openxmlformats.org/officeDocument/2006/relationships/image" Target="media/image5.emf"/><Relationship Id="rId66" Type="http://schemas.openxmlformats.org/officeDocument/2006/relationships/image" Target="media/image11.emf"/><Relationship Id="rId74" Type="http://schemas.openxmlformats.org/officeDocument/2006/relationships/image" Target="media/image19.png"/><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6.emf"/><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styles" Target="styles.xml"/><Relationship Id="rId52" Type="http://schemas.openxmlformats.org/officeDocument/2006/relationships/header" Target="header3.xml"/><Relationship Id="rId60" Type="http://schemas.openxmlformats.org/officeDocument/2006/relationships/hyperlink" Target="http://www.latvija.lv" TargetMode="External"/><Relationship Id="rId65" Type="http://schemas.openxmlformats.org/officeDocument/2006/relationships/image" Target="media/image10.emf"/><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numbering" Target="numbering.xml"/><Relationship Id="rId48" Type="http://schemas.openxmlformats.org/officeDocument/2006/relationships/footnotes" Target="footnotes.xml"/><Relationship Id="rId56" Type="http://schemas.openxmlformats.org/officeDocument/2006/relationships/image" Target="media/image3.png"/><Relationship Id="rId64" Type="http://schemas.openxmlformats.org/officeDocument/2006/relationships/image" Target="media/image9.emf"/><Relationship Id="rId69" Type="http://schemas.openxmlformats.org/officeDocument/2006/relationships/image" Target="media/image14.emf"/><Relationship Id="rId77"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72" Type="http://schemas.openxmlformats.org/officeDocument/2006/relationships/image" Target="media/image17.emf"/><Relationship Id="rId80"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settings" Target="settings.xml"/><Relationship Id="rId59" Type="http://schemas.openxmlformats.org/officeDocument/2006/relationships/hyperlink" Target="http://www.latvija.lv" TargetMode="External"/><Relationship Id="rId67" Type="http://schemas.openxmlformats.org/officeDocument/2006/relationships/image" Target="media/image12.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image" Target="media/image1.emf"/><Relationship Id="rId62" Type="http://schemas.openxmlformats.org/officeDocument/2006/relationships/image" Target="media/image7.emf"/><Relationship Id="rId70" Type="http://schemas.openxmlformats.org/officeDocument/2006/relationships/image" Target="media/image15.emf"/><Relationship Id="rId75" Type="http://schemas.openxmlformats.org/officeDocument/2006/relationships/hyperlink" Target="mailto:Anda.Apse@fm.gov.l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endnotes" Target="endnotes.xml"/><Relationship Id="rId57" Type="http://schemas.openxmlformats.org/officeDocument/2006/relationships/image" Target="media/image4.emf"/></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xUriServ/LexUriServ.do?uri=CONSLEG:1996R2223:20090610:LV:HTML" TargetMode="External"/><Relationship Id="rId1" Type="http://schemas.openxmlformats.org/officeDocument/2006/relationships/hyperlink" Target="http://ec.europa.eu/economy_finance/publications/european_economy/2013/pdf/ee1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FDAB6-311A-4994-B547-E4CEACC83934}">
  <ds:schemaRefs>
    <ds:schemaRef ds:uri="http://schemas.openxmlformats.org/officeDocument/2006/bibliography"/>
  </ds:schemaRefs>
</ds:datastoreItem>
</file>

<file path=customXml/itemProps10.xml><?xml version="1.0" encoding="utf-8"?>
<ds:datastoreItem xmlns:ds="http://schemas.openxmlformats.org/officeDocument/2006/customXml" ds:itemID="{D54CDE27-960A-409C-A324-3B8A0AEB1FEC}">
  <ds:schemaRefs>
    <ds:schemaRef ds:uri="http://schemas.openxmlformats.org/officeDocument/2006/bibliography"/>
  </ds:schemaRefs>
</ds:datastoreItem>
</file>

<file path=customXml/itemProps11.xml><?xml version="1.0" encoding="utf-8"?>
<ds:datastoreItem xmlns:ds="http://schemas.openxmlformats.org/officeDocument/2006/customXml" ds:itemID="{3FA4DEA0-0D47-44BE-9012-93B35835486B}">
  <ds:schemaRefs>
    <ds:schemaRef ds:uri="http://schemas.openxmlformats.org/officeDocument/2006/bibliography"/>
  </ds:schemaRefs>
</ds:datastoreItem>
</file>

<file path=customXml/itemProps12.xml><?xml version="1.0" encoding="utf-8"?>
<ds:datastoreItem xmlns:ds="http://schemas.openxmlformats.org/officeDocument/2006/customXml" ds:itemID="{E3F3D76E-F69F-4D79-94C1-19BF8A16FD68}">
  <ds:schemaRefs>
    <ds:schemaRef ds:uri="http://schemas.openxmlformats.org/officeDocument/2006/bibliography"/>
  </ds:schemaRefs>
</ds:datastoreItem>
</file>

<file path=customXml/itemProps13.xml><?xml version="1.0" encoding="utf-8"?>
<ds:datastoreItem xmlns:ds="http://schemas.openxmlformats.org/officeDocument/2006/customXml" ds:itemID="{5AAF5A65-27AD-47F8-80A6-E5759DDBCA67}">
  <ds:schemaRefs>
    <ds:schemaRef ds:uri="http://schemas.openxmlformats.org/officeDocument/2006/bibliography"/>
  </ds:schemaRefs>
</ds:datastoreItem>
</file>

<file path=customXml/itemProps14.xml><?xml version="1.0" encoding="utf-8"?>
<ds:datastoreItem xmlns:ds="http://schemas.openxmlformats.org/officeDocument/2006/customXml" ds:itemID="{3E101113-13E8-432B-BF8F-A3BA0ED8B044}">
  <ds:schemaRefs>
    <ds:schemaRef ds:uri="http://schemas.openxmlformats.org/officeDocument/2006/bibliography"/>
  </ds:schemaRefs>
</ds:datastoreItem>
</file>

<file path=customXml/itemProps15.xml><?xml version="1.0" encoding="utf-8"?>
<ds:datastoreItem xmlns:ds="http://schemas.openxmlformats.org/officeDocument/2006/customXml" ds:itemID="{D637B54C-D172-41E6-9CDF-D2C5EB5C1E87}">
  <ds:schemaRefs>
    <ds:schemaRef ds:uri="http://schemas.openxmlformats.org/officeDocument/2006/bibliography"/>
  </ds:schemaRefs>
</ds:datastoreItem>
</file>

<file path=customXml/itemProps16.xml><?xml version="1.0" encoding="utf-8"?>
<ds:datastoreItem xmlns:ds="http://schemas.openxmlformats.org/officeDocument/2006/customXml" ds:itemID="{31D742F3-1EED-4D02-A916-41A79EA744BC}">
  <ds:schemaRefs>
    <ds:schemaRef ds:uri="http://schemas.openxmlformats.org/officeDocument/2006/bibliography"/>
  </ds:schemaRefs>
</ds:datastoreItem>
</file>

<file path=customXml/itemProps17.xml><?xml version="1.0" encoding="utf-8"?>
<ds:datastoreItem xmlns:ds="http://schemas.openxmlformats.org/officeDocument/2006/customXml" ds:itemID="{AEFF8499-EB72-4661-9DBD-CB2557F8645A}">
  <ds:schemaRefs>
    <ds:schemaRef ds:uri="http://schemas.openxmlformats.org/officeDocument/2006/bibliography"/>
  </ds:schemaRefs>
</ds:datastoreItem>
</file>

<file path=customXml/itemProps18.xml><?xml version="1.0" encoding="utf-8"?>
<ds:datastoreItem xmlns:ds="http://schemas.openxmlformats.org/officeDocument/2006/customXml" ds:itemID="{42FFCED0-26C3-4CEC-9887-1CCD5F42FBD6}">
  <ds:schemaRefs>
    <ds:schemaRef ds:uri="http://schemas.openxmlformats.org/officeDocument/2006/bibliography"/>
  </ds:schemaRefs>
</ds:datastoreItem>
</file>

<file path=customXml/itemProps19.xml><?xml version="1.0" encoding="utf-8"?>
<ds:datastoreItem xmlns:ds="http://schemas.openxmlformats.org/officeDocument/2006/customXml" ds:itemID="{CBAF624B-B7FC-4F5E-A879-3CE0098CE5AE}">
  <ds:schemaRefs>
    <ds:schemaRef ds:uri="http://schemas.openxmlformats.org/officeDocument/2006/bibliography"/>
  </ds:schemaRefs>
</ds:datastoreItem>
</file>

<file path=customXml/itemProps2.xml><?xml version="1.0" encoding="utf-8"?>
<ds:datastoreItem xmlns:ds="http://schemas.openxmlformats.org/officeDocument/2006/customXml" ds:itemID="{0DD38D19-F098-487F-AAB3-3D34F4B97BBA}">
  <ds:schemaRefs>
    <ds:schemaRef ds:uri="http://schemas.openxmlformats.org/officeDocument/2006/bibliography"/>
  </ds:schemaRefs>
</ds:datastoreItem>
</file>

<file path=customXml/itemProps20.xml><?xml version="1.0" encoding="utf-8"?>
<ds:datastoreItem xmlns:ds="http://schemas.openxmlformats.org/officeDocument/2006/customXml" ds:itemID="{00E45C3D-6F7E-4B94-8243-44930072DBE7}">
  <ds:schemaRefs>
    <ds:schemaRef ds:uri="http://schemas.openxmlformats.org/officeDocument/2006/bibliography"/>
  </ds:schemaRefs>
</ds:datastoreItem>
</file>

<file path=customXml/itemProps21.xml><?xml version="1.0" encoding="utf-8"?>
<ds:datastoreItem xmlns:ds="http://schemas.openxmlformats.org/officeDocument/2006/customXml" ds:itemID="{24E11B9D-567E-4587-B061-648E36784295}">
  <ds:schemaRefs>
    <ds:schemaRef ds:uri="http://schemas.openxmlformats.org/officeDocument/2006/bibliography"/>
  </ds:schemaRefs>
</ds:datastoreItem>
</file>

<file path=customXml/itemProps22.xml><?xml version="1.0" encoding="utf-8"?>
<ds:datastoreItem xmlns:ds="http://schemas.openxmlformats.org/officeDocument/2006/customXml" ds:itemID="{063A51E1-C33C-47CF-83EE-CBD40E7593CB}">
  <ds:schemaRefs>
    <ds:schemaRef ds:uri="http://schemas.openxmlformats.org/officeDocument/2006/bibliography"/>
  </ds:schemaRefs>
</ds:datastoreItem>
</file>

<file path=customXml/itemProps23.xml><?xml version="1.0" encoding="utf-8"?>
<ds:datastoreItem xmlns:ds="http://schemas.openxmlformats.org/officeDocument/2006/customXml" ds:itemID="{31FF92EC-364F-431F-8040-37502E51CA22}">
  <ds:schemaRefs>
    <ds:schemaRef ds:uri="http://schemas.openxmlformats.org/officeDocument/2006/bibliography"/>
  </ds:schemaRefs>
</ds:datastoreItem>
</file>

<file path=customXml/itemProps24.xml><?xml version="1.0" encoding="utf-8"?>
<ds:datastoreItem xmlns:ds="http://schemas.openxmlformats.org/officeDocument/2006/customXml" ds:itemID="{FFEB079A-BF2C-4AFC-B74A-AD32843B87BB}">
  <ds:schemaRefs>
    <ds:schemaRef ds:uri="http://schemas.openxmlformats.org/officeDocument/2006/bibliography"/>
  </ds:schemaRefs>
</ds:datastoreItem>
</file>

<file path=customXml/itemProps25.xml><?xml version="1.0" encoding="utf-8"?>
<ds:datastoreItem xmlns:ds="http://schemas.openxmlformats.org/officeDocument/2006/customXml" ds:itemID="{FD91A310-3CFF-4B1F-8980-FA9E9B43D748}">
  <ds:schemaRefs>
    <ds:schemaRef ds:uri="http://schemas.openxmlformats.org/officeDocument/2006/bibliography"/>
  </ds:schemaRefs>
</ds:datastoreItem>
</file>

<file path=customXml/itemProps26.xml><?xml version="1.0" encoding="utf-8"?>
<ds:datastoreItem xmlns:ds="http://schemas.openxmlformats.org/officeDocument/2006/customXml" ds:itemID="{C1051333-0A06-4038-AF89-BB4130DA11D4}">
  <ds:schemaRefs>
    <ds:schemaRef ds:uri="http://schemas.openxmlformats.org/officeDocument/2006/bibliography"/>
  </ds:schemaRefs>
</ds:datastoreItem>
</file>

<file path=customXml/itemProps27.xml><?xml version="1.0" encoding="utf-8"?>
<ds:datastoreItem xmlns:ds="http://schemas.openxmlformats.org/officeDocument/2006/customXml" ds:itemID="{26667C5F-D005-42F2-9DEA-D705A5412764}">
  <ds:schemaRefs>
    <ds:schemaRef ds:uri="http://schemas.openxmlformats.org/officeDocument/2006/bibliography"/>
  </ds:schemaRefs>
</ds:datastoreItem>
</file>

<file path=customXml/itemProps28.xml><?xml version="1.0" encoding="utf-8"?>
<ds:datastoreItem xmlns:ds="http://schemas.openxmlformats.org/officeDocument/2006/customXml" ds:itemID="{E2DD9FAB-A904-434B-9207-EC5875FCE132}">
  <ds:schemaRefs>
    <ds:schemaRef ds:uri="http://schemas.openxmlformats.org/officeDocument/2006/bibliography"/>
  </ds:schemaRefs>
</ds:datastoreItem>
</file>

<file path=customXml/itemProps29.xml><?xml version="1.0" encoding="utf-8"?>
<ds:datastoreItem xmlns:ds="http://schemas.openxmlformats.org/officeDocument/2006/customXml" ds:itemID="{DFFF323C-DDDD-4BE9-8E52-0DCCDAD0A5E4}">
  <ds:schemaRefs>
    <ds:schemaRef ds:uri="http://schemas.openxmlformats.org/officeDocument/2006/bibliography"/>
  </ds:schemaRefs>
</ds:datastoreItem>
</file>

<file path=customXml/itemProps3.xml><?xml version="1.0" encoding="utf-8"?>
<ds:datastoreItem xmlns:ds="http://schemas.openxmlformats.org/officeDocument/2006/customXml" ds:itemID="{5985153C-57B2-4DB4-8CB7-CE328E8FB695}">
  <ds:schemaRefs>
    <ds:schemaRef ds:uri="http://schemas.openxmlformats.org/officeDocument/2006/bibliography"/>
  </ds:schemaRefs>
</ds:datastoreItem>
</file>

<file path=customXml/itemProps30.xml><?xml version="1.0" encoding="utf-8"?>
<ds:datastoreItem xmlns:ds="http://schemas.openxmlformats.org/officeDocument/2006/customXml" ds:itemID="{035EFEB1-8642-43C6-BAB5-DD348DE0FF77}">
  <ds:schemaRefs>
    <ds:schemaRef ds:uri="http://schemas.openxmlformats.org/officeDocument/2006/bibliography"/>
  </ds:schemaRefs>
</ds:datastoreItem>
</file>

<file path=customXml/itemProps31.xml><?xml version="1.0" encoding="utf-8"?>
<ds:datastoreItem xmlns:ds="http://schemas.openxmlformats.org/officeDocument/2006/customXml" ds:itemID="{F4195BC0-EE7D-4296-8727-46DC156F51C1}">
  <ds:schemaRefs>
    <ds:schemaRef ds:uri="http://schemas.openxmlformats.org/officeDocument/2006/bibliography"/>
  </ds:schemaRefs>
</ds:datastoreItem>
</file>

<file path=customXml/itemProps32.xml><?xml version="1.0" encoding="utf-8"?>
<ds:datastoreItem xmlns:ds="http://schemas.openxmlformats.org/officeDocument/2006/customXml" ds:itemID="{0DFA8D02-A783-4EBF-B093-5C32D9C4B769}">
  <ds:schemaRefs>
    <ds:schemaRef ds:uri="http://schemas.openxmlformats.org/officeDocument/2006/bibliography"/>
  </ds:schemaRefs>
</ds:datastoreItem>
</file>

<file path=customXml/itemProps33.xml><?xml version="1.0" encoding="utf-8"?>
<ds:datastoreItem xmlns:ds="http://schemas.openxmlformats.org/officeDocument/2006/customXml" ds:itemID="{0C4625DD-4CBE-4A53-80C1-D72EDB90DEA6}">
  <ds:schemaRefs>
    <ds:schemaRef ds:uri="http://schemas.openxmlformats.org/officeDocument/2006/bibliography"/>
  </ds:schemaRefs>
</ds:datastoreItem>
</file>

<file path=customXml/itemProps34.xml><?xml version="1.0" encoding="utf-8"?>
<ds:datastoreItem xmlns:ds="http://schemas.openxmlformats.org/officeDocument/2006/customXml" ds:itemID="{6E9602AB-9D3C-43B6-B31B-5A5769DA083D}">
  <ds:schemaRefs>
    <ds:schemaRef ds:uri="http://schemas.openxmlformats.org/officeDocument/2006/bibliography"/>
  </ds:schemaRefs>
</ds:datastoreItem>
</file>

<file path=customXml/itemProps35.xml><?xml version="1.0" encoding="utf-8"?>
<ds:datastoreItem xmlns:ds="http://schemas.openxmlformats.org/officeDocument/2006/customXml" ds:itemID="{BB3DBFD2-5CDB-4281-9BED-62A6BF86554C}">
  <ds:schemaRefs>
    <ds:schemaRef ds:uri="http://schemas.openxmlformats.org/officeDocument/2006/bibliography"/>
  </ds:schemaRefs>
</ds:datastoreItem>
</file>

<file path=customXml/itemProps36.xml><?xml version="1.0" encoding="utf-8"?>
<ds:datastoreItem xmlns:ds="http://schemas.openxmlformats.org/officeDocument/2006/customXml" ds:itemID="{750E085A-5CCC-4A72-8E30-F4EBEEE3830F}">
  <ds:schemaRefs>
    <ds:schemaRef ds:uri="http://schemas.openxmlformats.org/officeDocument/2006/bibliography"/>
  </ds:schemaRefs>
</ds:datastoreItem>
</file>

<file path=customXml/itemProps37.xml><?xml version="1.0" encoding="utf-8"?>
<ds:datastoreItem xmlns:ds="http://schemas.openxmlformats.org/officeDocument/2006/customXml" ds:itemID="{E9DE69C2-78D0-40BF-8EC1-F9DF06F1FE10}">
  <ds:schemaRefs>
    <ds:schemaRef ds:uri="http://schemas.openxmlformats.org/officeDocument/2006/bibliography"/>
  </ds:schemaRefs>
</ds:datastoreItem>
</file>

<file path=customXml/itemProps38.xml><?xml version="1.0" encoding="utf-8"?>
<ds:datastoreItem xmlns:ds="http://schemas.openxmlformats.org/officeDocument/2006/customXml" ds:itemID="{3572320F-2FCF-4764-A7E3-D705CDCA3391}">
  <ds:schemaRefs>
    <ds:schemaRef ds:uri="http://schemas.openxmlformats.org/officeDocument/2006/bibliography"/>
  </ds:schemaRefs>
</ds:datastoreItem>
</file>

<file path=customXml/itemProps39.xml><?xml version="1.0" encoding="utf-8"?>
<ds:datastoreItem xmlns:ds="http://schemas.openxmlformats.org/officeDocument/2006/customXml" ds:itemID="{AA79A912-D7A3-44DE-B75B-B113E631747D}">
  <ds:schemaRefs>
    <ds:schemaRef ds:uri="http://schemas.openxmlformats.org/officeDocument/2006/bibliography"/>
  </ds:schemaRefs>
</ds:datastoreItem>
</file>

<file path=customXml/itemProps4.xml><?xml version="1.0" encoding="utf-8"?>
<ds:datastoreItem xmlns:ds="http://schemas.openxmlformats.org/officeDocument/2006/customXml" ds:itemID="{AA08EE93-6E8B-482E-9031-97695A8247CF}">
  <ds:schemaRefs>
    <ds:schemaRef ds:uri="http://schemas.openxmlformats.org/officeDocument/2006/bibliography"/>
  </ds:schemaRefs>
</ds:datastoreItem>
</file>

<file path=customXml/itemProps40.xml><?xml version="1.0" encoding="utf-8"?>
<ds:datastoreItem xmlns:ds="http://schemas.openxmlformats.org/officeDocument/2006/customXml" ds:itemID="{D774D4A5-9F68-482D-B22C-1C9505F3AF3D}">
  <ds:schemaRefs>
    <ds:schemaRef ds:uri="http://schemas.openxmlformats.org/officeDocument/2006/bibliography"/>
  </ds:schemaRefs>
</ds:datastoreItem>
</file>

<file path=customXml/itemProps41.xml><?xml version="1.0" encoding="utf-8"?>
<ds:datastoreItem xmlns:ds="http://schemas.openxmlformats.org/officeDocument/2006/customXml" ds:itemID="{273328C8-9CFE-46B1-A2BA-891A4FB8B329}">
  <ds:schemaRefs>
    <ds:schemaRef ds:uri="http://schemas.openxmlformats.org/officeDocument/2006/bibliography"/>
  </ds:schemaRefs>
</ds:datastoreItem>
</file>

<file path=customXml/itemProps42.xml><?xml version="1.0" encoding="utf-8"?>
<ds:datastoreItem xmlns:ds="http://schemas.openxmlformats.org/officeDocument/2006/customXml" ds:itemID="{16D5328A-7639-4A29-A690-21824C25B693}">
  <ds:schemaRefs>
    <ds:schemaRef ds:uri="http://schemas.openxmlformats.org/officeDocument/2006/bibliography"/>
  </ds:schemaRefs>
</ds:datastoreItem>
</file>

<file path=customXml/itemProps5.xml><?xml version="1.0" encoding="utf-8"?>
<ds:datastoreItem xmlns:ds="http://schemas.openxmlformats.org/officeDocument/2006/customXml" ds:itemID="{24E5ADFA-3B7A-47B7-BBCC-F984956B4BB9}">
  <ds:schemaRefs>
    <ds:schemaRef ds:uri="http://schemas.openxmlformats.org/officeDocument/2006/bibliography"/>
  </ds:schemaRefs>
</ds:datastoreItem>
</file>

<file path=customXml/itemProps6.xml><?xml version="1.0" encoding="utf-8"?>
<ds:datastoreItem xmlns:ds="http://schemas.openxmlformats.org/officeDocument/2006/customXml" ds:itemID="{74FCD809-A285-4751-81C5-357865900BF4}">
  <ds:schemaRefs>
    <ds:schemaRef ds:uri="http://schemas.openxmlformats.org/officeDocument/2006/bibliography"/>
  </ds:schemaRefs>
</ds:datastoreItem>
</file>

<file path=customXml/itemProps7.xml><?xml version="1.0" encoding="utf-8"?>
<ds:datastoreItem xmlns:ds="http://schemas.openxmlformats.org/officeDocument/2006/customXml" ds:itemID="{AE339EF8-27DD-4C5D-B08D-A050B92BB10D}">
  <ds:schemaRefs>
    <ds:schemaRef ds:uri="http://schemas.openxmlformats.org/officeDocument/2006/bibliography"/>
  </ds:schemaRefs>
</ds:datastoreItem>
</file>

<file path=customXml/itemProps8.xml><?xml version="1.0" encoding="utf-8"?>
<ds:datastoreItem xmlns:ds="http://schemas.openxmlformats.org/officeDocument/2006/customXml" ds:itemID="{23071138-5F86-46FE-A922-11537ECC7BFB}">
  <ds:schemaRefs>
    <ds:schemaRef ds:uri="http://schemas.openxmlformats.org/officeDocument/2006/bibliography"/>
  </ds:schemaRefs>
</ds:datastoreItem>
</file>

<file path=customXml/itemProps9.xml><?xml version="1.0" encoding="utf-8"?>
<ds:datastoreItem xmlns:ds="http://schemas.openxmlformats.org/officeDocument/2006/customXml" ds:itemID="{C7EC687C-BA58-429F-893D-A2CE96ED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89</Pages>
  <Words>156785</Words>
  <Characters>89368</Characters>
  <Application>Microsoft Office Word</Application>
  <DocSecurity>0</DocSecurity>
  <Lines>744</Lines>
  <Paragraphs>491</Paragraphs>
  <ScaleCrop>false</ScaleCrop>
  <HeadingPairs>
    <vt:vector size="2" baseType="variant">
      <vt:variant>
        <vt:lpstr>Title</vt:lpstr>
      </vt:variant>
      <vt:variant>
        <vt:i4>1</vt:i4>
      </vt:variant>
    </vt:vector>
  </HeadingPairs>
  <TitlesOfParts>
    <vt:vector size="1" baseType="lpstr">
      <vt:lpstr>Latvijas Konverģences programma 2013. - 2016.gadam</vt:lpstr>
    </vt:vector>
  </TitlesOfParts>
  <Company>Finanšu ministrija</Company>
  <LinksUpToDate>false</LinksUpToDate>
  <CharactersWithSpaces>245662</CharactersWithSpaces>
  <SharedDoc>false</SharedDoc>
  <HLinks>
    <vt:vector size="240" baseType="variant">
      <vt:variant>
        <vt:i4>2293767</vt:i4>
      </vt:variant>
      <vt:variant>
        <vt:i4>234</vt:i4>
      </vt:variant>
      <vt:variant>
        <vt:i4>0</vt:i4>
      </vt:variant>
      <vt:variant>
        <vt:i4>5</vt:i4>
      </vt:variant>
      <vt:variant>
        <vt:lpwstr>mailto:Anda.Apse@fm.gov.lv</vt:lpwstr>
      </vt:variant>
      <vt:variant>
        <vt:lpwstr/>
      </vt:variant>
      <vt:variant>
        <vt:i4>7143484</vt:i4>
      </vt:variant>
      <vt:variant>
        <vt:i4>231</vt:i4>
      </vt:variant>
      <vt:variant>
        <vt:i4>0</vt:i4>
      </vt:variant>
      <vt:variant>
        <vt:i4>5</vt:i4>
      </vt:variant>
      <vt:variant>
        <vt:lpwstr>http://www.klientuskola.lv/</vt:lpwstr>
      </vt:variant>
      <vt:variant>
        <vt:lpwstr/>
      </vt:variant>
      <vt:variant>
        <vt:i4>1245233</vt:i4>
      </vt:variant>
      <vt:variant>
        <vt:i4>224</vt:i4>
      </vt:variant>
      <vt:variant>
        <vt:i4>0</vt:i4>
      </vt:variant>
      <vt:variant>
        <vt:i4>5</vt:i4>
      </vt:variant>
      <vt:variant>
        <vt:lpwstr/>
      </vt:variant>
      <vt:variant>
        <vt:lpwstr>_Toc322789885</vt:lpwstr>
      </vt:variant>
      <vt:variant>
        <vt:i4>1245233</vt:i4>
      </vt:variant>
      <vt:variant>
        <vt:i4>218</vt:i4>
      </vt:variant>
      <vt:variant>
        <vt:i4>0</vt:i4>
      </vt:variant>
      <vt:variant>
        <vt:i4>5</vt:i4>
      </vt:variant>
      <vt:variant>
        <vt:lpwstr/>
      </vt:variant>
      <vt:variant>
        <vt:lpwstr>_Toc322789884</vt:lpwstr>
      </vt:variant>
      <vt:variant>
        <vt:i4>1245233</vt:i4>
      </vt:variant>
      <vt:variant>
        <vt:i4>212</vt:i4>
      </vt:variant>
      <vt:variant>
        <vt:i4>0</vt:i4>
      </vt:variant>
      <vt:variant>
        <vt:i4>5</vt:i4>
      </vt:variant>
      <vt:variant>
        <vt:lpwstr/>
      </vt:variant>
      <vt:variant>
        <vt:lpwstr>_Toc322789883</vt:lpwstr>
      </vt:variant>
      <vt:variant>
        <vt:i4>1245233</vt:i4>
      </vt:variant>
      <vt:variant>
        <vt:i4>206</vt:i4>
      </vt:variant>
      <vt:variant>
        <vt:i4>0</vt:i4>
      </vt:variant>
      <vt:variant>
        <vt:i4>5</vt:i4>
      </vt:variant>
      <vt:variant>
        <vt:lpwstr/>
      </vt:variant>
      <vt:variant>
        <vt:lpwstr>_Toc322789882</vt:lpwstr>
      </vt:variant>
      <vt:variant>
        <vt:i4>1245233</vt:i4>
      </vt:variant>
      <vt:variant>
        <vt:i4>200</vt:i4>
      </vt:variant>
      <vt:variant>
        <vt:i4>0</vt:i4>
      </vt:variant>
      <vt:variant>
        <vt:i4>5</vt:i4>
      </vt:variant>
      <vt:variant>
        <vt:lpwstr/>
      </vt:variant>
      <vt:variant>
        <vt:lpwstr>_Toc322789881</vt:lpwstr>
      </vt:variant>
      <vt:variant>
        <vt:i4>1245233</vt:i4>
      </vt:variant>
      <vt:variant>
        <vt:i4>194</vt:i4>
      </vt:variant>
      <vt:variant>
        <vt:i4>0</vt:i4>
      </vt:variant>
      <vt:variant>
        <vt:i4>5</vt:i4>
      </vt:variant>
      <vt:variant>
        <vt:lpwstr/>
      </vt:variant>
      <vt:variant>
        <vt:lpwstr>_Toc322789880</vt:lpwstr>
      </vt:variant>
      <vt:variant>
        <vt:i4>1835057</vt:i4>
      </vt:variant>
      <vt:variant>
        <vt:i4>188</vt:i4>
      </vt:variant>
      <vt:variant>
        <vt:i4>0</vt:i4>
      </vt:variant>
      <vt:variant>
        <vt:i4>5</vt:i4>
      </vt:variant>
      <vt:variant>
        <vt:lpwstr/>
      </vt:variant>
      <vt:variant>
        <vt:lpwstr>_Toc322789879</vt:lpwstr>
      </vt:variant>
      <vt:variant>
        <vt:i4>1835057</vt:i4>
      </vt:variant>
      <vt:variant>
        <vt:i4>182</vt:i4>
      </vt:variant>
      <vt:variant>
        <vt:i4>0</vt:i4>
      </vt:variant>
      <vt:variant>
        <vt:i4>5</vt:i4>
      </vt:variant>
      <vt:variant>
        <vt:lpwstr/>
      </vt:variant>
      <vt:variant>
        <vt:lpwstr>_Toc322789878</vt:lpwstr>
      </vt:variant>
      <vt:variant>
        <vt:i4>1835057</vt:i4>
      </vt:variant>
      <vt:variant>
        <vt:i4>176</vt:i4>
      </vt:variant>
      <vt:variant>
        <vt:i4>0</vt:i4>
      </vt:variant>
      <vt:variant>
        <vt:i4>5</vt:i4>
      </vt:variant>
      <vt:variant>
        <vt:lpwstr/>
      </vt:variant>
      <vt:variant>
        <vt:lpwstr>_Toc322789877</vt:lpwstr>
      </vt:variant>
      <vt:variant>
        <vt:i4>1835057</vt:i4>
      </vt:variant>
      <vt:variant>
        <vt:i4>170</vt:i4>
      </vt:variant>
      <vt:variant>
        <vt:i4>0</vt:i4>
      </vt:variant>
      <vt:variant>
        <vt:i4>5</vt:i4>
      </vt:variant>
      <vt:variant>
        <vt:lpwstr/>
      </vt:variant>
      <vt:variant>
        <vt:lpwstr>_Toc322789876</vt:lpwstr>
      </vt:variant>
      <vt:variant>
        <vt:i4>1835057</vt:i4>
      </vt:variant>
      <vt:variant>
        <vt:i4>164</vt:i4>
      </vt:variant>
      <vt:variant>
        <vt:i4>0</vt:i4>
      </vt:variant>
      <vt:variant>
        <vt:i4>5</vt:i4>
      </vt:variant>
      <vt:variant>
        <vt:lpwstr/>
      </vt:variant>
      <vt:variant>
        <vt:lpwstr>_Toc322789875</vt:lpwstr>
      </vt:variant>
      <vt:variant>
        <vt:i4>1835057</vt:i4>
      </vt:variant>
      <vt:variant>
        <vt:i4>158</vt:i4>
      </vt:variant>
      <vt:variant>
        <vt:i4>0</vt:i4>
      </vt:variant>
      <vt:variant>
        <vt:i4>5</vt:i4>
      </vt:variant>
      <vt:variant>
        <vt:lpwstr/>
      </vt:variant>
      <vt:variant>
        <vt:lpwstr>_Toc322789874</vt:lpwstr>
      </vt:variant>
      <vt:variant>
        <vt:i4>1835057</vt:i4>
      </vt:variant>
      <vt:variant>
        <vt:i4>152</vt:i4>
      </vt:variant>
      <vt:variant>
        <vt:i4>0</vt:i4>
      </vt:variant>
      <vt:variant>
        <vt:i4>5</vt:i4>
      </vt:variant>
      <vt:variant>
        <vt:lpwstr/>
      </vt:variant>
      <vt:variant>
        <vt:lpwstr>_Toc322789873</vt:lpwstr>
      </vt:variant>
      <vt:variant>
        <vt:i4>1835057</vt:i4>
      </vt:variant>
      <vt:variant>
        <vt:i4>146</vt:i4>
      </vt:variant>
      <vt:variant>
        <vt:i4>0</vt:i4>
      </vt:variant>
      <vt:variant>
        <vt:i4>5</vt:i4>
      </vt:variant>
      <vt:variant>
        <vt:lpwstr/>
      </vt:variant>
      <vt:variant>
        <vt:lpwstr>_Toc322789872</vt:lpwstr>
      </vt:variant>
      <vt:variant>
        <vt:i4>1835057</vt:i4>
      </vt:variant>
      <vt:variant>
        <vt:i4>140</vt:i4>
      </vt:variant>
      <vt:variant>
        <vt:i4>0</vt:i4>
      </vt:variant>
      <vt:variant>
        <vt:i4>5</vt:i4>
      </vt:variant>
      <vt:variant>
        <vt:lpwstr/>
      </vt:variant>
      <vt:variant>
        <vt:lpwstr>_Toc322789871</vt:lpwstr>
      </vt:variant>
      <vt:variant>
        <vt:i4>1835057</vt:i4>
      </vt:variant>
      <vt:variant>
        <vt:i4>134</vt:i4>
      </vt:variant>
      <vt:variant>
        <vt:i4>0</vt:i4>
      </vt:variant>
      <vt:variant>
        <vt:i4>5</vt:i4>
      </vt:variant>
      <vt:variant>
        <vt:lpwstr/>
      </vt:variant>
      <vt:variant>
        <vt:lpwstr>_Toc322789870</vt:lpwstr>
      </vt:variant>
      <vt:variant>
        <vt:i4>1900593</vt:i4>
      </vt:variant>
      <vt:variant>
        <vt:i4>128</vt:i4>
      </vt:variant>
      <vt:variant>
        <vt:i4>0</vt:i4>
      </vt:variant>
      <vt:variant>
        <vt:i4>5</vt:i4>
      </vt:variant>
      <vt:variant>
        <vt:lpwstr/>
      </vt:variant>
      <vt:variant>
        <vt:lpwstr>_Toc322789869</vt:lpwstr>
      </vt:variant>
      <vt:variant>
        <vt:i4>1900593</vt:i4>
      </vt:variant>
      <vt:variant>
        <vt:i4>122</vt:i4>
      </vt:variant>
      <vt:variant>
        <vt:i4>0</vt:i4>
      </vt:variant>
      <vt:variant>
        <vt:i4>5</vt:i4>
      </vt:variant>
      <vt:variant>
        <vt:lpwstr/>
      </vt:variant>
      <vt:variant>
        <vt:lpwstr>_Toc322789868</vt:lpwstr>
      </vt:variant>
      <vt:variant>
        <vt:i4>1900593</vt:i4>
      </vt:variant>
      <vt:variant>
        <vt:i4>116</vt:i4>
      </vt:variant>
      <vt:variant>
        <vt:i4>0</vt:i4>
      </vt:variant>
      <vt:variant>
        <vt:i4>5</vt:i4>
      </vt:variant>
      <vt:variant>
        <vt:lpwstr/>
      </vt:variant>
      <vt:variant>
        <vt:lpwstr>_Toc322789867</vt:lpwstr>
      </vt:variant>
      <vt:variant>
        <vt:i4>1900593</vt:i4>
      </vt:variant>
      <vt:variant>
        <vt:i4>110</vt:i4>
      </vt:variant>
      <vt:variant>
        <vt:i4>0</vt:i4>
      </vt:variant>
      <vt:variant>
        <vt:i4>5</vt:i4>
      </vt:variant>
      <vt:variant>
        <vt:lpwstr/>
      </vt:variant>
      <vt:variant>
        <vt:lpwstr>_Toc322789866</vt:lpwstr>
      </vt:variant>
      <vt:variant>
        <vt:i4>1900593</vt:i4>
      </vt:variant>
      <vt:variant>
        <vt:i4>104</vt:i4>
      </vt:variant>
      <vt:variant>
        <vt:i4>0</vt:i4>
      </vt:variant>
      <vt:variant>
        <vt:i4>5</vt:i4>
      </vt:variant>
      <vt:variant>
        <vt:lpwstr/>
      </vt:variant>
      <vt:variant>
        <vt:lpwstr>_Toc322789865</vt:lpwstr>
      </vt:variant>
      <vt:variant>
        <vt:i4>1900593</vt:i4>
      </vt:variant>
      <vt:variant>
        <vt:i4>98</vt:i4>
      </vt:variant>
      <vt:variant>
        <vt:i4>0</vt:i4>
      </vt:variant>
      <vt:variant>
        <vt:i4>5</vt:i4>
      </vt:variant>
      <vt:variant>
        <vt:lpwstr/>
      </vt:variant>
      <vt:variant>
        <vt:lpwstr>_Toc322789864</vt:lpwstr>
      </vt:variant>
      <vt:variant>
        <vt:i4>1900593</vt:i4>
      </vt:variant>
      <vt:variant>
        <vt:i4>92</vt:i4>
      </vt:variant>
      <vt:variant>
        <vt:i4>0</vt:i4>
      </vt:variant>
      <vt:variant>
        <vt:i4>5</vt:i4>
      </vt:variant>
      <vt:variant>
        <vt:lpwstr/>
      </vt:variant>
      <vt:variant>
        <vt:lpwstr>_Toc322789863</vt:lpwstr>
      </vt:variant>
      <vt:variant>
        <vt:i4>1900593</vt:i4>
      </vt:variant>
      <vt:variant>
        <vt:i4>86</vt:i4>
      </vt:variant>
      <vt:variant>
        <vt:i4>0</vt:i4>
      </vt:variant>
      <vt:variant>
        <vt:i4>5</vt:i4>
      </vt:variant>
      <vt:variant>
        <vt:lpwstr/>
      </vt:variant>
      <vt:variant>
        <vt:lpwstr>_Toc322789862</vt:lpwstr>
      </vt:variant>
      <vt:variant>
        <vt:i4>1900593</vt:i4>
      </vt:variant>
      <vt:variant>
        <vt:i4>80</vt:i4>
      </vt:variant>
      <vt:variant>
        <vt:i4>0</vt:i4>
      </vt:variant>
      <vt:variant>
        <vt:i4>5</vt:i4>
      </vt:variant>
      <vt:variant>
        <vt:lpwstr/>
      </vt:variant>
      <vt:variant>
        <vt:lpwstr>_Toc322789861</vt:lpwstr>
      </vt:variant>
      <vt:variant>
        <vt:i4>1900593</vt:i4>
      </vt:variant>
      <vt:variant>
        <vt:i4>74</vt:i4>
      </vt:variant>
      <vt:variant>
        <vt:i4>0</vt:i4>
      </vt:variant>
      <vt:variant>
        <vt:i4>5</vt:i4>
      </vt:variant>
      <vt:variant>
        <vt:lpwstr/>
      </vt:variant>
      <vt:variant>
        <vt:lpwstr>_Toc322789860</vt:lpwstr>
      </vt:variant>
      <vt:variant>
        <vt:i4>1966129</vt:i4>
      </vt:variant>
      <vt:variant>
        <vt:i4>68</vt:i4>
      </vt:variant>
      <vt:variant>
        <vt:i4>0</vt:i4>
      </vt:variant>
      <vt:variant>
        <vt:i4>5</vt:i4>
      </vt:variant>
      <vt:variant>
        <vt:lpwstr/>
      </vt:variant>
      <vt:variant>
        <vt:lpwstr>_Toc322789859</vt:lpwstr>
      </vt:variant>
      <vt:variant>
        <vt:i4>1966129</vt:i4>
      </vt:variant>
      <vt:variant>
        <vt:i4>62</vt:i4>
      </vt:variant>
      <vt:variant>
        <vt:i4>0</vt:i4>
      </vt:variant>
      <vt:variant>
        <vt:i4>5</vt:i4>
      </vt:variant>
      <vt:variant>
        <vt:lpwstr/>
      </vt:variant>
      <vt:variant>
        <vt:lpwstr>_Toc322789858</vt:lpwstr>
      </vt:variant>
      <vt:variant>
        <vt:i4>1966129</vt:i4>
      </vt:variant>
      <vt:variant>
        <vt:i4>56</vt:i4>
      </vt:variant>
      <vt:variant>
        <vt:i4>0</vt:i4>
      </vt:variant>
      <vt:variant>
        <vt:i4>5</vt:i4>
      </vt:variant>
      <vt:variant>
        <vt:lpwstr/>
      </vt:variant>
      <vt:variant>
        <vt:lpwstr>_Toc322789857</vt:lpwstr>
      </vt:variant>
      <vt:variant>
        <vt:i4>1966129</vt:i4>
      </vt:variant>
      <vt:variant>
        <vt:i4>50</vt:i4>
      </vt:variant>
      <vt:variant>
        <vt:i4>0</vt:i4>
      </vt:variant>
      <vt:variant>
        <vt:i4>5</vt:i4>
      </vt:variant>
      <vt:variant>
        <vt:lpwstr/>
      </vt:variant>
      <vt:variant>
        <vt:lpwstr>_Toc322789856</vt:lpwstr>
      </vt:variant>
      <vt:variant>
        <vt:i4>1966129</vt:i4>
      </vt:variant>
      <vt:variant>
        <vt:i4>44</vt:i4>
      </vt:variant>
      <vt:variant>
        <vt:i4>0</vt:i4>
      </vt:variant>
      <vt:variant>
        <vt:i4>5</vt:i4>
      </vt:variant>
      <vt:variant>
        <vt:lpwstr/>
      </vt:variant>
      <vt:variant>
        <vt:lpwstr>_Toc322789855</vt:lpwstr>
      </vt:variant>
      <vt:variant>
        <vt:i4>1966129</vt:i4>
      </vt:variant>
      <vt:variant>
        <vt:i4>38</vt:i4>
      </vt:variant>
      <vt:variant>
        <vt:i4>0</vt:i4>
      </vt:variant>
      <vt:variant>
        <vt:i4>5</vt:i4>
      </vt:variant>
      <vt:variant>
        <vt:lpwstr/>
      </vt:variant>
      <vt:variant>
        <vt:lpwstr>_Toc322789854</vt:lpwstr>
      </vt:variant>
      <vt:variant>
        <vt:i4>1966129</vt:i4>
      </vt:variant>
      <vt:variant>
        <vt:i4>32</vt:i4>
      </vt:variant>
      <vt:variant>
        <vt:i4>0</vt:i4>
      </vt:variant>
      <vt:variant>
        <vt:i4>5</vt:i4>
      </vt:variant>
      <vt:variant>
        <vt:lpwstr/>
      </vt:variant>
      <vt:variant>
        <vt:lpwstr>_Toc322789853</vt:lpwstr>
      </vt:variant>
      <vt:variant>
        <vt:i4>1966129</vt:i4>
      </vt:variant>
      <vt:variant>
        <vt:i4>26</vt:i4>
      </vt:variant>
      <vt:variant>
        <vt:i4>0</vt:i4>
      </vt:variant>
      <vt:variant>
        <vt:i4>5</vt:i4>
      </vt:variant>
      <vt:variant>
        <vt:lpwstr/>
      </vt:variant>
      <vt:variant>
        <vt:lpwstr>_Toc322789852</vt:lpwstr>
      </vt:variant>
      <vt:variant>
        <vt:i4>1966129</vt:i4>
      </vt:variant>
      <vt:variant>
        <vt:i4>20</vt:i4>
      </vt:variant>
      <vt:variant>
        <vt:i4>0</vt:i4>
      </vt:variant>
      <vt:variant>
        <vt:i4>5</vt:i4>
      </vt:variant>
      <vt:variant>
        <vt:lpwstr/>
      </vt:variant>
      <vt:variant>
        <vt:lpwstr>_Toc322789851</vt:lpwstr>
      </vt:variant>
      <vt:variant>
        <vt:i4>1966129</vt:i4>
      </vt:variant>
      <vt:variant>
        <vt:i4>14</vt:i4>
      </vt:variant>
      <vt:variant>
        <vt:i4>0</vt:i4>
      </vt:variant>
      <vt:variant>
        <vt:i4>5</vt:i4>
      </vt:variant>
      <vt:variant>
        <vt:lpwstr/>
      </vt:variant>
      <vt:variant>
        <vt:lpwstr>_Toc322789850</vt:lpwstr>
      </vt:variant>
      <vt:variant>
        <vt:i4>2031665</vt:i4>
      </vt:variant>
      <vt:variant>
        <vt:i4>8</vt:i4>
      </vt:variant>
      <vt:variant>
        <vt:i4>0</vt:i4>
      </vt:variant>
      <vt:variant>
        <vt:i4>5</vt:i4>
      </vt:variant>
      <vt:variant>
        <vt:lpwstr/>
      </vt:variant>
      <vt:variant>
        <vt:lpwstr>_Toc322789849</vt:lpwstr>
      </vt:variant>
      <vt:variant>
        <vt:i4>2031665</vt:i4>
      </vt:variant>
      <vt:variant>
        <vt:i4>2</vt:i4>
      </vt:variant>
      <vt:variant>
        <vt:i4>0</vt:i4>
      </vt:variant>
      <vt:variant>
        <vt:i4>5</vt:i4>
      </vt:variant>
      <vt:variant>
        <vt:lpwstr/>
      </vt:variant>
      <vt:variant>
        <vt:lpwstr>_Toc322789848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Konverģences programma2013.-2016. gadam</dc:title>
  <dc:subject>Programma</dc:subject>
  <dc:creator>Anda Apse</dc:creator>
  <dc:description>67083887, Anda.Apse@fm.gov.lv</dc:description>
  <cp:lastModifiedBy>Finanšu ministrija</cp:lastModifiedBy>
  <cp:revision>117</cp:revision>
  <cp:lastPrinted>2013-04-25T14:39:00Z</cp:lastPrinted>
  <dcterms:created xsi:type="dcterms:W3CDTF">2013-04-24T14:14:00Z</dcterms:created>
  <dcterms:modified xsi:type="dcterms:W3CDTF">2013-04-26T06:34:00Z</dcterms:modified>
</cp:coreProperties>
</file>