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7B" w:rsidRDefault="00F8787B" w:rsidP="005928AD">
      <w:pPr>
        <w:jc w:val="right"/>
        <w:rPr>
          <w:rFonts w:cs="Times New Roman"/>
          <w:sz w:val="24"/>
          <w:szCs w:val="24"/>
        </w:rPr>
      </w:pPr>
    </w:p>
    <w:p w:rsidR="005928AD" w:rsidRPr="00254C1B" w:rsidRDefault="005928AD" w:rsidP="005928AD">
      <w:pPr>
        <w:jc w:val="right"/>
        <w:rPr>
          <w:rFonts w:cs="Times New Roman"/>
          <w:sz w:val="24"/>
          <w:szCs w:val="24"/>
        </w:rPr>
      </w:pPr>
      <w:r w:rsidRPr="00254C1B">
        <w:rPr>
          <w:rFonts w:cs="Times New Roman"/>
          <w:sz w:val="24"/>
          <w:szCs w:val="24"/>
        </w:rPr>
        <w:t>1.pielikums</w:t>
      </w:r>
    </w:p>
    <w:p w:rsidR="005928AD" w:rsidRPr="00254C1B" w:rsidRDefault="005928AD" w:rsidP="005928AD">
      <w:pPr>
        <w:jc w:val="right"/>
        <w:rPr>
          <w:rFonts w:cs="Times New Roman"/>
          <w:sz w:val="24"/>
          <w:szCs w:val="24"/>
        </w:rPr>
      </w:pPr>
    </w:p>
    <w:p w:rsidR="00254C1B" w:rsidRDefault="005928AD" w:rsidP="005928AD">
      <w:pPr>
        <w:jc w:val="center"/>
        <w:rPr>
          <w:rFonts w:cs="Times New Roman"/>
          <w:b/>
          <w:sz w:val="24"/>
          <w:szCs w:val="24"/>
        </w:rPr>
      </w:pPr>
      <w:r w:rsidRPr="00254C1B">
        <w:rPr>
          <w:rFonts w:cs="Times New Roman"/>
          <w:b/>
          <w:sz w:val="24"/>
          <w:szCs w:val="24"/>
        </w:rPr>
        <w:t>Komentāri Informatīvā ziņojuma</w:t>
      </w:r>
      <w:r w:rsidRPr="00254C1B">
        <w:rPr>
          <w:rFonts w:cs="Times New Roman"/>
          <w:b/>
          <w:caps/>
          <w:sz w:val="24"/>
          <w:szCs w:val="24"/>
        </w:rPr>
        <w:t xml:space="preserve"> </w:t>
      </w:r>
      <w:r w:rsidRPr="00254C1B">
        <w:rPr>
          <w:rFonts w:cs="Times New Roman"/>
          <w:b/>
          <w:sz w:val="24"/>
          <w:szCs w:val="24"/>
        </w:rPr>
        <w:t xml:space="preserve">1.tabulai „IIN minimālās un maksimālās likmes, neapliekamais minimums, darba ņēmēja un darba devēja </w:t>
      </w:r>
    </w:p>
    <w:p w:rsidR="005928AD" w:rsidRPr="00254C1B" w:rsidRDefault="005D6FA5" w:rsidP="00254C1B">
      <w:pPr>
        <w:jc w:val="center"/>
        <w:rPr>
          <w:rFonts w:cs="Times New Roman"/>
          <w:b/>
          <w:sz w:val="24"/>
          <w:szCs w:val="24"/>
        </w:rPr>
      </w:pPr>
      <w:r>
        <w:rPr>
          <w:rFonts w:cs="Times New Roman"/>
          <w:b/>
          <w:sz w:val="24"/>
          <w:szCs w:val="24"/>
        </w:rPr>
        <w:t>VSAOI</w:t>
      </w:r>
      <w:r w:rsidR="005928AD" w:rsidRPr="00254C1B">
        <w:rPr>
          <w:rFonts w:cs="Times New Roman"/>
          <w:b/>
          <w:sz w:val="24"/>
          <w:szCs w:val="24"/>
        </w:rPr>
        <w:t xml:space="preserve"> likmes 2010.gadā ES dalībvalstīs” (skat.8.lpp.)</w:t>
      </w:r>
    </w:p>
    <w:p w:rsidR="005928AD" w:rsidRDefault="005928AD" w:rsidP="005928AD">
      <w:pPr>
        <w:jc w:val="center"/>
        <w:rPr>
          <w:rFonts w:cs="Times New Roman"/>
          <w:b/>
          <w:caps/>
          <w:sz w:val="24"/>
          <w:szCs w:val="24"/>
        </w:rPr>
      </w:pPr>
    </w:p>
    <w:p w:rsidR="00F8787B" w:rsidRPr="00254C1B" w:rsidRDefault="00F8787B" w:rsidP="005928AD">
      <w:pPr>
        <w:jc w:val="center"/>
        <w:rPr>
          <w:rFonts w:cs="Times New Roman"/>
          <w:b/>
          <w:caps/>
          <w:sz w:val="24"/>
          <w:szCs w:val="24"/>
        </w:rPr>
      </w:pPr>
    </w:p>
    <w:tbl>
      <w:tblPr>
        <w:tblW w:w="893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5"/>
        <w:gridCol w:w="6945"/>
      </w:tblGrid>
      <w:tr w:rsidR="00254C1B" w:rsidRPr="00145A2E" w:rsidTr="00145A2E">
        <w:trPr>
          <w:tblHeader/>
        </w:trPr>
        <w:tc>
          <w:tcPr>
            <w:tcW w:w="571" w:type="dxa"/>
            <w:tcBorders>
              <w:top w:val="single" w:sz="4" w:space="0" w:color="auto"/>
              <w:left w:val="single" w:sz="4" w:space="0" w:color="auto"/>
              <w:bottom w:val="single" w:sz="4" w:space="0" w:color="auto"/>
              <w:right w:val="single" w:sz="4" w:space="0" w:color="auto"/>
            </w:tcBorders>
            <w:vAlign w:val="center"/>
          </w:tcPr>
          <w:p w:rsidR="00254C1B" w:rsidRPr="00145A2E" w:rsidRDefault="00254C1B" w:rsidP="00254C1B">
            <w:pPr>
              <w:jc w:val="center"/>
              <w:rPr>
                <w:rFonts w:cs="Times New Roman"/>
                <w:sz w:val="20"/>
                <w:szCs w:val="20"/>
              </w:rPr>
            </w:pPr>
            <w:proofErr w:type="spellStart"/>
            <w:r w:rsidRPr="00145A2E">
              <w:rPr>
                <w:rFonts w:cs="Times New Roman"/>
                <w:sz w:val="20"/>
                <w:szCs w:val="20"/>
              </w:rPr>
              <w:t>Nr.p.k</w:t>
            </w:r>
            <w:proofErr w:type="spellEnd"/>
            <w:r w:rsidRPr="00145A2E">
              <w:rPr>
                <w:rFonts w:cs="Times New Roman"/>
                <w:sz w:val="20"/>
                <w:szCs w:val="20"/>
              </w:rPr>
              <w:t>.</w:t>
            </w:r>
          </w:p>
        </w:tc>
        <w:tc>
          <w:tcPr>
            <w:tcW w:w="1415" w:type="dxa"/>
            <w:tcBorders>
              <w:top w:val="single" w:sz="4" w:space="0" w:color="auto"/>
              <w:left w:val="single" w:sz="4" w:space="0" w:color="auto"/>
              <w:bottom w:val="single" w:sz="4" w:space="0" w:color="auto"/>
              <w:right w:val="single" w:sz="4" w:space="0" w:color="auto"/>
            </w:tcBorders>
            <w:vAlign w:val="center"/>
          </w:tcPr>
          <w:p w:rsidR="00254C1B" w:rsidRPr="00145A2E" w:rsidRDefault="00254C1B" w:rsidP="00254C1B">
            <w:pPr>
              <w:jc w:val="center"/>
              <w:rPr>
                <w:rFonts w:cs="Times New Roman"/>
                <w:sz w:val="20"/>
                <w:szCs w:val="20"/>
              </w:rPr>
            </w:pPr>
            <w:r w:rsidRPr="00145A2E">
              <w:rPr>
                <w:rFonts w:cs="Times New Roman"/>
                <w:sz w:val="20"/>
                <w:szCs w:val="20"/>
              </w:rPr>
              <w:t>Valsts</w:t>
            </w:r>
          </w:p>
        </w:tc>
        <w:tc>
          <w:tcPr>
            <w:tcW w:w="6945" w:type="dxa"/>
            <w:tcBorders>
              <w:top w:val="single" w:sz="4" w:space="0" w:color="auto"/>
              <w:left w:val="single" w:sz="4" w:space="0" w:color="auto"/>
              <w:bottom w:val="single" w:sz="4" w:space="0" w:color="auto"/>
              <w:right w:val="single" w:sz="4" w:space="0" w:color="auto"/>
            </w:tcBorders>
            <w:vAlign w:val="center"/>
          </w:tcPr>
          <w:p w:rsidR="00254C1B" w:rsidRPr="00145A2E" w:rsidRDefault="00254C1B" w:rsidP="00254C1B">
            <w:pPr>
              <w:jc w:val="center"/>
              <w:rPr>
                <w:rFonts w:cs="Times New Roman"/>
                <w:sz w:val="20"/>
                <w:szCs w:val="20"/>
              </w:rPr>
            </w:pPr>
            <w:r w:rsidRPr="00145A2E">
              <w:rPr>
                <w:rFonts w:cs="Times New Roman"/>
                <w:sz w:val="20"/>
                <w:szCs w:val="20"/>
              </w:rPr>
              <w:t>Komentāri</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1.</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Zviedrij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IIN likmes</w:t>
            </w:r>
            <w:r w:rsidRPr="00145A2E">
              <w:rPr>
                <w:rFonts w:cs="Times New Roman"/>
                <w:sz w:val="20"/>
                <w:szCs w:val="20"/>
              </w:rPr>
              <w:t xml:space="preserve">: 20-55% valsts, 29-34,75% (vidēji 31,52%) pašvaldību un 0,73-1,25% baznīcas nodoklis </w:t>
            </w:r>
          </w:p>
          <w:p w:rsidR="005928AD" w:rsidRPr="00145A2E" w:rsidRDefault="005928AD" w:rsidP="005928AD">
            <w:pPr>
              <w:jc w:val="both"/>
              <w:rPr>
                <w:rFonts w:cs="Times New Roman"/>
                <w:b/>
                <w:sz w:val="20"/>
                <w:szCs w:val="20"/>
              </w:rPr>
            </w:pPr>
            <w:r w:rsidRPr="00145A2E">
              <w:rPr>
                <w:rFonts w:cs="Times New Roman"/>
                <w:i/>
                <w:sz w:val="20"/>
                <w:szCs w:val="20"/>
              </w:rPr>
              <w:t>Neapliekamais minimums:</w:t>
            </w:r>
            <w:r w:rsidRPr="00145A2E">
              <w:rPr>
                <w:rFonts w:cs="Times New Roman"/>
                <w:sz w:val="20"/>
                <w:szCs w:val="20"/>
              </w:rPr>
              <w:t xml:space="preserve"> atkarībā no ienākuma līmeņa SEK 12’500-32’700 gadā.</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7% pensiju apdroš</w:t>
            </w:r>
            <w:r w:rsidR="00145A2E">
              <w:rPr>
                <w:rFonts w:cs="Times New Roman"/>
                <w:sz w:val="20"/>
                <w:szCs w:val="20"/>
              </w:rPr>
              <w:t>ināšana</w:t>
            </w:r>
            <w:r w:rsidRPr="00145A2E">
              <w:rPr>
                <w:rFonts w:cs="Times New Roman"/>
                <w:sz w:val="20"/>
                <w:szCs w:val="20"/>
              </w:rPr>
              <w:t xml:space="preserve"> maksimāli no ienākuma EUR</w:t>
            </w:r>
            <w:r w:rsidR="00145A2E">
              <w:rPr>
                <w:rFonts w:cs="Times New Roman"/>
                <w:sz w:val="20"/>
                <w:szCs w:val="20"/>
              </w:rPr>
              <w:t> </w:t>
            </w:r>
            <w:r w:rsidRPr="00145A2E">
              <w:rPr>
                <w:rFonts w:cs="Times New Roman"/>
                <w:sz w:val="20"/>
                <w:szCs w:val="20"/>
              </w:rPr>
              <w:t>42’589 (SEK 383’250) gadā.</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2.</w:t>
            </w:r>
          </w:p>
        </w:tc>
        <w:tc>
          <w:tcPr>
            <w:tcW w:w="1415" w:type="dxa"/>
            <w:tcBorders>
              <w:top w:val="single" w:sz="4" w:space="0" w:color="auto"/>
              <w:left w:val="single" w:sz="4" w:space="0" w:color="auto"/>
              <w:bottom w:val="nil"/>
              <w:right w:val="single" w:sz="4" w:space="0" w:color="auto"/>
            </w:tcBorders>
          </w:tcPr>
          <w:p w:rsidR="005928AD" w:rsidRPr="00145A2E" w:rsidRDefault="00254C1B" w:rsidP="00254C1B">
            <w:pPr>
              <w:jc w:val="both"/>
              <w:rPr>
                <w:rFonts w:cs="Times New Roman"/>
                <w:sz w:val="20"/>
                <w:szCs w:val="20"/>
              </w:rPr>
            </w:pPr>
            <w:r w:rsidRPr="00145A2E">
              <w:rPr>
                <w:rFonts w:cs="Times New Roman"/>
                <w:sz w:val="20"/>
                <w:szCs w:val="20"/>
              </w:rPr>
              <w:t>Nīderlande</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19,43%, tai skaitā 7,05% veselības apdrošināšana maksimāli no ienākuma EUR 33’189 gadā, 6,36% invaliditātes apdr</w:t>
            </w:r>
            <w:r w:rsidR="00145A2E">
              <w:rPr>
                <w:rFonts w:cs="Times New Roman"/>
                <w:sz w:val="20"/>
                <w:szCs w:val="20"/>
              </w:rPr>
              <w:t xml:space="preserve">ošināšana maksimāli no ienākuma </w:t>
            </w:r>
            <w:r w:rsidRPr="00145A2E">
              <w:rPr>
                <w:rFonts w:cs="Times New Roman"/>
                <w:sz w:val="20"/>
                <w:szCs w:val="20"/>
              </w:rPr>
              <w:t>EUR 48'715</w:t>
            </w:r>
            <w:r w:rsidR="00145A2E">
              <w:rPr>
                <w:rFonts w:cs="Times New Roman"/>
                <w:sz w:val="20"/>
                <w:szCs w:val="20"/>
              </w:rPr>
              <w:t xml:space="preserve"> </w:t>
            </w:r>
            <w:r w:rsidRPr="00145A2E">
              <w:rPr>
                <w:rFonts w:cs="Times New Roman"/>
                <w:sz w:val="20"/>
                <w:szCs w:val="20"/>
              </w:rPr>
              <w:t>gadā; 5,68% bezdarba un 0,34% bērnu kopšanas apdrošināšana maksimāli no ienākuma EUR 32'011 gadā,</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31,15% maksā kopā ar IIN no ienākuma EUR 18'218-32'738 gadā. Papildus 7,05% veselības apdrošināšana maksimāli no ienākuma EUR</w:t>
            </w:r>
            <w:r w:rsidR="00145A2E">
              <w:rPr>
                <w:rFonts w:cs="Times New Roman"/>
                <w:sz w:val="20"/>
                <w:szCs w:val="20"/>
              </w:rPr>
              <w:t> </w:t>
            </w:r>
            <w:r w:rsidRPr="00145A2E">
              <w:rPr>
                <w:rFonts w:cs="Times New Roman"/>
                <w:sz w:val="20"/>
                <w:szCs w:val="20"/>
              </w:rPr>
              <w:t>33'189 gadā.</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3.</w:t>
            </w:r>
          </w:p>
        </w:tc>
        <w:tc>
          <w:tcPr>
            <w:tcW w:w="1415" w:type="dxa"/>
            <w:tcBorders>
              <w:top w:val="single" w:sz="4" w:space="0" w:color="auto"/>
              <w:left w:val="single" w:sz="4" w:space="0" w:color="auto"/>
              <w:bottom w:val="nil"/>
              <w:right w:val="single" w:sz="4" w:space="0" w:color="auto"/>
            </w:tcBorders>
          </w:tcPr>
          <w:p w:rsidR="005928AD" w:rsidRPr="00145A2E" w:rsidRDefault="00254C1B" w:rsidP="005928AD">
            <w:pPr>
              <w:jc w:val="both"/>
              <w:rPr>
                <w:rFonts w:cs="Times New Roman"/>
                <w:sz w:val="20"/>
                <w:szCs w:val="20"/>
              </w:rPr>
            </w:pPr>
            <w:r w:rsidRPr="00145A2E">
              <w:rPr>
                <w:rFonts w:cs="Times New Roman"/>
                <w:sz w:val="20"/>
                <w:szCs w:val="20"/>
              </w:rPr>
              <w:t>Dānija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IIN likmes</w:t>
            </w:r>
            <w:r w:rsidRPr="00145A2E">
              <w:rPr>
                <w:rFonts w:cs="Times New Roman"/>
                <w:sz w:val="20"/>
                <w:szCs w:val="20"/>
              </w:rPr>
              <w:t xml:space="preserve">: 3,76-15% valsts, 22,8-27,8% (vidēji 24,9%) pašvaldību un 0,44-1,5% baznīcas nodoklis </w:t>
            </w:r>
          </w:p>
        </w:tc>
      </w:tr>
      <w:tr w:rsidR="005928AD" w:rsidRPr="00145A2E" w:rsidTr="00145A2E">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 xml:space="preserve">darba devējs nemaksā </w:t>
            </w:r>
            <w:r w:rsidR="005D6FA5">
              <w:rPr>
                <w:rFonts w:cs="Times New Roman"/>
                <w:sz w:val="20"/>
                <w:szCs w:val="20"/>
              </w:rPr>
              <w:t>VSAOI</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8% veselības apdrošināšana </w:t>
            </w:r>
            <w:r w:rsidR="00C04442">
              <w:rPr>
                <w:rFonts w:cs="Times New Roman"/>
                <w:sz w:val="20"/>
                <w:szCs w:val="20"/>
              </w:rPr>
              <w:t xml:space="preserve">(pašvaldību budžetā) </w:t>
            </w:r>
            <w:r w:rsidRPr="00145A2E">
              <w:rPr>
                <w:rFonts w:cs="Times New Roman"/>
                <w:sz w:val="20"/>
                <w:szCs w:val="20"/>
              </w:rPr>
              <w:t>un 8% sociālās apdrošināšanas maksājumi (papildus DKK 90 katru mēnesi)</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4.</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Somij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45A2E">
            <w:pPr>
              <w:ind w:right="175"/>
              <w:jc w:val="both"/>
              <w:rPr>
                <w:rFonts w:cs="Times New Roman"/>
                <w:sz w:val="20"/>
                <w:szCs w:val="20"/>
              </w:rPr>
            </w:pPr>
            <w:r w:rsidRPr="00145A2E">
              <w:rPr>
                <w:rFonts w:cs="Times New Roman"/>
                <w:i/>
                <w:sz w:val="20"/>
                <w:szCs w:val="20"/>
              </w:rPr>
              <w:t>IIN likmes</w:t>
            </w:r>
            <w:r w:rsidRPr="00145A2E">
              <w:rPr>
                <w:rFonts w:cs="Times New Roman"/>
                <w:sz w:val="20"/>
                <w:szCs w:val="20"/>
              </w:rPr>
              <w:t>: 8,5-30% valsts, 16,5-21% pašvaldību un 1-2% baznīcas nodoklis</w:t>
            </w:r>
          </w:p>
        </w:tc>
      </w:tr>
      <w:tr w:rsidR="005928AD" w:rsidRPr="00145A2E" w:rsidTr="00145A2E">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Neapliekamais minimums:</w:t>
            </w:r>
            <w:r w:rsidRPr="00145A2E">
              <w:rPr>
                <w:rFonts w:cs="Times New Roman"/>
                <w:sz w:val="20"/>
                <w:szCs w:val="20"/>
              </w:rPr>
              <w:t xml:space="preserve"> EUR 0-650 gadā valsts ienākuma nodoklim (5,2% no neto ienākuma, kas pārsniedz EUR 2'500 gadā, bet maksimāli  EUR 650 gadā). Ja neto ienākumi pārsniedz EUR 33’000 gadā, maksimālā neapliekamā ienākuma summa tiek samazināta par 1,2% no pārsnieguma summas. EUR 0-3'570 pašvaldību ienākuma nodoklim (51% no neto ienākuma no EUR 2’500 līdz EUR 7’230 gadā un 28% par neto ienākumu, kas pārsniedz EUR 7’230 gadā). Maksimālā neapliekamā minimuma summa ir EUR 3’570 gadā, ja ienākumi ir no EUR 11’365 līdz EUR 14’000 gadā. Neapliekamā minimuma summa pakāpeniski tiek samazināta par 4,5% no summas, kas pārsniedz EUR 14’000 gadā līdz pie ienākuma vairāk kā EUR 93’350 sasniedz 0.   </w:t>
            </w:r>
          </w:p>
        </w:tc>
      </w:tr>
      <w:tr w:rsidR="005928AD" w:rsidRPr="00145A2E" w:rsidTr="00145A2E">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VSAOI: </w:t>
            </w:r>
            <w:r w:rsidRPr="00145A2E">
              <w:rPr>
                <w:rFonts w:cs="Times New Roman"/>
                <w:sz w:val="20"/>
                <w:szCs w:val="20"/>
              </w:rPr>
              <w:t>2,23% veselības un 16,9% pensiju apdro</w:t>
            </w:r>
            <w:r w:rsidRPr="00145A2E">
              <w:rPr>
                <w:rFonts w:cs="Times New Roman"/>
                <w:sz w:val="20"/>
                <w:szCs w:val="20"/>
              </w:rPr>
              <w:softHyphen/>
            </w:r>
            <w:r w:rsidRPr="00145A2E">
              <w:rPr>
                <w:rFonts w:cs="Times New Roman"/>
                <w:sz w:val="20"/>
                <w:szCs w:val="20"/>
              </w:rPr>
              <w:softHyphen/>
              <w:t>šināšana bez ierobežojuma, 0,75% bezdarba apdrošināšana ienākumam līdz EUR 1'846'500 gadā un 2,95% par pārsnieguma summu, 1,07% darba negadījumu apdrošināšana.</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5.</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Lielbritānij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Neapliekamais minimums:</w:t>
            </w:r>
            <w:r w:rsidRPr="00145A2E">
              <w:rPr>
                <w:rFonts w:cs="Times New Roman"/>
                <w:sz w:val="20"/>
                <w:szCs w:val="20"/>
              </w:rPr>
              <w:t xml:space="preserve"> EUR 7’619 (GBP 6’475) gadā, ja ienākumi gadā nepārsniedz EUR 117’671 (GBP 100’000). Neapliekamais minimums tiek samazināts par GBP 1 par katriem GPB 2, kas pārsniedz GBP 100’000 gadā, kamēr tas sasniedz 0.   </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VSAOI: </w:t>
            </w:r>
            <w:r w:rsidRPr="00145A2E">
              <w:rPr>
                <w:rFonts w:cs="Times New Roman"/>
                <w:sz w:val="20"/>
                <w:szCs w:val="20"/>
              </w:rPr>
              <w:t>0% līdz EUR 6’731 gadā (GBP 110 nedēļā), 9,1% ienākumam EUR 6’731-51’644 gadā (GBP 110-844 nedēļā), 12,8% ienākumam virs EUR 51’644 gadā (GBP 844 nedēļā).</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0% līdz EUR 6’731 gadā (GBP 110 nedēļā), 9,1% ienākumam EUR 6’731-51’644 gadā (GBP 110-844 nedēļā), 12,8% ienākumam virs EUR 51’644 gadā (GBP 844 nedēļā).</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Default="005928AD"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0% līdz EUR 6’731 gadā (GBP 110 nedēļā); 11% ienākumam EUR 6’731-51’644 gadā (GBP 110-844 nedēļā). Ja darba ņēmējs ir apdrošināts privātā pensiju plānā - likme ir 9,4%.</w:t>
            </w:r>
          </w:p>
          <w:p w:rsidR="00F8787B" w:rsidRDefault="00F8787B" w:rsidP="005928AD">
            <w:pPr>
              <w:jc w:val="both"/>
              <w:rPr>
                <w:rFonts w:cs="Times New Roman"/>
                <w:sz w:val="20"/>
                <w:szCs w:val="20"/>
              </w:rPr>
            </w:pPr>
          </w:p>
          <w:p w:rsidR="00F8787B" w:rsidRDefault="00F8787B" w:rsidP="005928AD">
            <w:pPr>
              <w:jc w:val="both"/>
              <w:rPr>
                <w:rFonts w:cs="Times New Roman"/>
                <w:sz w:val="20"/>
                <w:szCs w:val="20"/>
              </w:rPr>
            </w:pPr>
          </w:p>
          <w:p w:rsidR="00F8787B" w:rsidRDefault="00F8787B" w:rsidP="005928AD">
            <w:pPr>
              <w:jc w:val="both"/>
              <w:rPr>
                <w:rFonts w:cs="Times New Roman"/>
                <w:sz w:val="20"/>
                <w:szCs w:val="20"/>
              </w:rPr>
            </w:pPr>
          </w:p>
          <w:p w:rsidR="00F8787B" w:rsidRPr="00145A2E" w:rsidRDefault="00F8787B" w:rsidP="005928AD">
            <w:pPr>
              <w:jc w:val="both"/>
              <w:rPr>
                <w:rFonts w:cs="Times New Roman"/>
                <w:i/>
                <w:sz w:val="20"/>
                <w:szCs w:val="20"/>
              </w:rPr>
            </w:pP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lastRenderedPageBreak/>
              <w:t>6.</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Beļģij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IIN likmes</w:t>
            </w:r>
            <w:r w:rsidRPr="00145A2E">
              <w:rPr>
                <w:rFonts w:cs="Times New Roman"/>
                <w:sz w:val="20"/>
                <w:szCs w:val="20"/>
              </w:rPr>
              <w:t>: 25-50% valsts un 0-0,95% pašvaldību nodoklis</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A4F4E" w:rsidRPr="00145A2E" w:rsidRDefault="005928AD" w:rsidP="005928AD">
            <w:pPr>
              <w:jc w:val="both"/>
              <w:rPr>
                <w:rFonts w:cs="Times New Roman"/>
                <w:sz w:val="20"/>
                <w:szCs w:val="20"/>
              </w:rPr>
            </w:pPr>
            <w:r w:rsidRPr="00145A2E">
              <w:rPr>
                <w:rFonts w:cs="Times New Roman"/>
                <w:i/>
                <w:sz w:val="20"/>
                <w:szCs w:val="20"/>
              </w:rPr>
              <w:t>Neapliekamais minimums:</w:t>
            </w:r>
            <w:r w:rsidRPr="00145A2E">
              <w:rPr>
                <w:rFonts w:cs="Times New Roman"/>
                <w:sz w:val="20"/>
                <w:szCs w:val="20"/>
              </w:rPr>
              <w:t xml:space="preserve"> EUR 6’690 gadā, ja ienākumi gadā mazāki par EUR 23’900; EUR 6’690 gadā, ja ienākumi gadā ir no EUR 23’900–24’160 mīnuss starpība starp apliek. ienākumu un EUR 23’900; EUR 6’430 gadā, ja ienākumi gadā pārsniedz EUR 24’160 </w:t>
            </w:r>
          </w:p>
        </w:tc>
      </w:tr>
      <w:tr w:rsidR="00145A2E" w:rsidRPr="00145A2E" w:rsidTr="00145A2E">
        <w:trPr>
          <w:trHeight w:val="213"/>
        </w:trPr>
        <w:tc>
          <w:tcPr>
            <w:tcW w:w="571" w:type="dxa"/>
            <w:tcBorders>
              <w:top w:val="nil"/>
              <w:left w:val="single" w:sz="4" w:space="0" w:color="auto"/>
              <w:bottom w:val="single" w:sz="4" w:space="0" w:color="auto"/>
              <w:right w:val="single" w:sz="4" w:space="0" w:color="auto"/>
            </w:tcBorders>
          </w:tcPr>
          <w:p w:rsidR="00145A2E" w:rsidRPr="00145A2E" w:rsidRDefault="00145A2E"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maksimāli EUR 731,28 mēnesī.</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7.</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Austrij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21,83%</w:t>
            </w:r>
            <w:r w:rsidRPr="00145A2E">
              <w:rPr>
                <w:rFonts w:cs="Times New Roman"/>
                <w:i/>
                <w:sz w:val="20"/>
                <w:szCs w:val="20"/>
              </w:rPr>
              <w:t xml:space="preserve"> „</w:t>
            </w:r>
            <w:r w:rsidRPr="00145A2E">
              <w:rPr>
                <w:rFonts w:cs="Times New Roman"/>
                <w:sz w:val="20"/>
                <w:szCs w:val="20"/>
              </w:rPr>
              <w:t>baltajām apkaklītēm”</w:t>
            </w:r>
            <w:r w:rsidRPr="00145A2E">
              <w:rPr>
                <w:rFonts w:cs="Times New Roman"/>
                <w:i/>
                <w:sz w:val="20"/>
                <w:szCs w:val="20"/>
              </w:rPr>
              <w:t xml:space="preserve"> (</w:t>
            </w:r>
            <w:proofErr w:type="spellStart"/>
            <w:r w:rsidRPr="00145A2E">
              <w:rPr>
                <w:rFonts w:cs="Times New Roman"/>
                <w:i/>
                <w:sz w:val="20"/>
                <w:szCs w:val="20"/>
              </w:rPr>
              <w:t>white</w:t>
            </w:r>
            <w:proofErr w:type="spellEnd"/>
            <w:r w:rsidRPr="00145A2E">
              <w:rPr>
                <w:rFonts w:cs="Times New Roman"/>
                <w:i/>
                <w:sz w:val="20"/>
                <w:szCs w:val="20"/>
              </w:rPr>
              <w:t xml:space="preserve"> collar),</w:t>
            </w:r>
            <w:r w:rsidRPr="00145A2E">
              <w:rPr>
                <w:rFonts w:cs="Times New Roman"/>
                <w:sz w:val="20"/>
                <w:szCs w:val="20"/>
              </w:rPr>
              <w:t>21,70% zilajām apkaklītēm (</w:t>
            </w:r>
            <w:proofErr w:type="spellStart"/>
            <w:r w:rsidRPr="00145A2E">
              <w:rPr>
                <w:rFonts w:cs="Times New Roman"/>
                <w:i/>
                <w:sz w:val="20"/>
                <w:szCs w:val="20"/>
              </w:rPr>
              <w:t>blue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Papildus 1,53% par darbiniekiem, ar kuriem līgums noslēgts pēc 01.01.2003, 2% par nakts darbu un smagiem darba apstākļiem, 0,7% par atsevišķiem strādniekiem.</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17,57%</w:t>
            </w:r>
            <w:r w:rsidRPr="00145A2E">
              <w:rPr>
                <w:rFonts w:cs="Times New Roman"/>
                <w:i/>
                <w:sz w:val="20"/>
                <w:szCs w:val="20"/>
              </w:rPr>
              <w:t xml:space="preserve"> „</w:t>
            </w:r>
            <w:r w:rsidRPr="00145A2E">
              <w:rPr>
                <w:rFonts w:cs="Times New Roman"/>
                <w:sz w:val="20"/>
                <w:szCs w:val="20"/>
              </w:rPr>
              <w:t>baltajām apkaklītēm”</w:t>
            </w:r>
            <w:r w:rsidRPr="00145A2E">
              <w:rPr>
                <w:rFonts w:cs="Times New Roman"/>
                <w:i/>
                <w:sz w:val="20"/>
                <w:szCs w:val="20"/>
              </w:rPr>
              <w:t xml:space="preserve"> (</w:t>
            </w:r>
            <w:proofErr w:type="spellStart"/>
            <w:r w:rsidRPr="00145A2E">
              <w:rPr>
                <w:rFonts w:cs="Times New Roman"/>
                <w:i/>
                <w:sz w:val="20"/>
                <w:szCs w:val="20"/>
              </w:rPr>
              <w:t>white</w:t>
            </w:r>
            <w:proofErr w:type="spellEnd"/>
            <w:r w:rsidRPr="00145A2E">
              <w:rPr>
                <w:rFonts w:cs="Times New Roman"/>
                <w:i/>
                <w:sz w:val="20"/>
                <w:szCs w:val="20"/>
              </w:rPr>
              <w:t xml:space="preserve"> collar),</w:t>
            </w:r>
            <w:r w:rsidRPr="00145A2E">
              <w:rPr>
                <w:rFonts w:cs="Times New Roman"/>
                <w:sz w:val="20"/>
                <w:szCs w:val="20"/>
              </w:rPr>
              <w:t>17,70% zilajām apkaklītēm (</w:t>
            </w:r>
            <w:proofErr w:type="spellStart"/>
            <w:r w:rsidRPr="00145A2E">
              <w:rPr>
                <w:rFonts w:cs="Times New Roman"/>
                <w:i/>
                <w:sz w:val="20"/>
                <w:szCs w:val="20"/>
              </w:rPr>
              <w:t>blue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Papildus 0,5% darbinieku kamerām un 0,7% par sliktiem laika apstākļiem. Maksimāli no ienākuma EUR 4’110 mēnesī (speciāls režīms 13. un 14.algai)</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8.</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Vācij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9,95% pensiju un 1,4% bezdarba apdrošināšana maksimāli no ienākuma EUR 5'500 mēnesī, 7% veselības un 0,975% invaliditātes apdrošināšana maksimāli no ienākuma EUR 3'750 mēnesī.</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9,95% pensiju un 1,4% bezdarba apdrošināšana maksimāli no ienākuma EUR 5'500 mēnesī, 7,9% veselības un 0,975% invaliditātes apdrošināšana (papildus 0,25% maksā bezbērnu darba ņēmējs) maksimāli no ienākuma EUR 3'750 mēnesī.</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9.</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Itālij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B2921">
            <w:pPr>
              <w:jc w:val="both"/>
              <w:rPr>
                <w:rFonts w:cs="Times New Roman"/>
                <w:i/>
                <w:sz w:val="20"/>
                <w:szCs w:val="20"/>
              </w:rPr>
            </w:pPr>
            <w:r w:rsidRPr="00145A2E">
              <w:rPr>
                <w:rFonts w:cs="Times New Roman"/>
                <w:i/>
                <w:sz w:val="20"/>
                <w:szCs w:val="20"/>
              </w:rPr>
              <w:t>IIN likmes</w:t>
            </w:r>
            <w:r w:rsidRPr="00145A2E">
              <w:rPr>
                <w:rFonts w:cs="Times New Roman"/>
                <w:sz w:val="20"/>
                <w:szCs w:val="20"/>
              </w:rPr>
              <w:t>: 23-43% valsts, 0,9-1,4% pašvaldību un 0-0,8% municipalitāšu nodoklis</w:t>
            </w:r>
          </w:p>
        </w:tc>
      </w:tr>
      <w:tr w:rsidR="005928AD" w:rsidRPr="00145A2E" w:rsidTr="00145A2E">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1B2921">
            <w:pPr>
              <w:jc w:val="both"/>
              <w:rPr>
                <w:rFonts w:cs="Times New Roman"/>
                <w:sz w:val="20"/>
                <w:szCs w:val="20"/>
              </w:rPr>
            </w:pPr>
            <w:r w:rsidRPr="00145A2E">
              <w:rPr>
                <w:rFonts w:cs="Times New Roman"/>
                <w:i/>
                <w:sz w:val="20"/>
                <w:szCs w:val="20"/>
              </w:rPr>
              <w:t xml:space="preserve">Neapliekamais minimums: </w:t>
            </w:r>
            <w:r w:rsidRPr="00145A2E">
              <w:rPr>
                <w:rFonts w:cs="Times New Roman"/>
                <w:sz w:val="20"/>
                <w:szCs w:val="20"/>
              </w:rPr>
              <w:t>maksimālā neapliekamā summa ir</w:t>
            </w:r>
            <w:r w:rsidRPr="00145A2E">
              <w:rPr>
                <w:rFonts w:cs="Times New Roman"/>
                <w:i/>
                <w:sz w:val="20"/>
                <w:szCs w:val="20"/>
              </w:rPr>
              <w:t xml:space="preserve"> </w:t>
            </w:r>
            <w:r w:rsidRPr="00145A2E">
              <w:rPr>
                <w:rFonts w:cs="Times New Roman"/>
                <w:sz w:val="20"/>
                <w:szCs w:val="20"/>
              </w:rPr>
              <w:t>EUR 1 840 gadā., EUR 1’104 gadā, ja ienākumi nepārsniedz EUR 4’800 gadā. Ja gada ienākumi ir no EUR 4’801-55’000 gadā, tad neapliekamais mi</w:t>
            </w:r>
            <w:r w:rsidR="00145A2E" w:rsidRPr="00145A2E">
              <w:rPr>
                <w:rFonts w:cs="Times New Roman"/>
                <w:sz w:val="20"/>
                <w:szCs w:val="20"/>
              </w:rPr>
              <w:softHyphen/>
            </w:r>
            <w:r w:rsidRPr="00145A2E">
              <w:rPr>
                <w:rFonts w:cs="Times New Roman"/>
                <w:sz w:val="20"/>
                <w:szCs w:val="20"/>
              </w:rPr>
              <w:t>nimums tiek aprēķināts pēc formulas:</w:t>
            </w:r>
            <w:r w:rsidR="001B2921">
              <w:rPr>
                <w:rFonts w:cs="Times New Roman"/>
                <w:sz w:val="20"/>
                <w:szCs w:val="20"/>
              </w:rPr>
              <w:t xml:space="preserve"> </w:t>
            </w:r>
            <w:r w:rsidRPr="00145A2E">
              <w:rPr>
                <w:rFonts w:cs="Times New Roman"/>
                <w:sz w:val="20"/>
                <w:szCs w:val="20"/>
              </w:rPr>
              <w:t>EUR 1’104 x [(55’000 – kopējais ienākums)/50’200]. EUR 0, ja ienākumi pārsniedz EUR 55’000 gadā.</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aptuveni no 40% līdz 45%</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5928AD">
            <w:pPr>
              <w:jc w:val="right"/>
              <w:rPr>
                <w:rFonts w:cs="Times New Roman"/>
                <w:sz w:val="20"/>
                <w:szCs w:val="20"/>
              </w:rPr>
            </w:pPr>
            <w:r w:rsidRPr="00145A2E">
              <w:rPr>
                <w:rFonts w:cs="Times New Roman"/>
                <w:sz w:val="20"/>
                <w:szCs w:val="20"/>
              </w:rPr>
              <w:t>10.</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Spānij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no ienākuma EUR 3 198 mēnesī</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23,6% vispārējais risks, 5,5% bezdarba apdrošināšana, 0,2% darba algas garantijas fondā, 0,6% profesionālās izglītības un apmācības fondā. Papildus 1-6,7% darba negadījumu apdrošināšana atkarībā no darba apstākļiem.</w:t>
            </w:r>
          </w:p>
        </w:tc>
      </w:tr>
      <w:tr w:rsidR="00254C1B" w:rsidRPr="00145A2E" w:rsidTr="00145A2E">
        <w:trPr>
          <w:trHeight w:val="213"/>
        </w:trPr>
        <w:tc>
          <w:tcPr>
            <w:tcW w:w="571" w:type="dxa"/>
            <w:tcBorders>
              <w:top w:val="single" w:sz="4" w:space="0" w:color="auto"/>
              <w:left w:val="single" w:sz="4" w:space="0" w:color="auto"/>
              <w:bottom w:val="single" w:sz="4" w:space="0" w:color="auto"/>
              <w:right w:val="single" w:sz="4" w:space="0" w:color="auto"/>
            </w:tcBorders>
          </w:tcPr>
          <w:p w:rsidR="00254C1B" w:rsidRPr="00145A2E" w:rsidRDefault="00254C1B" w:rsidP="00254C1B">
            <w:pPr>
              <w:jc w:val="right"/>
              <w:rPr>
                <w:rFonts w:cs="Times New Roman"/>
                <w:sz w:val="20"/>
                <w:szCs w:val="20"/>
              </w:rPr>
            </w:pPr>
            <w:r w:rsidRPr="00145A2E">
              <w:rPr>
                <w:rFonts w:cs="Times New Roman"/>
                <w:sz w:val="20"/>
                <w:szCs w:val="20"/>
              </w:rPr>
              <w:t>11.</w:t>
            </w:r>
          </w:p>
        </w:tc>
        <w:tc>
          <w:tcPr>
            <w:tcW w:w="1415" w:type="dxa"/>
            <w:tcBorders>
              <w:top w:val="single" w:sz="4" w:space="0" w:color="auto"/>
              <w:left w:val="single" w:sz="4" w:space="0" w:color="auto"/>
              <w:bottom w:val="single" w:sz="4" w:space="0" w:color="auto"/>
              <w:right w:val="single" w:sz="4" w:space="0" w:color="auto"/>
            </w:tcBorders>
          </w:tcPr>
          <w:p w:rsidR="00254C1B" w:rsidRPr="00145A2E" w:rsidRDefault="00254C1B" w:rsidP="005928AD">
            <w:pPr>
              <w:jc w:val="both"/>
              <w:rPr>
                <w:rFonts w:cs="Times New Roman"/>
                <w:sz w:val="20"/>
                <w:szCs w:val="20"/>
              </w:rPr>
            </w:pPr>
            <w:r w:rsidRPr="00145A2E">
              <w:rPr>
                <w:rFonts w:cs="Times New Roman"/>
                <w:sz w:val="20"/>
                <w:szCs w:val="20"/>
              </w:rPr>
              <w:t>Portugāle</w:t>
            </w:r>
          </w:p>
        </w:tc>
        <w:tc>
          <w:tcPr>
            <w:tcW w:w="6945" w:type="dxa"/>
            <w:tcBorders>
              <w:top w:val="single" w:sz="4" w:space="0" w:color="auto"/>
              <w:left w:val="single" w:sz="4" w:space="0" w:color="auto"/>
              <w:bottom w:val="single" w:sz="4" w:space="0" w:color="auto"/>
              <w:right w:val="single" w:sz="4" w:space="0" w:color="auto"/>
            </w:tcBorders>
          </w:tcPr>
          <w:p w:rsidR="00254C1B" w:rsidRPr="00145A2E" w:rsidRDefault="00254C1B" w:rsidP="00254C1B">
            <w:pPr>
              <w:jc w:val="both"/>
              <w:rPr>
                <w:rFonts w:cs="Times New Roman"/>
                <w:i/>
                <w:sz w:val="20"/>
                <w:szCs w:val="20"/>
              </w:rPr>
            </w:pPr>
            <w:r w:rsidRPr="00145A2E">
              <w:rPr>
                <w:rFonts w:cs="Times New Roman"/>
                <w:sz w:val="20"/>
                <w:szCs w:val="20"/>
              </w:rPr>
              <w:t>–</w:t>
            </w:r>
          </w:p>
        </w:tc>
      </w:tr>
      <w:tr w:rsidR="005928AD" w:rsidRPr="00145A2E" w:rsidTr="00145A2E">
        <w:trPr>
          <w:trHeight w:val="213"/>
        </w:trPr>
        <w:tc>
          <w:tcPr>
            <w:tcW w:w="571" w:type="dxa"/>
            <w:tcBorders>
              <w:top w:val="single" w:sz="4" w:space="0" w:color="auto"/>
              <w:left w:val="single" w:sz="4" w:space="0" w:color="auto"/>
              <w:bottom w:val="single" w:sz="4" w:space="0" w:color="auto"/>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2</w:t>
            </w:r>
            <w:r w:rsidRPr="00145A2E">
              <w:rPr>
                <w:rFonts w:cs="Times New Roman"/>
                <w:sz w:val="20"/>
                <w:szCs w:val="20"/>
              </w:rPr>
              <w:t>.</w:t>
            </w:r>
          </w:p>
        </w:tc>
        <w:tc>
          <w:tcPr>
            <w:tcW w:w="1415" w:type="dxa"/>
            <w:tcBorders>
              <w:top w:val="single" w:sz="4" w:space="0" w:color="auto"/>
              <w:left w:val="single" w:sz="4" w:space="0" w:color="auto"/>
              <w:bottom w:val="single" w:sz="4" w:space="0" w:color="auto"/>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Slovēnij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Neapliekamais minimums: </w:t>
            </w:r>
            <w:r w:rsidRPr="00145A2E">
              <w:rPr>
                <w:rFonts w:cs="Times New Roman"/>
                <w:sz w:val="20"/>
                <w:szCs w:val="20"/>
              </w:rPr>
              <w:t xml:space="preserve">EUR 6’120 gadā, ja ienākumi gadā EUR 10’200; EUR 4’148 gadā, ja ienākumi gadā no EUR 10’200–11’800; EUR 3’100 gadā, ja ienākumi gadā pārsniedz EUR 11’800   </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3</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Īrij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IIN likmes</w:t>
            </w:r>
            <w:r w:rsidRPr="00145A2E">
              <w:rPr>
                <w:rFonts w:cs="Times New Roman"/>
                <w:sz w:val="20"/>
                <w:szCs w:val="20"/>
              </w:rPr>
              <w:t>: papildus ienākuma nodoklis, ja ienākumi līdz EUR 75’036 gadā – 2%, ienā</w:t>
            </w:r>
            <w:r w:rsidR="001B2921">
              <w:rPr>
                <w:rFonts w:cs="Times New Roman"/>
                <w:sz w:val="20"/>
                <w:szCs w:val="20"/>
              </w:rPr>
              <w:softHyphen/>
            </w:r>
            <w:r w:rsidRPr="00145A2E">
              <w:rPr>
                <w:rFonts w:cs="Times New Roman"/>
                <w:sz w:val="20"/>
                <w:szCs w:val="20"/>
              </w:rPr>
              <w:t>kumam EUR 75’037-174’980 gadā – 4% un ienākumam virs EUR 174’980 gadā – 6%.</w:t>
            </w:r>
          </w:p>
        </w:tc>
      </w:tr>
      <w:tr w:rsidR="005928AD" w:rsidRPr="00145A2E" w:rsidTr="001B2921">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IIN apliekamais ienākums: </w:t>
            </w:r>
            <w:r w:rsidRPr="00145A2E">
              <w:rPr>
                <w:rFonts w:cs="Times New Roman"/>
                <w:sz w:val="20"/>
                <w:szCs w:val="20"/>
              </w:rPr>
              <w:t>neprecētiem un atraitņiem, neprecētiem un atraitņiem ar tiesībām uz viena vecāka nodokļa kredītu un precētiem atšķiras</w:t>
            </w:r>
          </w:p>
        </w:tc>
      </w:tr>
      <w:tr w:rsidR="005928AD" w:rsidRPr="00145A2E" w:rsidTr="001B2921">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 xml:space="preserve"> EUR 1'830 vientuļiem, neprecētiem; EUR 3'666 precētiem, EUR 2'430 atraitņiem. Papildus pirmos EUR 5’210 ar nodokli neapliek.</w:t>
            </w:r>
          </w:p>
        </w:tc>
      </w:tr>
      <w:tr w:rsidR="005928AD" w:rsidRPr="00145A2E" w:rsidTr="001B2921">
        <w:trPr>
          <w:trHeight w:val="213"/>
        </w:trPr>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8,5%, ja ienākumi nepārsniedz EUR 356 nedēļā</w:t>
            </w:r>
          </w:p>
        </w:tc>
      </w:tr>
      <w:tr w:rsidR="005928AD" w:rsidRPr="00145A2E" w:rsidTr="00F8787B">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Default="005928AD" w:rsidP="001B2921">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4% veselības apdrošināšana (ja darba ņēmēja ienākumi ir ma</w:t>
            </w:r>
            <w:r w:rsidR="001B2921">
              <w:rPr>
                <w:rFonts w:cs="Times New Roman"/>
                <w:sz w:val="20"/>
                <w:szCs w:val="20"/>
              </w:rPr>
              <w:softHyphen/>
            </w:r>
            <w:r w:rsidRPr="00145A2E">
              <w:rPr>
                <w:rFonts w:cs="Times New Roman"/>
                <w:sz w:val="20"/>
                <w:szCs w:val="20"/>
              </w:rPr>
              <w:t>zāki vai vienādi ar EUR 500 nedēļā, šo maksājumu nemaksā) no ienākuma līdz EUR 75’036 gadā; 4% sociālā apdrošināšanas maksājumi (ja darba ņēmēja ienākumi ir mazāki vai vienādi ar EUR 352 ne</w:t>
            </w:r>
            <w:r w:rsidR="001B2921">
              <w:rPr>
                <w:rFonts w:cs="Times New Roman"/>
                <w:sz w:val="20"/>
                <w:szCs w:val="20"/>
              </w:rPr>
              <w:softHyphen/>
            </w:r>
            <w:r w:rsidRPr="00145A2E">
              <w:rPr>
                <w:rFonts w:cs="Times New Roman"/>
                <w:sz w:val="20"/>
                <w:szCs w:val="20"/>
              </w:rPr>
              <w:t>dē</w:t>
            </w:r>
            <w:r w:rsidR="001B2921">
              <w:rPr>
                <w:rFonts w:cs="Times New Roman"/>
                <w:sz w:val="20"/>
                <w:szCs w:val="20"/>
              </w:rPr>
              <w:softHyphen/>
            </w:r>
            <w:r w:rsidRPr="00145A2E">
              <w:rPr>
                <w:rFonts w:cs="Times New Roman"/>
                <w:sz w:val="20"/>
                <w:szCs w:val="20"/>
              </w:rPr>
              <w:t>ļā, šo maksājumu nemaksā) ienākumam līdz EUR 75’036 gadā, izņemot EUR 127 ne</w:t>
            </w:r>
            <w:r w:rsidR="001B2921">
              <w:rPr>
                <w:rFonts w:cs="Times New Roman"/>
                <w:sz w:val="20"/>
                <w:szCs w:val="20"/>
              </w:rPr>
              <w:softHyphen/>
            </w:r>
            <w:r w:rsidRPr="00145A2E">
              <w:rPr>
                <w:rFonts w:cs="Times New Roman"/>
                <w:sz w:val="20"/>
                <w:szCs w:val="20"/>
              </w:rPr>
              <w:t>dēļā neapliekamā summa; 5% veselības apdrošināšana ienākumam virs EUR 75’036 gadā.  Šie maksājumi nav atskaitāmi, aprēķinot ar nodokli apliekamo ienāk</w:t>
            </w:r>
            <w:r w:rsidR="001B2921">
              <w:rPr>
                <w:rFonts w:cs="Times New Roman"/>
                <w:sz w:val="20"/>
                <w:szCs w:val="20"/>
              </w:rPr>
              <w:t>umu</w:t>
            </w:r>
            <w:r w:rsidRPr="00145A2E">
              <w:rPr>
                <w:rFonts w:cs="Times New Roman"/>
                <w:sz w:val="20"/>
                <w:szCs w:val="20"/>
              </w:rPr>
              <w:t>.</w:t>
            </w:r>
          </w:p>
          <w:p w:rsidR="00F8787B" w:rsidRDefault="00F8787B" w:rsidP="001B2921">
            <w:pPr>
              <w:jc w:val="both"/>
              <w:rPr>
                <w:rFonts w:cs="Times New Roman"/>
                <w:sz w:val="20"/>
                <w:szCs w:val="20"/>
              </w:rPr>
            </w:pPr>
          </w:p>
          <w:p w:rsidR="00F8787B" w:rsidRDefault="00F8787B" w:rsidP="001B2921">
            <w:pPr>
              <w:jc w:val="both"/>
              <w:rPr>
                <w:rFonts w:cs="Times New Roman"/>
                <w:sz w:val="20"/>
                <w:szCs w:val="20"/>
              </w:rPr>
            </w:pPr>
          </w:p>
          <w:p w:rsidR="00F8787B" w:rsidRDefault="00F8787B" w:rsidP="001B2921">
            <w:pPr>
              <w:jc w:val="both"/>
              <w:rPr>
                <w:rFonts w:cs="Times New Roman"/>
                <w:sz w:val="20"/>
                <w:szCs w:val="20"/>
              </w:rPr>
            </w:pPr>
          </w:p>
          <w:p w:rsidR="00F8787B" w:rsidRDefault="00F8787B" w:rsidP="001B2921">
            <w:pPr>
              <w:jc w:val="both"/>
              <w:rPr>
                <w:rFonts w:cs="Times New Roman"/>
                <w:sz w:val="20"/>
                <w:szCs w:val="20"/>
              </w:rPr>
            </w:pPr>
          </w:p>
          <w:p w:rsidR="00F8787B" w:rsidRPr="00145A2E" w:rsidRDefault="00F8787B" w:rsidP="001B2921">
            <w:pPr>
              <w:jc w:val="both"/>
              <w:rPr>
                <w:rFonts w:cs="Times New Roman"/>
                <w:i/>
                <w:sz w:val="20"/>
                <w:szCs w:val="20"/>
              </w:rPr>
            </w:pPr>
          </w:p>
        </w:tc>
      </w:tr>
      <w:tr w:rsidR="005928AD" w:rsidRPr="00145A2E" w:rsidTr="00F8787B">
        <w:trPr>
          <w:trHeight w:val="213"/>
        </w:trPr>
        <w:tc>
          <w:tcPr>
            <w:tcW w:w="571" w:type="dxa"/>
            <w:tcBorders>
              <w:top w:val="single" w:sz="4" w:space="0" w:color="auto"/>
              <w:left w:val="single" w:sz="4" w:space="0" w:color="auto"/>
              <w:bottom w:val="nil"/>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lastRenderedPageBreak/>
              <w:t>1</w:t>
            </w:r>
            <w:r w:rsidR="00254C1B" w:rsidRPr="00145A2E">
              <w:rPr>
                <w:rFonts w:cs="Times New Roman"/>
                <w:sz w:val="20"/>
                <w:szCs w:val="20"/>
              </w:rPr>
              <w:t>4</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Francij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13,1% veselības, 1,6% vecumu pensiju, 5,4% ģimenes pabalstu, 0,4% mājokļu pa</w:t>
            </w:r>
            <w:r w:rsidRPr="00145A2E">
              <w:rPr>
                <w:rFonts w:cs="Times New Roman"/>
                <w:sz w:val="20"/>
                <w:szCs w:val="20"/>
              </w:rPr>
              <w:softHyphen/>
              <w:t>līdzības (ja vairāk par 20 darbiniekiem) un 0,3% vecuma solidaritātes apdrošināšana bez iero</w:t>
            </w:r>
            <w:r w:rsidRPr="00145A2E">
              <w:rPr>
                <w:rFonts w:cs="Times New Roman"/>
                <w:sz w:val="20"/>
                <w:szCs w:val="20"/>
              </w:rPr>
              <w:softHyphen/>
              <w:t>be</w:t>
            </w:r>
            <w:r w:rsidRPr="00145A2E">
              <w:rPr>
                <w:rFonts w:cs="Times New Roman"/>
                <w:sz w:val="20"/>
                <w:szCs w:val="20"/>
              </w:rPr>
              <w:softHyphen/>
              <w:t>žo</w:t>
            </w:r>
            <w:r w:rsidRPr="00145A2E">
              <w:rPr>
                <w:rFonts w:cs="Times New Roman"/>
                <w:sz w:val="20"/>
                <w:szCs w:val="20"/>
              </w:rPr>
              <w:softHyphen/>
              <w:t>juma, 0,1% mājokļu palīdzības (visiem darbiniekiem) apdrošināšana algai līdz EUR 2’885 mēnesī; +8,3% (pie 1,3%) vecumu pensiju apdrošināšana maksimāli algai līdz EUR 2'885 mēnesī; 4% bezdarba apdrošināšana algai līdz EUR 11’540 mēnesī; 16,5% papildus pensiju apdrošināšana (vadītājiem – 4,5% algai līdz EUR 2’885 mēnesī, 12,6% - ja alga no EUR 2’885 līdz EUR 8'655 mēnesī, mainīga likme - ja alga virs EUR 23'080 mēnesī; ne-vadītājiem – 4,5% algai līdz EUR 2’885 mēnesī, 12% algai no EUR 2’885 līdz 8’655 mēnesī). Papildus uzņēmumi, kuru apgrozījums pārsniedz EUR 760'000 gadā, maksā 0,13% (no apgrozījuma) sociālās solidaritātes nodokli.</w:t>
            </w:r>
          </w:p>
        </w:tc>
      </w:tr>
      <w:tr w:rsidR="005928AD" w:rsidRPr="00145A2E" w:rsidTr="00F8787B">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0,75% veselības un 0,1% atraitnības apdrošināšana bez ierobežojuma, 6,65% vecuma pensiju apdrošināšana algai līdz EUR 2’885 mēnesī; 2,4% bezdarba apdrošināšana algai līdz EUR 11’540 mēnesī; 10% papildus pensiju apdrošināšana (vadītājiem – 3% algai līdz EUR 2’885 mēnesī, +7,7% algai no EUR 2’885 līdz 23’080 mēnesī, +0,13% algai virs EUR 23’080 mēnesī; ne-vadītājiem 3% algai līdz EUR 2’885 mēnesī, +8% algai no EUR 2’885 līdz 8’655 mēnesī)</w:t>
            </w:r>
            <w:r w:rsidRPr="00145A2E">
              <w:rPr>
                <w:rFonts w:cs="Times New Roman"/>
                <w:i/>
                <w:sz w:val="20"/>
                <w:szCs w:val="20"/>
              </w:rPr>
              <w:t xml:space="preserve"> </w:t>
            </w:r>
            <w:r w:rsidRPr="00145A2E">
              <w:rPr>
                <w:rFonts w:cs="Times New Roman"/>
                <w:sz w:val="20"/>
                <w:szCs w:val="20"/>
              </w:rPr>
              <w:t>Papildus darba ņēmēji maksā 0,55-1,80% lielu veselības nodokli, ja aktīvu tirgus vērtība mīnuss saistības pārsniedz EUR 790'000 gadā.</w:t>
            </w:r>
          </w:p>
        </w:tc>
      </w:tr>
      <w:tr w:rsidR="005928AD" w:rsidRPr="00145A2E" w:rsidTr="00145A2E">
        <w:trPr>
          <w:trHeight w:val="213"/>
        </w:trPr>
        <w:tc>
          <w:tcPr>
            <w:tcW w:w="571" w:type="dxa"/>
            <w:tcBorders>
              <w:top w:val="single" w:sz="4" w:space="0" w:color="auto"/>
              <w:left w:val="single" w:sz="4" w:space="0" w:color="auto"/>
              <w:bottom w:val="nil"/>
              <w:right w:val="single" w:sz="4" w:space="0" w:color="auto"/>
            </w:tcBorders>
          </w:tcPr>
          <w:p w:rsidR="005928AD" w:rsidRPr="00145A2E" w:rsidRDefault="00254C1B" w:rsidP="005928AD">
            <w:pPr>
              <w:jc w:val="right"/>
              <w:rPr>
                <w:rFonts w:cs="Times New Roman"/>
                <w:sz w:val="20"/>
                <w:szCs w:val="20"/>
              </w:rPr>
            </w:pPr>
            <w:r w:rsidRPr="00145A2E">
              <w:rPr>
                <w:rFonts w:cs="Times New Roman"/>
                <w:sz w:val="20"/>
                <w:szCs w:val="20"/>
              </w:rPr>
              <w:t>15</w:t>
            </w:r>
            <w:r w:rsidR="005928AD"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Grieķij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 xml:space="preserve">maksimāli no EUR 2'432,55, ja darba ņēmējs reģistrējies sociālās apdrošināšanas fondā pirms 01.01.1993., EUR 5'543,55 pārējiem darbiniekiem. </w:t>
            </w:r>
          </w:p>
        </w:tc>
      </w:tr>
      <w:tr w:rsidR="005928AD" w:rsidRPr="00145A2E" w:rsidTr="00145A2E">
        <w:trPr>
          <w:trHeight w:val="213"/>
        </w:trPr>
        <w:tc>
          <w:tcPr>
            <w:tcW w:w="571" w:type="dxa"/>
            <w:tcBorders>
              <w:top w:val="nil"/>
              <w:left w:val="single" w:sz="4" w:space="0" w:color="auto"/>
              <w:bottom w:val="single" w:sz="4" w:space="0" w:color="auto"/>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16% „baltajām apkaklītēm” (</w:t>
            </w:r>
            <w:proofErr w:type="spellStart"/>
            <w:r w:rsidRPr="00145A2E">
              <w:rPr>
                <w:rFonts w:cs="Times New Roman"/>
                <w:i/>
                <w:sz w:val="20"/>
                <w:szCs w:val="20"/>
              </w:rPr>
              <w:t>white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19,45% rūp</w:t>
            </w:r>
            <w:r w:rsidR="001B2921">
              <w:rPr>
                <w:rFonts w:cs="Times New Roman"/>
                <w:sz w:val="20"/>
                <w:szCs w:val="20"/>
              </w:rPr>
              <w:softHyphen/>
            </w:r>
            <w:r w:rsidRPr="00145A2E">
              <w:rPr>
                <w:rFonts w:cs="Times New Roman"/>
                <w:sz w:val="20"/>
                <w:szCs w:val="20"/>
              </w:rPr>
              <w:t>nie</w:t>
            </w:r>
            <w:r w:rsidR="001B2921">
              <w:rPr>
                <w:rFonts w:cs="Times New Roman"/>
                <w:sz w:val="20"/>
                <w:szCs w:val="20"/>
              </w:rPr>
              <w:softHyphen/>
            </w:r>
            <w:r w:rsidRPr="00145A2E">
              <w:rPr>
                <w:rFonts w:cs="Times New Roman"/>
                <w:sz w:val="20"/>
                <w:szCs w:val="20"/>
              </w:rPr>
              <w:t>cī</w:t>
            </w:r>
            <w:r w:rsidR="001B2921">
              <w:rPr>
                <w:rFonts w:cs="Times New Roman"/>
                <w:sz w:val="20"/>
                <w:szCs w:val="20"/>
              </w:rPr>
              <w:softHyphen/>
            </w:r>
            <w:r w:rsidRPr="00145A2E">
              <w:rPr>
                <w:rFonts w:cs="Times New Roman"/>
                <w:sz w:val="20"/>
                <w:szCs w:val="20"/>
              </w:rPr>
              <w:t>bas sektora „zilajām apkaklītēm” (</w:t>
            </w:r>
            <w:proofErr w:type="spellStart"/>
            <w:r w:rsidRPr="00145A2E">
              <w:rPr>
                <w:rFonts w:cs="Times New Roman"/>
                <w:i/>
                <w:sz w:val="20"/>
                <w:szCs w:val="20"/>
              </w:rPr>
              <w:t>blue</w:t>
            </w:r>
            <w:proofErr w:type="spellEnd"/>
            <w:r w:rsidRPr="00145A2E">
              <w:rPr>
                <w:rFonts w:cs="Times New Roman"/>
                <w:i/>
                <w:sz w:val="20"/>
                <w:szCs w:val="20"/>
              </w:rPr>
              <w:t xml:space="preserve"> </w:t>
            </w:r>
            <w:proofErr w:type="spellStart"/>
            <w:r w:rsidRPr="00145A2E">
              <w:rPr>
                <w:rFonts w:cs="Times New Roman"/>
                <w:i/>
                <w:sz w:val="20"/>
                <w:szCs w:val="20"/>
              </w:rPr>
              <w:t>collar</w:t>
            </w:r>
            <w:proofErr w:type="spellEnd"/>
            <w:r w:rsidRPr="00145A2E">
              <w:rPr>
                <w:rFonts w:cs="Times New Roman"/>
                <w:sz w:val="20"/>
                <w:szCs w:val="20"/>
              </w:rPr>
              <w:t>), kas strādā smagos darba apstākļos.</w:t>
            </w:r>
          </w:p>
        </w:tc>
      </w:tr>
      <w:tr w:rsidR="005928AD" w:rsidRPr="00145A2E" w:rsidTr="00145A2E">
        <w:tc>
          <w:tcPr>
            <w:tcW w:w="571" w:type="dxa"/>
            <w:tcBorders>
              <w:top w:val="single" w:sz="4" w:space="0" w:color="auto"/>
              <w:left w:val="single" w:sz="4" w:space="0" w:color="auto"/>
              <w:bottom w:val="nil"/>
              <w:right w:val="single" w:sz="4" w:space="0" w:color="auto"/>
            </w:tcBorders>
          </w:tcPr>
          <w:p w:rsidR="005928AD" w:rsidRPr="00145A2E" w:rsidRDefault="005928AD"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6</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5928AD" w:rsidRPr="00145A2E" w:rsidRDefault="005928AD" w:rsidP="00254C1B">
            <w:pPr>
              <w:jc w:val="both"/>
              <w:rPr>
                <w:rFonts w:cs="Times New Roman"/>
                <w:sz w:val="20"/>
                <w:szCs w:val="20"/>
              </w:rPr>
            </w:pPr>
            <w:r w:rsidRPr="00145A2E">
              <w:rPr>
                <w:rFonts w:cs="Times New Roman"/>
                <w:sz w:val="20"/>
                <w:szCs w:val="20"/>
              </w:rPr>
              <w:t>Norvēģij</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5928AD" w:rsidP="005928AD">
            <w:pPr>
              <w:jc w:val="both"/>
              <w:rPr>
                <w:rFonts w:cs="Times New Roman"/>
                <w:sz w:val="20"/>
                <w:szCs w:val="20"/>
              </w:rPr>
            </w:pPr>
            <w:r w:rsidRPr="00145A2E">
              <w:rPr>
                <w:rFonts w:cs="Times New Roman"/>
                <w:i/>
                <w:sz w:val="20"/>
                <w:szCs w:val="20"/>
              </w:rPr>
              <w:t>IIN likmes</w:t>
            </w:r>
            <w:r w:rsidRPr="00145A2E">
              <w:rPr>
                <w:rFonts w:cs="Times New Roman"/>
                <w:sz w:val="20"/>
                <w:szCs w:val="20"/>
              </w:rPr>
              <w:t xml:space="preserve">: 9-12% valsts un 24,5-28% pašvaldību nodoklis (likme 24,5% </w:t>
            </w:r>
            <w:proofErr w:type="spellStart"/>
            <w:r w:rsidRPr="00145A2E">
              <w:rPr>
                <w:rFonts w:cs="Times New Roman"/>
                <w:sz w:val="20"/>
                <w:szCs w:val="20"/>
              </w:rPr>
              <w:t>Finmarkas</w:t>
            </w:r>
            <w:proofErr w:type="spellEnd"/>
            <w:r w:rsidRPr="00145A2E">
              <w:rPr>
                <w:rFonts w:cs="Times New Roman"/>
                <w:sz w:val="20"/>
                <w:szCs w:val="20"/>
              </w:rPr>
              <w:t xml:space="preserve"> un </w:t>
            </w:r>
            <w:proofErr w:type="spellStart"/>
            <w:r w:rsidRPr="00145A2E">
              <w:rPr>
                <w:rFonts w:cs="Times New Roman"/>
                <w:sz w:val="20"/>
                <w:szCs w:val="20"/>
              </w:rPr>
              <w:t>Nordstromas</w:t>
            </w:r>
            <w:proofErr w:type="spellEnd"/>
            <w:r w:rsidRPr="00145A2E">
              <w:rPr>
                <w:rFonts w:cs="Times New Roman"/>
                <w:sz w:val="20"/>
                <w:szCs w:val="20"/>
              </w:rPr>
              <w:t xml:space="preserve"> reģionā)</w:t>
            </w:r>
          </w:p>
        </w:tc>
      </w:tr>
      <w:tr w:rsidR="005928AD" w:rsidRPr="00145A2E" w:rsidTr="00145A2E">
        <w:tc>
          <w:tcPr>
            <w:tcW w:w="571" w:type="dxa"/>
            <w:tcBorders>
              <w:top w:val="nil"/>
              <w:left w:val="single" w:sz="4" w:space="0" w:color="auto"/>
              <w:bottom w:val="nil"/>
              <w:right w:val="single" w:sz="4" w:space="0" w:color="auto"/>
            </w:tcBorders>
          </w:tcPr>
          <w:p w:rsidR="005928AD" w:rsidRPr="00145A2E" w:rsidRDefault="005928AD"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5928AD" w:rsidRPr="00145A2E" w:rsidRDefault="005928AD"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5928AD" w:rsidRPr="00145A2E" w:rsidRDefault="006C550A"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zemākas likmes 0%, 5,1%, 6,4%, 7,9% un 10,6% darbiniekiem, kas dzīvo Norvēģijas ziemeļpusē, konkrētos atbalstāmos apgabalos.</w:t>
            </w:r>
          </w:p>
        </w:tc>
      </w:tr>
      <w:tr w:rsidR="006C550A" w:rsidRPr="00145A2E" w:rsidTr="001B2921">
        <w:tc>
          <w:tcPr>
            <w:tcW w:w="571" w:type="dxa"/>
            <w:tcBorders>
              <w:top w:val="nil"/>
              <w:left w:val="single" w:sz="4" w:space="0" w:color="auto"/>
              <w:bottom w:val="single" w:sz="4" w:space="0" w:color="auto"/>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pirmie EUR 5'032 (NOK 39'600) ar nodokli neapliekas. Šie maksājumi nav atskaitāmi no ar ienākuma nodokli apliekamā ienākuma.</w:t>
            </w:r>
          </w:p>
        </w:tc>
      </w:tr>
      <w:tr w:rsidR="006C550A" w:rsidRPr="00145A2E" w:rsidTr="001B2921">
        <w:tc>
          <w:tcPr>
            <w:tcW w:w="571" w:type="dxa"/>
            <w:tcBorders>
              <w:top w:val="single" w:sz="4" w:space="0" w:color="auto"/>
              <w:left w:val="single" w:sz="4" w:space="0" w:color="auto"/>
              <w:bottom w:val="nil"/>
              <w:right w:val="single" w:sz="4" w:space="0" w:color="auto"/>
            </w:tcBorders>
          </w:tcPr>
          <w:p w:rsidR="006C550A" w:rsidRPr="00145A2E" w:rsidRDefault="006C550A"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7</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6C550A" w:rsidRPr="00145A2E" w:rsidRDefault="006C550A" w:rsidP="00254C1B">
            <w:pPr>
              <w:jc w:val="both"/>
              <w:rPr>
                <w:rFonts w:cs="Times New Roman"/>
                <w:sz w:val="20"/>
                <w:szCs w:val="20"/>
              </w:rPr>
            </w:pPr>
            <w:r w:rsidRPr="00145A2E">
              <w:rPr>
                <w:rFonts w:cs="Times New Roman"/>
                <w:sz w:val="20"/>
                <w:szCs w:val="20"/>
              </w:rPr>
              <w:t>Luksemburg</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254C1B" w:rsidRPr="001B2921" w:rsidRDefault="006C550A" w:rsidP="006C550A">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8% pensiju, 2,95% veselības, 0,88-2,01% savstarpējā veselības (likmes 0,88%, 1,36%, 1,77% un 2,01% atkarībā no darbinieka darba kavējuma likmes), 0,45-6% darba negadījumu atkarībā no riska un 0,11% veselības darbā apdrošināšana. Maksimāli no ienākuma EUR 8’414 mēnesī.</w:t>
            </w:r>
          </w:p>
        </w:tc>
      </w:tr>
      <w:tr w:rsidR="006C550A" w:rsidRPr="00145A2E" w:rsidTr="001B2921">
        <w:tc>
          <w:tcPr>
            <w:tcW w:w="571" w:type="dxa"/>
            <w:tcBorders>
              <w:top w:val="nil"/>
              <w:left w:val="single" w:sz="4" w:space="0" w:color="auto"/>
              <w:bottom w:val="single" w:sz="4" w:space="0" w:color="auto"/>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 xml:space="preserve">8% pensiju un 2,95% veselības apdrošināšana maksimāli no ienākuma EUR 8’414 mēnesī, 1,4% bezdarba apdrošināšana bez ierobežojuma. Bezdarba apdrošināšanas maksājumi nav atskaitāmi, aprēķinot ienākuma nodokli.  </w:t>
            </w:r>
          </w:p>
        </w:tc>
      </w:tr>
      <w:tr w:rsidR="006C550A" w:rsidRPr="00145A2E" w:rsidTr="001B2921">
        <w:tc>
          <w:tcPr>
            <w:tcW w:w="571" w:type="dxa"/>
            <w:tcBorders>
              <w:top w:val="single" w:sz="4" w:space="0" w:color="auto"/>
              <w:left w:val="single" w:sz="4" w:space="0" w:color="auto"/>
              <w:bottom w:val="nil"/>
              <w:right w:val="single" w:sz="4" w:space="0" w:color="auto"/>
            </w:tcBorders>
          </w:tcPr>
          <w:p w:rsidR="006C550A" w:rsidRPr="00145A2E" w:rsidRDefault="006C550A" w:rsidP="00254C1B">
            <w:pPr>
              <w:jc w:val="right"/>
              <w:rPr>
                <w:rFonts w:cs="Times New Roman"/>
                <w:sz w:val="20"/>
                <w:szCs w:val="20"/>
              </w:rPr>
            </w:pPr>
            <w:r w:rsidRPr="00145A2E">
              <w:rPr>
                <w:rFonts w:cs="Times New Roman"/>
                <w:sz w:val="20"/>
                <w:szCs w:val="20"/>
              </w:rPr>
              <w:t>1</w:t>
            </w:r>
            <w:r w:rsidR="00254C1B" w:rsidRPr="00145A2E">
              <w:rPr>
                <w:rFonts w:cs="Times New Roman"/>
                <w:sz w:val="20"/>
                <w:szCs w:val="20"/>
              </w:rPr>
              <w:t>8</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6C550A" w:rsidRPr="00145A2E" w:rsidRDefault="006C550A" w:rsidP="00254C1B">
            <w:pPr>
              <w:jc w:val="both"/>
              <w:rPr>
                <w:rFonts w:cs="Times New Roman"/>
                <w:sz w:val="20"/>
                <w:szCs w:val="20"/>
              </w:rPr>
            </w:pPr>
            <w:r w:rsidRPr="00145A2E">
              <w:rPr>
                <w:rFonts w:cs="Times New Roman"/>
                <w:sz w:val="20"/>
                <w:szCs w:val="20"/>
              </w:rPr>
              <w:t>Malt</w:t>
            </w:r>
            <w:r w:rsidR="00254C1B"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sz w:val="20"/>
                <w:szCs w:val="20"/>
              </w:rPr>
            </w:pPr>
            <w:r w:rsidRPr="00145A2E">
              <w:rPr>
                <w:rFonts w:cs="Times New Roman"/>
                <w:i/>
                <w:sz w:val="20"/>
                <w:szCs w:val="20"/>
              </w:rPr>
              <w:t xml:space="preserve">IIN apliekamais ienākums: </w:t>
            </w:r>
            <w:r w:rsidRPr="00145A2E">
              <w:rPr>
                <w:rFonts w:cs="Times New Roman"/>
                <w:sz w:val="20"/>
                <w:szCs w:val="20"/>
              </w:rPr>
              <w:t>neprecētiem un precētiem atšķiras.</w:t>
            </w:r>
          </w:p>
        </w:tc>
      </w:tr>
      <w:tr w:rsidR="006C550A" w:rsidRPr="00145A2E" w:rsidTr="001B2921">
        <w:tc>
          <w:tcPr>
            <w:tcW w:w="571" w:type="dxa"/>
            <w:tcBorders>
              <w:top w:val="nil"/>
              <w:left w:val="single" w:sz="4" w:space="0" w:color="auto"/>
              <w:bottom w:val="nil"/>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6C550A">
            <w:pPr>
              <w:jc w:val="both"/>
              <w:rPr>
                <w:rFonts w:cs="Times New Roman"/>
                <w:i/>
                <w:sz w:val="20"/>
                <w:szCs w:val="20"/>
              </w:rPr>
            </w:pPr>
            <w:r w:rsidRPr="00145A2E">
              <w:rPr>
                <w:rFonts w:cs="Times New Roman"/>
                <w:i/>
                <w:sz w:val="20"/>
                <w:szCs w:val="20"/>
              </w:rPr>
              <w:t xml:space="preserve">Neapliekamais minimums: </w:t>
            </w:r>
            <w:r w:rsidRPr="00145A2E">
              <w:rPr>
                <w:rFonts w:cs="Times New Roman"/>
                <w:sz w:val="20"/>
                <w:szCs w:val="20"/>
              </w:rPr>
              <w:t>EUR 8’500 neprecētiem, EUR 11’900 precētam pārim.</w:t>
            </w:r>
          </w:p>
        </w:tc>
      </w:tr>
      <w:tr w:rsidR="006C550A" w:rsidRPr="00145A2E" w:rsidTr="001B2921">
        <w:tc>
          <w:tcPr>
            <w:tcW w:w="571" w:type="dxa"/>
            <w:tcBorders>
              <w:top w:val="nil"/>
              <w:left w:val="single" w:sz="4" w:space="0" w:color="auto"/>
              <w:bottom w:val="single" w:sz="4" w:space="0" w:color="auto"/>
              <w:right w:val="single" w:sz="4" w:space="0" w:color="auto"/>
            </w:tcBorders>
          </w:tcPr>
          <w:p w:rsidR="006C550A" w:rsidRPr="00145A2E" w:rsidRDefault="006C550A"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6C550A" w:rsidRPr="00145A2E" w:rsidRDefault="006C550A"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6C550A" w:rsidRPr="00145A2E" w:rsidRDefault="006C550A" w:rsidP="001B2921">
            <w:pPr>
              <w:jc w:val="both"/>
              <w:rPr>
                <w:rFonts w:cs="Times New Roman"/>
                <w:i/>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EUR 1’711,32 gadā</w:t>
            </w:r>
            <w:r w:rsidR="001B2921">
              <w:rPr>
                <w:rFonts w:cs="Times New Roman"/>
                <w:sz w:val="20"/>
                <w:szCs w:val="20"/>
              </w:rPr>
              <w:t>.</w:t>
            </w:r>
          </w:p>
        </w:tc>
      </w:tr>
      <w:tr w:rsidR="00254C1B" w:rsidRPr="00145A2E" w:rsidTr="00145A2E">
        <w:tc>
          <w:tcPr>
            <w:tcW w:w="571" w:type="dxa"/>
            <w:tcBorders>
              <w:top w:val="single" w:sz="4" w:space="0" w:color="auto"/>
              <w:left w:val="single" w:sz="4" w:space="0" w:color="auto"/>
              <w:bottom w:val="nil"/>
              <w:right w:val="single" w:sz="4" w:space="0" w:color="auto"/>
            </w:tcBorders>
          </w:tcPr>
          <w:p w:rsidR="00254C1B" w:rsidRPr="00145A2E" w:rsidRDefault="00254C1B" w:rsidP="00145A2E">
            <w:pPr>
              <w:jc w:val="right"/>
              <w:rPr>
                <w:rFonts w:cs="Times New Roman"/>
                <w:sz w:val="20"/>
                <w:szCs w:val="20"/>
              </w:rPr>
            </w:pPr>
            <w:r w:rsidRPr="00145A2E">
              <w:rPr>
                <w:rFonts w:cs="Times New Roman"/>
                <w:sz w:val="20"/>
                <w:szCs w:val="20"/>
              </w:rPr>
              <w:t>1</w:t>
            </w:r>
            <w:r w:rsidR="00145A2E" w:rsidRPr="00145A2E">
              <w:rPr>
                <w:rFonts w:cs="Times New Roman"/>
                <w:sz w:val="20"/>
                <w:szCs w:val="20"/>
              </w:rPr>
              <w:t>9</w:t>
            </w:r>
            <w:r w:rsidRPr="00145A2E">
              <w:rPr>
                <w:rFonts w:cs="Times New Roman"/>
                <w:sz w:val="20"/>
                <w:szCs w:val="20"/>
              </w:rPr>
              <w:t>.</w:t>
            </w:r>
          </w:p>
        </w:tc>
        <w:tc>
          <w:tcPr>
            <w:tcW w:w="1415" w:type="dxa"/>
            <w:tcBorders>
              <w:top w:val="single" w:sz="4" w:space="0" w:color="auto"/>
              <w:left w:val="single" w:sz="4" w:space="0" w:color="auto"/>
              <w:bottom w:val="nil"/>
              <w:right w:val="single" w:sz="4" w:space="0" w:color="auto"/>
            </w:tcBorders>
          </w:tcPr>
          <w:p w:rsidR="00254C1B" w:rsidRPr="00145A2E" w:rsidRDefault="00254C1B" w:rsidP="00145A2E">
            <w:pPr>
              <w:jc w:val="both"/>
              <w:rPr>
                <w:rFonts w:cs="Times New Roman"/>
                <w:sz w:val="20"/>
                <w:szCs w:val="20"/>
              </w:rPr>
            </w:pPr>
            <w:r w:rsidRPr="00145A2E">
              <w:rPr>
                <w:rFonts w:cs="Times New Roman"/>
                <w:sz w:val="20"/>
                <w:szCs w:val="20"/>
              </w:rPr>
              <w:t>Ungārij</w:t>
            </w:r>
            <w:r w:rsidR="00145A2E" w:rsidRPr="00145A2E">
              <w:rPr>
                <w:rFonts w:cs="Times New Roman"/>
                <w:sz w:val="20"/>
                <w:szCs w:val="20"/>
              </w:rPr>
              <w:t>a</w:t>
            </w:r>
          </w:p>
        </w:tc>
        <w:tc>
          <w:tcPr>
            <w:tcW w:w="6945" w:type="dxa"/>
            <w:tcBorders>
              <w:top w:val="single" w:sz="4" w:space="0" w:color="auto"/>
              <w:left w:val="single" w:sz="4" w:space="0" w:color="auto"/>
              <w:bottom w:val="single" w:sz="4" w:space="0" w:color="auto"/>
              <w:right w:val="single" w:sz="4" w:space="0" w:color="auto"/>
            </w:tcBorders>
          </w:tcPr>
          <w:p w:rsidR="00254C1B" w:rsidRPr="00145A2E" w:rsidRDefault="00254C1B" w:rsidP="006C550A">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17% no darba algas, bet ne vairāk kā EUR 665 gadā (HUF 15’100 mēnesī), ja ienākumi gadā nepārsniedz EUR 11’703 (HUF 3’188’000). Darbiniekiem, kuru apliekamais ienākums ir augstāks par EUR 11’703, bet mazāks kā EUR 17’246 (HUF 4’698’000) gadā, neapliekamais minimums 12% no summas, kas pārsniedz EUR 11’703</w:t>
            </w:r>
          </w:p>
        </w:tc>
      </w:tr>
      <w:tr w:rsidR="00254C1B" w:rsidRPr="00145A2E" w:rsidTr="00145A2E">
        <w:tc>
          <w:tcPr>
            <w:tcW w:w="571" w:type="dxa"/>
            <w:tcBorders>
              <w:top w:val="nil"/>
              <w:left w:val="single" w:sz="4" w:space="0" w:color="auto"/>
              <w:bottom w:val="nil"/>
              <w:right w:val="single" w:sz="4" w:space="0" w:color="auto"/>
            </w:tcBorders>
          </w:tcPr>
          <w:p w:rsidR="00254C1B" w:rsidRPr="00145A2E" w:rsidRDefault="00254C1B" w:rsidP="005928AD">
            <w:pPr>
              <w:jc w:val="right"/>
              <w:rPr>
                <w:rFonts w:cs="Times New Roman"/>
                <w:sz w:val="20"/>
                <w:szCs w:val="20"/>
              </w:rPr>
            </w:pPr>
          </w:p>
        </w:tc>
        <w:tc>
          <w:tcPr>
            <w:tcW w:w="1415" w:type="dxa"/>
            <w:tcBorders>
              <w:top w:val="nil"/>
              <w:left w:val="single" w:sz="4" w:space="0" w:color="auto"/>
              <w:bottom w:val="nil"/>
              <w:right w:val="single" w:sz="4" w:space="0" w:color="auto"/>
            </w:tcBorders>
          </w:tcPr>
          <w:p w:rsidR="00254C1B" w:rsidRPr="00145A2E" w:rsidRDefault="00254C1B"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254C1B" w:rsidRPr="00145A2E" w:rsidRDefault="00254C1B"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24% pensiju un 3% veselības apdrošināšana. Papildus veselības aprūpes nodoklis tiek iekasēts no 14% līdz 27% apmērā atkarībā no ienākuma veida.</w:t>
            </w:r>
          </w:p>
        </w:tc>
      </w:tr>
      <w:tr w:rsidR="00254C1B" w:rsidRPr="00145A2E" w:rsidTr="001B2921">
        <w:tc>
          <w:tcPr>
            <w:tcW w:w="571" w:type="dxa"/>
            <w:tcBorders>
              <w:top w:val="nil"/>
              <w:left w:val="single" w:sz="4" w:space="0" w:color="auto"/>
              <w:bottom w:val="single" w:sz="4" w:space="0" w:color="auto"/>
              <w:right w:val="single" w:sz="4" w:space="0" w:color="auto"/>
            </w:tcBorders>
          </w:tcPr>
          <w:p w:rsidR="00254C1B" w:rsidRPr="00145A2E" w:rsidRDefault="00254C1B"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254C1B" w:rsidRPr="00145A2E" w:rsidRDefault="00254C1B"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254C1B" w:rsidRDefault="00254C1B"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sz w:val="20"/>
                <w:szCs w:val="20"/>
              </w:rPr>
              <w:t>: 9,5% pensiju apdrošināšana (11,5%, kuri brīvprātīgi pievienojušies privātai pensiju shēmai) maksimāli no EUR 27'361 gadā (HUF 20’420 dienā) un 7,5% veselības apdrošināšana bez ierobežojuma. Ja darba devēja veselības apdrošināšanas maksājumi par darbinieku ir mazāki par EUR 1'652 (HUF 450’000) gadā, darbiniekam jāmaksā arī 14% veselības aprūpes nodoklis no summas, kas pārsniedz iepriekš minēto summu.</w:t>
            </w:r>
          </w:p>
          <w:p w:rsidR="00F8787B" w:rsidRDefault="00F8787B" w:rsidP="005928AD">
            <w:pPr>
              <w:jc w:val="both"/>
              <w:rPr>
                <w:rFonts w:cs="Times New Roman"/>
                <w:sz w:val="20"/>
                <w:szCs w:val="20"/>
              </w:rPr>
            </w:pPr>
          </w:p>
          <w:p w:rsidR="00F8787B" w:rsidRDefault="00F8787B" w:rsidP="005928AD">
            <w:pPr>
              <w:jc w:val="both"/>
              <w:rPr>
                <w:rFonts w:cs="Times New Roman"/>
                <w:sz w:val="20"/>
                <w:szCs w:val="20"/>
              </w:rPr>
            </w:pPr>
          </w:p>
          <w:p w:rsidR="00F8787B" w:rsidRPr="00145A2E" w:rsidRDefault="00F8787B" w:rsidP="005928AD">
            <w:pPr>
              <w:jc w:val="both"/>
              <w:rPr>
                <w:rFonts w:cs="Times New Roman"/>
                <w:i/>
                <w:sz w:val="20"/>
                <w:szCs w:val="20"/>
              </w:rPr>
            </w:pPr>
          </w:p>
        </w:tc>
      </w:tr>
      <w:tr w:rsidR="00145A2E" w:rsidRPr="00145A2E" w:rsidTr="001B2921">
        <w:tc>
          <w:tcPr>
            <w:tcW w:w="571" w:type="dxa"/>
            <w:tcBorders>
              <w:top w:val="single" w:sz="4" w:space="0" w:color="auto"/>
              <w:left w:val="single" w:sz="4" w:space="0" w:color="auto"/>
              <w:bottom w:val="nil"/>
              <w:right w:val="single" w:sz="4" w:space="0" w:color="auto"/>
            </w:tcBorders>
          </w:tcPr>
          <w:p w:rsidR="00145A2E" w:rsidRPr="00145A2E" w:rsidRDefault="00145A2E" w:rsidP="006466BF">
            <w:pPr>
              <w:jc w:val="right"/>
              <w:rPr>
                <w:rFonts w:cs="Times New Roman"/>
                <w:sz w:val="20"/>
                <w:szCs w:val="20"/>
              </w:rPr>
            </w:pPr>
            <w:r w:rsidRPr="00145A2E">
              <w:rPr>
                <w:rFonts w:cs="Times New Roman"/>
                <w:sz w:val="20"/>
                <w:szCs w:val="20"/>
              </w:rPr>
              <w:lastRenderedPageBreak/>
              <w:t>20.</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Polija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sz w:val="20"/>
                <w:szCs w:val="20"/>
              </w:rPr>
              <w:t>: 9,76% pensiju un 4,5% invaliditātes apdrošināšana maksimāli no ienākuma EUR 23’769 (PLN 94’380) gadā; 0,67-3,33% darba negadījumu apdrošināšana bez ierobežojuma. Papildus 0,10% Darbinieku prasību fondā, 2,45% Darbaspēka fondā.</w:t>
            </w:r>
          </w:p>
        </w:tc>
      </w:tr>
      <w:tr w:rsidR="00145A2E" w:rsidRPr="00145A2E" w:rsidTr="00F8787B">
        <w:tc>
          <w:tcPr>
            <w:tcW w:w="571" w:type="dxa"/>
            <w:tcBorders>
              <w:top w:val="nil"/>
              <w:left w:val="single" w:sz="4" w:space="0" w:color="auto"/>
              <w:bottom w:val="single" w:sz="4" w:space="0" w:color="auto"/>
              <w:right w:val="single" w:sz="4" w:space="0" w:color="auto"/>
            </w:tcBorders>
          </w:tcPr>
          <w:p w:rsidR="00145A2E" w:rsidRPr="00145A2E" w:rsidRDefault="00145A2E" w:rsidP="005928A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421B97">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9,76% pensiju un 1,5% invaliditātes apdrošināšana maksimāli no ienākuma EUR 23’769 (PLN 94’380) gadā. 2,45% slimību un maternitātes apdrošināšana bez ierobežojuma. Papildus 9% veselības apdrošināšana no ar ienākuma nodokli apliekamā ienākuma, no kura atņemti iepriekš minētie sociālās apdrošināšanas maksājumi.</w:t>
            </w:r>
          </w:p>
        </w:tc>
      </w:tr>
      <w:tr w:rsidR="00145A2E" w:rsidRPr="00145A2E" w:rsidTr="00F8787B">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21.</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Kipra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w:t>
            </w:r>
            <w:r w:rsidRPr="00145A2E">
              <w:rPr>
                <w:rFonts w:cs="Times New Roman"/>
                <w:sz w:val="20"/>
                <w:szCs w:val="20"/>
              </w:rPr>
              <w:t xml:space="preserve"> 2% darba algas nodoklis, kas tiek maksāts no visām dar</w:t>
            </w:r>
            <w:r w:rsidR="001B2921">
              <w:rPr>
                <w:rFonts w:cs="Times New Roman"/>
                <w:sz w:val="20"/>
                <w:szCs w:val="20"/>
              </w:rPr>
              <w:softHyphen/>
            </w:r>
            <w:r w:rsidRPr="00145A2E">
              <w:rPr>
                <w:rFonts w:cs="Times New Roman"/>
                <w:sz w:val="20"/>
                <w:szCs w:val="20"/>
              </w:rPr>
              <w:t>bi</w:t>
            </w:r>
            <w:r w:rsidR="001B2921">
              <w:rPr>
                <w:rFonts w:cs="Times New Roman"/>
                <w:sz w:val="20"/>
                <w:szCs w:val="20"/>
              </w:rPr>
              <w:softHyphen/>
            </w:r>
            <w:r w:rsidRPr="00145A2E">
              <w:rPr>
                <w:rFonts w:cs="Times New Roman"/>
                <w:sz w:val="20"/>
                <w:szCs w:val="20"/>
              </w:rPr>
              <w:t>nie</w:t>
            </w:r>
            <w:r w:rsidR="001B2921">
              <w:rPr>
                <w:rFonts w:cs="Times New Roman"/>
                <w:sz w:val="20"/>
                <w:szCs w:val="20"/>
              </w:rPr>
              <w:softHyphen/>
            </w:r>
            <w:r w:rsidRPr="00145A2E">
              <w:rPr>
                <w:rFonts w:cs="Times New Roman"/>
                <w:sz w:val="20"/>
                <w:szCs w:val="20"/>
              </w:rPr>
              <w:t xml:space="preserve">ku darba algām, Sociālās </w:t>
            </w:r>
            <w:proofErr w:type="spellStart"/>
            <w:r w:rsidRPr="00145A2E">
              <w:rPr>
                <w:rFonts w:cs="Times New Roman"/>
                <w:sz w:val="20"/>
                <w:szCs w:val="20"/>
              </w:rPr>
              <w:t>Sakļautības</w:t>
            </w:r>
            <w:proofErr w:type="spellEnd"/>
            <w:r w:rsidRPr="00145A2E">
              <w:rPr>
                <w:rFonts w:cs="Times New Roman"/>
                <w:sz w:val="20"/>
                <w:szCs w:val="20"/>
              </w:rPr>
              <w:t xml:space="preserve"> fondā. Sociālās apdrošināšanas mak</w:t>
            </w:r>
            <w:r w:rsidR="001B2921">
              <w:rPr>
                <w:rFonts w:cs="Times New Roman"/>
                <w:sz w:val="20"/>
                <w:szCs w:val="20"/>
              </w:rPr>
              <w:softHyphen/>
            </w:r>
            <w:r w:rsidRPr="00145A2E">
              <w:rPr>
                <w:rFonts w:cs="Times New Roman"/>
                <w:sz w:val="20"/>
                <w:szCs w:val="20"/>
              </w:rPr>
              <w:t>sā</w:t>
            </w:r>
            <w:r w:rsidR="001B2921">
              <w:rPr>
                <w:rFonts w:cs="Times New Roman"/>
                <w:sz w:val="20"/>
                <w:szCs w:val="20"/>
              </w:rPr>
              <w:softHyphen/>
            </w:r>
            <w:r w:rsidRPr="00145A2E">
              <w:rPr>
                <w:rFonts w:cs="Times New Roman"/>
                <w:sz w:val="20"/>
                <w:szCs w:val="20"/>
              </w:rPr>
              <w:t>jumi: 6,8% Sociālā Apdrošināšanas fondā, 1,2% Atlaišanas fondā, 0,5% Apmācību fon</w:t>
            </w:r>
            <w:r w:rsidR="001A4F4E">
              <w:rPr>
                <w:rFonts w:cs="Times New Roman"/>
                <w:sz w:val="20"/>
                <w:szCs w:val="20"/>
              </w:rPr>
              <w:softHyphen/>
            </w:r>
            <w:r w:rsidRPr="00145A2E">
              <w:rPr>
                <w:rFonts w:cs="Times New Roman"/>
                <w:sz w:val="20"/>
                <w:szCs w:val="20"/>
              </w:rPr>
              <w:t>dā. Sociālās apdrošināšanas maksājumi maksimāli no ienākuma EUR 4'216 mēnesī.</w:t>
            </w:r>
          </w:p>
        </w:tc>
      </w:tr>
      <w:tr w:rsidR="00145A2E" w:rsidRPr="00145A2E" w:rsidTr="00F8787B">
        <w:tc>
          <w:tcPr>
            <w:tcW w:w="571" w:type="dxa"/>
            <w:tcBorders>
              <w:top w:val="nil"/>
              <w:left w:val="single" w:sz="4" w:space="0" w:color="auto"/>
              <w:bottom w:val="single" w:sz="4" w:space="0" w:color="auto"/>
              <w:right w:val="single" w:sz="4" w:space="0" w:color="auto"/>
            </w:tcBorders>
          </w:tcPr>
          <w:p w:rsidR="00145A2E" w:rsidRPr="00145A2E" w:rsidRDefault="00145A2E" w:rsidP="004B4C3E">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4B4C3E">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no ienākuma EUR 4’216 mēnesī</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22.</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Latvija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sz w:val="20"/>
                <w:szCs w:val="20"/>
              </w:rPr>
              <w:t>–</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23.</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Igaunija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sz w:val="20"/>
                <w:szCs w:val="20"/>
              </w:rPr>
              <w:t>–</w:t>
            </w:r>
          </w:p>
        </w:tc>
      </w:tr>
      <w:tr w:rsidR="00145A2E" w:rsidRPr="00145A2E" w:rsidTr="001B2921">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24.</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Slovākija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 xml:space="preserve"> EUR 3’555,65 gadā (19,2 X iztikas minimums, kas 2009.gadā bija EUR 185,19 mēnesī), ja ienākumi līdz EUR 18’519 gadā; EUR 8’185,40 gadā (44,2 X iztikas minimums mēnesī) mīnuss ¼ daļa no ienākumiem, ja ienākumi pārsniedz EUR 18’519 gadā. Ja rezultāts ir 0 vai mazāk – netiek piemērots.</w:t>
            </w:r>
          </w:p>
        </w:tc>
      </w:tr>
      <w:tr w:rsidR="00145A2E" w:rsidRPr="00145A2E" w:rsidTr="001B2921">
        <w:tc>
          <w:tcPr>
            <w:tcW w:w="571" w:type="dxa"/>
            <w:tcBorders>
              <w:top w:val="nil"/>
              <w:left w:val="single" w:sz="4" w:space="0" w:color="auto"/>
              <w:bottom w:val="nil"/>
              <w:right w:val="single" w:sz="4" w:space="0" w:color="auto"/>
            </w:tcBorders>
          </w:tcPr>
          <w:p w:rsidR="00145A2E" w:rsidRPr="00145A2E" w:rsidRDefault="00145A2E" w:rsidP="00C13A74">
            <w:pPr>
              <w:jc w:val="right"/>
              <w:rPr>
                <w:rFonts w:cs="Times New Roman"/>
                <w:sz w:val="20"/>
                <w:szCs w:val="20"/>
              </w:rPr>
            </w:pPr>
          </w:p>
        </w:tc>
        <w:tc>
          <w:tcPr>
            <w:tcW w:w="1415" w:type="dxa"/>
            <w:tcBorders>
              <w:top w:val="nil"/>
              <w:left w:val="single" w:sz="4" w:space="0" w:color="auto"/>
              <w:bottom w:val="nil"/>
              <w:right w:val="single" w:sz="4" w:space="0" w:color="auto"/>
            </w:tcBorders>
          </w:tcPr>
          <w:p w:rsidR="00145A2E" w:rsidRPr="00145A2E" w:rsidRDefault="00145A2E" w:rsidP="00C13A74">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14% pensiju, 3% invaliditātes un 1% bezdarba apdrošināšana, kā arī 4,75% maksājumi rezerves fondā maksimāli no ienākuma EUR 2'892,12 mēnesī. 10% veselības apdrošināšana maksimāli no ienākuma EUR 2'169,09 mēnesī. 1,4% slimības lapu apdrošināšana un 0,25% maksājumi garantijas fondā maksimāli no ienākuma EUR 1'084,55 mēnesī. 0,8% darba negadījumu apdrošināšana bez ierobežojuma.</w:t>
            </w:r>
          </w:p>
        </w:tc>
      </w:tr>
      <w:tr w:rsidR="00145A2E" w:rsidRPr="00145A2E" w:rsidTr="001B2921">
        <w:tc>
          <w:tcPr>
            <w:tcW w:w="571" w:type="dxa"/>
            <w:tcBorders>
              <w:top w:val="nil"/>
              <w:left w:val="single" w:sz="4" w:space="0" w:color="auto"/>
              <w:bottom w:val="single" w:sz="4" w:space="0" w:color="auto"/>
              <w:right w:val="single" w:sz="4" w:space="0" w:color="auto"/>
            </w:tcBorders>
          </w:tcPr>
          <w:p w:rsidR="00145A2E" w:rsidRPr="00145A2E" w:rsidRDefault="00145A2E" w:rsidP="00C13A74">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C13A74">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4% pensiju, 3% invaliditātes un 1% bezdarba apdrošināšana maksimāli no ienākuma EUR 2’892,12 mēnesī. 4% veselības apdrošināšana maksimāli no ienākuma EUR 2’169,09 mēnesī. 1,4% slimības lapu apdrošināšana maksimāli no EUR 1’084,55 mēnesī.</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25.</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Rumānija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Neapliekamais minimums:</w:t>
            </w:r>
            <w:r w:rsidRPr="00145A2E">
              <w:rPr>
                <w:rFonts w:cs="Times New Roman"/>
                <w:sz w:val="20"/>
                <w:szCs w:val="20"/>
              </w:rPr>
              <w:t xml:space="preserve"> maksimāli EUR 700 gadā (RON 250 mēnesī) atkarībā no ienākumu līmeņa. Netiek piemērots, ja ienākumi gadā pārsniedz EUR 8’400,60 gadā (RON 3’000 mēnesī)</w:t>
            </w:r>
          </w:p>
        </w:tc>
      </w:tr>
      <w:tr w:rsidR="00145A2E" w:rsidRPr="00145A2E" w:rsidTr="00145A2E">
        <w:tc>
          <w:tcPr>
            <w:tcW w:w="571" w:type="dxa"/>
            <w:tcBorders>
              <w:top w:val="nil"/>
              <w:left w:val="single" w:sz="4" w:space="0" w:color="auto"/>
              <w:bottom w:val="single" w:sz="4" w:space="0" w:color="auto"/>
              <w:right w:val="single" w:sz="4" w:space="0" w:color="auto"/>
            </w:tcBorders>
          </w:tcPr>
          <w:p w:rsidR="00145A2E" w:rsidRPr="00145A2E" w:rsidRDefault="00145A2E" w:rsidP="005247C4">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5247C4">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v</w:t>
            </w:r>
            <w:r w:rsidRPr="00145A2E">
              <w:rPr>
                <w:rFonts w:cs="Times New Roman"/>
                <w:sz w:val="20"/>
                <w:szCs w:val="20"/>
              </w:rPr>
              <w:t>ispārējās sociālās apdrošināšanas iemaksas parastos darba apstākļos ir 31,3%, no kuriem 20,8% maksā darba devējs un 10,5% darba ņēmējs. Smagos darba apstākļos likmes ir 36,3% (piemēram, ķīmiskā rūpniecībā) vai 41,3% (piemēram, kalnrūpniecībā), no tās darba devēja likme ir attiecīgi 25,8% vai 30,8%. Papildus darba devējs maksā 0,85% nacionālajā veselības fondā (maksimāli no 12 minimālajām mēnešalgām - 2010.gadā EUR 140 jeb RON 600), 0,15-0,85% darba negadījumu un profesionālo slimību fondā, 5,2% veselības apdrošināšanas maksājumus, 0,5% nacionālajā bezdarba fondā, 0,25% nacionālajā darba algu garantijas fondā un 0,25-0,75% maksājumus teritoriālajai darba inspekcijai.</w:t>
            </w:r>
            <w:r w:rsidRPr="00145A2E">
              <w:rPr>
                <w:rFonts w:cs="Times New Roman"/>
                <w:i/>
                <w:sz w:val="20"/>
                <w:szCs w:val="20"/>
              </w:rPr>
              <w:t xml:space="preserve">  </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26.</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Lietuva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Neapliekamais minimums: </w:t>
            </w:r>
            <w:r w:rsidRPr="00145A2E">
              <w:rPr>
                <w:rFonts w:cs="Times New Roman"/>
                <w:sz w:val="20"/>
                <w:szCs w:val="20"/>
              </w:rPr>
              <w:t>EUR 1’637 gadā (LTL 470 mēnesī), ja ienākumi gadā nepārsniedz EUR 2’787 (LTL 800 mēnesī). Ja ienākumi ir no EUR 2’787– 10’972 gadā (LTL 800–3'150 mēnesī), mēneša neapliekamo minimumu aprēķinā pēc formulas: LTL 470-0,2 x (mēneša ienākums-LTL 800). Netiek piemērots, ja ienākums gadā pārsniedz EUR 10’972 (LTL 3'150 mēnesī).</w:t>
            </w:r>
          </w:p>
        </w:tc>
      </w:tr>
      <w:tr w:rsidR="00145A2E" w:rsidRPr="00145A2E" w:rsidTr="00145A2E">
        <w:tc>
          <w:tcPr>
            <w:tcW w:w="571" w:type="dxa"/>
            <w:tcBorders>
              <w:top w:val="nil"/>
              <w:left w:val="single" w:sz="4" w:space="0" w:color="auto"/>
              <w:bottom w:val="nil"/>
              <w:right w:val="single" w:sz="4" w:space="0" w:color="auto"/>
            </w:tcBorders>
          </w:tcPr>
          <w:p w:rsidR="00145A2E" w:rsidRPr="00145A2E" w:rsidRDefault="00145A2E" w:rsidP="00DC6EF8">
            <w:pPr>
              <w:jc w:val="right"/>
              <w:rPr>
                <w:rFonts w:cs="Times New Roman"/>
                <w:sz w:val="20"/>
                <w:szCs w:val="20"/>
              </w:rPr>
            </w:pPr>
          </w:p>
        </w:tc>
        <w:tc>
          <w:tcPr>
            <w:tcW w:w="1415" w:type="dxa"/>
            <w:tcBorders>
              <w:top w:val="nil"/>
              <w:left w:val="single" w:sz="4" w:space="0" w:color="auto"/>
              <w:bottom w:val="nil"/>
              <w:right w:val="single" w:sz="4" w:space="0" w:color="auto"/>
            </w:tcBorders>
          </w:tcPr>
          <w:p w:rsidR="00145A2E" w:rsidRPr="00145A2E" w:rsidRDefault="00145A2E" w:rsidP="00DC6EF8">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30,8%, no tā 23,3% pensiju, 3% veselības, 3,4% maternitātes un slimību un 1,1% bezdarba apdrošināšana. Papildus darba devējs maksā darba ne</w:t>
            </w:r>
            <w:r w:rsidR="001B2921">
              <w:rPr>
                <w:rFonts w:cs="Times New Roman"/>
                <w:sz w:val="20"/>
                <w:szCs w:val="20"/>
              </w:rPr>
              <w:softHyphen/>
            </w:r>
            <w:r w:rsidRPr="00145A2E">
              <w:rPr>
                <w:rFonts w:cs="Times New Roman"/>
                <w:sz w:val="20"/>
                <w:szCs w:val="20"/>
              </w:rPr>
              <w:t>ga</w:t>
            </w:r>
            <w:r w:rsidR="001B2921">
              <w:rPr>
                <w:rFonts w:cs="Times New Roman"/>
                <w:sz w:val="20"/>
                <w:szCs w:val="20"/>
              </w:rPr>
              <w:softHyphen/>
            </w:r>
            <w:r w:rsidRPr="00145A2E">
              <w:rPr>
                <w:rFonts w:cs="Times New Roman"/>
                <w:sz w:val="20"/>
                <w:szCs w:val="20"/>
              </w:rPr>
              <w:t>dījumu apdrošināšanu atkarībā no riska (likmes 0,9%, 0,33% un 0,18%). Darbi</w:t>
            </w:r>
            <w:r w:rsidR="001B2921">
              <w:rPr>
                <w:rFonts w:cs="Times New Roman"/>
                <w:sz w:val="20"/>
                <w:szCs w:val="20"/>
              </w:rPr>
              <w:softHyphen/>
            </w:r>
            <w:r w:rsidRPr="00145A2E">
              <w:rPr>
                <w:rFonts w:cs="Times New Roman"/>
                <w:sz w:val="20"/>
                <w:szCs w:val="20"/>
              </w:rPr>
              <w:t xml:space="preserve">nieki var izvēlēties daļu no darba devēja veiktajām </w:t>
            </w:r>
            <w:r w:rsidR="005D6FA5">
              <w:rPr>
                <w:rFonts w:cs="Times New Roman"/>
                <w:sz w:val="20"/>
                <w:szCs w:val="20"/>
              </w:rPr>
              <w:t>VSAOI</w:t>
            </w:r>
            <w:r w:rsidRPr="00145A2E">
              <w:rPr>
                <w:rFonts w:cs="Times New Roman"/>
                <w:sz w:val="20"/>
                <w:szCs w:val="20"/>
              </w:rPr>
              <w:t xml:space="preserve"> novirzīt licenzētam privātajam pensiju fondam vai apdrošināšanas sabiedrībai (2010.gadā - 2%).</w:t>
            </w:r>
          </w:p>
        </w:tc>
      </w:tr>
      <w:tr w:rsidR="00145A2E" w:rsidRPr="00145A2E" w:rsidTr="00145A2E">
        <w:tc>
          <w:tcPr>
            <w:tcW w:w="571" w:type="dxa"/>
            <w:tcBorders>
              <w:top w:val="nil"/>
              <w:left w:val="single" w:sz="4" w:space="0" w:color="auto"/>
              <w:bottom w:val="single" w:sz="4" w:space="0" w:color="auto"/>
              <w:right w:val="single" w:sz="4" w:space="0" w:color="auto"/>
            </w:tcBorders>
          </w:tcPr>
          <w:p w:rsidR="00145A2E" w:rsidRPr="00145A2E" w:rsidRDefault="00145A2E" w:rsidP="00DC6EF8">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DC6EF8">
            <w:pPr>
              <w:jc w:val="both"/>
              <w:rPr>
                <w:rFonts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Default="00145A2E" w:rsidP="005928AD">
            <w:pPr>
              <w:jc w:val="both"/>
              <w:rPr>
                <w:rFonts w:cs="Times New Roman"/>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3% pensiju apdrošināšana un 6% veselības apdrošināšana</w:t>
            </w:r>
          </w:p>
          <w:p w:rsidR="00F8787B" w:rsidRDefault="00F8787B" w:rsidP="005928AD">
            <w:pPr>
              <w:jc w:val="both"/>
              <w:rPr>
                <w:rFonts w:cs="Times New Roman"/>
                <w:sz w:val="20"/>
                <w:szCs w:val="20"/>
              </w:rPr>
            </w:pPr>
          </w:p>
          <w:p w:rsidR="00F8787B" w:rsidRPr="00145A2E" w:rsidRDefault="00F8787B" w:rsidP="005928AD">
            <w:pPr>
              <w:jc w:val="both"/>
              <w:rPr>
                <w:rFonts w:cs="Times New Roman"/>
                <w:i/>
                <w:sz w:val="20"/>
                <w:szCs w:val="20"/>
              </w:rPr>
            </w:pPr>
          </w:p>
        </w:tc>
      </w:tr>
      <w:tr w:rsidR="00145A2E" w:rsidRPr="00145A2E" w:rsidTr="00145A2E">
        <w:tc>
          <w:tcPr>
            <w:tcW w:w="571" w:type="dxa"/>
            <w:tcBorders>
              <w:top w:val="single" w:sz="4" w:space="0" w:color="auto"/>
              <w:left w:val="single" w:sz="4" w:space="0" w:color="auto"/>
              <w:bottom w:val="single" w:sz="4" w:space="0" w:color="auto"/>
              <w:right w:val="single" w:sz="4" w:space="0" w:color="auto"/>
            </w:tcBorders>
          </w:tcPr>
          <w:p w:rsidR="00145A2E" w:rsidRPr="00145A2E" w:rsidRDefault="00145A2E" w:rsidP="001D2EAC">
            <w:pPr>
              <w:jc w:val="right"/>
              <w:rPr>
                <w:rFonts w:cs="Times New Roman"/>
                <w:sz w:val="20"/>
                <w:szCs w:val="20"/>
              </w:rPr>
            </w:pPr>
            <w:r w:rsidRPr="00145A2E">
              <w:rPr>
                <w:rFonts w:cs="Times New Roman"/>
                <w:sz w:val="20"/>
                <w:szCs w:val="20"/>
              </w:rPr>
              <w:lastRenderedPageBreak/>
              <w:t>27.</w:t>
            </w:r>
          </w:p>
        </w:tc>
        <w:tc>
          <w:tcPr>
            <w:tcW w:w="1415" w:type="dxa"/>
            <w:tcBorders>
              <w:top w:val="single" w:sz="4" w:space="0" w:color="auto"/>
              <w:left w:val="single" w:sz="4" w:space="0" w:color="auto"/>
              <w:bottom w:val="single" w:sz="4" w:space="0" w:color="auto"/>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Čehija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Gan darba devēja, gan 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no ienākuma EUR 67’524 (CZK 1’707’048) gadā</w:t>
            </w:r>
          </w:p>
        </w:tc>
      </w:tr>
      <w:tr w:rsidR="00145A2E" w:rsidRPr="00145A2E" w:rsidTr="00145A2E">
        <w:tc>
          <w:tcPr>
            <w:tcW w:w="571" w:type="dxa"/>
            <w:tcBorders>
              <w:top w:val="single" w:sz="4" w:space="0" w:color="auto"/>
              <w:left w:val="single" w:sz="4" w:space="0" w:color="auto"/>
              <w:bottom w:val="nil"/>
              <w:right w:val="single" w:sz="4" w:space="0" w:color="auto"/>
            </w:tcBorders>
          </w:tcPr>
          <w:p w:rsidR="00145A2E" w:rsidRPr="00145A2E" w:rsidRDefault="00145A2E" w:rsidP="00145A2E">
            <w:pPr>
              <w:jc w:val="right"/>
              <w:rPr>
                <w:rFonts w:cs="Times New Roman"/>
                <w:sz w:val="20"/>
                <w:szCs w:val="20"/>
              </w:rPr>
            </w:pPr>
            <w:r w:rsidRPr="00145A2E">
              <w:rPr>
                <w:rFonts w:cs="Times New Roman"/>
                <w:sz w:val="20"/>
                <w:szCs w:val="20"/>
              </w:rPr>
              <w:t>28.</w:t>
            </w:r>
          </w:p>
        </w:tc>
        <w:tc>
          <w:tcPr>
            <w:tcW w:w="1415" w:type="dxa"/>
            <w:tcBorders>
              <w:top w:val="single" w:sz="4" w:space="0" w:color="auto"/>
              <w:left w:val="single" w:sz="4" w:space="0" w:color="auto"/>
              <w:bottom w:val="nil"/>
              <w:right w:val="single" w:sz="4" w:space="0" w:color="auto"/>
            </w:tcBorders>
          </w:tcPr>
          <w:p w:rsidR="00145A2E" w:rsidRPr="00145A2E" w:rsidRDefault="00145A2E" w:rsidP="00145A2E">
            <w:pPr>
              <w:jc w:val="both"/>
              <w:rPr>
                <w:rFonts w:cs="Times New Roman"/>
                <w:sz w:val="20"/>
                <w:szCs w:val="20"/>
              </w:rPr>
            </w:pPr>
            <w:r w:rsidRPr="00145A2E">
              <w:rPr>
                <w:rFonts w:cs="Times New Roman"/>
                <w:sz w:val="20"/>
                <w:szCs w:val="20"/>
              </w:rPr>
              <w:t>Bulgārija</w:t>
            </w: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devēja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EUR 12'259 (BGN 24’000) gadā. 16,4% pensiju, slimību un maternitātes, bezdarba un veselības apdrošināšanas fondā. Papildus 0,4-1,1% (atkarībā no darba apstākļiem) darba negadījumu un profesionālo slimību fondā un 0,1% darbinieku garantēto parādu fondā.</w:t>
            </w:r>
          </w:p>
        </w:tc>
      </w:tr>
      <w:tr w:rsidR="00145A2E" w:rsidRPr="00145A2E" w:rsidTr="00145A2E">
        <w:tc>
          <w:tcPr>
            <w:tcW w:w="571" w:type="dxa"/>
            <w:tcBorders>
              <w:top w:val="nil"/>
              <w:left w:val="single" w:sz="4" w:space="0" w:color="auto"/>
              <w:bottom w:val="single" w:sz="4" w:space="0" w:color="auto"/>
              <w:right w:val="single" w:sz="4" w:space="0" w:color="auto"/>
            </w:tcBorders>
          </w:tcPr>
          <w:p w:rsidR="00145A2E" w:rsidRPr="00145A2E" w:rsidRDefault="00145A2E" w:rsidP="00031A4D">
            <w:pPr>
              <w:jc w:val="right"/>
              <w:rPr>
                <w:rFonts w:cs="Times New Roman"/>
                <w:sz w:val="20"/>
                <w:szCs w:val="20"/>
              </w:rPr>
            </w:pPr>
          </w:p>
        </w:tc>
        <w:tc>
          <w:tcPr>
            <w:tcW w:w="1415" w:type="dxa"/>
            <w:tcBorders>
              <w:top w:val="nil"/>
              <w:left w:val="single" w:sz="4" w:space="0" w:color="auto"/>
              <w:bottom w:val="single" w:sz="4" w:space="0" w:color="auto"/>
              <w:right w:val="single" w:sz="4" w:space="0" w:color="auto"/>
            </w:tcBorders>
          </w:tcPr>
          <w:p w:rsidR="00145A2E" w:rsidRPr="00145A2E" w:rsidRDefault="00145A2E" w:rsidP="00031A4D">
            <w:pPr>
              <w:jc w:val="both"/>
              <w:rPr>
                <w:rFonts w:cs="Times New Roman"/>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145A2E" w:rsidRPr="00145A2E" w:rsidRDefault="00145A2E" w:rsidP="005928AD">
            <w:pPr>
              <w:jc w:val="both"/>
              <w:rPr>
                <w:rFonts w:cs="Times New Roman"/>
                <w:i/>
                <w:sz w:val="20"/>
                <w:szCs w:val="20"/>
              </w:rPr>
            </w:pPr>
            <w:r w:rsidRPr="00145A2E">
              <w:rPr>
                <w:rFonts w:cs="Times New Roman"/>
                <w:i/>
                <w:sz w:val="20"/>
                <w:szCs w:val="20"/>
              </w:rPr>
              <w:t xml:space="preserve">Darba ņēmēja </w:t>
            </w:r>
            <w:r w:rsidR="005D6FA5">
              <w:rPr>
                <w:rFonts w:cs="Times New Roman"/>
                <w:i/>
                <w:sz w:val="20"/>
                <w:szCs w:val="20"/>
              </w:rPr>
              <w:t>VSAOI</w:t>
            </w:r>
            <w:r w:rsidRPr="00145A2E">
              <w:rPr>
                <w:rFonts w:cs="Times New Roman"/>
                <w:i/>
                <w:sz w:val="20"/>
                <w:szCs w:val="20"/>
              </w:rPr>
              <w:t xml:space="preserve">: </w:t>
            </w:r>
            <w:r w:rsidRPr="00145A2E">
              <w:rPr>
                <w:rFonts w:cs="Times New Roman"/>
                <w:sz w:val="20"/>
                <w:szCs w:val="20"/>
              </w:rPr>
              <w:t>maksimāli EUR 12'259 (BGN 24’000) gadā. 12,1% pensiju, slimību un maternitātes, bezdarba un veselības apdrošināšanas un darbinieku garantēto parādu fondā.</w:t>
            </w:r>
          </w:p>
        </w:tc>
      </w:tr>
    </w:tbl>
    <w:p w:rsidR="00BA0304" w:rsidRDefault="00BA0304" w:rsidP="00BA0304">
      <w:pPr>
        <w:rPr>
          <w:sz w:val="20"/>
        </w:rPr>
      </w:pPr>
    </w:p>
    <w:p w:rsidR="00F8787B" w:rsidRDefault="00F8787B" w:rsidP="00BA0304">
      <w:pPr>
        <w:pStyle w:val="BodyText3"/>
        <w:rPr>
          <w:sz w:val="28"/>
          <w:szCs w:val="28"/>
        </w:rPr>
      </w:pPr>
    </w:p>
    <w:p w:rsidR="00F8787B" w:rsidRDefault="00F8787B" w:rsidP="00BA0304">
      <w:pPr>
        <w:pStyle w:val="BodyText3"/>
        <w:rPr>
          <w:sz w:val="28"/>
          <w:szCs w:val="28"/>
        </w:rPr>
      </w:pPr>
    </w:p>
    <w:p w:rsidR="00F8787B" w:rsidRDefault="00F8787B" w:rsidP="00BA0304">
      <w:pPr>
        <w:pStyle w:val="BodyText3"/>
        <w:rPr>
          <w:sz w:val="28"/>
          <w:szCs w:val="28"/>
        </w:rPr>
      </w:pPr>
    </w:p>
    <w:p w:rsidR="00BA0304" w:rsidRPr="00472B44" w:rsidRDefault="00BA0304" w:rsidP="00BA0304">
      <w:pPr>
        <w:pStyle w:val="BodyText3"/>
        <w:rPr>
          <w:sz w:val="28"/>
          <w:szCs w:val="28"/>
        </w:rPr>
      </w:pPr>
      <w:r w:rsidRPr="00472B44">
        <w:rPr>
          <w:sz w:val="28"/>
          <w:szCs w:val="28"/>
        </w:rPr>
        <w:t>Ministrs</w:t>
      </w:r>
      <w:r w:rsidRPr="00472B44">
        <w:rPr>
          <w:sz w:val="28"/>
          <w:szCs w:val="28"/>
        </w:rPr>
        <w:tab/>
      </w:r>
      <w:r w:rsidRPr="00472B44">
        <w:rPr>
          <w:sz w:val="28"/>
          <w:szCs w:val="28"/>
        </w:rPr>
        <w:tab/>
        <w:t xml:space="preserve"> </w:t>
      </w:r>
      <w:r w:rsidRPr="00472B44">
        <w:rPr>
          <w:sz w:val="28"/>
          <w:szCs w:val="28"/>
        </w:rPr>
        <w:tab/>
      </w:r>
      <w:r w:rsidRPr="00472B44">
        <w:rPr>
          <w:sz w:val="28"/>
          <w:szCs w:val="28"/>
        </w:rPr>
        <w:tab/>
      </w:r>
      <w:r w:rsidRPr="00472B44">
        <w:rPr>
          <w:sz w:val="28"/>
          <w:szCs w:val="28"/>
        </w:rPr>
        <w:tab/>
      </w:r>
      <w:r w:rsidRPr="00472B44">
        <w:rPr>
          <w:sz w:val="28"/>
          <w:szCs w:val="28"/>
        </w:rPr>
        <w:tab/>
      </w:r>
      <w:r w:rsidRPr="00472B44">
        <w:rPr>
          <w:sz w:val="28"/>
          <w:szCs w:val="28"/>
        </w:rPr>
        <w:tab/>
      </w:r>
      <w:r w:rsidRPr="00472B44">
        <w:rPr>
          <w:sz w:val="28"/>
          <w:szCs w:val="28"/>
        </w:rPr>
        <w:tab/>
      </w:r>
      <w:r>
        <w:rPr>
          <w:sz w:val="28"/>
          <w:szCs w:val="28"/>
        </w:rPr>
        <w:t>A.Vilks</w:t>
      </w:r>
    </w:p>
    <w:p w:rsidR="00BA0304" w:rsidRDefault="00BA0304" w:rsidP="00BA0304">
      <w:pPr>
        <w:rPr>
          <w:sz w:val="20"/>
        </w:rPr>
      </w:pPr>
    </w:p>
    <w:p w:rsidR="001A4F4E" w:rsidRDefault="001A4F4E"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p>
    <w:p w:rsidR="00F8787B" w:rsidRDefault="00F8787B" w:rsidP="00BA0304">
      <w:pPr>
        <w:rPr>
          <w:sz w:val="20"/>
        </w:rPr>
      </w:pPr>
      <w:bookmarkStart w:id="0" w:name="_GoBack"/>
      <w:bookmarkEnd w:id="0"/>
    </w:p>
    <w:p w:rsidR="00F8787B" w:rsidRDefault="00F8787B" w:rsidP="00BA0304">
      <w:pPr>
        <w:rPr>
          <w:sz w:val="20"/>
        </w:rPr>
      </w:pPr>
    </w:p>
    <w:p w:rsidR="00F8787B" w:rsidRDefault="00F8787B" w:rsidP="00BA0304">
      <w:pPr>
        <w:rPr>
          <w:sz w:val="20"/>
        </w:rPr>
      </w:pPr>
    </w:p>
    <w:p w:rsidR="00BA0304" w:rsidRDefault="001A3E9F" w:rsidP="00BA0304">
      <w:pPr>
        <w:rPr>
          <w:sz w:val="20"/>
        </w:rPr>
      </w:pPr>
      <w:r>
        <w:rPr>
          <w:sz w:val="20"/>
        </w:rPr>
        <w:t>2011.07.07.</w:t>
      </w:r>
    </w:p>
    <w:p w:rsidR="0026450D" w:rsidRPr="003A7C8F" w:rsidRDefault="0026450D" w:rsidP="0026450D">
      <w:pPr>
        <w:contextualSpacing/>
        <w:rPr>
          <w:sz w:val="20"/>
        </w:rPr>
      </w:pPr>
      <w:r w:rsidRPr="003A7C8F">
        <w:rPr>
          <w:sz w:val="20"/>
        </w:rPr>
        <w:fldChar w:fldCharType="begin"/>
      </w:r>
      <w:r w:rsidRPr="003A7C8F">
        <w:rPr>
          <w:sz w:val="20"/>
        </w:rPr>
        <w:instrText xml:space="preserve"> NUMWORDS  \# "0"  \* MERGEFORMAT </w:instrText>
      </w:r>
      <w:r w:rsidRPr="003A7C8F">
        <w:rPr>
          <w:sz w:val="20"/>
        </w:rPr>
        <w:fldChar w:fldCharType="separate"/>
      </w:r>
      <w:r>
        <w:rPr>
          <w:noProof/>
          <w:sz w:val="20"/>
        </w:rPr>
        <w:t>2063</w:t>
      </w:r>
      <w:r w:rsidRPr="003A7C8F">
        <w:rPr>
          <w:sz w:val="20"/>
        </w:rPr>
        <w:fldChar w:fldCharType="end"/>
      </w:r>
    </w:p>
    <w:p w:rsidR="00BA0304" w:rsidRPr="003A7C8F" w:rsidRDefault="00BA0304" w:rsidP="00BA0304">
      <w:pPr>
        <w:rPr>
          <w:sz w:val="20"/>
        </w:rPr>
      </w:pPr>
      <w:r w:rsidRPr="003A7C8F">
        <w:rPr>
          <w:sz w:val="20"/>
        </w:rPr>
        <w:t>Finanšu ministrijas</w:t>
      </w:r>
      <w:r>
        <w:rPr>
          <w:sz w:val="20"/>
        </w:rPr>
        <w:t xml:space="preserve"> </w:t>
      </w:r>
      <w:r w:rsidRPr="003A7C8F">
        <w:rPr>
          <w:sz w:val="20"/>
        </w:rPr>
        <w:t xml:space="preserve">Nodokļu </w:t>
      </w:r>
      <w:r w:rsidR="008516D3">
        <w:rPr>
          <w:sz w:val="20"/>
        </w:rPr>
        <w:t>analīzes</w:t>
      </w:r>
      <w:r w:rsidRPr="003A7C8F">
        <w:rPr>
          <w:sz w:val="20"/>
        </w:rPr>
        <w:t xml:space="preserve"> departamenta</w:t>
      </w:r>
    </w:p>
    <w:p w:rsidR="00BA0304" w:rsidRPr="003A7C8F" w:rsidRDefault="0026450D" w:rsidP="00BA0304">
      <w:pPr>
        <w:rPr>
          <w:sz w:val="20"/>
        </w:rPr>
      </w:pPr>
      <w:r>
        <w:rPr>
          <w:sz w:val="20"/>
        </w:rPr>
        <w:t>Nodokļu politikas stratēģijas</w:t>
      </w:r>
      <w:r w:rsidR="00BA0304" w:rsidRPr="003A7C8F">
        <w:rPr>
          <w:sz w:val="20"/>
        </w:rPr>
        <w:t xml:space="preserve"> nodaļas vecāk</w:t>
      </w:r>
      <w:r w:rsidR="00BA0304">
        <w:rPr>
          <w:sz w:val="20"/>
        </w:rPr>
        <w:t>ā</w:t>
      </w:r>
      <w:r w:rsidR="00BA0304" w:rsidRPr="003A7C8F">
        <w:rPr>
          <w:sz w:val="20"/>
        </w:rPr>
        <w:t xml:space="preserve"> referent</w:t>
      </w:r>
      <w:r w:rsidR="00BA0304">
        <w:rPr>
          <w:sz w:val="20"/>
        </w:rPr>
        <w:t>e</w:t>
      </w:r>
    </w:p>
    <w:p w:rsidR="0026450D" w:rsidRPr="003A7C8F" w:rsidRDefault="00BA0304" w:rsidP="0026450D">
      <w:pPr>
        <w:rPr>
          <w:sz w:val="20"/>
        </w:rPr>
      </w:pPr>
      <w:r>
        <w:rPr>
          <w:sz w:val="20"/>
        </w:rPr>
        <w:t>I.Kodoliņa-</w:t>
      </w:r>
      <w:proofErr w:type="spellStart"/>
      <w:r>
        <w:rPr>
          <w:sz w:val="20"/>
        </w:rPr>
        <w:t>Miglāne</w:t>
      </w:r>
      <w:proofErr w:type="spellEnd"/>
      <w:r w:rsidR="00A05F90">
        <w:rPr>
          <w:sz w:val="20"/>
        </w:rPr>
        <w:t xml:space="preserve">, </w:t>
      </w:r>
      <w:r w:rsidR="0026450D">
        <w:rPr>
          <w:sz w:val="20"/>
        </w:rPr>
        <w:t>tālr.</w:t>
      </w:r>
      <w:r w:rsidR="0026450D" w:rsidRPr="003A7C8F">
        <w:rPr>
          <w:sz w:val="20"/>
        </w:rPr>
        <w:t>67</w:t>
      </w:r>
      <w:r w:rsidR="0026450D">
        <w:rPr>
          <w:sz w:val="20"/>
        </w:rPr>
        <w:t> </w:t>
      </w:r>
      <w:r w:rsidR="0026450D" w:rsidRPr="003A7C8F">
        <w:rPr>
          <w:sz w:val="20"/>
        </w:rPr>
        <w:t>0</w:t>
      </w:r>
      <w:r w:rsidR="0026450D">
        <w:rPr>
          <w:sz w:val="20"/>
        </w:rPr>
        <w:t>83 902; fakss 67 083 990</w:t>
      </w:r>
    </w:p>
    <w:p w:rsidR="0026450D" w:rsidRPr="00FA1129" w:rsidRDefault="00EA505B" w:rsidP="0026450D">
      <w:pPr>
        <w:rPr>
          <w:sz w:val="20"/>
        </w:rPr>
      </w:pPr>
      <w:hyperlink r:id="rId9" w:history="1">
        <w:r w:rsidR="0026450D" w:rsidRPr="003608D3">
          <w:rPr>
            <w:rStyle w:val="Hyperlink"/>
            <w:sz w:val="20"/>
          </w:rPr>
          <w:t>Ieva.Kodolina-Miglane@fm.gov.lv</w:t>
        </w:r>
      </w:hyperlink>
    </w:p>
    <w:p w:rsidR="00AB4E3A" w:rsidRDefault="00AB4E3A" w:rsidP="00145A2E"/>
    <w:sectPr w:rsidR="00AB4E3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5B" w:rsidRDefault="00EA505B" w:rsidP="001A4F4E">
      <w:r>
        <w:separator/>
      </w:r>
    </w:p>
  </w:endnote>
  <w:endnote w:type="continuationSeparator" w:id="0">
    <w:p w:rsidR="00EA505B" w:rsidRDefault="00EA505B" w:rsidP="001A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4E" w:rsidRPr="00A05F90" w:rsidRDefault="001A4F4E" w:rsidP="00502075">
    <w:pPr>
      <w:pStyle w:val="Footer"/>
      <w:jc w:val="both"/>
      <w:rPr>
        <w:color w:val="595959" w:themeColor="text1" w:themeTint="A6"/>
        <w:sz w:val="16"/>
        <w:szCs w:val="16"/>
      </w:rPr>
    </w:pPr>
    <w:r w:rsidRPr="00A05F90">
      <w:rPr>
        <w:color w:val="595959" w:themeColor="text1" w:themeTint="A6"/>
        <w:sz w:val="16"/>
        <w:szCs w:val="16"/>
      </w:rPr>
      <w:t>FMZinop01_</w:t>
    </w:r>
    <w:r w:rsidR="00DD2EBB">
      <w:rPr>
        <w:color w:val="595959" w:themeColor="text1" w:themeTint="A6"/>
        <w:sz w:val="16"/>
        <w:szCs w:val="16"/>
      </w:rPr>
      <w:t>0707</w:t>
    </w:r>
    <w:r w:rsidRPr="00A05F90">
      <w:rPr>
        <w:color w:val="595959" w:themeColor="text1" w:themeTint="A6"/>
        <w:sz w:val="16"/>
        <w:szCs w:val="16"/>
      </w:rPr>
      <w:t>11_IIN</w:t>
    </w:r>
    <w:r w:rsidR="008B400B" w:rsidRPr="00A05F90">
      <w:rPr>
        <w:color w:val="595959" w:themeColor="text1" w:themeTint="A6"/>
        <w:sz w:val="16"/>
        <w:szCs w:val="16"/>
      </w:rPr>
      <w:t xml:space="preserve">; Informatīvā ziņojuma </w:t>
    </w:r>
    <w:r w:rsidR="00502075">
      <w:rPr>
        <w:color w:val="595959" w:themeColor="text1" w:themeTint="A6"/>
        <w:sz w:val="16"/>
        <w:szCs w:val="16"/>
      </w:rPr>
      <w:t xml:space="preserve">„Informatīvais ziņojums </w:t>
    </w:r>
    <w:r w:rsidR="00A05F90" w:rsidRPr="00A05F90">
      <w:rPr>
        <w:rFonts w:cs="Times New Roman"/>
        <w:color w:val="595959" w:themeColor="text1" w:themeTint="A6"/>
        <w:sz w:val="16"/>
        <w:szCs w:val="16"/>
      </w:rPr>
      <w:t>pa</w:t>
    </w:r>
    <w:r w:rsidR="00A05F90" w:rsidRPr="00A05F90">
      <w:rPr>
        <w:color w:val="595959" w:themeColor="text1" w:themeTint="A6"/>
        <w:sz w:val="16"/>
        <w:szCs w:val="16"/>
      </w:rPr>
      <w:t xml:space="preserve">r Pasākumu plāna ēnu ekonomikas </w:t>
    </w:r>
    <w:r w:rsidR="00A05F90" w:rsidRPr="00A05F90">
      <w:rPr>
        <w:rFonts w:cs="Times New Roman"/>
        <w:color w:val="595959" w:themeColor="text1" w:themeTint="A6"/>
        <w:sz w:val="16"/>
        <w:szCs w:val="16"/>
      </w:rPr>
      <w:t>apkarošanai un godīgas konkurences nodrošināšanai 2010.-2013.gadam</w:t>
    </w:r>
    <w:r w:rsidR="00A05F90" w:rsidRPr="00A05F90">
      <w:rPr>
        <w:color w:val="595959" w:themeColor="text1" w:themeTint="A6"/>
        <w:sz w:val="16"/>
        <w:szCs w:val="16"/>
      </w:rPr>
      <w:t xml:space="preserve"> </w:t>
    </w:r>
    <w:r w:rsidR="00A05F90" w:rsidRPr="00A05F90">
      <w:rPr>
        <w:rFonts w:cs="Times New Roman"/>
        <w:color w:val="595959" w:themeColor="text1" w:themeTint="A6"/>
        <w:sz w:val="16"/>
        <w:szCs w:val="16"/>
      </w:rPr>
      <w:t xml:space="preserve">3.pasākuma – izvērtēt pastāvošos </w:t>
    </w:r>
    <w:r w:rsidR="00A05F90" w:rsidRPr="00A05F90">
      <w:rPr>
        <w:color w:val="595959" w:themeColor="text1" w:themeTint="A6"/>
        <w:sz w:val="16"/>
        <w:szCs w:val="16"/>
      </w:rPr>
      <w:t xml:space="preserve"> </w:t>
    </w:r>
    <w:r w:rsidR="00A05F90" w:rsidRPr="00A05F90">
      <w:rPr>
        <w:rFonts w:cs="Times New Roman"/>
        <w:color w:val="595959" w:themeColor="text1" w:themeTint="A6"/>
        <w:sz w:val="16"/>
        <w:szCs w:val="16"/>
      </w:rPr>
      <w:t xml:space="preserve">iedzīvotāju </w:t>
    </w:r>
    <w:r w:rsidR="00A05F90" w:rsidRPr="00A05F90">
      <w:rPr>
        <w:color w:val="595959" w:themeColor="text1" w:themeTint="A6"/>
        <w:sz w:val="16"/>
        <w:szCs w:val="16"/>
      </w:rPr>
      <w:t xml:space="preserve">ienākuma nodokļa </w:t>
    </w:r>
    <w:r w:rsidR="00A05F90" w:rsidRPr="00A05F90">
      <w:rPr>
        <w:rFonts w:cs="Times New Roman"/>
        <w:color w:val="595959" w:themeColor="text1" w:themeTint="A6"/>
        <w:sz w:val="16"/>
        <w:szCs w:val="16"/>
      </w:rPr>
      <w:t xml:space="preserve">atvieglojumus </w:t>
    </w:r>
    <w:r w:rsidR="00A05F90" w:rsidRPr="00A05F90">
      <w:rPr>
        <w:color w:val="595959" w:themeColor="text1" w:themeTint="A6"/>
        <w:sz w:val="16"/>
        <w:szCs w:val="16"/>
      </w:rPr>
      <w:t xml:space="preserve">no to efektivitātes un nodokļu </w:t>
    </w:r>
    <w:r w:rsidR="00A05F90" w:rsidRPr="00A05F90">
      <w:rPr>
        <w:rFonts w:cs="Times New Roman"/>
        <w:color w:val="595959" w:themeColor="text1" w:themeTint="A6"/>
        <w:sz w:val="16"/>
        <w:szCs w:val="16"/>
      </w:rPr>
      <w:t xml:space="preserve">administrēšanas </w:t>
    </w:r>
    <w:r w:rsidR="00A05F90" w:rsidRPr="00A05F90">
      <w:rPr>
        <w:color w:val="595959" w:themeColor="text1" w:themeTint="A6"/>
        <w:sz w:val="16"/>
        <w:szCs w:val="16"/>
      </w:rPr>
      <w:t xml:space="preserve"> </w:t>
    </w:r>
    <w:r w:rsidR="00A05F90" w:rsidRPr="00A05F90">
      <w:rPr>
        <w:rFonts w:cs="Times New Roman"/>
        <w:color w:val="595959" w:themeColor="text1" w:themeTint="A6"/>
        <w:sz w:val="16"/>
        <w:szCs w:val="16"/>
      </w:rPr>
      <w:t>viedokļa – izpildi</w:t>
    </w:r>
    <w:r w:rsidR="00502075">
      <w:rPr>
        <w:rFonts w:cs="Times New Roman"/>
        <w:color w:val="595959" w:themeColor="text1" w:themeTint="A6"/>
        <w:sz w:val="16"/>
        <w:szCs w:val="16"/>
      </w:rPr>
      <w:t>”</w:t>
    </w:r>
    <w:r w:rsidR="008B400B" w:rsidRPr="00A05F90">
      <w:rPr>
        <w:color w:val="595959" w:themeColor="text1" w:themeTint="A6"/>
        <w:sz w:val="16"/>
        <w:szCs w:val="16"/>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5B" w:rsidRDefault="00EA505B" w:rsidP="001A4F4E">
      <w:r>
        <w:separator/>
      </w:r>
    </w:p>
  </w:footnote>
  <w:footnote w:type="continuationSeparator" w:id="0">
    <w:p w:rsidR="00EA505B" w:rsidRDefault="00EA505B" w:rsidP="001A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69803"/>
      <w:docPartObj>
        <w:docPartGallery w:val="Page Numbers (Top of Page)"/>
        <w:docPartUnique/>
      </w:docPartObj>
    </w:sdtPr>
    <w:sdtEndPr>
      <w:rPr>
        <w:noProof/>
        <w:sz w:val="20"/>
        <w:szCs w:val="20"/>
      </w:rPr>
    </w:sdtEndPr>
    <w:sdtContent>
      <w:p w:rsidR="001A4F4E" w:rsidRPr="001A4F4E" w:rsidRDefault="001A4F4E">
        <w:pPr>
          <w:pStyle w:val="Header"/>
          <w:jc w:val="center"/>
          <w:rPr>
            <w:sz w:val="20"/>
            <w:szCs w:val="20"/>
          </w:rPr>
        </w:pPr>
        <w:r w:rsidRPr="001A4F4E">
          <w:rPr>
            <w:sz w:val="20"/>
            <w:szCs w:val="20"/>
          </w:rPr>
          <w:fldChar w:fldCharType="begin"/>
        </w:r>
        <w:r w:rsidRPr="001A4F4E">
          <w:rPr>
            <w:sz w:val="20"/>
            <w:szCs w:val="20"/>
          </w:rPr>
          <w:instrText xml:space="preserve"> PAGE   \* MERGEFORMAT </w:instrText>
        </w:r>
        <w:r w:rsidRPr="001A4F4E">
          <w:rPr>
            <w:sz w:val="20"/>
            <w:szCs w:val="20"/>
          </w:rPr>
          <w:fldChar w:fldCharType="separate"/>
        </w:r>
        <w:r w:rsidR="001A3E9F">
          <w:rPr>
            <w:noProof/>
            <w:sz w:val="20"/>
            <w:szCs w:val="20"/>
          </w:rPr>
          <w:t>5</w:t>
        </w:r>
        <w:r w:rsidRPr="001A4F4E">
          <w:rPr>
            <w:noProof/>
            <w:sz w:val="20"/>
            <w:szCs w:val="20"/>
          </w:rPr>
          <w:fldChar w:fldCharType="end"/>
        </w:r>
      </w:p>
    </w:sdtContent>
  </w:sdt>
  <w:p w:rsidR="001A4F4E" w:rsidRDefault="001A4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1772"/>
    <w:multiLevelType w:val="hybridMultilevel"/>
    <w:tmpl w:val="3B06E074"/>
    <w:lvl w:ilvl="0" w:tplc="5BCCF590">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AD"/>
    <w:rsid w:val="001163E2"/>
    <w:rsid w:val="00145A2E"/>
    <w:rsid w:val="001A0F31"/>
    <w:rsid w:val="001A3E9F"/>
    <w:rsid w:val="001A4F4E"/>
    <w:rsid w:val="001B2921"/>
    <w:rsid w:val="001E480D"/>
    <w:rsid w:val="00213BC8"/>
    <w:rsid w:val="00254C1B"/>
    <w:rsid w:val="0026450D"/>
    <w:rsid w:val="00290150"/>
    <w:rsid w:val="00502075"/>
    <w:rsid w:val="00512351"/>
    <w:rsid w:val="00532249"/>
    <w:rsid w:val="005928AD"/>
    <w:rsid w:val="005B3E5A"/>
    <w:rsid w:val="005D6FA5"/>
    <w:rsid w:val="00644F40"/>
    <w:rsid w:val="006C550A"/>
    <w:rsid w:val="00814DD3"/>
    <w:rsid w:val="008516D3"/>
    <w:rsid w:val="00875B8C"/>
    <w:rsid w:val="008B400B"/>
    <w:rsid w:val="009C0C38"/>
    <w:rsid w:val="009E2D0A"/>
    <w:rsid w:val="00A05F90"/>
    <w:rsid w:val="00A37326"/>
    <w:rsid w:val="00A921FE"/>
    <w:rsid w:val="00AB4E3A"/>
    <w:rsid w:val="00B110C4"/>
    <w:rsid w:val="00BA0304"/>
    <w:rsid w:val="00BD48B1"/>
    <w:rsid w:val="00BD5D58"/>
    <w:rsid w:val="00C04442"/>
    <w:rsid w:val="00C05871"/>
    <w:rsid w:val="00C30839"/>
    <w:rsid w:val="00C8015F"/>
    <w:rsid w:val="00DD2EBB"/>
    <w:rsid w:val="00EA505B"/>
    <w:rsid w:val="00F525E7"/>
    <w:rsid w:val="00F8787B"/>
    <w:rsid w:val="00F90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C1B"/>
    <w:pPr>
      <w:ind w:left="720"/>
      <w:contextualSpacing/>
    </w:pPr>
  </w:style>
  <w:style w:type="paragraph" w:styleId="BodyText3">
    <w:name w:val="Body Text 3"/>
    <w:basedOn w:val="Normal"/>
    <w:link w:val="BodyText3Char"/>
    <w:rsid w:val="00BA0304"/>
    <w:pPr>
      <w:spacing w:after="120"/>
      <w:jc w:val="both"/>
    </w:pPr>
    <w:rPr>
      <w:rFonts w:eastAsia="Times New Roman" w:cs="Times New Roman"/>
      <w:sz w:val="16"/>
      <w:szCs w:val="16"/>
    </w:rPr>
  </w:style>
  <w:style w:type="character" w:customStyle="1" w:styleId="BodyText3Char">
    <w:name w:val="Body Text 3 Char"/>
    <w:basedOn w:val="DefaultParagraphFont"/>
    <w:link w:val="BodyText3"/>
    <w:rsid w:val="00BA0304"/>
    <w:rPr>
      <w:rFonts w:eastAsia="Times New Roman" w:cs="Times New Roman"/>
      <w:sz w:val="16"/>
      <w:szCs w:val="16"/>
    </w:rPr>
  </w:style>
  <w:style w:type="paragraph" w:styleId="Header">
    <w:name w:val="header"/>
    <w:basedOn w:val="Normal"/>
    <w:link w:val="HeaderChar"/>
    <w:uiPriority w:val="99"/>
    <w:unhideWhenUsed/>
    <w:rsid w:val="001A4F4E"/>
    <w:pPr>
      <w:tabs>
        <w:tab w:val="center" w:pos="4153"/>
        <w:tab w:val="right" w:pos="8306"/>
      </w:tabs>
    </w:pPr>
  </w:style>
  <w:style w:type="character" w:customStyle="1" w:styleId="HeaderChar">
    <w:name w:val="Header Char"/>
    <w:basedOn w:val="DefaultParagraphFont"/>
    <w:link w:val="Header"/>
    <w:uiPriority w:val="99"/>
    <w:rsid w:val="001A4F4E"/>
  </w:style>
  <w:style w:type="paragraph" w:styleId="Footer">
    <w:name w:val="footer"/>
    <w:basedOn w:val="Normal"/>
    <w:link w:val="FooterChar"/>
    <w:unhideWhenUsed/>
    <w:rsid w:val="001A4F4E"/>
    <w:pPr>
      <w:tabs>
        <w:tab w:val="center" w:pos="4153"/>
        <w:tab w:val="right" w:pos="8306"/>
      </w:tabs>
    </w:pPr>
  </w:style>
  <w:style w:type="character" w:customStyle="1" w:styleId="FooterChar">
    <w:name w:val="Footer Char"/>
    <w:basedOn w:val="DefaultParagraphFont"/>
    <w:link w:val="Footer"/>
    <w:rsid w:val="001A4F4E"/>
  </w:style>
  <w:style w:type="paragraph" w:styleId="EndnoteText">
    <w:name w:val="endnote text"/>
    <w:basedOn w:val="Normal"/>
    <w:link w:val="EndnoteTextChar"/>
    <w:uiPriority w:val="99"/>
    <w:semiHidden/>
    <w:unhideWhenUsed/>
    <w:rsid w:val="001A4F4E"/>
    <w:rPr>
      <w:sz w:val="20"/>
      <w:szCs w:val="20"/>
    </w:rPr>
  </w:style>
  <w:style w:type="character" w:customStyle="1" w:styleId="EndnoteTextChar">
    <w:name w:val="Endnote Text Char"/>
    <w:basedOn w:val="DefaultParagraphFont"/>
    <w:link w:val="EndnoteText"/>
    <w:uiPriority w:val="99"/>
    <w:semiHidden/>
    <w:rsid w:val="001A4F4E"/>
    <w:rPr>
      <w:sz w:val="20"/>
      <w:szCs w:val="20"/>
    </w:rPr>
  </w:style>
  <w:style w:type="character" w:styleId="EndnoteReference">
    <w:name w:val="endnote reference"/>
    <w:basedOn w:val="DefaultParagraphFont"/>
    <w:uiPriority w:val="99"/>
    <w:semiHidden/>
    <w:unhideWhenUsed/>
    <w:rsid w:val="001A4F4E"/>
    <w:rPr>
      <w:vertAlign w:val="superscript"/>
    </w:rPr>
  </w:style>
  <w:style w:type="paragraph" w:styleId="BalloonText">
    <w:name w:val="Balloon Text"/>
    <w:basedOn w:val="Normal"/>
    <w:link w:val="BalloonTextChar"/>
    <w:uiPriority w:val="99"/>
    <w:semiHidden/>
    <w:unhideWhenUsed/>
    <w:rsid w:val="00BD5D58"/>
    <w:rPr>
      <w:rFonts w:ascii="Tahoma" w:hAnsi="Tahoma" w:cs="Tahoma"/>
      <w:sz w:val="16"/>
      <w:szCs w:val="16"/>
    </w:rPr>
  </w:style>
  <w:style w:type="character" w:customStyle="1" w:styleId="BalloonTextChar">
    <w:name w:val="Balloon Text Char"/>
    <w:basedOn w:val="DefaultParagraphFont"/>
    <w:link w:val="BalloonText"/>
    <w:uiPriority w:val="99"/>
    <w:semiHidden/>
    <w:rsid w:val="00BD5D58"/>
    <w:rPr>
      <w:rFonts w:ascii="Tahoma" w:hAnsi="Tahoma" w:cs="Tahoma"/>
      <w:sz w:val="16"/>
      <w:szCs w:val="16"/>
    </w:rPr>
  </w:style>
  <w:style w:type="character" w:styleId="Hyperlink">
    <w:name w:val="Hyperlink"/>
    <w:uiPriority w:val="99"/>
    <w:unhideWhenUsed/>
    <w:rsid w:val="00264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C1B"/>
    <w:pPr>
      <w:ind w:left="720"/>
      <w:contextualSpacing/>
    </w:pPr>
  </w:style>
  <w:style w:type="paragraph" w:styleId="BodyText3">
    <w:name w:val="Body Text 3"/>
    <w:basedOn w:val="Normal"/>
    <w:link w:val="BodyText3Char"/>
    <w:rsid w:val="00BA0304"/>
    <w:pPr>
      <w:spacing w:after="120"/>
      <w:jc w:val="both"/>
    </w:pPr>
    <w:rPr>
      <w:rFonts w:eastAsia="Times New Roman" w:cs="Times New Roman"/>
      <w:sz w:val="16"/>
      <w:szCs w:val="16"/>
    </w:rPr>
  </w:style>
  <w:style w:type="character" w:customStyle="1" w:styleId="BodyText3Char">
    <w:name w:val="Body Text 3 Char"/>
    <w:basedOn w:val="DefaultParagraphFont"/>
    <w:link w:val="BodyText3"/>
    <w:rsid w:val="00BA0304"/>
    <w:rPr>
      <w:rFonts w:eastAsia="Times New Roman" w:cs="Times New Roman"/>
      <w:sz w:val="16"/>
      <w:szCs w:val="16"/>
    </w:rPr>
  </w:style>
  <w:style w:type="paragraph" w:styleId="Header">
    <w:name w:val="header"/>
    <w:basedOn w:val="Normal"/>
    <w:link w:val="HeaderChar"/>
    <w:uiPriority w:val="99"/>
    <w:unhideWhenUsed/>
    <w:rsid w:val="001A4F4E"/>
    <w:pPr>
      <w:tabs>
        <w:tab w:val="center" w:pos="4153"/>
        <w:tab w:val="right" w:pos="8306"/>
      </w:tabs>
    </w:pPr>
  </w:style>
  <w:style w:type="character" w:customStyle="1" w:styleId="HeaderChar">
    <w:name w:val="Header Char"/>
    <w:basedOn w:val="DefaultParagraphFont"/>
    <w:link w:val="Header"/>
    <w:uiPriority w:val="99"/>
    <w:rsid w:val="001A4F4E"/>
  </w:style>
  <w:style w:type="paragraph" w:styleId="Footer">
    <w:name w:val="footer"/>
    <w:basedOn w:val="Normal"/>
    <w:link w:val="FooterChar"/>
    <w:unhideWhenUsed/>
    <w:rsid w:val="001A4F4E"/>
    <w:pPr>
      <w:tabs>
        <w:tab w:val="center" w:pos="4153"/>
        <w:tab w:val="right" w:pos="8306"/>
      </w:tabs>
    </w:pPr>
  </w:style>
  <w:style w:type="character" w:customStyle="1" w:styleId="FooterChar">
    <w:name w:val="Footer Char"/>
    <w:basedOn w:val="DefaultParagraphFont"/>
    <w:link w:val="Footer"/>
    <w:rsid w:val="001A4F4E"/>
  </w:style>
  <w:style w:type="paragraph" w:styleId="EndnoteText">
    <w:name w:val="endnote text"/>
    <w:basedOn w:val="Normal"/>
    <w:link w:val="EndnoteTextChar"/>
    <w:uiPriority w:val="99"/>
    <w:semiHidden/>
    <w:unhideWhenUsed/>
    <w:rsid w:val="001A4F4E"/>
    <w:rPr>
      <w:sz w:val="20"/>
      <w:szCs w:val="20"/>
    </w:rPr>
  </w:style>
  <w:style w:type="character" w:customStyle="1" w:styleId="EndnoteTextChar">
    <w:name w:val="Endnote Text Char"/>
    <w:basedOn w:val="DefaultParagraphFont"/>
    <w:link w:val="EndnoteText"/>
    <w:uiPriority w:val="99"/>
    <w:semiHidden/>
    <w:rsid w:val="001A4F4E"/>
    <w:rPr>
      <w:sz w:val="20"/>
      <w:szCs w:val="20"/>
    </w:rPr>
  </w:style>
  <w:style w:type="character" w:styleId="EndnoteReference">
    <w:name w:val="endnote reference"/>
    <w:basedOn w:val="DefaultParagraphFont"/>
    <w:uiPriority w:val="99"/>
    <w:semiHidden/>
    <w:unhideWhenUsed/>
    <w:rsid w:val="001A4F4E"/>
    <w:rPr>
      <w:vertAlign w:val="superscript"/>
    </w:rPr>
  </w:style>
  <w:style w:type="paragraph" w:styleId="BalloonText">
    <w:name w:val="Balloon Text"/>
    <w:basedOn w:val="Normal"/>
    <w:link w:val="BalloonTextChar"/>
    <w:uiPriority w:val="99"/>
    <w:semiHidden/>
    <w:unhideWhenUsed/>
    <w:rsid w:val="00BD5D58"/>
    <w:rPr>
      <w:rFonts w:ascii="Tahoma" w:hAnsi="Tahoma" w:cs="Tahoma"/>
      <w:sz w:val="16"/>
      <w:szCs w:val="16"/>
    </w:rPr>
  </w:style>
  <w:style w:type="character" w:customStyle="1" w:styleId="BalloonTextChar">
    <w:name w:val="Balloon Text Char"/>
    <w:basedOn w:val="DefaultParagraphFont"/>
    <w:link w:val="BalloonText"/>
    <w:uiPriority w:val="99"/>
    <w:semiHidden/>
    <w:rsid w:val="00BD5D58"/>
    <w:rPr>
      <w:rFonts w:ascii="Tahoma" w:hAnsi="Tahoma" w:cs="Tahoma"/>
      <w:sz w:val="16"/>
      <w:szCs w:val="16"/>
    </w:rPr>
  </w:style>
  <w:style w:type="character" w:styleId="Hyperlink">
    <w:name w:val="Hyperlink"/>
    <w:uiPriority w:val="99"/>
    <w:unhideWhenUsed/>
    <w:rsid w:val="0026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305">
      <w:bodyDiv w:val="1"/>
      <w:marLeft w:val="0"/>
      <w:marRight w:val="0"/>
      <w:marTop w:val="0"/>
      <w:marBottom w:val="0"/>
      <w:divBdr>
        <w:top w:val="none" w:sz="0" w:space="0" w:color="auto"/>
        <w:left w:val="none" w:sz="0" w:space="0" w:color="auto"/>
        <w:bottom w:val="none" w:sz="0" w:space="0" w:color="auto"/>
        <w:right w:val="none" w:sz="0" w:space="0" w:color="auto"/>
      </w:divBdr>
    </w:div>
    <w:div w:id="658926566">
      <w:bodyDiv w:val="1"/>
      <w:marLeft w:val="0"/>
      <w:marRight w:val="0"/>
      <w:marTop w:val="0"/>
      <w:marBottom w:val="0"/>
      <w:divBdr>
        <w:top w:val="none" w:sz="0" w:space="0" w:color="auto"/>
        <w:left w:val="none" w:sz="0" w:space="0" w:color="auto"/>
        <w:bottom w:val="none" w:sz="0" w:space="0" w:color="auto"/>
        <w:right w:val="none" w:sz="0" w:space="0" w:color="auto"/>
      </w:divBdr>
    </w:div>
    <w:div w:id="21277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a.Kodolina-Migla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5E12-4BF1-4952-91C2-DADE1010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9612</Words>
  <Characters>5480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Informatīvais ziņojums par Pasākumu plāna ēnu ekonomikas apkarošanai un godīgas konkurences nodrošināšanai 2010.-2013.gadam 3.pasākuma – izvērtēt pastāvošos  iedzīvotāju ienākuma nodokļa atvieglojumus no to efektivitātes un nodokļu administrēšanas  viedok</vt:lpstr>
    </vt:vector>
  </TitlesOfParts>
  <Company>Finanšu ministrija</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Komentāri Informatīvā ziņojuma 1.tabulai „IIN minimālās un maksimālās likmes, neapliekamais minimums, darba ņēmēja un darba devēja VSAOI likmes 2010.gadā ES dalībvalstīs” (skat.8.lpp.)</dc:title>
  <dc:subject>1.pielikums</dc:subject>
  <dc:creator>I.Kodoliņa-Miglāne</dc:creator>
  <cp:keywords/>
  <dc:description>ieva.kodolina-miglane@fm.gov.lv
67083902</dc:description>
  <cp:lastModifiedBy>kc-siman</cp:lastModifiedBy>
  <cp:revision>9</cp:revision>
  <cp:lastPrinted>2011-07-07T07:43:00Z</cp:lastPrinted>
  <dcterms:created xsi:type="dcterms:W3CDTF">2011-06-15T07:21:00Z</dcterms:created>
  <dcterms:modified xsi:type="dcterms:W3CDTF">2011-07-08T12:28:00Z</dcterms:modified>
</cp:coreProperties>
</file>