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6956" w:rsidRDefault="000F6956" w:rsidP="002D62B9">
      <w:pPr>
        <w:ind w:firstLine="0"/>
        <w:jc w:val="right"/>
        <w:rPr>
          <w:b/>
          <w:sz w:val="56"/>
        </w:rPr>
      </w:pPr>
      <w:bookmarkStart w:id="0" w:name="_GoBack"/>
      <w:bookmarkEnd w:id="0"/>
    </w:p>
    <w:p w:rsidR="000F6956" w:rsidRDefault="000F6956" w:rsidP="002D62B9">
      <w:pPr>
        <w:ind w:firstLine="0"/>
        <w:jc w:val="left"/>
        <w:rPr>
          <w:b/>
          <w:sz w:val="56"/>
        </w:rPr>
      </w:pPr>
    </w:p>
    <w:p w:rsidR="000F6956" w:rsidRDefault="000F6956" w:rsidP="002D62B9">
      <w:pPr>
        <w:ind w:firstLine="0"/>
        <w:jc w:val="left"/>
        <w:rPr>
          <w:b/>
          <w:sz w:val="56"/>
        </w:rPr>
      </w:pPr>
    </w:p>
    <w:p w:rsidR="000F6956" w:rsidRDefault="000F6956" w:rsidP="002D62B9">
      <w:pPr>
        <w:ind w:firstLine="0"/>
        <w:jc w:val="left"/>
        <w:rPr>
          <w:b/>
          <w:sz w:val="56"/>
        </w:rPr>
      </w:pPr>
    </w:p>
    <w:p w:rsidR="000F6956" w:rsidRDefault="000F6956" w:rsidP="002D62B9">
      <w:pPr>
        <w:ind w:firstLine="0"/>
        <w:jc w:val="left"/>
        <w:rPr>
          <w:b/>
          <w:sz w:val="56"/>
        </w:rPr>
      </w:pPr>
    </w:p>
    <w:p w:rsidR="000F6956" w:rsidRDefault="000F6956" w:rsidP="002D62B9">
      <w:pPr>
        <w:ind w:firstLine="0"/>
        <w:jc w:val="left"/>
        <w:rPr>
          <w:b/>
          <w:sz w:val="56"/>
        </w:rPr>
      </w:pPr>
    </w:p>
    <w:p w:rsidR="000F6956" w:rsidRDefault="000F6956" w:rsidP="002D62B9">
      <w:pPr>
        <w:ind w:firstLine="0"/>
        <w:jc w:val="left"/>
        <w:rPr>
          <w:b/>
          <w:sz w:val="56"/>
        </w:rPr>
      </w:pPr>
    </w:p>
    <w:p w:rsidR="000F6956" w:rsidRDefault="000F6956" w:rsidP="002D62B9">
      <w:pPr>
        <w:ind w:firstLine="0"/>
        <w:jc w:val="left"/>
        <w:rPr>
          <w:b/>
          <w:sz w:val="56"/>
        </w:rPr>
      </w:pPr>
    </w:p>
    <w:p w:rsidR="000F6956" w:rsidRPr="009C61B1" w:rsidRDefault="000F6956" w:rsidP="002D62B9">
      <w:pPr>
        <w:ind w:firstLine="0"/>
        <w:jc w:val="left"/>
        <w:rPr>
          <w:b/>
          <w:sz w:val="56"/>
        </w:rPr>
      </w:pPr>
      <w:r w:rsidRPr="009C61B1">
        <w:rPr>
          <w:b/>
          <w:sz w:val="56"/>
        </w:rPr>
        <w:t>Latvijas</w:t>
      </w:r>
    </w:p>
    <w:p w:rsidR="000F6956" w:rsidRPr="009C61B1" w:rsidRDefault="000F6956" w:rsidP="002D62B9">
      <w:pPr>
        <w:ind w:firstLine="0"/>
        <w:jc w:val="left"/>
        <w:rPr>
          <w:b/>
          <w:sz w:val="56"/>
        </w:rPr>
      </w:pPr>
      <w:r w:rsidRPr="009C61B1">
        <w:rPr>
          <w:b/>
          <w:sz w:val="56"/>
        </w:rPr>
        <w:t>Konverģences programma</w:t>
      </w:r>
    </w:p>
    <w:p w:rsidR="00FF5AA6" w:rsidRDefault="00123163" w:rsidP="002D62B9">
      <w:pPr>
        <w:ind w:firstLine="0"/>
        <w:rPr>
          <w:b/>
          <w:sz w:val="56"/>
        </w:rPr>
      </w:pPr>
      <w:r>
        <w:rPr>
          <w:b/>
          <w:sz w:val="56"/>
        </w:rPr>
        <w:t>2012-2015</w:t>
      </w:r>
    </w:p>
    <w:p w:rsidR="000F6956" w:rsidRDefault="000F6956" w:rsidP="002D62B9">
      <w:pPr>
        <w:ind w:firstLine="0"/>
        <w:rPr>
          <w:b/>
          <w:sz w:val="56"/>
        </w:rPr>
      </w:pPr>
    </w:p>
    <w:p w:rsidR="000F6956" w:rsidRDefault="000F6956" w:rsidP="002D62B9">
      <w:pPr>
        <w:ind w:firstLine="0"/>
        <w:rPr>
          <w:b/>
          <w:sz w:val="56"/>
        </w:rPr>
      </w:pPr>
    </w:p>
    <w:p w:rsidR="00AC5072" w:rsidRDefault="00AC5072" w:rsidP="002D62B9">
      <w:pPr>
        <w:ind w:firstLine="0"/>
        <w:rPr>
          <w:b/>
          <w:sz w:val="56"/>
        </w:rPr>
      </w:pPr>
    </w:p>
    <w:p w:rsidR="00AC5072" w:rsidRDefault="00AC5072" w:rsidP="002D62B9">
      <w:pPr>
        <w:ind w:firstLine="0"/>
        <w:rPr>
          <w:b/>
          <w:sz w:val="56"/>
        </w:rPr>
      </w:pPr>
    </w:p>
    <w:p w:rsidR="00AC5072" w:rsidRDefault="00AC5072" w:rsidP="002D62B9">
      <w:pPr>
        <w:ind w:firstLine="0"/>
        <w:rPr>
          <w:b/>
          <w:sz w:val="56"/>
        </w:rPr>
      </w:pPr>
    </w:p>
    <w:p w:rsidR="00D9397F" w:rsidRDefault="00D9397F" w:rsidP="002D62B9">
      <w:pPr>
        <w:ind w:firstLine="0"/>
        <w:rPr>
          <w:b/>
          <w:sz w:val="56"/>
        </w:rPr>
      </w:pPr>
    </w:p>
    <w:p w:rsidR="000F6956" w:rsidRPr="009C61B1" w:rsidRDefault="000F6956" w:rsidP="002D62B9">
      <w:pPr>
        <w:jc w:val="left"/>
      </w:pPr>
    </w:p>
    <w:p w:rsidR="000F6956" w:rsidRPr="009C61B1" w:rsidRDefault="00123163" w:rsidP="002D62B9">
      <w:pPr>
        <w:pBdr>
          <w:top w:val="single" w:sz="4" w:space="4" w:color="auto"/>
        </w:pBdr>
        <w:ind w:firstLine="0"/>
        <w:jc w:val="left"/>
        <w:sectPr w:rsidR="000F6956" w:rsidRPr="009C61B1" w:rsidSect="00D9397F">
          <w:headerReference w:type="even" r:id="rId11"/>
          <w:headerReference w:type="default" r:id="rId12"/>
          <w:footerReference w:type="default" r:id="rId13"/>
          <w:headerReference w:type="first" r:id="rId14"/>
          <w:footerReference w:type="first" r:id="rId15"/>
          <w:pgSz w:w="11906" w:h="16838" w:code="9"/>
          <w:pgMar w:top="1418" w:right="1134" w:bottom="1134" w:left="1701" w:header="720" w:footer="0" w:gutter="0"/>
          <w:cols w:space="720"/>
          <w:titlePg/>
          <w:rtlGutter/>
          <w:docGrid w:linePitch="326"/>
        </w:sectPr>
      </w:pPr>
      <w:r>
        <w:t>2012</w:t>
      </w:r>
      <w:r w:rsidR="000F6956" w:rsidRPr="009C61B1">
        <w:t>. gada aprīlis</w:t>
      </w:r>
    </w:p>
    <w:p w:rsidR="00C53CDD" w:rsidRPr="009C61B1" w:rsidRDefault="00C53CDD" w:rsidP="002D62B9">
      <w:pPr>
        <w:ind w:firstLine="0"/>
        <w:rPr>
          <w:b/>
          <w:sz w:val="32"/>
        </w:rPr>
      </w:pPr>
      <w:bookmarkStart w:id="1" w:name="_Toc92091174"/>
      <w:bookmarkStart w:id="2" w:name="_Toc120504672"/>
      <w:bookmarkStart w:id="3" w:name="_Toc284924039"/>
      <w:r w:rsidRPr="009C61B1">
        <w:rPr>
          <w:b/>
          <w:sz w:val="32"/>
        </w:rPr>
        <w:lastRenderedPageBreak/>
        <w:t>Saturs</w:t>
      </w:r>
      <w:r w:rsidR="00D3627A">
        <w:rPr>
          <w:b/>
          <w:sz w:val="32"/>
        </w:rPr>
        <w:t xml:space="preserve"> </w:t>
      </w:r>
    </w:p>
    <w:p w:rsidR="0067268A" w:rsidRDefault="00283B8B">
      <w:pPr>
        <w:pStyle w:val="TOC1"/>
        <w:rPr>
          <w:rFonts w:asciiTheme="minorHAnsi" w:eastAsiaTheme="minorEastAsia" w:hAnsiTheme="minorHAnsi" w:cstheme="minorBidi"/>
          <w:noProof/>
          <w:sz w:val="22"/>
          <w:szCs w:val="22"/>
          <w:lang w:eastAsia="lv-LV"/>
        </w:rPr>
      </w:pPr>
      <w:r>
        <w:fldChar w:fldCharType="begin"/>
      </w:r>
      <w:r>
        <w:instrText xml:space="preserve"> TOC \o "1-3" \h \z \u </w:instrText>
      </w:r>
      <w:r>
        <w:fldChar w:fldCharType="separate"/>
      </w:r>
      <w:hyperlink w:anchor="_Toc323120271" w:history="1">
        <w:r w:rsidR="0067268A" w:rsidRPr="00183EAB">
          <w:rPr>
            <w:rStyle w:val="Hyperlink"/>
            <w:noProof/>
          </w:rPr>
          <w:t>1.</w:t>
        </w:r>
        <w:r w:rsidR="0067268A">
          <w:rPr>
            <w:rFonts w:asciiTheme="minorHAnsi" w:eastAsiaTheme="minorEastAsia" w:hAnsiTheme="minorHAnsi" w:cstheme="minorBidi"/>
            <w:noProof/>
            <w:sz w:val="22"/>
            <w:szCs w:val="22"/>
            <w:lang w:eastAsia="lv-LV"/>
          </w:rPr>
          <w:tab/>
        </w:r>
        <w:r w:rsidR="0067268A" w:rsidRPr="00183EAB">
          <w:rPr>
            <w:rStyle w:val="Hyperlink"/>
            <w:noProof/>
          </w:rPr>
          <w:t>Vispārējās ekonomiskās politikas vadlīnijas un mērķi</w:t>
        </w:r>
        <w:r w:rsidR="0067268A">
          <w:rPr>
            <w:noProof/>
            <w:webHidden/>
          </w:rPr>
          <w:tab/>
        </w:r>
        <w:r w:rsidR="0067268A">
          <w:rPr>
            <w:noProof/>
            <w:webHidden/>
          </w:rPr>
          <w:fldChar w:fldCharType="begin"/>
        </w:r>
        <w:r w:rsidR="0067268A">
          <w:rPr>
            <w:noProof/>
            <w:webHidden/>
          </w:rPr>
          <w:instrText xml:space="preserve"> PAGEREF _Toc323120271 \h </w:instrText>
        </w:r>
        <w:r w:rsidR="0067268A">
          <w:rPr>
            <w:noProof/>
            <w:webHidden/>
          </w:rPr>
        </w:r>
        <w:r w:rsidR="0067268A">
          <w:rPr>
            <w:noProof/>
            <w:webHidden/>
          </w:rPr>
          <w:fldChar w:fldCharType="separate"/>
        </w:r>
        <w:r w:rsidR="00B142BA">
          <w:rPr>
            <w:noProof/>
            <w:webHidden/>
          </w:rPr>
          <w:t>3</w:t>
        </w:r>
        <w:r w:rsidR="0067268A">
          <w:rPr>
            <w:noProof/>
            <w:webHidden/>
          </w:rPr>
          <w:fldChar w:fldCharType="end"/>
        </w:r>
      </w:hyperlink>
    </w:p>
    <w:p w:rsidR="0067268A" w:rsidRDefault="00BD6F38">
      <w:pPr>
        <w:pStyle w:val="TOC1"/>
        <w:rPr>
          <w:rFonts w:asciiTheme="minorHAnsi" w:eastAsiaTheme="minorEastAsia" w:hAnsiTheme="minorHAnsi" w:cstheme="minorBidi"/>
          <w:noProof/>
          <w:sz w:val="22"/>
          <w:szCs w:val="22"/>
          <w:lang w:eastAsia="lv-LV"/>
        </w:rPr>
      </w:pPr>
      <w:hyperlink w:anchor="_Toc323120272" w:history="1">
        <w:r w:rsidR="0067268A" w:rsidRPr="00183EAB">
          <w:rPr>
            <w:rStyle w:val="Hyperlink"/>
            <w:noProof/>
          </w:rPr>
          <w:t>2.</w:t>
        </w:r>
        <w:r w:rsidR="0067268A">
          <w:rPr>
            <w:rFonts w:asciiTheme="minorHAnsi" w:eastAsiaTheme="minorEastAsia" w:hAnsiTheme="minorHAnsi" w:cstheme="minorBidi"/>
            <w:noProof/>
            <w:sz w:val="22"/>
            <w:szCs w:val="22"/>
            <w:lang w:eastAsia="lv-LV"/>
          </w:rPr>
          <w:tab/>
        </w:r>
        <w:r w:rsidR="0067268A" w:rsidRPr="00183EAB">
          <w:rPr>
            <w:rStyle w:val="Hyperlink"/>
            <w:noProof/>
          </w:rPr>
          <w:t>Ekonomiskā situācija</w:t>
        </w:r>
        <w:r w:rsidR="0067268A">
          <w:rPr>
            <w:noProof/>
            <w:webHidden/>
          </w:rPr>
          <w:tab/>
        </w:r>
        <w:r w:rsidR="0067268A">
          <w:rPr>
            <w:noProof/>
            <w:webHidden/>
          </w:rPr>
          <w:fldChar w:fldCharType="begin"/>
        </w:r>
        <w:r w:rsidR="0067268A">
          <w:rPr>
            <w:noProof/>
            <w:webHidden/>
          </w:rPr>
          <w:instrText xml:space="preserve"> PAGEREF _Toc323120272 \h </w:instrText>
        </w:r>
        <w:r w:rsidR="0067268A">
          <w:rPr>
            <w:noProof/>
            <w:webHidden/>
          </w:rPr>
        </w:r>
        <w:r w:rsidR="0067268A">
          <w:rPr>
            <w:noProof/>
            <w:webHidden/>
          </w:rPr>
          <w:fldChar w:fldCharType="separate"/>
        </w:r>
        <w:r w:rsidR="00B142BA">
          <w:rPr>
            <w:noProof/>
            <w:webHidden/>
          </w:rPr>
          <w:t>6</w:t>
        </w:r>
        <w:r w:rsidR="0067268A">
          <w:rPr>
            <w:noProof/>
            <w:webHidden/>
          </w:rPr>
          <w:fldChar w:fldCharType="end"/>
        </w:r>
      </w:hyperlink>
    </w:p>
    <w:p w:rsidR="0067268A" w:rsidRDefault="00BD6F38">
      <w:pPr>
        <w:pStyle w:val="TOC2"/>
        <w:rPr>
          <w:rFonts w:asciiTheme="minorHAnsi" w:eastAsiaTheme="minorEastAsia" w:hAnsiTheme="minorHAnsi" w:cstheme="minorBidi"/>
          <w:noProof/>
          <w:sz w:val="22"/>
          <w:szCs w:val="22"/>
          <w:lang w:eastAsia="lv-LV"/>
        </w:rPr>
      </w:pPr>
      <w:hyperlink w:anchor="_Toc323120273" w:history="1">
        <w:r w:rsidR="0067268A" w:rsidRPr="00183EAB">
          <w:rPr>
            <w:rStyle w:val="Hyperlink"/>
            <w:noProof/>
          </w:rPr>
          <w:t>2.1. Pašreizējā ekonomiskā attīstība</w:t>
        </w:r>
        <w:r w:rsidR="0067268A">
          <w:rPr>
            <w:noProof/>
            <w:webHidden/>
          </w:rPr>
          <w:tab/>
        </w:r>
        <w:r w:rsidR="0067268A">
          <w:rPr>
            <w:noProof/>
            <w:webHidden/>
          </w:rPr>
          <w:fldChar w:fldCharType="begin"/>
        </w:r>
        <w:r w:rsidR="0067268A">
          <w:rPr>
            <w:noProof/>
            <w:webHidden/>
          </w:rPr>
          <w:instrText xml:space="preserve"> PAGEREF _Toc323120273 \h </w:instrText>
        </w:r>
        <w:r w:rsidR="0067268A">
          <w:rPr>
            <w:noProof/>
            <w:webHidden/>
          </w:rPr>
        </w:r>
        <w:r w:rsidR="0067268A">
          <w:rPr>
            <w:noProof/>
            <w:webHidden/>
          </w:rPr>
          <w:fldChar w:fldCharType="separate"/>
        </w:r>
        <w:r w:rsidR="00B142BA">
          <w:rPr>
            <w:noProof/>
            <w:webHidden/>
          </w:rPr>
          <w:t>6</w:t>
        </w:r>
        <w:r w:rsidR="0067268A">
          <w:rPr>
            <w:noProof/>
            <w:webHidden/>
          </w:rPr>
          <w:fldChar w:fldCharType="end"/>
        </w:r>
      </w:hyperlink>
    </w:p>
    <w:p w:rsidR="0067268A" w:rsidRDefault="00BD6F38">
      <w:pPr>
        <w:pStyle w:val="TOC2"/>
        <w:rPr>
          <w:rFonts w:asciiTheme="minorHAnsi" w:eastAsiaTheme="minorEastAsia" w:hAnsiTheme="minorHAnsi" w:cstheme="minorBidi"/>
          <w:noProof/>
          <w:sz w:val="22"/>
          <w:szCs w:val="22"/>
          <w:lang w:eastAsia="lv-LV"/>
        </w:rPr>
      </w:pPr>
      <w:hyperlink w:anchor="_Toc323120274" w:history="1">
        <w:r w:rsidR="0067268A" w:rsidRPr="00183EAB">
          <w:rPr>
            <w:rStyle w:val="Hyperlink"/>
            <w:noProof/>
          </w:rPr>
          <w:t>2.2. Makroekonomiskās attīstības scenārijs</w:t>
        </w:r>
        <w:r w:rsidR="0067268A">
          <w:rPr>
            <w:noProof/>
            <w:webHidden/>
          </w:rPr>
          <w:tab/>
        </w:r>
        <w:r w:rsidR="0067268A">
          <w:rPr>
            <w:noProof/>
            <w:webHidden/>
          </w:rPr>
          <w:fldChar w:fldCharType="begin"/>
        </w:r>
        <w:r w:rsidR="0067268A">
          <w:rPr>
            <w:noProof/>
            <w:webHidden/>
          </w:rPr>
          <w:instrText xml:space="preserve"> PAGEREF _Toc323120274 \h </w:instrText>
        </w:r>
        <w:r w:rsidR="0067268A">
          <w:rPr>
            <w:noProof/>
            <w:webHidden/>
          </w:rPr>
        </w:r>
        <w:r w:rsidR="0067268A">
          <w:rPr>
            <w:noProof/>
            <w:webHidden/>
          </w:rPr>
          <w:fldChar w:fldCharType="separate"/>
        </w:r>
        <w:r w:rsidR="00B142BA">
          <w:rPr>
            <w:noProof/>
            <w:webHidden/>
          </w:rPr>
          <w:t>8</w:t>
        </w:r>
        <w:r w:rsidR="0067268A">
          <w:rPr>
            <w:noProof/>
            <w:webHidden/>
          </w:rPr>
          <w:fldChar w:fldCharType="end"/>
        </w:r>
      </w:hyperlink>
    </w:p>
    <w:p w:rsidR="0067268A" w:rsidRDefault="00BD6F38">
      <w:pPr>
        <w:pStyle w:val="TOC3"/>
        <w:rPr>
          <w:rFonts w:asciiTheme="minorHAnsi" w:eastAsiaTheme="minorEastAsia" w:hAnsiTheme="minorHAnsi" w:cstheme="minorBidi"/>
          <w:noProof/>
          <w:sz w:val="22"/>
          <w:szCs w:val="22"/>
          <w:lang w:eastAsia="lv-LV"/>
        </w:rPr>
      </w:pPr>
      <w:hyperlink w:anchor="_Toc323120275" w:history="1">
        <w:r w:rsidR="0067268A" w:rsidRPr="00183EAB">
          <w:rPr>
            <w:rStyle w:val="Hyperlink"/>
            <w:noProof/>
          </w:rPr>
          <w:t>2.2.1. Reālais sektors</w:t>
        </w:r>
        <w:r w:rsidR="0067268A">
          <w:rPr>
            <w:noProof/>
            <w:webHidden/>
          </w:rPr>
          <w:tab/>
        </w:r>
        <w:r w:rsidR="0067268A">
          <w:rPr>
            <w:noProof/>
            <w:webHidden/>
          </w:rPr>
          <w:fldChar w:fldCharType="begin"/>
        </w:r>
        <w:r w:rsidR="0067268A">
          <w:rPr>
            <w:noProof/>
            <w:webHidden/>
          </w:rPr>
          <w:instrText xml:space="preserve"> PAGEREF _Toc323120275 \h </w:instrText>
        </w:r>
        <w:r w:rsidR="0067268A">
          <w:rPr>
            <w:noProof/>
            <w:webHidden/>
          </w:rPr>
        </w:r>
        <w:r w:rsidR="0067268A">
          <w:rPr>
            <w:noProof/>
            <w:webHidden/>
          </w:rPr>
          <w:fldChar w:fldCharType="separate"/>
        </w:r>
        <w:r w:rsidR="00B142BA">
          <w:rPr>
            <w:noProof/>
            <w:webHidden/>
          </w:rPr>
          <w:t>8</w:t>
        </w:r>
        <w:r w:rsidR="0067268A">
          <w:rPr>
            <w:noProof/>
            <w:webHidden/>
          </w:rPr>
          <w:fldChar w:fldCharType="end"/>
        </w:r>
      </w:hyperlink>
    </w:p>
    <w:p w:rsidR="0067268A" w:rsidRDefault="00BD6F38">
      <w:pPr>
        <w:pStyle w:val="TOC3"/>
        <w:rPr>
          <w:rFonts w:asciiTheme="minorHAnsi" w:eastAsiaTheme="minorEastAsia" w:hAnsiTheme="minorHAnsi" w:cstheme="minorBidi"/>
          <w:noProof/>
          <w:sz w:val="22"/>
          <w:szCs w:val="22"/>
          <w:lang w:eastAsia="lv-LV"/>
        </w:rPr>
      </w:pPr>
      <w:hyperlink w:anchor="_Toc323120276" w:history="1">
        <w:r w:rsidR="0067268A" w:rsidRPr="00183EAB">
          <w:rPr>
            <w:rStyle w:val="Hyperlink"/>
            <w:noProof/>
          </w:rPr>
          <w:t>2.2.2. Ārējais sektors</w:t>
        </w:r>
        <w:r w:rsidR="0067268A">
          <w:rPr>
            <w:noProof/>
            <w:webHidden/>
          </w:rPr>
          <w:tab/>
        </w:r>
        <w:r w:rsidR="0067268A">
          <w:rPr>
            <w:noProof/>
            <w:webHidden/>
          </w:rPr>
          <w:fldChar w:fldCharType="begin"/>
        </w:r>
        <w:r w:rsidR="0067268A">
          <w:rPr>
            <w:noProof/>
            <w:webHidden/>
          </w:rPr>
          <w:instrText xml:space="preserve"> PAGEREF _Toc323120276 \h </w:instrText>
        </w:r>
        <w:r w:rsidR="0067268A">
          <w:rPr>
            <w:noProof/>
            <w:webHidden/>
          </w:rPr>
        </w:r>
        <w:r w:rsidR="0067268A">
          <w:rPr>
            <w:noProof/>
            <w:webHidden/>
          </w:rPr>
          <w:fldChar w:fldCharType="separate"/>
        </w:r>
        <w:r w:rsidR="00B142BA">
          <w:rPr>
            <w:noProof/>
            <w:webHidden/>
          </w:rPr>
          <w:t>14</w:t>
        </w:r>
        <w:r w:rsidR="0067268A">
          <w:rPr>
            <w:noProof/>
            <w:webHidden/>
          </w:rPr>
          <w:fldChar w:fldCharType="end"/>
        </w:r>
      </w:hyperlink>
    </w:p>
    <w:p w:rsidR="0067268A" w:rsidRDefault="00BD6F38">
      <w:pPr>
        <w:pStyle w:val="TOC2"/>
        <w:rPr>
          <w:rFonts w:asciiTheme="minorHAnsi" w:eastAsiaTheme="minorEastAsia" w:hAnsiTheme="minorHAnsi" w:cstheme="minorBidi"/>
          <w:noProof/>
          <w:sz w:val="22"/>
          <w:szCs w:val="22"/>
          <w:lang w:eastAsia="lv-LV"/>
        </w:rPr>
      </w:pPr>
      <w:hyperlink w:anchor="_Toc323120277" w:history="1">
        <w:r w:rsidR="0067268A" w:rsidRPr="00183EAB">
          <w:rPr>
            <w:rStyle w:val="Hyperlink"/>
            <w:noProof/>
          </w:rPr>
          <w:t>2.3. Dalība Valūtas kursa mehānismā II</w:t>
        </w:r>
        <w:r w:rsidR="0067268A">
          <w:rPr>
            <w:noProof/>
            <w:webHidden/>
          </w:rPr>
          <w:tab/>
        </w:r>
        <w:r w:rsidR="0067268A">
          <w:rPr>
            <w:noProof/>
            <w:webHidden/>
          </w:rPr>
          <w:fldChar w:fldCharType="begin"/>
        </w:r>
        <w:r w:rsidR="0067268A">
          <w:rPr>
            <w:noProof/>
            <w:webHidden/>
          </w:rPr>
          <w:instrText xml:space="preserve"> PAGEREF _Toc323120277 \h </w:instrText>
        </w:r>
        <w:r w:rsidR="0067268A">
          <w:rPr>
            <w:noProof/>
            <w:webHidden/>
          </w:rPr>
        </w:r>
        <w:r w:rsidR="0067268A">
          <w:rPr>
            <w:noProof/>
            <w:webHidden/>
          </w:rPr>
          <w:fldChar w:fldCharType="separate"/>
        </w:r>
        <w:r w:rsidR="00B142BA">
          <w:rPr>
            <w:noProof/>
            <w:webHidden/>
          </w:rPr>
          <w:t>15</w:t>
        </w:r>
        <w:r w:rsidR="0067268A">
          <w:rPr>
            <w:noProof/>
            <w:webHidden/>
          </w:rPr>
          <w:fldChar w:fldCharType="end"/>
        </w:r>
      </w:hyperlink>
    </w:p>
    <w:p w:rsidR="0067268A" w:rsidRDefault="00BD6F38">
      <w:pPr>
        <w:pStyle w:val="TOC1"/>
        <w:rPr>
          <w:rFonts w:asciiTheme="minorHAnsi" w:eastAsiaTheme="minorEastAsia" w:hAnsiTheme="minorHAnsi" w:cstheme="minorBidi"/>
          <w:noProof/>
          <w:sz w:val="22"/>
          <w:szCs w:val="22"/>
          <w:lang w:eastAsia="lv-LV"/>
        </w:rPr>
      </w:pPr>
      <w:hyperlink w:anchor="_Toc323120278" w:history="1">
        <w:r w:rsidR="0067268A" w:rsidRPr="00183EAB">
          <w:rPr>
            <w:rStyle w:val="Hyperlink"/>
            <w:noProof/>
          </w:rPr>
          <w:t>3. Strukturālo reformu ietekme uz tautsaimniecību un valsts finansēm</w:t>
        </w:r>
        <w:r w:rsidR="0067268A">
          <w:rPr>
            <w:noProof/>
            <w:webHidden/>
          </w:rPr>
          <w:tab/>
        </w:r>
        <w:r w:rsidR="0067268A">
          <w:rPr>
            <w:noProof/>
            <w:webHidden/>
          </w:rPr>
          <w:fldChar w:fldCharType="begin"/>
        </w:r>
        <w:r w:rsidR="0067268A">
          <w:rPr>
            <w:noProof/>
            <w:webHidden/>
          </w:rPr>
          <w:instrText xml:space="preserve"> PAGEREF _Toc323120278 \h </w:instrText>
        </w:r>
        <w:r w:rsidR="0067268A">
          <w:rPr>
            <w:noProof/>
            <w:webHidden/>
          </w:rPr>
        </w:r>
        <w:r w:rsidR="0067268A">
          <w:rPr>
            <w:noProof/>
            <w:webHidden/>
          </w:rPr>
          <w:fldChar w:fldCharType="separate"/>
        </w:r>
        <w:r w:rsidR="00B142BA">
          <w:rPr>
            <w:noProof/>
            <w:webHidden/>
          </w:rPr>
          <w:t>18</w:t>
        </w:r>
        <w:r w:rsidR="0067268A">
          <w:rPr>
            <w:noProof/>
            <w:webHidden/>
          </w:rPr>
          <w:fldChar w:fldCharType="end"/>
        </w:r>
      </w:hyperlink>
    </w:p>
    <w:p w:rsidR="0067268A" w:rsidRDefault="00BD6F38">
      <w:pPr>
        <w:pStyle w:val="TOC3"/>
        <w:rPr>
          <w:rFonts w:asciiTheme="minorHAnsi" w:eastAsiaTheme="minorEastAsia" w:hAnsiTheme="minorHAnsi" w:cstheme="minorBidi"/>
          <w:noProof/>
          <w:sz w:val="22"/>
          <w:szCs w:val="22"/>
          <w:lang w:eastAsia="lv-LV"/>
        </w:rPr>
      </w:pPr>
      <w:hyperlink w:anchor="_Toc323120279" w:history="1">
        <w:r w:rsidR="0067268A" w:rsidRPr="00183EAB">
          <w:rPr>
            <w:rStyle w:val="Hyperlink"/>
            <w:noProof/>
          </w:rPr>
          <w:t>3.1. Finanšu stabilitāte</w:t>
        </w:r>
        <w:r w:rsidR="0067268A">
          <w:rPr>
            <w:noProof/>
            <w:webHidden/>
          </w:rPr>
          <w:tab/>
        </w:r>
        <w:r w:rsidR="0067268A">
          <w:rPr>
            <w:noProof/>
            <w:webHidden/>
          </w:rPr>
          <w:fldChar w:fldCharType="begin"/>
        </w:r>
        <w:r w:rsidR="0067268A">
          <w:rPr>
            <w:noProof/>
            <w:webHidden/>
          </w:rPr>
          <w:instrText xml:space="preserve"> PAGEREF _Toc323120279 \h </w:instrText>
        </w:r>
        <w:r w:rsidR="0067268A">
          <w:rPr>
            <w:noProof/>
            <w:webHidden/>
          </w:rPr>
        </w:r>
        <w:r w:rsidR="0067268A">
          <w:rPr>
            <w:noProof/>
            <w:webHidden/>
          </w:rPr>
          <w:fldChar w:fldCharType="separate"/>
        </w:r>
        <w:r w:rsidR="00B142BA">
          <w:rPr>
            <w:noProof/>
            <w:webHidden/>
          </w:rPr>
          <w:t>18</w:t>
        </w:r>
        <w:r w:rsidR="0067268A">
          <w:rPr>
            <w:noProof/>
            <w:webHidden/>
          </w:rPr>
          <w:fldChar w:fldCharType="end"/>
        </w:r>
      </w:hyperlink>
    </w:p>
    <w:p w:rsidR="0067268A" w:rsidRDefault="00BD6F38">
      <w:pPr>
        <w:pStyle w:val="TOC3"/>
        <w:rPr>
          <w:rFonts w:asciiTheme="minorHAnsi" w:eastAsiaTheme="minorEastAsia" w:hAnsiTheme="minorHAnsi" w:cstheme="minorBidi"/>
          <w:noProof/>
          <w:sz w:val="22"/>
          <w:szCs w:val="22"/>
          <w:lang w:eastAsia="lv-LV"/>
        </w:rPr>
      </w:pPr>
      <w:hyperlink w:anchor="_Toc323120280" w:history="1">
        <w:r w:rsidR="0067268A" w:rsidRPr="00183EAB">
          <w:rPr>
            <w:rStyle w:val="Hyperlink"/>
            <w:noProof/>
          </w:rPr>
          <w:t>3.2. Konkurētspējas veicināšana</w:t>
        </w:r>
        <w:r w:rsidR="0067268A">
          <w:rPr>
            <w:noProof/>
            <w:webHidden/>
          </w:rPr>
          <w:tab/>
        </w:r>
        <w:r w:rsidR="0067268A">
          <w:rPr>
            <w:noProof/>
            <w:webHidden/>
          </w:rPr>
          <w:fldChar w:fldCharType="begin"/>
        </w:r>
        <w:r w:rsidR="0067268A">
          <w:rPr>
            <w:noProof/>
            <w:webHidden/>
          </w:rPr>
          <w:instrText xml:space="preserve"> PAGEREF _Toc323120280 \h </w:instrText>
        </w:r>
        <w:r w:rsidR="0067268A">
          <w:rPr>
            <w:noProof/>
            <w:webHidden/>
          </w:rPr>
        </w:r>
        <w:r w:rsidR="0067268A">
          <w:rPr>
            <w:noProof/>
            <w:webHidden/>
          </w:rPr>
          <w:fldChar w:fldCharType="separate"/>
        </w:r>
        <w:r w:rsidR="00B142BA">
          <w:rPr>
            <w:noProof/>
            <w:webHidden/>
          </w:rPr>
          <w:t>19</w:t>
        </w:r>
        <w:r w:rsidR="0067268A">
          <w:rPr>
            <w:noProof/>
            <w:webHidden/>
          </w:rPr>
          <w:fldChar w:fldCharType="end"/>
        </w:r>
      </w:hyperlink>
    </w:p>
    <w:p w:rsidR="0067268A" w:rsidRDefault="00BD6F38">
      <w:pPr>
        <w:pStyle w:val="TOC3"/>
        <w:rPr>
          <w:rFonts w:asciiTheme="minorHAnsi" w:eastAsiaTheme="minorEastAsia" w:hAnsiTheme="minorHAnsi" w:cstheme="minorBidi"/>
          <w:noProof/>
          <w:sz w:val="22"/>
          <w:szCs w:val="22"/>
          <w:lang w:eastAsia="lv-LV"/>
        </w:rPr>
      </w:pPr>
      <w:hyperlink w:anchor="_Toc323120281" w:history="1">
        <w:r w:rsidR="0067268A" w:rsidRPr="00183EAB">
          <w:rPr>
            <w:rStyle w:val="Hyperlink"/>
            <w:noProof/>
          </w:rPr>
          <w:t>3.3. Sabalansēta sociālā sistēma un nodarbinātība</w:t>
        </w:r>
        <w:r w:rsidR="0067268A">
          <w:rPr>
            <w:noProof/>
            <w:webHidden/>
          </w:rPr>
          <w:tab/>
        </w:r>
        <w:r w:rsidR="0067268A">
          <w:rPr>
            <w:noProof/>
            <w:webHidden/>
          </w:rPr>
          <w:fldChar w:fldCharType="begin"/>
        </w:r>
        <w:r w:rsidR="0067268A">
          <w:rPr>
            <w:noProof/>
            <w:webHidden/>
          </w:rPr>
          <w:instrText xml:space="preserve"> PAGEREF _Toc323120281 \h </w:instrText>
        </w:r>
        <w:r w:rsidR="0067268A">
          <w:rPr>
            <w:noProof/>
            <w:webHidden/>
          </w:rPr>
        </w:r>
        <w:r w:rsidR="0067268A">
          <w:rPr>
            <w:noProof/>
            <w:webHidden/>
          </w:rPr>
          <w:fldChar w:fldCharType="separate"/>
        </w:r>
        <w:r w:rsidR="00B142BA">
          <w:rPr>
            <w:noProof/>
            <w:webHidden/>
          </w:rPr>
          <w:t>23</w:t>
        </w:r>
        <w:r w:rsidR="0067268A">
          <w:rPr>
            <w:noProof/>
            <w:webHidden/>
          </w:rPr>
          <w:fldChar w:fldCharType="end"/>
        </w:r>
      </w:hyperlink>
    </w:p>
    <w:p w:rsidR="0067268A" w:rsidRDefault="00BD6F38">
      <w:pPr>
        <w:pStyle w:val="TOC3"/>
        <w:rPr>
          <w:rFonts w:asciiTheme="minorHAnsi" w:eastAsiaTheme="minorEastAsia" w:hAnsiTheme="minorHAnsi" w:cstheme="minorBidi"/>
          <w:noProof/>
          <w:sz w:val="22"/>
          <w:szCs w:val="22"/>
          <w:lang w:eastAsia="lv-LV"/>
        </w:rPr>
      </w:pPr>
      <w:hyperlink w:anchor="_Toc323120282" w:history="1">
        <w:r w:rsidR="0067268A" w:rsidRPr="00183EAB">
          <w:rPr>
            <w:rStyle w:val="Hyperlink"/>
            <w:noProof/>
          </w:rPr>
          <w:t>3.4. Veselības aprūpe</w:t>
        </w:r>
        <w:r w:rsidR="0067268A">
          <w:rPr>
            <w:noProof/>
            <w:webHidden/>
          </w:rPr>
          <w:tab/>
        </w:r>
        <w:r w:rsidR="0067268A">
          <w:rPr>
            <w:noProof/>
            <w:webHidden/>
          </w:rPr>
          <w:fldChar w:fldCharType="begin"/>
        </w:r>
        <w:r w:rsidR="0067268A">
          <w:rPr>
            <w:noProof/>
            <w:webHidden/>
          </w:rPr>
          <w:instrText xml:space="preserve"> PAGEREF _Toc323120282 \h </w:instrText>
        </w:r>
        <w:r w:rsidR="0067268A">
          <w:rPr>
            <w:noProof/>
            <w:webHidden/>
          </w:rPr>
        </w:r>
        <w:r w:rsidR="0067268A">
          <w:rPr>
            <w:noProof/>
            <w:webHidden/>
          </w:rPr>
          <w:fldChar w:fldCharType="separate"/>
        </w:r>
        <w:r w:rsidR="00B142BA">
          <w:rPr>
            <w:noProof/>
            <w:webHidden/>
          </w:rPr>
          <w:t>24</w:t>
        </w:r>
        <w:r w:rsidR="0067268A">
          <w:rPr>
            <w:noProof/>
            <w:webHidden/>
          </w:rPr>
          <w:fldChar w:fldCharType="end"/>
        </w:r>
      </w:hyperlink>
    </w:p>
    <w:p w:rsidR="0067268A" w:rsidRDefault="00BD6F38">
      <w:pPr>
        <w:pStyle w:val="TOC3"/>
        <w:rPr>
          <w:rFonts w:asciiTheme="minorHAnsi" w:eastAsiaTheme="minorEastAsia" w:hAnsiTheme="minorHAnsi" w:cstheme="minorBidi"/>
          <w:noProof/>
          <w:sz w:val="22"/>
          <w:szCs w:val="22"/>
          <w:lang w:eastAsia="lv-LV"/>
        </w:rPr>
      </w:pPr>
      <w:hyperlink w:anchor="_Toc323120283" w:history="1">
        <w:r w:rsidR="0067268A" w:rsidRPr="00183EAB">
          <w:rPr>
            <w:rStyle w:val="Hyperlink"/>
            <w:noProof/>
          </w:rPr>
          <w:t>3.5. Izglītība un zinātne</w:t>
        </w:r>
        <w:r w:rsidR="0067268A">
          <w:rPr>
            <w:noProof/>
            <w:webHidden/>
          </w:rPr>
          <w:tab/>
        </w:r>
        <w:r w:rsidR="0067268A">
          <w:rPr>
            <w:noProof/>
            <w:webHidden/>
          </w:rPr>
          <w:fldChar w:fldCharType="begin"/>
        </w:r>
        <w:r w:rsidR="0067268A">
          <w:rPr>
            <w:noProof/>
            <w:webHidden/>
          </w:rPr>
          <w:instrText xml:space="preserve"> PAGEREF _Toc323120283 \h </w:instrText>
        </w:r>
        <w:r w:rsidR="0067268A">
          <w:rPr>
            <w:noProof/>
            <w:webHidden/>
          </w:rPr>
        </w:r>
        <w:r w:rsidR="0067268A">
          <w:rPr>
            <w:noProof/>
            <w:webHidden/>
          </w:rPr>
          <w:fldChar w:fldCharType="separate"/>
        </w:r>
        <w:r w:rsidR="00B142BA">
          <w:rPr>
            <w:noProof/>
            <w:webHidden/>
          </w:rPr>
          <w:t>25</w:t>
        </w:r>
        <w:r w:rsidR="0067268A">
          <w:rPr>
            <w:noProof/>
            <w:webHidden/>
          </w:rPr>
          <w:fldChar w:fldCharType="end"/>
        </w:r>
      </w:hyperlink>
    </w:p>
    <w:p w:rsidR="0067268A" w:rsidRDefault="00BD6F38">
      <w:pPr>
        <w:pStyle w:val="TOC1"/>
        <w:rPr>
          <w:rFonts w:asciiTheme="minorHAnsi" w:eastAsiaTheme="minorEastAsia" w:hAnsiTheme="minorHAnsi" w:cstheme="minorBidi"/>
          <w:noProof/>
          <w:sz w:val="22"/>
          <w:szCs w:val="22"/>
          <w:lang w:eastAsia="lv-LV"/>
        </w:rPr>
      </w:pPr>
      <w:hyperlink w:anchor="_Toc323120284" w:history="1">
        <w:r w:rsidR="0067268A" w:rsidRPr="00183EAB">
          <w:rPr>
            <w:rStyle w:val="Hyperlink"/>
            <w:noProof/>
          </w:rPr>
          <w:t>4.</w:t>
        </w:r>
        <w:r w:rsidR="0067268A">
          <w:rPr>
            <w:rFonts w:asciiTheme="minorHAnsi" w:eastAsiaTheme="minorEastAsia" w:hAnsiTheme="minorHAnsi" w:cstheme="minorBidi"/>
            <w:noProof/>
            <w:sz w:val="22"/>
            <w:szCs w:val="22"/>
            <w:lang w:eastAsia="lv-LV"/>
          </w:rPr>
          <w:tab/>
        </w:r>
        <w:r w:rsidR="0067268A" w:rsidRPr="00183EAB">
          <w:rPr>
            <w:rStyle w:val="Hyperlink"/>
            <w:noProof/>
          </w:rPr>
          <w:t>Vispārējās valdības budžeta bilance un parāds</w:t>
        </w:r>
        <w:r w:rsidR="0067268A">
          <w:rPr>
            <w:noProof/>
            <w:webHidden/>
          </w:rPr>
          <w:tab/>
        </w:r>
        <w:r w:rsidR="0067268A">
          <w:rPr>
            <w:noProof/>
            <w:webHidden/>
          </w:rPr>
          <w:fldChar w:fldCharType="begin"/>
        </w:r>
        <w:r w:rsidR="0067268A">
          <w:rPr>
            <w:noProof/>
            <w:webHidden/>
          </w:rPr>
          <w:instrText xml:space="preserve"> PAGEREF _Toc323120284 \h </w:instrText>
        </w:r>
        <w:r w:rsidR="0067268A">
          <w:rPr>
            <w:noProof/>
            <w:webHidden/>
          </w:rPr>
        </w:r>
        <w:r w:rsidR="0067268A">
          <w:rPr>
            <w:noProof/>
            <w:webHidden/>
          </w:rPr>
          <w:fldChar w:fldCharType="separate"/>
        </w:r>
        <w:r w:rsidR="00B142BA">
          <w:rPr>
            <w:noProof/>
            <w:webHidden/>
          </w:rPr>
          <w:t>27</w:t>
        </w:r>
        <w:r w:rsidR="0067268A">
          <w:rPr>
            <w:noProof/>
            <w:webHidden/>
          </w:rPr>
          <w:fldChar w:fldCharType="end"/>
        </w:r>
      </w:hyperlink>
    </w:p>
    <w:p w:rsidR="0067268A" w:rsidRDefault="00BD6F38">
      <w:pPr>
        <w:pStyle w:val="TOC2"/>
        <w:rPr>
          <w:rFonts w:asciiTheme="minorHAnsi" w:eastAsiaTheme="minorEastAsia" w:hAnsiTheme="minorHAnsi" w:cstheme="minorBidi"/>
          <w:noProof/>
          <w:sz w:val="22"/>
          <w:szCs w:val="22"/>
          <w:lang w:eastAsia="lv-LV"/>
        </w:rPr>
      </w:pPr>
      <w:hyperlink w:anchor="_Toc323120285" w:history="1">
        <w:r w:rsidR="0067268A" w:rsidRPr="00183EAB">
          <w:rPr>
            <w:rStyle w:val="Hyperlink"/>
            <w:noProof/>
          </w:rPr>
          <w:t>4.1. Pašreizējā fiskālā situācija</w:t>
        </w:r>
        <w:r w:rsidR="0067268A">
          <w:rPr>
            <w:noProof/>
            <w:webHidden/>
          </w:rPr>
          <w:tab/>
        </w:r>
        <w:r w:rsidR="0067268A">
          <w:rPr>
            <w:noProof/>
            <w:webHidden/>
          </w:rPr>
          <w:fldChar w:fldCharType="begin"/>
        </w:r>
        <w:r w:rsidR="0067268A">
          <w:rPr>
            <w:noProof/>
            <w:webHidden/>
          </w:rPr>
          <w:instrText xml:space="preserve"> PAGEREF _Toc323120285 \h </w:instrText>
        </w:r>
        <w:r w:rsidR="0067268A">
          <w:rPr>
            <w:noProof/>
            <w:webHidden/>
          </w:rPr>
        </w:r>
        <w:r w:rsidR="0067268A">
          <w:rPr>
            <w:noProof/>
            <w:webHidden/>
          </w:rPr>
          <w:fldChar w:fldCharType="separate"/>
        </w:r>
        <w:r w:rsidR="00B142BA">
          <w:rPr>
            <w:noProof/>
            <w:webHidden/>
          </w:rPr>
          <w:t>27</w:t>
        </w:r>
        <w:r w:rsidR="0067268A">
          <w:rPr>
            <w:noProof/>
            <w:webHidden/>
          </w:rPr>
          <w:fldChar w:fldCharType="end"/>
        </w:r>
      </w:hyperlink>
    </w:p>
    <w:p w:rsidR="0067268A" w:rsidRDefault="00BD6F38">
      <w:pPr>
        <w:pStyle w:val="TOC2"/>
        <w:rPr>
          <w:rFonts w:asciiTheme="minorHAnsi" w:eastAsiaTheme="minorEastAsia" w:hAnsiTheme="minorHAnsi" w:cstheme="minorBidi"/>
          <w:noProof/>
          <w:sz w:val="22"/>
          <w:szCs w:val="22"/>
          <w:lang w:eastAsia="lv-LV"/>
        </w:rPr>
      </w:pPr>
      <w:hyperlink w:anchor="_Toc323120286" w:history="1">
        <w:r w:rsidR="0067268A" w:rsidRPr="00183EAB">
          <w:rPr>
            <w:rStyle w:val="Hyperlink"/>
            <w:noProof/>
          </w:rPr>
          <w:t>4.2. Fiskālās attīstības scenārijs</w:t>
        </w:r>
        <w:r w:rsidR="0067268A">
          <w:rPr>
            <w:noProof/>
            <w:webHidden/>
          </w:rPr>
          <w:tab/>
        </w:r>
        <w:r w:rsidR="0067268A">
          <w:rPr>
            <w:noProof/>
            <w:webHidden/>
          </w:rPr>
          <w:fldChar w:fldCharType="begin"/>
        </w:r>
        <w:r w:rsidR="0067268A">
          <w:rPr>
            <w:noProof/>
            <w:webHidden/>
          </w:rPr>
          <w:instrText xml:space="preserve"> PAGEREF _Toc323120286 \h </w:instrText>
        </w:r>
        <w:r w:rsidR="0067268A">
          <w:rPr>
            <w:noProof/>
            <w:webHidden/>
          </w:rPr>
        </w:r>
        <w:r w:rsidR="0067268A">
          <w:rPr>
            <w:noProof/>
            <w:webHidden/>
          </w:rPr>
          <w:fldChar w:fldCharType="separate"/>
        </w:r>
        <w:r w:rsidR="00B142BA">
          <w:rPr>
            <w:noProof/>
            <w:webHidden/>
          </w:rPr>
          <w:t>29</w:t>
        </w:r>
        <w:r w:rsidR="0067268A">
          <w:rPr>
            <w:noProof/>
            <w:webHidden/>
          </w:rPr>
          <w:fldChar w:fldCharType="end"/>
        </w:r>
      </w:hyperlink>
    </w:p>
    <w:p w:rsidR="0067268A" w:rsidRDefault="00BD6F38">
      <w:pPr>
        <w:pStyle w:val="TOC2"/>
        <w:rPr>
          <w:rFonts w:asciiTheme="minorHAnsi" w:eastAsiaTheme="minorEastAsia" w:hAnsiTheme="minorHAnsi" w:cstheme="minorBidi"/>
          <w:noProof/>
          <w:sz w:val="22"/>
          <w:szCs w:val="22"/>
          <w:lang w:eastAsia="lv-LV"/>
        </w:rPr>
      </w:pPr>
      <w:hyperlink w:anchor="_Toc323120287" w:history="1">
        <w:r w:rsidR="0067268A" w:rsidRPr="00183EAB">
          <w:rPr>
            <w:rStyle w:val="Hyperlink"/>
            <w:noProof/>
          </w:rPr>
          <w:t>4.3. Vidēja termiņa mērķis un strukturālā bilance</w:t>
        </w:r>
        <w:r w:rsidR="0067268A">
          <w:rPr>
            <w:noProof/>
            <w:webHidden/>
          </w:rPr>
          <w:tab/>
        </w:r>
        <w:r w:rsidR="0067268A">
          <w:rPr>
            <w:noProof/>
            <w:webHidden/>
          </w:rPr>
          <w:fldChar w:fldCharType="begin"/>
        </w:r>
        <w:r w:rsidR="0067268A">
          <w:rPr>
            <w:noProof/>
            <w:webHidden/>
          </w:rPr>
          <w:instrText xml:space="preserve"> PAGEREF _Toc323120287 \h </w:instrText>
        </w:r>
        <w:r w:rsidR="0067268A">
          <w:rPr>
            <w:noProof/>
            <w:webHidden/>
          </w:rPr>
        </w:r>
        <w:r w:rsidR="0067268A">
          <w:rPr>
            <w:noProof/>
            <w:webHidden/>
          </w:rPr>
          <w:fldChar w:fldCharType="separate"/>
        </w:r>
        <w:r w:rsidR="00B142BA">
          <w:rPr>
            <w:noProof/>
            <w:webHidden/>
          </w:rPr>
          <w:t>35</w:t>
        </w:r>
        <w:r w:rsidR="0067268A">
          <w:rPr>
            <w:noProof/>
            <w:webHidden/>
          </w:rPr>
          <w:fldChar w:fldCharType="end"/>
        </w:r>
      </w:hyperlink>
    </w:p>
    <w:p w:rsidR="0067268A" w:rsidRDefault="00BD6F38">
      <w:pPr>
        <w:pStyle w:val="TOC2"/>
        <w:rPr>
          <w:rFonts w:asciiTheme="minorHAnsi" w:eastAsiaTheme="minorEastAsia" w:hAnsiTheme="minorHAnsi" w:cstheme="minorBidi"/>
          <w:noProof/>
          <w:sz w:val="22"/>
          <w:szCs w:val="22"/>
          <w:lang w:eastAsia="lv-LV"/>
        </w:rPr>
      </w:pPr>
      <w:hyperlink w:anchor="_Toc323120288" w:history="1">
        <w:r w:rsidR="0067268A" w:rsidRPr="00183EAB">
          <w:rPr>
            <w:rStyle w:val="Hyperlink"/>
            <w:noProof/>
          </w:rPr>
          <w:t>4.4. Valdības parāda vidējā termiņa attīstības tendences</w:t>
        </w:r>
        <w:r w:rsidR="0067268A">
          <w:rPr>
            <w:noProof/>
            <w:webHidden/>
          </w:rPr>
          <w:tab/>
        </w:r>
        <w:r w:rsidR="0067268A">
          <w:rPr>
            <w:noProof/>
            <w:webHidden/>
          </w:rPr>
          <w:fldChar w:fldCharType="begin"/>
        </w:r>
        <w:r w:rsidR="0067268A">
          <w:rPr>
            <w:noProof/>
            <w:webHidden/>
          </w:rPr>
          <w:instrText xml:space="preserve"> PAGEREF _Toc323120288 \h </w:instrText>
        </w:r>
        <w:r w:rsidR="0067268A">
          <w:rPr>
            <w:noProof/>
            <w:webHidden/>
          </w:rPr>
        </w:r>
        <w:r w:rsidR="0067268A">
          <w:rPr>
            <w:noProof/>
            <w:webHidden/>
          </w:rPr>
          <w:fldChar w:fldCharType="separate"/>
        </w:r>
        <w:r w:rsidR="00B142BA">
          <w:rPr>
            <w:noProof/>
            <w:webHidden/>
          </w:rPr>
          <w:t>37</w:t>
        </w:r>
        <w:r w:rsidR="0067268A">
          <w:rPr>
            <w:noProof/>
            <w:webHidden/>
          </w:rPr>
          <w:fldChar w:fldCharType="end"/>
        </w:r>
      </w:hyperlink>
    </w:p>
    <w:p w:rsidR="0067268A" w:rsidRDefault="00BD6F38">
      <w:pPr>
        <w:pStyle w:val="TOC1"/>
        <w:rPr>
          <w:rFonts w:asciiTheme="minorHAnsi" w:eastAsiaTheme="minorEastAsia" w:hAnsiTheme="minorHAnsi" w:cstheme="minorBidi"/>
          <w:noProof/>
          <w:sz w:val="22"/>
          <w:szCs w:val="22"/>
          <w:lang w:eastAsia="lv-LV"/>
        </w:rPr>
      </w:pPr>
      <w:hyperlink w:anchor="_Toc323120289" w:history="1">
        <w:r w:rsidR="0067268A" w:rsidRPr="00183EAB">
          <w:rPr>
            <w:rStyle w:val="Hyperlink"/>
            <w:noProof/>
          </w:rPr>
          <w:t>5.</w:t>
        </w:r>
        <w:r w:rsidR="0067268A">
          <w:rPr>
            <w:rFonts w:asciiTheme="minorHAnsi" w:eastAsiaTheme="minorEastAsia" w:hAnsiTheme="minorHAnsi" w:cstheme="minorBidi"/>
            <w:noProof/>
            <w:sz w:val="22"/>
            <w:szCs w:val="22"/>
            <w:lang w:eastAsia="lv-LV"/>
          </w:rPr>
          <w:tab/>
        </w:r>
        <w:r w:rsidR="0067268A" w:rsidRPr="00183EAB">
          <w:rPr>
            <w:rStyle w:val="Hyperlink"/>
            <w:noProof/>
          </w:rPr>
          <w:t>Jutīguma analīze un salīdzinājums</w:t>
        </w:r>
        <w:r w:rsidR="0067268A">
          <w:rPr>
            <w:noProof/>
            <w:webHidden/>
          </w:rPr>
          <w:tab/>
        </w:r>
        <w:r w:rsidR="0067268A">
          <w:rPr>
            <w:noProof/>
            <w:webHidden/>
          </w:rPr>
          <w:fldChar w:fldCharType="begin"/>
        </w:r>
        <w:r w:rsidR="0067268A">
          <w:rPr>
            <w:noProof/>
            <w:webHidden/>
          </w:rPr>
          <w:instrText xml:space="preserve"> PAGEREF _Toc323120289 \h </w:instrText>
        </w:r>
        <w:r w:rsidR="0067268A">
          <w:rPr>
            <w:noProof/>
            <w:webHidden/>
          </w:rPr>
        </w:r>
        <w:r w:rsidR="0067268A">
          <w:rPr>
            <w:noProof/>
            <w:webHidden/>
          </w:rPr>
          <w:fldChar w:fldCharType="separate"/>
        </w:r>
        <w:r w:rsidR="00B142BA">
          <w:rPr>
            <w:noProof/>
            <w:webHidden/>
          </w:rPr>
          <w:t>40</w:t>
        </w:r>
        <w:r w:rsidR="0067268A">
          <w:rPr>
            <w:noProof/>
            <w:webHidden/>
          </w:rPr>
          <w:fldChar w:fldCharType="end"/>
        </w:r>
      </w:hyperlink>
    </w:p>
    <w:p w:rsidR="0067268A" w:rsidRDefault="00BD6F38">
      <w:pPr>
        <w:pStyle w:val="TOC2"/>
        <w:rPr>
          <w:rFonts w:asciiTheme="minorHAnsi" w:eastAsiaTheme="minorEastAsia" w:hAnsiTheme="minorHAnsi" w:cstheme="minorBidi"/>
          <w:noProof/>
          <w:sz w:val="22"/>
          <w:szCs w:val="22"/>
          <w:lang w:eastAsia="lv-LV"/>
        </w:rPr>
      </w:pPr>
      <w:hyperlink w:anchor="_Toc323120290" w:history="1">
        <w:r w:rsidR="0067268A" w:rsidRPr="00183EAB">
          <w:rPr>
            <w:rStyle w:val="Hyperlink"/>
            <w:noProof/>
          </w:rPr>
          <w:t>5.1. Makroekonomiskā scenārija riski</w:t>
        </w:r>
        <w:r w:rsidR="0067268A">
          <w:rPr>
            <w:noProof/>
            <w:webHidden/>
          </w:rPr>
          <w:tab/>
        </w:r>
        <w:r w:rsidR="0067268A">
          <w:rPr>
            <w:noProof/>
            <w:webHidden/>
          </w:rPr>
          <w:fldChar w:fldCharType="begin"/>
        </w:r>
        <w:r w:rsidR="0067268A">
          <w:rPr>
            <w:noProof/>
            <w:webHidden/>
          </w:rPr>
          <w:instrText xml:space="preserve"> PAGEREF _Toc323120290 \h </w:instrText>
        </w:r>
        <w:r w:rsidR="0067268A">
          <w:rPr>
            <w:noProof/>
            <w:webHidden/>
          </w:rPr>
        </w:r>
        <w:r w:rsidR="0067268A">
          <w:rPr>
            <w:noProof/>
            <w:webHidden/>
          </w:rPr>
          <w:fldChar w:fldCharType="separate"/>
        </w:r>
        <w:r w:rsidR="00B142BA">
          <w:rPr>
            <w:noProof/>
            <w:webHidden/>
          </w:rPr>
          <w:t>40</w:t>
        </w:r>
        <w:r w:rsidR="0067268A">
          <w:rPr>
            <w:noProof/>
            <w:webHidden/>
          </w:rPr>
          <w:fldChar w:fldCharType="end"/>
        </w:r>
      </w:hyperlink>
    </w:p>
    <w:p w:rsidR="0067268A" w:rsidRDefault="00BD6F38">
      <w:pPr>
        <w:pStyle w:val="TOC2"/>
        <w:rPr>
          <w:rFonts w:asciiTheme="minorHAnsi" w:eastAsiaTheme="minorEastAsia" w:hAnsiTheme="minorHAnsi" w:cstheme="minorBidi"/>
          <w:noProof/>
          <w:sz w:val="22"/>
          <w:szCs w:val="22"/>
          <w:lang w:eastAsia="lv-LV"/>
        </w:rPr>
      </w:pPr>
      <w:hyperlink w:anchor="_Toc323120291" w:history="1">
        <w:r w:rsidR="0067268A" w:rsidRPr="00183EAB">
          <w:rPr>
            <w:rStyle w:val="Hyperlink"/>
            <w:noProof/>
          </w:rPr>
          <w:t>5.2. Jutīguma analīze</w:t>
        </w:r>
        <w:r w:rsidR="0067268A">
          <w:rPr>
            <w:noProof/>
            <w:webHidden/>
          </w:rPr>
          <w:tab/>
        </w:r>
        <w:r w:rsidR="0067268A">
          <w:rPr>
            <w:noProof/>
            <w:webHidden/>
          </w:rPr>
          <w:fldChar w:fldCharType="begin"/>
        </w:r>
        <w:r w:rsidR="0067268A">
          <w:rPr>
            <w:noProof/>
            <w:webHidden/>
          </w:rPr>
          <w:instrText xml:space="preserve"> PAGEREF _Toc323120291 \h </w:instrText>
        </w:r>
        <w:r w:rsidR="0067268A">
          <w:rPr>
            <w:noProof/>
            <w:webHidden/>
          </w:rPr>
        </w:r>
        <w:r w:rsidR="0067268A">
          <w:rPr>
            <w:noProof/>
            <w:webHidden/>
          </w:rPr>
          <w:fldChar w:fldCharType="separate"/>
        </w:r>
        <w:r w:rsidR="00B142BA">
          <w:rPr>
            <w:noProof/>
            <w:webHidden/>
          </w:rPr>
          <w:t>42</w:t>
        </w:r>
        <w:r w:rsidR="0067268A">
          <w:rPr>
            <w:noProof/>
            <w:webHidden/>
          </w:rPr>
          <w:fldChar w:fldCharType="end"/>
        </w:r>
      </w:hyperlink>
    </w:p>
    <w:p w:rsidR="0067268A" w:rsidRDefault="00BD6F38">
      <w:pPr>
        <w:pStyle w:val="TOC1"/>
        <w:rPr>
          <w:rFonts w:asciiTheme="minorHAnsi" w:eastAsiaTheme="minorEastAsia" w:hAnsiTheme="minorHAnsi" w:cstheme="minorBidi"/>
          <w:noProof/>
          <w:sz w:val="22"/>
          <w:szCs w:val="22"/>
          <w:lang w:eastAsia="lv-LV"/>
        </w:rPr>
      </w:pPr>
      <w:hyperlink w:anchor="_Toc323120292" w:history="1">
        <w:r w:rsidR="0067268A" w:rsidRPr="00183EAB">
          <w:rPr>
            <w:rStyle w:val="Hyperlink"/>
            <w:noProof/>
          </w:rPr>
          <w:t>6. Salīdzinājums ar Latvijas Konverģences programmu 2011. – 2014. gadam</w:t>
        </w:r>
        <w:r w:rsidR="0067268A">
          <w:rPr>
            <w:noProof/>
            <w:webHidden/>
          </w:rPr>
          <w:tab/>
        </w:r>
        <w:r w:rsidR="0067268A">
          <w:rPr>
            <w:noProof/>
            <w:webHidden/>
          </w:rPr>
          <w:fldChar w:fldCharType="begin"/>
        </w:r>
        <w:r w:rsidR="0067268A">
          <w:rPr>
            <w:noProof/>
            <w:webHidden/>
          </w:rPr>
          <w:instrText xml:space="preserve"> PAGEREF _Toc323120292 \h </w:instrText>
        </w:r>
        <w:r w:rsidR="0067268A">
          <w:rPr>
            <w:noProof/>
            <w:webHidden/>
          </w:rPr>
        </w:r>
        <w:r w:rsidR="0067268A">
          <w:rPr>
            <w:noProof/>
            <w:webHidden/>
          </w:rPr>
          <w:fldChar w:fldCharType="separate"/>
        </w:r>
        <w:r w:rsidR="00B142BA">
          <w:rPr>
            <w:noProof/>
            <w:webHidden/>
          </w:rPr>
          <w:t>44</w:t>
        </w:r>
        <w:r w:rsidR="0067268A">
          <w:rPr>
            <w:noProof/>
            <w:webHidden/>
          </w:rPr>
          <w:fldChar w:fldCharType="end"/>
        </w:r>
      </w:hyperlink>
    </w:p>
    <w:p w:rsidR="0067268A" w:rsidRDefault="00BD6F38">
      <w:pPr>
        <w:pStyle w:val="TOC2"/>
        <w:rPr>
          <w:rFonts w:asciiTheme="minorHAnsi" w:eastAsiaTheme="minorEastAsia" w:hAnsiTheme="minorHAnsi" w:cstheme="minorBidi"/>
          <w:noProof/>
          <w:sz w:val="22"/>
          <w:szCs w:val="22"/>
          <w:lang w:eastAsia="lv-LV"/>
        </w:rPr>
      </w:pPr>
      <w:hyperlink w:anchor="_Toc323120293" w:history="1">
        <w:r w:rsidR="0067268A" w:rsidRPr="00183EAB">
          <w:rPr>
            <w:rStyle w:val="Hyperlink"/>
            <w:noProof/>
          </w:rPr>
          <w:t>6.1. Vispārējās valdības budžeta bilances un parāda prognožu salīdzinājums</w:t>
        </w:r>
        <w:r w:rsidR="0067268A">
          <w:rPr>
            <w:noProof/>
            <w:webHidden/>
          </w:rPr>
          <w:tab/>
        </w:r>
        <w:r w:rsidR="0067268A">
          <w:rPr>
            <w:noProof/>
            <w:webHidden/>
          </w:rPr>
          <w:fldChar w:fldCharType="begin"/>
        </w:r>
        <w:r w:rsidR="0067268A">
          <w:rPr>
            <w:noProof/>
            <w:webHidden/>
          </w:rPr>
          <w:instrText xml:space="preserve"> PAGEREF _Toc323120293 \h </w:instrText>
        </w:r>
        <w:r w:rsidR="0067268A">
          <w:rPr>
            <w:noProof/>
            <w:webHidden/>
          </w:rPr>
        </w:r>
        <w:r w:rsidR="0067268A">
          <w:rPr>
            <w:noProof/>
            <w:webHidden/>
          </w:rPr>
          <w:fldChar w:fldCharType="separate"/>
        </w:r>
        <w:r w:rsidR="00B142BA">
          <w:rPr>
            <w:noProof/>
            <w:webHidden/>
          </w:rPr>
          <w:t>44</w:t>
        </w:r>
        <w:r w:rsidR="0067268A">
          <w:rPr>
            <w:noProof/>
            <w:webHidden/>
          </w:rPr>
          <w:fldChar w:fldCharType="end"/>
        </w:r>
      </w:hyperlink>
    </w:p>
    <w:p w:rsidR="0067268A" w:rsidRDefault="00BD6F38">
      <w:pPr>
        <w:pStyle w:val="TOC2"/>
        <w:rPr>
          <w:rFonts w:asciiTheme="minorHAnsi" w:eastAsiaTheme="minorEastAsia" w:hAnsiTheme="minorHAnsi" w:cstheme="minorBidi"/>
          <w:noProof/>
          <w:sz w:val="22"/>
          <w:szCs w:val="22"/>
          <w:lang w:eastAsia="lv-LV"/>
        </w:rPr>
      </w:pPr>
      <w:hyperlink w:anchor="_Toc323120294" w:history="1">
        <w:r w:rsidR="0067268A" w:rsidRPr="00183EAB">
          <w:rPr>
            <w:rStyle w:val="Hyperlink"/>
            <w:noProof/>
          </w:rPr>
          <w:t>6.2. Latvijas rīcība attiecībā uz ES Padomes ieteikumu ieviešanu</w:t>
        </w:r>
        <w:r w:rsidR="0067268A">
          <w:rPr>
            <w:noProof/>
            <w:webHidden/>
          </w:rPr>
          <w:tab/>
        </w:r>
        <w:r w:rsidR="0067268A">
          <w:rPr>
            <w:noProof/>
            <w:webHidden/>
          </w:rPr>
          <w:fldChar w:fldCharType="begin"/>
        </w:r>
        <w:r w:rsidR="0067268A">
          <w:rPr>
            <w:noProof/>
            <w:webHidden/>
          </w:rPr>
          <w:instrText xml:space="preserve"> PAGEREF _Toc323120294 \h </w:instrText>
        </w:r>
        <w:r w:rsidR="0067268A">
          <w:rPr>
            <w:noProof/>
            <w:webHidden/>
          </w:rPr>
        </w:r>
        <w:r w:rsidR="0067268A">
          <w:rPr>
            <w:noProof/>
            <w:webHidden/>
          </w:rPr>
          <w:fldChar w:fldCharType="separate"/>
        </w:r>
        <w:r w:rsidR="00B142BA">
          <w:rPr>
            <w:noProof/>
            <w:webHidden/>
          </w:rPr>
          <w:t>45</w:t>
        </w:r>
        <w:r w:rsidR="0067268A">
          <w:rPr>
            <w:noProof/>
            <w:webHidden/>
          </w:rPr>
          <w:fldChar w:fldCharType="end"/>
        </w:r>
      </w:hyperlink>
    </w:p>
    <w:p w:rsidR="0067268A" w:rsidRDefault="00BD6F38">
      <w:pPr>
        <w:pStyle w:val="TOC1"/>
        <w:rPr>
          <w:rFonts w:asciiTheme="minorHAnsi" w:eastAsiaTheme="minorEastAsia" w:hAnsiTheme="minorHAnsi" w:cstheme="minorBidi"/>
          <w:noProof/>
          <w:sz w:val="22"/>
          <w:szCs w:val="22"/>
          <w:lang w:eastAsia="lv-LV"/>
        </w:rPr>
      </w:pPr>
      <w:hyperlink w:anchor="_Toc323120295" w:history="1">
        <w:r w:rsidR="0067268A" w:rsidRPr="00183EAB">
          <w:rPr>
            <w:rStyle w:val="Hyperlink"/>
            <w:noProof/>
          </w:rPr>
          <w:t>7.</w:t>
        </w:r>
        <w:r w:rsidR="0067268A">
          <w:rPr>
            <w:rFonts w:asciiTheme="minorHAnsi" w:eastAsiaTheme="minorEastAsia" w:hAnsiTheme="minorHAnsi" w:cstheme="minorBidi"/>
            <w:noProof/>
            <w:sz w:val="22"/>
            <w:szCs w:val="22"/>
            <w:lang w:eastAsia="lv-LV"/>
          </w:rPr>
          <w:tab/>
        </w:r>
        <w:r w:rsidR="0067268A" w:rsidRPr="00183EAB">
          <w:rPr>
            <w:rStyle w:val="Hyperlink"/>
            <w:noProof/>
          </w:rPr>
          <w:t>Valsts finanšu kvalitāte</w:t>
        </w:r>
        <w:r w:rsidR="0067268A">
          <w:rPr>
            <w:noProof/>
            <w:webHidden/>
          </w:rPr>
          <w:tab/>
        </w:r>
        <w:r w:rsidR="0067268A">
          <w:rPr>
            <w:noProof/>
            <w:webHidden/>
          </w:rPr>
          <w:fldChar w:fldCharType="begin"/>
        </w:r>
        <w:r w:rsidR="0067268A">
          <w:rPr>
            <w:noProof/>
            <w:webHidden/>
          </w:rPr>
          <w:instrText xml:space="preserve"> PAGEREF _Toc323120295 \h </w:instrText>
        </w:r>
        <w:r w:rsidR="0067268A">
          <w:rPr>
            <w:noProof/>
            <w:webHidden/>
          </w:rPr>
        </w:r>
        <w:r w:rsidR="0067268A">
          <w:rPr>
            <w:noProof/>
            <w:webHidden/>
          </w:rPr>
          <w:fldChar w:fldCharType="separate"/>
        </w:r>
        <w:r w:rsidR="00B142BA">
          <w:rPr>
            <w:noProof/>
            <w:webHidden/>
          </w:rPr>
          <w:t>54</w:t>
        </w:r>
        <w:r w:rsidR="0067268A">
          <w:rPr>
            <w:noProof/>
            <w:webHidden/>
          </w:rPr>
          <w:fldChar w:fldCharType="end"/>
        </w:r>
      </w:hyperlink>
    </w:p>
    <w:p w:rsidR="0067268A" w:rsidRDefault="00BD6F38">
      <w:pPr>
        <w:pStyle w:val="TOC2"/>
        <w:rPr>
          <w:rFonts w:asciiTheme="minorHAnsi" w:eastAsiaTheme="minorEastAsia" w:hAnsiTheme="minorHAnsi" w:cstheme="minorBidi"/>
          <w:noProof/>
          <w:sz w:val="22"/>
          <w:szCs w:val="22"/>
          <w:lang w:eastAsia="lv-LV"/>
        </w:rPr>
      </w:pPr>
      <w:hyperlink w:anchor="_Toc323120296" w:history="1">
        <w:r w:rsidR="0067268A" w:rsidRPr="00183EAB">
          <w:rPr>
            <w:rStyle w:val="Hyperlink"/>
            <w:noProof/>
          </w:rPr>
          <w:t>7.1. Valsts budžeta līdzekļu efektivitāte un izlietojuma kontrole</w:t>
        </w:r>
        <w:r w:rsidR="0067268A">
          <w:rPr>
            <w:noProof/>
            <w:webHidden/>
          </w:rPr>
          <w:tab/>
        </w:r>
        <w:r w:rsidR="0067268A">
          <w:rPr>
            <w:noProof/>
            <w:webHidden/>
          </w:rPr>
          <w:fldChar w:fldCharType="begin"/>
        </w:r>
        <w:r w:rsidR="0067268A">
          <w:rPr>
            <w:noProof/>
            <w:webHidden/>
          </w:rPr>
          <w:instrText xml:space="preserve"> PAGEREF _Toc323120296 \h </w:instrText>
        </w:r>
        <w:r w:rsidR="0067268A">
          <w:rPr>
            <w:noProof/>
            <w:webHidden/>
          </w:rPr>
        </w:r>
        <w:r w:rsidR="0067268A">
          <w:rPr>
            <w:noProof/>
            <w:webHidden/>
          </w:rPr>
          <w:fldChar w:fldCharType="separate"/>
        </w:r>
        <w:r w:rsidR="00B142BA">
          <w:rPr>
            <w:noProof/>
            <w:webHidden/>
          </w:rPr>
          <w:t>54</w:t>
        </w:r>
        <w:r w:rsidR="0067268A">
          <w:rPr>
            <w:noProof/>
            <w:webHidden/>
          </w:rPr>
          <w:fldChar w:fldCharType="end"/>
        </w:r>
      </w:hyperlink>
    </w:p>
    <w:p w:rsidR="0067268A" w:rsidRDefault="00BD6F38">
      <w:pPr>
        <w:pStyle w:val="TOC2"/>
        <w:rPr>
          <w:rFonts w:asciiTheme="minorHAnsi" w:eastAsiaTheme="minorEastAsia" w:hAnsiTheme="minorHAnsi" w:cstheme="minorBidi"/>
          <w:noProof/>
          <w:sz w:val="22"/>
          <w:szCs w:val="22"/>
          <w:lang w:eastAsia="lv-LV"/>
        </w:rPr>
      </w:pPr>
      <w:hyperlink w:anchor="_Toc323120297" w:history="1">
        <w:r w:rsidR="0067268A" w:rsidRPr="00183EAB">
          <w:rPr>
            <w:rStyle w:val="Hyperlink"/>
            <w:noProof/>
          </w:rPr>
          <w:t>7.2. Ieņēmumu struktūras un sistēmas efektivitāte</w:t>
        </w:r>
        <w:r w:rsidR="0067268A">
          <w:rPr>
            <w:noProof/>
            <w:webHidden/>
          </w:rPr>
          <w:tab/>
        </w:r>
        <w:r w:rsidR="0067268A">
          <w:rPr>
            <w:noProof/>
            <w:webHidden/>
          </w:rPr>
          <w:fldChar w:fldCharType="begin"/>
        </w:r>
        <w:r w:rsidR="0067268A">
          <w:rPr>
            <w:noProof/>
            <w:webHidden/>
          </w:rPr>
          <w:instrText xml:space="preserve"> PAGEREF _Toc323120297 \h </w:instrText>
        </w:r>
        <w:r w:rsidR="0067268A">
          <w:rPr>
            <w:noProof/>
            <w:webHidden/>
          </w:rPr>
        </w:r>
        <w:r w:rsidR="0067268A">
          <w:rPr>
            <w:noProof/>
            <w:webHidden/>
          </w:rPr>
          <w:fldChar w:fldCharType="separate"/>
        </w:r>
        <w:r w:rsidR="00B142BA">
          <w:rPr>
            <w:noProof/>
            <w:webHidden/>
          </w:rPr>
          <w:t>56</w:t>
        </w:r>
        <w:r w:rsidR="0067268A">
          <w:rPr>
            <w:noProof/>
            <w:webHidden/>
          </w:rPr>
          <w:fldChar w:fldCharType="end"/>
        </w:r>
      </w:hyperlink>
    </w:p>
    <w:p w:rsidR="0067268A" w:rsidRDefault="00BD6F38">
      <w:pPr>
        <w:pStyle w:val="TOC1"/>
        <w:rPr>
          <w:rFonts w:asciiTheme="minorHAnsi" w:eastAsiaTheme="minorEastAsia" w:hAnsiTheme="minorHAnsi" w:cstheme="minorBidi"/>
          <w:noProof/>
          <w:sz w:val="22"/>
          <w:szCs w:val="22"/>
          <w:lang w:eastAsia="lv-LV"/>
        </w:rPr>
      </w:pPr>
      <w:hyperlink w:anchor="_Toc323120298" w:history="1">
        <w:r w:rsidR="0067268A" w:rsidRPr="00183EAB">
          <w:rPr>
            <w:rStyle w:val="Hyperlink"/>
            <w:noProof/>
          </w:rPr>
          <w:t>8.</w:t>
        </w:r>
        <w:r w:rsidR="0067268A">
          <w:rPr>
            <w:rFonts w:asciiTheme="minorHAnsi" w:eastAsiaTheme="minorEastAsia" w:hAnsiTheme="minorHAnsi" w:cstheme="minorBidi"/>
            <w:noProof/>
            <w:sz w:val="22"/>
            <w:szCs w:val="22"/>
            <w:lang w:eastAsia="lv-LV"/>
          </w:rPr>
          <w:tab/>
        </w:r>
        <w:r w:rsidR="0067268A" w:rsidRPr="00183EAB">
          <w:rPr>
            <w:rStyle w:val="Hyperlink"/>
            <w:noProof/>
          </w:rPr>
          <w:t>Valsts finanšu ilgtspēja</w:t>
        </w:r>
        <w:r w:rsidR="0067268A">
          <w:rPr>
            <w:noProof/>
            <w:webHidden/>
          </w:rPr>
          <w:tab/>
        </w:r>
        <w:r w:rsidR="0067268A">
          <w:rPr>
            <w:noProof/>
            <w:webHidden/>
          </w:rPr>
          <w:fldChar w:fldCharType="begin"/>
        </w:r>
        <w:r w:rsidR="0067268A">
          <w:rPr>
            <w:noProof/>
            <w:webHidden/>
          </w:rPr>
          <w:instrText xml:space="preserve"> PAGEREF _Toc323120298 \h </w:instrText>
        </w:r>
        <w:r w:rsidR="0067268A">
          <w:rPr>
            <w:noProof/>
            <w:webHidden/>
          </w:rPr>
        </w:r>
        <w:r w:rsidR="0067268A">
          <w:rPr>
            <w:noProof/>
            <w:webHidden/>
          </w:rPr>
          <w:fldChar w:fldCharType="separate"/>
        </w:r>
        <w:r w:rsidR="00B142BA">
          <w:rPr>
            <w:noProof/>
            <w:webHidden/>
          </w:rPr>
          <w:t>64</w:t>
        </w:r>
        <w:r w:rsidR="0067268A">
          <w:rPr>
            <w:noProof/>
            <w:webHidden/>
          </w:rPr>
          <w:fldChar w:fldCharType="end"/>
        </w:r>
      </w:hyperlink>
    </w:p>
    <w:p w:rsidR="0067268A" w:rsidRDefault="00BD6F38">
      <w:pPr>
        <w:pStyle w:val="TOC3"/>
        <w:rPr>
          <w:rFonts w:asciiTheme="minorHAnsi" w:eastAsiaTheme="minorEastAsia" w:hAnsiTheme="minorHAnsi" w:cstheme="minorBidi"/>
          <w:noProof/>
          <w:sz w:val="22"/>
          <w:szCs w:val="22"/>
          <w:lang w:eastAsia="lv-LV"/>
        </w:rPr>
      </w:pPr>
      <w:hyperlink w:anchor="_Toc323120299" w:history="1">
        <w:r w:rsidR="0067268A" w:rsidRPr="00183EAB">
          <w:rPr>
            <w:rStyle w:val="Hyperlink"/>
            <w:noProof/>
          </w:rPr>
          <w:t>8.1. Budžeta ilgtermiņa prognozes</w:t>
        </w:r>
        <w:r w:rsidR="0067268A">
          <w:rPr>
            <w:noProof/>
            <w:webHidden/>
          </w:rPr>
          <w:tab/>
        </w:r>
        <w:r w:rsidR="0067268A">
          <w:rPr>
            <w:noProof/>
            <w:webHidden/>
          </w:rPr>
          <w:fldChar w:fldCharType="begin"/>
        </w:r>
        <w:r w:rsidR="0067268A">
          <w:rPr>
            <w:noProof/>
            <w:webHidden/>
          </w:rPr>
          <w:instrText xml:space="preserve"> PAGEREF _Toc323120299 \h </w:instrText>
        </w:r>
        <w:r w:rsidR="0067268A">
          <w:rPr>
            <w:noProof/>
            <w:webHidden/>
          </w:rPr>
        </w:r>
        <w:r w:rsidR="0067268A">
          <w:rPr>
            <w:noProof/>
            <w:webHidden/>
          </w:rPr>
          <w:fldChar w:fldCharType="separate"/>
        </w:r>
        <w:r w:rsidR="00B142BA">
          <w:rPr>
            <w:noProof/>
            <w:webHidden/>
          </w:rPr>
          <w:t>64</w:t>
        </w:r>
        <w:r w:rsidR="0067268A">
          <w:rPr>
            <w:noProof/>
            <w:webHidden/>
          </w:rPr>
          <w:fldChar w:fldCharType="end"/>
        </w:r>
      </w:hyperlink>
    </w:p>
    <w:p w:rsidR="0067268A" w:rsidRDefault="00BD6F38">
      <w:pPr>
        <w:pStyle w:val="TOC3"/>
        <w:rPr>
          <w:rFonts w:asciiTheme="minorHAnsi" w:eastAsiaTheme="minorEastAsia" w:hAnsiTheme="minorHAnsi" w:cstheme="minorBidi"/>
          <w:noProof/>
          <w:sz w:val="22"/>
          <w:szCs w:val="22"/>
          <w:lang w:eastAsia="lv-LV"/>
        </w:rPr>
      </w:pPr>
      <w:hyperlink w:anchor="_Toc323120300" w:history="1">
        <w:r w:rsidR="0067268A" w:rsidRPr="00183EAB">
          <w:rPr>
            <w:rStyle w:val="Hyperlink"/>
            <w:noProof/>
          </w:rPr>
          <w:t>8.2. Valsts sniegtie galvojumi</w:t>
        </w:r>
        <w:r w:rsidR="0067268A">
          <w:rPr>
            <w:noProof/>
            <w:webHidden/>
          </w:rPr>
          <w:tab/>
        </w:r>
        <w:r w:rsidR="0067268A">
          <w:rPr>
            <w:noProof/>
            <w:webHidden/>
          </w:rPr>
          <w:fldChar w:fldCharType="begin"/>
        </w:r>
        <w:r w:rsidR="0067268A">
          <w:rPr>
            <w:noProof/>
            <w:webHidden/>
          </w:rPr>
          <w:instrText xml:space="preserve"> PAGEREF _Toc323120300 \h </w:instrText>
        </w:r>
        <w:r w:rsidR="0067268A">
          <w:rPr>
            <w:noProof/>
            <w:webHidden/>
          </w:rPr>
        </w:r>
        <w:r w:rsidR="0067268A">
          <w:rPr>
            <w:noProof/>
            <w:webHidden/>
          </w:rPr>
          <w:fldChar w:fldCharType="separate"/>
        </w:r>
        <w:r w:rsidR="00B142BA">
          <w:rPr>
            <w:noProof/>
            <w:webHidden/>
          </w:rPr>
          <w:t>68</w:t>
        </w:r>
        <w:r w:rsidR="0067268A">
          <w:rPr>
            <w:noProof/>
            <w:webHidden/>
          </w:rPr>
          <w:fldChar w:fldCharType="end"/>
        </w:r>
      </w:hyperlink>
    </w:p>
    <w:p w:rsidR="0067268A" w:rsidRDefault="00BD6F38">
      <w:pPr>
        <w:pStyle w:val="TOC1"/>
        <w:rPr>
          <w:rFonts w:asciiTheme="minorHAnsi" w:eastAsiaTheme="minorEastAsia" w:hAnsiTheme="minorHAnsi" w:cstheme="minorBidi"/>
          <w:noProof/>
          <w:sz w:val="22"/>
          <w:szCs w:val="22"/>
          <w:lang w:eastAsia="lv-LV"/>
        </w:rPr>
      </w:pPr>
      <w:hyperlink w:anchor="_Toc323120301" w:history="1">
        <w:r w:rsidR="0067268A" w:rsidRPr="00183EAB">
          <w:rPr>
            <w:rStyle w:val="Hyperlink"/>
            <w:noProof/>
          </w:rPr>
          <w:t>9.</w:t>
        </w:r>
        <w:r w:rsidR="0067268A">
          <w:rPr>
            <w:rFonts w:asciiTheme="minorHAnsi" w:eastAsiaTheme="minorEastAsia" w:hAnsiTheme="minorHAnsi" w:cstheme="minorBidi"/>
            <w:noProof/>
            <w:sz w:val="22"/>
            <w:szCs w:val="22"/>
            <w:lang w:eastAsia="lv-LV"/>
          </w:rPr>
          <w:tab/>
        </w:r>
        <w:r w:rsidR="0067268A" w:rsidRPr="00183EAB">
          <w:rPr>
            <w:rStyle w:val="Hyperlink"/>
            <w:noProof/>
          </w:rPr>
          <w:t>Valsts finanšu institucionālās iezīmes</w:t>
        </w:r>
        <w:r w:rsidR="0067268A">
          <w:rPr>
            <w:noProof/>
            <w:webHidden/>
          </w:rPr>
          <w:tab/>
        </w:r>
        <w:r w:rsidR="0067268A">
          <w:rPr>
            <w:noProof/>
            <w:webHidden/>
          </w:rPr>
          <w:fldChar w:fldCharType="begin"/>
        </w:r>
        <w:r w:rsidR="0067268A">
          <w:rPr>
            <w:noProof/>
            <w:webHidden/>
          </w:rPr>
          <w:instrText xml:space="preserve"> PAGEREF _Toc323120301 \h </w:instrText>
        </w:r>
        <w:r w:rsidR="0067268A">
          <w:rPr>
            <w:noProof/>
            <w:webHidden/>
          </w:rPr>
        </w:r>
        <w:r w:rsidR="0067268A">
          <w:rPr>
            <w:noProof/>
            <w:webHidden/>
          </w:rPr>
          <w:fldChar w:fldCharType="separate"/>
        </w:r>
        <w:r w:rsidR="00B142BA">
          <w:rPr>
            <w:noProof/>
            <w:webHidden/>
          </w:rPr>
          <w:t>70</w:t>
        </w:r>
        <w:r w:rsidR="0067268A">
          <w:rPr>
            <w:noProof/>
            <w:webHidden/>
          </w:rPr>
          <w:fldChar w:fldCharType="end"/>
        </w:r>
      </w:hyperlink>
    </w:p>
    <w:p w:rsidR="0067268A" w:rsidRDefault="00BD6F38">
      <w:pPr>
        <w:pStyle w:val="TOC2"/>
        <w:rPr>
          <w:rFonts w:asciiTheme="minorHAnsi" w:eastAsiaTheme="minorEastAsia" w:hAnsiTheme="minorHAnsi" w:cstheme="minorBidi"/>
          <w:noProof/>
          <w:sz w:val="22"/>
          <w:szCs w:val="22"/>
          <w:lang w:eastAsia="lv-LV"/>
        </w:rPr>
      </w:pPr>
      <w:hyperlink w:anchor="_Toc323120302" w:history="1">
        <w:r w:rsidR="0067268A" w:rsidRPr="00183EAB">
          <w:rPr>
            <w:rStyle w:val="Hyperlink"/>
            <w:noProof/>
          </w:rPr>
          <w:t>9.1. Valsts budžeta noteikumu ieviešana</w:t>
        </w:r>
        <w:r w:rsidR="0067268A">
          <w:rPr>
            <w:noProof/>
            <w:webHidden/>
          </w:rPr>
          <w:tab/>
        </w:r>
        <w:r w:rsidR="0067268A">
          <w:rPr>
            <w:noProof/>
            <w:webHidden/>
          </w:rPr>
          <w:fldChar w:fldCharType="begin"/>
        </w:r>
        <w:r w:rsidR="0067268A">
          <w:rPr>
            <w:noProof/>
            <w:webHidden/>
          </w:rPr>
          <w:instrText xml:space="preserve"> PAGEREF _Toc323120302 \h </w:instrText>
        </w:r>
        <w:r w:rsidR="0067268A">
          <w:rPr>
            <w:noProof/>
            <w:webHidden/>
          </w:rPr>
        </w:r>
        <w:r w:rsidR="0067268A">
          <w:rPr>
            <w:noProof/>
            <w:webHidden/>
          </w:rPr>
          <w:fldChar w:fldCharType="separate"/>
        </w:r>
        <w:r w:rsidR="00B142BA">
          <w:rPr>
            <w:noProof/>
            <w:webHidden/>
          </w:rPr>
          <w:t>70</w:t>
        </w:r>
        <w:r w:rsidR="0067268A">
          <w:rPr>
            <w:noProof/>
            <w:webHidden/>
          </w:rPr>
          <w:fldChar w:fldCharType="end"/>
        </w:r>
      </w:hyperlink>
    </w:p>
    <w:p w:rsidR="0067268A" w:rsidRDefault="00BD6F38">
      <w:pPr>
        <w:pStyle w:val="TOC2"/>
        <w:rPr>
          <w:rFonts w:asciiTheme="minorHAnsi" w:eastAsiaTheme="minorEastAsia" w:hAnsiTheme="minorHAnsi" w:cstheme="minorBidi"/>
          <w:noProof/>
          <w:sz w:val="22"/>
          <w:szCs w:val="22"/>
          <w:lang w:eastAsia="lv-LV"/>
        </w:rPr>
      </w:pPr>
      <w:hyperlink w:anchor="_Toc323120303" w:history="1">
        <w:r w:rsidR="0067268A" w:rsidRPr="00183EAB">
          <w:rPr>
            <w:rStyle w:val="Hyperlink"/>
            <w:noProof/>
          </w:rPr>
          <w:t>9.2. Budžeta procedūras, t.sk. valsts finanšu statistikas pārvalde</w:t>
        </w:r>
        <w:r w:rsidR="0067268A">
          <w:rPr>
            <w:noProof/>
            <w:webHidden/>
          </w:rPr>
          <w:tab/>
        </w:r>
        <w:r w:rsidR="0067268A">
          <w:rPr>
            <w:noProof/>
            <w:webHidden/>
          </w:rPr>
          <w:fldChar w:fldCharType="begin"/>
        </w:r>
        <w:r w:rsidR="0067268A">
          <w:rPr>
            <w:noProof/>
            <w:webHidden/>
          </w:rPr>
          <w:instrText xml:space="preserve"> PAGEREF _Toc323120303 \h </w:instrText>
        </w:r>
        <w:r w:rsidR="0067268A">
          <w:rPr>
            <w:noProof/>
            <w:webHidden/>
          </w:rPr>
        </w:r>
        <w:r w:rsidR="0067268A">
          <w:rPr>
            <w:noProof/>
            <w:webHidden/>
          </w:rPr>
          <w:fldChar w:fldCharType="separate"/>
        </w:r>
        <w:r w:rsidR="00B142BA">
          <w:rPr>
            <w:noProof/>
            <w:webHidden/>
          </w:rPr>
          <w:t>71</w:t>
        </w:r>
        <w:r w:rsidR="0067268A">
          <w:rPr>
            <w:noProof/>
            <w:webHidden/>
          </w:rPr>
          <w:fldChar w:fldCharType="end"/>
        </w:r>
      </w:hyperlink>
    </w:p>
    <w:p w:rsidR="0067268A" w:rsidRDefault="00BD6F38">
      <w:pPr>
        <w:pStyle w:val="TOC3"/>
        <w:rPr>
          <w:rFonts w:asciiTheme="minorHAnsi" w:eastAsiaTheme="minorEastAsia" w:hAnsiTheme="minorHAnsi" w:cstheme="minorBidi"/>
          <w:noProof/>
          <w:sz w:val="22"/>
          <w:szCs w:val="22"/>
          <w:lang w:eastAsia="lv-LV"/>
        </w:rPr>
      </w:pPr>
      <w:hyperlink w:anchor="_Toc323120304" w:history="1">
        <w:r w:rsidR="0067268A" w:rsidRPr="00183EAB">
          <w:rPr>
            <w:rStyle w:val="Hyperlink"/>
            <w:noProof/>
          </w:rPr>
          <w:t>9.2.1. Budžeta procedūras</w:t>
        </w:r>
        <w:r w:rsidR="0067268A">
          <w:rPr>
            <w:noProof/>
            <w:webHidden/>
          </w:rPr>
          <w:tab/>
        </w:r>
        <w:r w:rsidR="0067268A">
          <w:rPr>
            <w:noProof/>
            <w:webHidden/>
          </w:rPr>
          <w:fldChar w:fldCharType="begin"/>
        </w:r>
        <w:r w:rsidR="0067268A">
          <w:rPr>
            <w:noProof/>
            <w:webHidden/>
          </w:rPr>
          <w:instrText xml:space="preserve"> PAGEREF _Toc323120304 \h </w:instrText>
        </w:r>
        <w:r w:rsidR="0067268A">
          <w:rPr>
            <w:noProof/>
            <w:webHidden/>
          </w:rPr>
        </w:r>
        <w:r w:rsidR="0067268A">
          <w:rPr>
            <w:noProof/>
            <w:webHidden/>
          </w:rPr>
          <w:fldChar w:fldCharType="separate"/>
        </w:r>
        <w:r w:rsidR="00B142BA">
          <w:rPr>
            <w:noProof/>
            <w:webHidden/>
          </w:rPr>
          <w:t>71</w:t>
        </w:r>
        <w:r w:rsidR="0067268A">
          <w:rPr>
            <w:noProof/>
            <w:webHidden/>
          </w:rPr>
          <w:fldChar w:fldCharType="end"/>
        </w:r>
      </w:hyperlink>
    </w:p>
    <w:p w:rsidR="0067268A" w:rsidRDefault="00BD6F38">
      <w:pPr>
        <w:pStyle w:val="TOC3"/>
        <w:rPr>
          <w:rFonts w:asciiTheme="minorHAnsi" w:eastAsiaTheme="minorEastAsia" w:hAnsiTheme="minorHAnsi" w:cstheme="minorBidi"/>
          <w:noProof/>
          <w:sz w:val="22"/>
          <w:szCs w:val="22"/>
          <w:lang w:eastAsia="lv-LV"/>
        </w:rPr>
      </w:pPr>
      <w:hyperlink w:anchor="_Toc323120305" w:history="1">
        <w:r w:rsidR="0067268A" w:rsidRPr="00183EAB">
          <w:rPr>
            <w:rStyle w:val="Hyperlink"/>
            <w:noProof/>
          </w:rPr>
          <w:t>9.2.2. Valsts finanšu statistikas pārvaldība</w:t>
        </w:r>
        <w:r w:rsidR="0067268A">
          <w:rPr>
            <w:noProof/>
            <w:webHidden/>
          </w:rPr>
          <w:tab/>
        </w:r>
        <w:r w:rsidR="0067268A">
          <w:rPr>
            <w:noProof/>
            <w:webHidden/>
          </w:rPr>
          <w:fldChar w:fldCharType="begin"/>
        </w:r>
        <w:r w:rsidR="0067268A">
          <w:rPr>
            <w:noProof/>
            <w:webHidden/>
          </w:rPr>
          <w:instrText xml:space="preserve"> PAGEREF _Toc323120305 \h </w:instrText>
        </w:r>
        <w:r w:rsidR="0067268A">
          <w:rPr>
            <w:noProof/>
            <w:webHidden/>
          </w:rPr>
        </w:r>
        <w:r w:rsidR="0067268A">
          <w:rPr>
            <w:noProof/>
            <w:webHidden/>
          </w:rPr>
          <w:fldChar w:fldCharType="separate"/>
        </w:r>
        <w:r w:rsidR="00B142BA">
          <w:rPr>
            <w:noProof/>
            <w:webHidden/>
          </w:rPr>
          <w:t>73</w:t>
        </w:r>
        <w:r w:rsidR="0067268A">
          <w:rPr>
            <w:noProof/>
            <w:webHidden/>
          </w:rPr>
          <w:fldChar w:fldCharType="end"/>
        </w:r>
      </w:hyperlink>
    </w:p>
    <w:p w:rsidR="0067268A" w:rsidRDefault="00BD6F38">
      <w:pPr>
        <w:pStyle w:val="TOC2"/>
        <w:rPr>
          <w:rFonts w:asciiTheme="minorHAnsi" w:eastAsiaTheme="minorEastAsia" w:hAnsiTheme="minorHAnsi" w:cstheme="minorBidi"/>
          <w:noProof/>
          <w:sz w:val="22"/>
          <w:szCs w:val="22"/>
          <w:lang w:eastAsia="lv-LV"/>
        </w:rPr>
      </w:pPr>
      <w:hyperlink w:anchor="_Toc323120306" w:history="1">
        <w:r w:rsidR="0067268A" w:rsidRPr="00183EAB">
          <w:rPr>
            <w:rStyle w:val="Hyperlink"/>
            <w:noProof/>
          </w:rPr>
          <w:t xml:space="preserve">9.3. Citas institucionālās </w:t>
        </w:r>
        <w:r w:rsidR="0067268A" w:rsidRPr="00183EAB">
          <w:rPr>
            <w:rStyle w:val="Hyperlink"/>
            <w:bCs/>
            <w:noProof/>
          </w:rPr>
          <w:t>attīstības</w:t>
        </w:r>
        <w:r w:rsidR="0067268A" w:rsidRPr="00183EAB">
          <w:rPr>
            <w:rStyle w:val="Hyperlink"/>
            <w:noProof/>
          </w:rPr>
          <w:t xml:space="preserve"> attiecībā uz valsts finansēm</w:t>
        </w:r>
        <w:r w:rsidR="0067268A">
          <w:rPr>
            <w:noProof/>
            <w:webHidden/>
          </w:rPr>
          <w:tab/>
        </w:r>
        <w:r w:rsidR="0067268A">
          <w:rPr>
            <w:noProof/>
            <w:webHidden/>
          </w:rPr>
          <w:fldChar w:fldCharType="begin"/>
        </w:r>
        <w:r w:rsidR="0067268A">
          <w:rPr>
            <w:noProof/>
            <w:webHidden/>
          </w:rPr>
          <w:instrText xml:space="preserve"> PAGEREF _Toc323120306 \h </w:instrText>
        </w:r>
        <w:r w:rsidR="0067268A">
          <w:rPr>
            <w:noProof/>
            <w:webHidden/>
          </w:rPr>
        </w:r>
        <w:r w:rsidR="0067268A">
          <w:rPr>
            <w:noProof/>
            <w:webHidden/>
          </w:rPr>
          <w:fldChar w:fldCharType="separate"/>
        </w:r>
        <w:r w:rsidR="00B142BA">
          <w:rPr>
            <w:noProof/>
            <w:webHidden/>
          </w:rPr>
          <w:t>74</w:t>
        </w:r>
        <w:r w:rsidR="0067268A">
          <w:rPr>
            <w:noProof/>
            <w:webHidden/>
          </w:rPr>
          <w:fldChar w:fldCharType="end"/>
        </w:r>
      </w:hyperlink>
    </w:p>
    <w:p w:rsidR="0067268A" w:rsidRDefault="00BD6F38">
      <w:pPr>
        <w:pStyle w:val="TOC2"/>
        <w:rPr>
          <w:rFonts w:asciiTheme="minorHAnsi" w:eastAsiaTheme="minorEastAsia" w:hAnsiTheme="minorHAnsi" w:cstheme="minorBidi"/>
          <w:noProof/>
          <w:sz w:val="22"/>
          <w:szCs w:val="22"/>
          <w:lang w:eastAsia="lv-LV"/>
        </w:rPr>
      </w:pPr>
      <w:hyperlink w:anchor="_Toc323120307" w:history="1">
        <w:r w:rsidR="0067268A" w:rsidRPr="00183EAB">
          <w:rPr>
            <w:rStyle w:val="Hyperlink"/>
            <w:noProof/>
          </w:rPr>
          <w:t>9.4. Vidējā termiņa budžeta plānošana</w:t>
        </w:r>
        <w:r w:rsidR="0067268A">
          <w:rPr>
            <w:noProof/>
            <w:webHidden/>
          </w:rPr>
          <w:tab/>
        </w:r>
        <w:r w:rsidR="0067268A">
          <w:rPr>
            <w:noProof/>
            <w:webHidden/>
          </w:rPr>
          <w:fldChar w:fldCharType="begin"/>
        </w:r>
        <w:r w:rsidR="0067268A">
          <w:rPr>
            <w:noProof/>
            <w:webHidden/>
          </w:rPr>
          <w:instrText xml:space="preserve"> PAGEREF _Toc323120307 \h </w:instrText>
        </w:r>
        <w:r w:rsidR="0067268A">
          <w:rPr>
            <w:noProof/>
            <w:webHidden/>
          </w:rPr>
        </w:r>
        <w:r w:rsidR="0067268A">
          <w:rPr>
            <w:noProof/>
            <w:webHidden/>
          </w:rPr>
          <w:fldChar w:fldCharType="separate"/>
        </w:r>
        <w:r w:rsidR="00B142BA">
          <w:rPr>
            <w:noProof/>
            <w:webHidden/>
          </w:rPr>
          <w:t>76</w:t>
        </w:r>
        <w:r w:rsidR="0067268A">
          <w:rPr>
            <w:noProof/>
            <w:webHidden/>
          </w:rPr>
          <w:fldChar w:fldCharType="end"/>
        </w:r>
      </w:hyperlink>
    </w:p>
    <w:p w:rsidR="0067268A" w:rsidRDefault="00BD6F38">
      <w:pPr>
        <w:pStyle w:val="TOC1"/>
        <w:rPr>
          <w:rFonts w:asciiTheme="minorHAnsi" w:eastAsiaTheme="minorEastAsia" w:hAnsiTheme="minorHAnsi" w:cstheme="minorBidi"/>
          <w:noProof/>
          <w:sz w:val="22"/>
          <w:szCs w:val="22"/>
          <w:lang w:eastAsia="lv-LV"/>
        </w:rPr>
      </w:pPr>
      <w:hyperlink w:anchor="_Toc323120308" w:history="1">
        <w:r w:rsidR="0067268A" w:rsidRPr="00183EAB">
          <w:rPr>
            <w:rStyle w:val="Hyperlink"/>
            <w:noProof/>
          </w:rPr>
          <w:t>Pielikumi</w:t>
        </w:r>
        <w:r w:rsidR="0067268A">
          <w:rPr>
            <w:noProof/>
            <w:webHidden/>
          </w:rPr>
          <w:tab/>
        </w:r>
        <w:r w:rsidR="0067268A">
          <w:rPr>
            <w:noProof/>
            <w:webHidden/>
          </w:rPr>
          <w:fldChar w:fldCharType="begin"/>
        </w:r>
        <w:r w:rsidR="0067268A">
          <w:rPr>
            <w:noProof/>
            <w:webHidden/>
          </w:rPr>
          <w:instrText xml:space="preserve"> PAGEREF _Toc323120308 \h </w:instrText>
        </w:r>
        <w:r w:rsidR="0067268A">
          <w:rPr>
            <w:noProof/>
            <w:webHidden/>
          </w:rPr>
        </w:r>
        <w:r w:rsidR="0067268A">
          <w:rPr>
            <w:noProof/>
            <w:webHidden/>
          </w:rPr>
          <w:fldChar w:fldCharType="separate"/>
        </w:r>
        <w:r w:rsidR="00B142BA">
          <w:rPr>
            <w:noProof/>
            <w:webHidden/>
          </w:rPr>
          <w:t>78</w:t>
        </w:r>
        <w:r w:rsidR="0067268A">
          <w:rPr>
            <w:noProof/>
            <w:webHidden/>
          </w:rPr>
          <w:fldChar w:fldCharType="end"/>
        </w:r>
      </w:hyperlink>
    </w:p>
    <w:p w:rsidR="00283B8B" w:rsidRDefault="00283B8B" w:rsidP="002D7837">
      <w:pPr>
        <w:tabs>
          <w:tab w:val="right" w:leader="dot" w:pos="9072"/>
        </w:tabs>
        <w:spacing w:after="60"/>
        <w:ind w:firstLine="0"/>
      </w:pPr>
      <w:r>
        <w:rPr>
          <w:b/>
          <w:bCs/>
          <w:noProof/>
        </w:rPr>
        <w:fldChar w:fldCharType="end"/>
      </w:r>
    </w:p>
    <w:p w:rsidR="000F6956" w:rsidRPr="00283B8B" w:rsidRDefault="000F6956" w:rsidP="002D62B9">
      <w:pPr>
        <w:pStyle w:val="PIRMAIS"/>
      </w:pPr>
      <w:bookmarkStart w:id="4" w:name="_Toc323120271"/>
      <w:r w:rsidRPr="00283B8B">
        <w:lastRenderedPageBreak/>
        <w:t>1.</w:t>
      </w:r>
      <w:r w:rsidRPr="00283B8B">
        <w:tab/>
        <w:t>Vispārējās ekonomiskās politikas vadlīnijas un mērķi</w:t>
      </w:r>
      <w:bookmarkEnd w:id="1"/>
      <w:bookmarkEnd w:id="2"/>
      <w:bookmarkEnd w:id="3"/>
      <w:bookmarkEnd w:id="4"/>
    </w:p>
    <w:p w:rsidR="007F1224" w:rsidRDefault="007F1224" w:rsidP="002D62B9">
      <w:pPr>
        <w:ind w:firstLine="0"/>
        <w:rPr>
          <w:highlight w:val="yellow"/>
        </w:rPr>
      </w:pPr>
      <w:bookmarkStart w:id="5" w:name="_Toc284924040"/>
    </w:p>
    <w:p w:rsidR="000C51ED" w:rsidRPr="00B86F46" w:rsidRDefault="000C51ED" w:rsidP="002D62B9">
      <w:pPr>
        <w:rPr>
          <w:color w:val="000000"/>
          <w:szCs w:val="24"/>
        </w:rPr>
      </w:pPr>
      <w:r w:rsidRPr="00B86F46">
        <w:rPr>
          <w:color w:val="000000"/>
          <w:szCs w:val="24"/>
        </w:rPr>
        <w:t>Latvijas Konverģences programma ir vidēja termiņa politikas dokuments, kas raksturo Latvijas</w:t>
      </w:r>
      <w:r w:rsidR="00E85469">
        <w:rPr>
          <w:color w:val="000000"/>
          <w:szCs w:val="24"/>
        </w:rPr>
        <w:t xml:space="preserve"> fiskālo politiku 2012. </w:t>
      </w:r>
      <w:r w:rsidR="0035776A">
        <w:rPr>
          <w:color w:val="000000"/>
          <w:szCs w:val="24"/>
        </w:rPr>
        <w:t>–</w:t>
      </w:r>
      <w:r w:rsidR="00E85469">
        <w:rPr>
          <w:color w:val="000000"/>
          <w:szCs w:val="24"/>
        </w:rPr>
        <w:t xml:space="preserve"> 2015. </w:t>
      </w:r>
      <w:r w:rsidRPr="00B86F46">
        <w:rPr>
          <w:color w:val="000000"/>
          <w:szCs w:val="24"/>
        </w:rPr>
        <w:t>gadam un ir sagatavota, vadoties pēc Stabilitātes un izaugsmes pakta ieviešanas nosacījumiem un vadlīnijām. Latvijas Konverģences programma</w:t>
      </w:r>
      <w:r w:rsidR="00965D20" w:rsidRPr="00B86F46">
        <w:rPr>
          <w:color w:val="000000"/>
          <w:szCs w:val="24"/>
        </w:rPr>
        <w:t xml:space="preserve"> 2012.</w:t>
      </w:r>
      <w:r w:rsidR="0035776A">
        <w:rPr>
          <w:color w:val="000000"/>
          <w:szCs w:val="24"/>
        </w:rPr>
        <w:t>–</w:t>
      </w:r>
      <w:r w:rsidR="00965D20" w:rsidRPr="00B86F46">
        <w:rPr>
          <w:color w:val="000000"/>
          <w:szCs w:val="24"/>
        </w:rPr>
        <w:t>2015.</w:t>
      </w:r>
      <w:r w:rsidR="00B54EAE">
        <w:rPr>
          <w:color w:val="000000"/>
          <w:szCs w:val="24"/>
        </w:rPr>
        <w:t> </w:t>
      </w:r>
      <w:r w:rsidR="00965D20" w:rsidRPr="00B86F46">
        <w:rPr>
          <w:color w:val="000000"/>
          <w:szCs w:val="24"/>
        </w:rPr>
        <w:t>gadam (turpmāk – Konverģences programma)</w:t>
      </w:r>
      <w:r w:rsidRPr="00B86F46">
        <w:rPr>
          <w:color w:val="000000"/>
          <w:szCs w:val="24"/>
        </w:rPr>
        <w:t xml:space="preserve"> ir vērsta uz stingras un ilgtspējīgas fiskālās politikas īstenošanu un makroekonomiskās stabilitātes nodrošināšanu. </w:t>
      </w:r>
    </w:p>
    <w:p w:rsidR="000C51ED" w:rsidRPr="00B86F46" w:rsidRDefault="0030350B" w:rsidP="002D62B9">
      <w:pPr>
        <w:rPr>
          <w:color w:val="000000"/>
          <w:szCs w:val="24"/>
        </w:rPr>
      </w:pPr>
      <w:r w:rsidRPr="00B86F46">
        <w:rPr>
          <w:color w:val="000000"/>
          <w:szCs w:val="24"/>
        </w:rPr>
        <w:t>Eiropas S</w:t>
      </w:r>
      <w:r w:rsidR="000C51ED" w:rsidRPr="00B86F46">
        <w:rPr>
          <w:color w:val="000000"/>
          <w:szCs w:val="24"/>
        </w:rPr>
        <w:t xml:space="preserve">avienības (turpmāk – ES) </w:t>
      </w:r>
      <w:r w:rsidR="007F4E13" w:rsidRPr="00B86F46">
        <w:rPr>
          <w:color w:val="000000"/>
          <w:szCs w:val="24"/>
        </w:rPr>
        <w:t>ekonomiskās politikas uzraudzības un koordinācijas cikl</w:t>
      </w:r>
      <w:r w:rsidR="00787EB1" w:rsidRPr="00B86F46">
        <w:rPr>
          <w:color w:val="000000"/>
          <w:szCs w:val="24"/>
        </w:rPr>
        <w:t>a</w:t>
      </w:r>
      <w:r w:rsidR="007F4E13" w:rsidRPr="00B86F46">
        <w:rPr>
          <w:color w:val="000000"/>
          <w:szCs w:val="24"/>
        </w:rPr>
        <w:t xml:space="preserve"> </w:t>
      </w:r>
      <w:r w:rsidR="00787EB1" w:rsidRPr="00B86F46">
        <w:rPr>
          <w:color w:val="000000"/>
          <w:szCs w:val="24"/>
        </w:rPr>
        <w:t>jeb</w:t>
      </w:r>
      <w:r w:rsidR="007828F0" w:rsidRPr="00B86F46">
        <w:rPr>
          <w:color w:val="000000"/>
          <w:szCs w:val="24"/>
        </w:rPr>
        <w:t xml:space="preserve"> </w:t>
      </w:r>
      <w:r w:rsidR="000C51ED" w:rsidRPr="00B86F46">
        <w:rPr>
          <w:color w:val="000000"/>
          <w:szCs w:val="24"/>
        </w:rPr>
        <w:t xml:space="preserve">Eiropas semestra ietvaros, Konverģences programma </w:t>
      </w:r>
      <w:r w:rsidR="00787EB1" w:rsidRPr="00B86F46">
        <w:rPr>
          <w:color w:val="000000"/>
          <w:szCs w:val="24"/>
        </w:rPr>
        <w:t xml:space="preserve">tiek gatavota un iesniegta </w:t>
      </w:r>
      <w:r w:rsidRPr="00B86F46">
        <w:rPr>
          <w:color w:val="000000"/>
          <w:szCs w:val="24"/>
        </w:rPr>
        <w:t>Eiropas Komisijai</w:t>
      </w:r>
      <w:r w:rsidR="006A4289" w:rsidRPr="00B86F46">
        <w:rPr>
          <w:color w:val="000000"/>
          <w:szCs w:val="24"/>
        </w:rPr>
        <w:t xml:space="preserve"> (turpmāk – </w:t>
      </w:r>
      <w:r w:rsidR="00787EB1" w:rsidRPr="00B86F46">
        <w:rPr>
          <w:color w:val="000000"/>
          <w:szCs w:val="24"/>
        </w:rPr>
        <w:t>EK</w:t>
      </w:r>
      <w:r w:rsidR="006A4289" w:rsidRPr="00B86F46">
        <w:rPr>
          <w:color w:val="000000"/>
          <w:szCs w:val="24"/>
        </w:rPr>
        <w:t>)</w:t>
      </w:r>
      <w:r w:rsidR="00787EB1" w:rsidRPr="00B86F46">
        <w:rPr>
          <w:color w:val="000000"/>
          <w:szCs w:val="24"/>
        </w:rPr>
        <w:t xml:space="preserve"> vienlaicīgi ar </w:t>
      </w:r>
      <w:r w:rsidR="000C51ED" w:rsidRPr="00B86F46">
        <w:rPr>
          <w:color w:val="000000"/>
          <w:szCs w:val="24"/>
        </w:rPr>
        <w:t>Latvijas Nacionālo reformu programmu</w:t>
      </w:r>
      <w:r w:rsidR="0045177E" w:rsidRPr="00B86F46">
        <w:rPr>
          <w:color w:val="000000"/>
          <w:szCs w:val="24"/>
        </w:rPr>
        <w:t xml:space="preserve"> (turpmāk – NRP)</w:t>
      </w:r>
      <w:r w:rsidR="000C51ED" w:rsidRPr="00B86F46">
        <w:rPr>
          <w:color w:val="000000"/>
          <w:szCs w:val="24"/>
        </w:rPr>
        <w:t xml:space="preserve"> un</w:t>
      </w:r>
      <w:r w:rsidR="00BD0C67">
        <w:rPr>
          <w:color w:val="000000"/>
          <w:szCs w:val="24"/>
        </w:rPr>
        <w:t xml:space="preserve"> tajā iekļautajiem pasākumiem.</w:t>
      </w:r>
    </w:p>
    <w:p w:rsidR="00C81678" w:rsidRPr="00B86F46" w:rsidRDefault="008518DC" w:rsidP="002D62B9">
      <w:pPr>
        <w:rPr>
          <w:color w:val="000000"/>
          <w:szCs w:val="24"/>
        </w:rPr>
      </w:pPr>
      <w:r w:rsidRPr="00B86F46">
        <w:rPr>
          <w:color w:val="000000"/>
          <w:szCs w:val="24"/>
        </w:rPr>
        <w:t>Konverģences programma ir sagatavota</w:t>
      </w:r>
      <w:r w:rsidR="00EC4FDB" w:rsidRPr="00B86F46">
        <w:rPr>
          <w:color w:val="000000"/>
          <w:szCs w:val="24"/>
        </w:rPr>
        <w:t>,</w:t>
      </w:r>
      <w:r w:rsidRPr="00B86F46">
        <w:rPr>
          <w:color w:val="000000"/>
          <w:szCs w:val="24"/>
        </w:rPr>
        <w:t xml:space="preserve"> ņemot vērā Stabilitātes un izaugsmes pakta un tajā ietilpstošo regulu prasīb</w:t>
      </w:r>
      <w:r w:rsidR="00BF0BB7" w:rsidRPr="00B86F46">
        <w:rPr>
          <w:color w:val="000000"/>
          <w:szCs w:val="24"/>
        </w:rPr>
        <w:t>as</w:t>
      </w:r>
      <w:r w:rsidRPr="00B86F46">
        <w:rPr>
          <w:color w:val="000000"/>
          <w:szCs w:val="24"/>
        </w:rPr>
        <w:t>, kā arī tā ieviešanas vadlīnij</w:t>
      </w:r>
      <w:r w:rsidR="00BF0BB7" w:rsidRPr="00B86F46">
        <w:rPr>
          <w:color w:val="000000"/>
          <w:szCs w:val="24"/>
        </w:rPr>
        <w:t>as</w:t>
      </w:r>
      <w:r w:rsidRPr="00B86F46">
        <w:rPr>
          <w:color w:val="000000"/>
          <w:szCs w:val="24"/>
        </w:rPr>
        <w:t xml:space="preserve"> (</w:t>
      </w:r>
      <w:r w:rsidRPr="00B86F46">
        <w:rPr>
          <w:i/>
          <w:color w:val="000000"/>
          <w:szCs w:val="24"/>
        </w:rPr>
        <w:t>Code of Conduct</w:t>
      </w:r>
      <w:r w:rsidRPr="00B86F46">
        <w:rPr>
          <w:color w:val="000000"/>
          <w:szCs w:val="24"/>
        </w:rPr>
        <w:t>). Vienlaicīgi tā</w:t>
      </w:r>
      <w:r w:rsidR="00D55669" w:rsidRPr="00B86F46">
        <w:rPr>
          <w:color w:val="000000"/>
          <w:szCs w:val="24"/>
        </w:rPr>
        <w:t xml:space="preserve"> ir sagatavota</w:t>
      </w:r>
      <w:r w:rsidR="00EC4FDB" w:rsidRPr="00B86F46">
        <w:rPr>
          <w:color w:val="000000"/>
          <w:szCs w:val="24"/>
        </w:rPr>
        <w:t>,</w:t>
      </w:r>
      <w:r w:rsidR="00D55669" w:rsidRPr="00B86F46">
        <w:rPr>
          <w:color w:val="000000"/>
          <w:szCs w:val="24"/>
        </w:rPr>
        <w:t xml:space="preserve"> ņemot vērā </w:t>
      </w:r>
      <w:r w:rsidR="00522E49" w:rsidRPr="00B86F46">
        <w:rPr>
          <w:color w:val="000000"/>
          <w:szCs w:val="24"/>
        </w:rPr>
        <w:t xml:space="preserve">Ikgadējā izaugsmes ziņojumā un </w:t>
      </w:r>
      <w:r w:rsidR="00C20249" w:rsidRPr="00B86F46">
        <w:rPr>
          <w:color w:val="000000"/>
          <w:szCs w:val="24"/>
        </w:rPr>
        <w:t>makroekonomisk</w:t>
      </w:r>
      <w:r w:rsidR="00FD059E" w:rsidRPr="00B86F46">
        <w:rPr>
          <w:color w:val="000000"/>
          <w:szCs w:val="24"/>
        </w:rPr>
        <w:t>aj</w:t>
      </w:r>
      <w:r w:rsidR="00AB0752" w:rsidRPr="00B86F46">
        <w:rPr>
          <w:color w:val="000000"/>
          <w:szCs w:val="24"/>
        </w:rPr>
        <w:t>ās</w:t>
      </w:r>
      <w:r w:rsidR="004D48FF" w:rsidRPr="00B86F46">
        <w:rPr>
          <w:color w:val="000000"/>
          <w:szCs w:val="24"/>
        </w:rPr>
        <w:t xml:space="preserve"> un fiskāl</w:t>
      </w:r>
      <w:r w:rsidR="00FD059E" w:rsidRPr="00B86F46">
        <w:rPr>
          <w:color w:val="000000"/>
          <w:szCs w:val="24"/>
        </w:rPr>
        <w:t>aj</w:t>
      </w:r>
      <w:r w:rsidR="00AB0752" w:rsidRPr="00B86F46">
        <w:rPr>
          <w:color w:val="000000"/>
          <w:szCs w:val="24"/>
        </w:rPr>
        <w:t>ās</w:t>
      </w:r>
      <w:r w:rsidR="00C20249" w:rsidRPr="00B86F46">
        <w:rPr>
          <w:color w:val="000000"/>
          <w:szCs w:val="24"/>
        </w:rPr>
        <w:t xml:space="preserve"> </w:t>
      </w:r>
      <w:r w:rsidR="00AB0752" w:rsidRPr="00B86F46">
        <w:rPr>
          <w:color w:val="000000"/>
          <w:szCs w:val="24"/>
        </w:rPr>
        <w:t>vadlīnijās</w:t>
      </w:r>
      <w:r w:rsidR="00C20249" w:rsidRPr="00B86F46">
        <w:rPr>
          <w:color w:val="000000"/>
          <w:szCs w:val="24"/>
        </w:rPr>
        <w:t xml:space="preserve"> </w:t>
      </w:r>
      <w:r w:rsidR="00522E49" w:rsidRPr="00B86F46">
        <w:rPr>
          <w:color w:val="000000"/>
          <w:szCs w:val="24"/>
        </w:rPr>
        <w:t>minēt</w:t>
      </w:r>
      <w:r w:rsidR="00FD059E" w:rsidRPr="00B86F46">
        <w:rPr>
          <w:color w:val="000000"/>
          <w:szCs w:val="24"/>
        </w:rPr>
        <w:t>ās</w:t>
      </w:r>
      <w:r w:rsidR="004D48FF" w:rsidRPr="00B86F46">
        <w:rPr>
          <w:color w:val="000000"/>
          <w:szCs w:val="24"/>
        </w:rPr>
        <w:t xml:space="preserve"> prioritāt</w:t>
      </w:r>
      <w:r w:rsidR="00FD059E" w:rsidRPr="00B86F46">
        <w:rPr>
          <w:color w:val="000000"/>
          <w:szCs w:val="24"/>
        </w:rPr>
        <w:t>e</w:t>
      </w:r>
      <w:r w:rsidR="00522E49" w:rsidRPr="00B86F46">
        <w:rPr>
          <w:color w:val="000000"/>
          <w:szCs w:val="24"/>
        </w:rPr>
        <w:t xml:space="preserve">s, </w:t>
      </w:r>
      <w:r w:rsidR="004D48FF" w:rsidRPr="00B86F46">
        <w:rPr>
          <w:color w:val="000000"/>
          <w:szCs w:val="24"/>
        </w:rPr>
        <w:t>kā arī Eiro Plus paktā paust</w:t>
      </w:r>
      <w:r w:rsidR="00FD059E" w:rsidRPr="00B86F46">
        <w:rPr>
          <w:color w:val="000000"/>
          <w:szCs w:val="24"/>
        </w:rPr>
        <w:t>ās</w:t>
      </w:r>
      <w:r w:rsidR="004D48FF" w:rsidRPr="00B86F46">
        <w:rPr>
          <w:color w:val="000000"/>
          <w:szCs w:val="24"/>
        </w:rPr>
        <w:t xml:space="preserve"> saistīb</w:t>
      </w:r>
      <w:r w:rsidRPr="00B86F46">
        <w:rPr>
          <w:color w:val="000000"/>
          <w:szCs w:val="24"/>
        </w:rPr>
        <w:t>a</w:t>
      </w:r>
      <w:r w:rsidR="004D48FF" w:rsidRPr="00B86F46">
        <w:rPr>
          <w:color w:val="000000"/>
          <w:szCs w:val="24"/>
        </w:rPr>
        <w:t xml:space="preserve">s. </w:t>
      </w:r>
    </w:p>
    <w:p w:rsidR="001D2E43" w:rsidRPr="00B86F46" w:rsidRDefault="004B53F8" w:rsidP="002D62B9">
      <w:pPr>
        <w:rPr>
          <w:color w:val="000000"/>
          <w:szCs w:val="24"/>
        </w:rPr>
      </w:pPr>
      <w:r w:rsidRPr="00B86F46">
        <w:rPr>
          <w:color w:val="000000"/>
          <w:szCs w:val="24"/>
        </w:rPr>
        <w:t xml:space="preserve">Attiecībā uz iepriekšējā periodā sagatavoto Konverģences programmu </w:t>
      </w:r>
      <w:r w:rsidR="001D2E43" w:rsidRPr="00B86F46">
        <w:rPr>
          <w:color w:val="000000"/>
          <w:szCs w:val="24"/>
        </w:rPr>
        <w:t>ES Padome 2011</w:t>
      </w:r>
      <w:r w:rsidR="00BD0C67">
        <w:rPr>
          <w:color w:val="000000"/>
          <w:szCs w:val="24"/>
        </w:rPr>
        <w:t>. </w:t>
      </w:r>
      <w:r w:rsidR="001D2E43" w:rsidRPr="00B86F46">
        <w:rPr>
          <w:color w:val="000000"/>
          <w:szCs w:val="24"/>
        </w:rPr>
        <w:t>gada 12</w:t>
      </w:r>
      <w:r w:rsidR="00BD0C67">
        <w:rPr>
          <w:color w:val="000000"/>
          <w:szCs w:val="24"/>
        </w:rPr>
        <w:t>. </w:t>
      </w:r>
      <w:r w:rsidR="001D2E43" w:rsidRPr="00B86F46">
        <w:rPr>
          <w:color w:val="000000"/>
          <w:szCs w:val="24"/>
        </w:rPr>
        <w:t>jūlijā</w:t>
      </w:r>
      <w:r w:rsidRPr="00B86F46">
        <w:rPr>
          <w:color w:val="000000"/>
          <w:szCs w:val="24"/>
        </w:rPr>
        <w:t xml:space="preserve"> </w:t>
      </w:r>
      <w:r w:rsidR="001D2E43" w:rsidRPr="00B86F46">
        <w:rPr>
          <w:color w:val="000000"/>
          <w:szCs w:val="24"/>
        </w:rPr>
        <w:t>izteica</w:t>
      </w:r>
      <w:r w:rsidRPr="00B86F46">
        <w:rPr>
          <w:color w:val="000000"/>
          <w:szCs w:val="24"/>
        </w:rPr>
        <w:t xml:space="preserve"> </w:t>
      </w:r>
      <w:r w:rsidR="001D2E43" w:rsidRPr="00B86F46">
        <w:rPr>
          <w:color w:val="000000"/>
          <w:szCs w:val="24"/>
        </w:rPr>
        <w:t>Latvijai rekomendāciju turpināt īsteno</w:t>
      </w:r>
      <w:r w:rsidR="00BD0C67">
        <w:rPr>
          <w:color w:val="000000"/>
          <w:szCs w:val="24"/>
        </w:rPr>
        <w:t>t pasākumus, kas noteikti 2009. gada 20. </w:t>
      </w:r>
      <w:r w:rsidR="001D2E43" w:rsidRPr="00B86F46">
        <w:rPr>
          <w:color w:val="000000"/>
          <w:szCs w:val="24"/>
        </w:rPr>
        <w:t xml:space="preserve">janvāra </w:t>
      </w:r>
      <w:r w:rsidR="006A4289" w:rsidRPr="00B86F46">
        <w:rPr>
          <w:color w:val="000000"/>
          <w:szCs w:val="24"/>
        </w:rPr>
        <w:t xml:space="preserve">Saprašanās </w:t>
      </w:r>
      <w:r w:rsidR="001D2E43" w:rsidRPr="00B86F46">
        <w:rPr>
          <w:color w:val="000000"/>
          <w:szCs w:val="24"/>
        </w:rPr>
        <w:t xml:space="preserve">memorandā starp Latviju un ES </w:t>
      </w:r>
      <w:r w:rsidR="006A4289" w:rsidRPr="00B86F46">
        <w:rPr>
          <w:color w:val="000000"/>
          <w:szCs w:val="24"/>
        </w:rPr>
        <w:t xml:space="preserve">(turpmāk – Saprašanās memorands) </w:t>
      </w:r>
      <w:r w:rsidR="001D2E43" w:rsidRPr="00B86F46">
        <w:rPr>
          <w:color w:val="000000"/>
          <w:szCs w:val="24"/>
        </w:rPr>
        <w:t>un tā turpmākajos papildinājumos. Pēdējais Saprašanās memoranda papi</w:t>
      </w:r>
      <w:r w:rsidR="00BD0C67">
        <w:rPr>
          <w:color w:val="000000"/>
          <w:szCs w:val="24"/>
        </w:rPr>
        <w:t>ldinājums tika parakstīts 2011. </w:t>
      </w:r>
      <w:r w:rsidR="001D2E43" w:rsidRPr="00B86F46">
        <w:rPr>
          <w:color w:val="000000"/>
          <w:szCs w:val="24"/>
        </w:rPr>
        <w:t>gada 21.</w:t>
      </w:r>
      <w:r w:rsidR="00BD0C67">
        <w:rPr>
          <w:color w:val="000000"/>
          <w:szCs w:val="24"/>
        </w:rPr>
        <w:t> </w:t>
      </w:r>
      <w:r w:rsidR="001D2E43" w:rsidRPr="00B86F46">
        <w:rPr>
          <w:color w:val="000000"/>
          <w:szCs w:val="24"/>
        </w:rPr>
        <w:t>decembrī.</w:t>
      </w:r>
    </w:p>
    <w:p w:rsidR="004B53F8" w:rsidRPr="00B86F46" w:rsidRDefault="004B53F8" w:rsidP="002D62B9">
      <w:pPr>
        <w:rPr>
          <w:color w:val="000000"/>
          <w:szCs w:val="24"/>
        </w:rPr>
      </w:pPr>
      <w:r w:rsidRPr="00B86F46">
        <w:rPr>
          <w:color w:val="000000"/>
          <w:szCs w:val="24"/>
        </w:rPr>
        <w:t xml:space="preserve">Šajā kontekstā valdība ir veikusi </w:t>
      </w:r>
      <w:r w:rsidR="00BF442C" w:rsidRPr="00B86F46">
        <w:rPr>
          <w:color w:val="000000"/>
          <w:szCs w:val="24"/>
        </w:rPr>
        <w:t>virkni</w:t>
      </w:r>
      <w:r w:rsidRPr="00B86F46">
        <w:rPr>
          <w:color w:val="000000"/>
          <w:szCs w:val="24"/>
        </w:rPr>
        <w:t xml:space="preserve"> pasākumus</w:t>
      </w:r>
      <w:r w:rsidR="00CB49CA" w:rsidRPr="00B86F46">
        <w:rPr>
          <w:color w:val="000000"/>
          <w:szCs w:val="24"/>
        </w:rPr>
        <w:t xml:space="preserve"> – 2012.gada budžeta sagatavošan</w:t>
      </w:r>
      <w:r w:rsidR="00891E71" w:rsidRPr="00B86F46">
        <w:rPr>
          <w:color w:val="000000"/>
          <w:szCs w:val="24"/>
        </w:rPr>
        <w:t>as procesā</w:t>
      </w:r>
      <w:r w:rsidR="00CB49CA" w:rsidRPr="00B86F46">
        <w:rPr>
          <w:color w:val="000000"/>
          <w:szCs w:val="24"/>
        </w:rPr>
        <w:t xml:space="preserve"> tika veikta</w:t>
      </w:r>
      <w:r w:rsidRPr="00B86F46">
        <w:rPr>
          <w:color w:val="000000"/>
          <w:szCs w:val="24"/>
        </w:rPr>
        <w:t xml:space="preserve"> fiskālā konsolidācija,</w:t>
      </w:r>
      <w:r w:rsidR="00BF442C" w:rsidRPr="00B86F46">
        <w:rPr>
          <w:color w:val="000000"/>
          <w:szCs w:val="24"/>
        </w:rPr>
        <w:t xml:space="preserve"> lai ievērotu nospraustos</w:t>
      </w:r>
      <w:r w:rsidR="0030350B" w:rsidRPr="00B86F46">
        <w:rPr>
          <w:color w:val="000000"/>
          <w:szCs w:val="24"/>
        </w:rPr>
        <w:t xml:space="preserve"> vispārējās valdības</w:t>
      </w:r>
      <w:r w:rsidR="00BF442C" w:rsidRPr="00B86F46">
        <w:rPr>
          <w:color w:val="000000"/>
          <w:szCs w:val="24"/>
        </w:rPr>
        <w:t xml:space="preserve"> budžeta deficīta mēr</w:t>
      </w:r>
      <w:r w:rsidR="00A30405" w:rsidRPr="00B86F46">
        <w:rPr>
          <w:color w:val="000000"/>
          <w:szCs w:val="24"/>
        </w:rPr>
        <w:t>ķus,</w:t>
      </w:r>
      <w:r w:rsidRPr="00B86F46">
        <w:rPr>
          <w:color w:val="000000"/>
          <w:szCs w:val="24"/>
        </w:rPr>
        <w:t xml:space="preserve"> </w:t>
      </w:r>
      <w:r w:rsidR="00B45263" w:rsidRPr="00B86F46">
        <w:rPr>
          <w:color w:val="000000"/>
          <w:szCs w:val="24"/>
        </w:rPr>
        <w:t xml:space="preserve">tika turpināts darbs pie </w:t>
      </w:r>
      <w:r w:rsidRPr="00B86F46">
        <w:rPr>
          <w:color w:val="000000"/>
          <w:szCs w:val="24"/>
        </w:rPr>
        <w:t>fiskālās pārvaldības stiprināšana</w:t>
      </w:r>
      <w:r w:rsidR="00B45263" w:rsidRPr="00B86F46">
        <w:rPr>
          <w:color w:val="000000"/>
          <w:szCs w:val="24"/>
        </w:rPr>
        <w:t>s</w:t>
      </w:r>
      <w:r w:rsidR="00CB49CA" w:rsidRPr="00B86F46">
        <w:rPr>
          <w:color w:val="000000"/>
          <w:szCs w:val="24"/>
        </w:rPr>
        <w:t xml:space="preserve"> (Fiskālās disciplīnas likumprojekts</w:t>
      </w:r>
      <w:r w:rsidR="00A0175C" w:rsidRPr="00B86F46">
        <w:rPr>
          <w:color w:val="000000"/>
          <w:szCs w:val="24"/>
        </w:rPr>
        <w:t xml:space="preserve"> (turpmāk – FDL)</w:t>
      </w:r>
      <w:r w:rsidR="00CB49CA" w:rsidRPr="00B86F46">
        <w:rPr>
          <w:color w:val="000000"/>
          <w:szCs w:val="24"/>
        </w:rPr>
        <w:t xml:space="preserve"> ir </w:t>
      </w:r>
      <w:r w:rsidR="00B45263" w:rsidRPr="00B86F46">
        <w:rPr>
          <w:color w:val="000000"/>
          <w:szCs w:val="24"/>
        </w:rPr>
        <w:t xml:space="preserve">apstiprināts Ministru kabinetā </w:t>
      </w:r>
      <w:r w:rsidR="007538E3" w:rsidRPr="00B86F46">
        <w:rPr>
          <w:color w:val="000000"/>
          <w:szCs w:val="24"/>
        </w:rPr>
        <w:t xml:space="preserve">(turpmāk – MK) </w:t>
      </w:r>
      <w:r w:rsidR="00B45263" w:rsidRPr="00B86F46">
        <w:rPr>
          <w:color w:val="000000"/>
          <w:szCs w:val="24"/>
        </w:rPr>
        <w:t xml:space="preserve">un ir </w:t>
      </w:r>
      <w:r w:rsidR="00891E71" w:rsidRPr="00B86F46">
        <w:rPr>
          <w:color w:val="000000"/>
          <w:szCs w:val="24"/>
        </w:rPr>
        <w:t>izskatīts</w:t>
      </w:r>
      <w:r w:rsidR="00CB49CA" w:rsidRPr="00B86F46">
        <w:rPr>
          <w:color w:val="000000"/>
          <w:szCs w:val="24"/>
        </w:rPr>
        <w:t xml:space="preserve"> Saeimā 1.lasījumā)</w:t>
      </w:r>
      <w:r w:rsidRPr="00B86F46">
        <w:rPr>
          <w:color w:val="000000"/>
          <w:szCs w:val="24"/>
        </w:rPr>
        <w:t>,</w:t>
      </w:r>
      <w:r w:rsidR="00CB49CA" w:rsidRPr="00B86F46">
        <w:rPr>
          <w:color w:val="000000"/>
          <w:szCs w:val="24"/>
        </w:rPr>
        <w:t xml:space="preserve"> tiek veikti pasākumi ēnu ekonomikas apkarošanai, finanšu sektora stabilitātes nodrošināšanai, </w:t>
      </w:r>
      <w:r w:rsidRPr="00B86F46">
        <w:rPr>
          <w:color w:val="000000"/>
          <w:szCs w:val="24"/>
        </w:rPr>
        <w:t>ES fondu apguves veicināšana</w:t>
      </w:r>
      <w:r w:rsidR="00891E71" w:rsidRPr="00B86F46">
        <w:rPr>
          <w:color w:val="000000"/>
          <w:szCs w:val="24"/>
        </w:rPr>
        <w:t>i</w:t>
      </w:r>
      <w:r w:rsidR="00CB49CA" w:rsidRPr="00B86F46">
        <w:rPr>
          <w:color w:val="000000"/>
          <w:szCs w:val="24"/>
        </w:rPr>
        <w:t xml:space="preserve">, kā arī </w:t>
      </w:r>
      <w:r w:rsidRPr="00B86F46">
        <w:rPr>
          <w:color w:val="000000"/>
          <w:szCs w:val="24"/>
        </w:rPr>
        <w:t>ekonomikas izaugsmes sekmēšana</w:t>
      </w:r>
      <w:r w:rsidR="00891E71" w:rsidRPr="00B86F46">
        <w:rPr>
          <w:color w:val="000000"/>
          <w:szCs w:val="24"/>
        </w:rPr>
        <w:t>i</w:t>
      </w:r>
      <w:r w:rsidR="00CB49CA" w:rsidRPr="00B86F46">
        <w:rPr>
          <w:color w:val="000000"/>
          <w:szCs w:val="24"/>
        </w:rPr>
        <w:t>, tai skaitā turpinot ieviest strukturālās reformas</w:t>
      </w:r>
      <w:r w:rsidRPr="00B86F46">
        <w:rPr>
          <w:color w:val="000000"/>
          <w:szCs w:val="24"/>
        </w:rPr>
        <w:t xml:space="preserve">. Kopumā </w:t>
      </w:r>
      <w:r w:rsidR="00096D57" w:rsidRPr="00B86F46">
        <w:rPr>
          <w:color w:val="000000"/>
          <w:szCs w:val="24"/>
        </w:rPr>
        <w:t>var secināt</w:t>
      </w:r>
      <w:r w:rsidRPr="00B86F46">
        <w:rPr>
          <w:color w:val="000000"/>
          <w:szCs w:val="24"/>
        </w:rPr>
        <w:t xml:space="preserve">, ka Latvijas rīcība ir bijusi vērsta uz sekmīgu ES Padomes ieteikumu ieviešanu. </w:t>
      </w:r>
    </w:p>
    <w:p w:rsidR="000C2A69" w:rsidRPr="00B86F46" w:rsidRDefault="000C2A69" w:rsidP="002D62B9">
      <w:pPr>
        <w:rPr>
          <w:color w:val="000000"/>
          <w:szCs w:val="24"/>
        </w:rPr>
      </w:pPr>
      <w:r w:rsidRPr="00B86F46">
        <w:rPr>
          <w:color w:val="000000"/>
          <w:szCs w:val="24"/>
        </w:rPr>
        <w:t>Saistībā ar ES Padomes 2009. gada 7. jūlijā ierosināto Pārmērīga budžeta deficīta procedūru, ir jāsecina, ka īstenotie budžeta situāciju stabilizējošie pasākumi ir bijuši efektīvi</w:t>
      </w:r>
      <w:r w:rsidR="003D5A3E" w:rsidRPr="00B86F46">
        <w:rPr>
          <w:color w:val="000000"/>
          <w:szCs w:val="24"/>
        </w:rPr>
        <w:t xml:space="preserve"> un ir</w:t>
      </w:r>
      <w:r w:rsidRPr="00B86F46">
        <w:rPr>
          <w:color w:val="000000"/>
          <w:szCs w:val="24"/>
        </w:rPr>
        <w:t xml:space="preserve"> devuši atbilstošus rezultātus pārmē</w:t>
      </w:r>
      <w:r w:rsidR="003D5A3E" w:rsidRPr="00B86F46">
        <w:rPr>
          <w:color w:val="000000"/>
          <w:szCs w:val="24"/>
        </w:rPr>
        <w:t>rīga budžeta deficīta novēršanā. 2011.</w:t>
      </w:r>
      <w:r w:rsidR="00EC4FDB" w:rsidRPr="00B86F46">
        <w:rPr>
          <w:color w:val="000000"/>
          <w:szCs w:val="24"/>
        </w:rPr>
        <w:t xml:space="preserve"> </w:t>
      </w:r>
      <w:r w:rsidR="003D5A3E" w:rsidRPr="00B86F46">
        <w:rPr>
          <w:color w:val="000000"/>
          <w:szCs w:val="24"/>
        </w:rPr>
        <w:t xml:space="preserve">gada </w:t>
      </w:r>
      <w:r w:rsidR="0030350B" w:rsidRPr="00B86F46">
        <w:rPr>
          <w:color w:val="000000"/>
          <w:szCs w:val="24"/>
        </w:rPr>
        <w:t xml:space="preserve">vispārējās valdības </w:t>
      </w:r>
      <w:r w:rsidR="003D5A3E" w:rsidRPr="00B86F46">
        <w:rPr>
          <w:color w:val="000000"/>
          <w:szCs w:val="24"/>
        </w:rPr>
        <w:t>budžeta deficīts saskaņā ar 2012.</w:t>
      </w:r>
      <w:r w:rsidR="0030350B" w:rsidRPr="00B86F46">
        <w:rPr>
          <w:color w:val="000000"/>
          <w:szCs w:val="24"/>
        </w:rPr>
        <w:t> </w:t>
      </w:r>
      <w:r w:rsidR="003D5A3E" w:rsidRPr="00B86F46">
        <w:rPr>
          <w:color w:val="000000"/>
          <w:szCs w:val="24"/>
        </w:rPr>
        <w:t xml:space="preserve">gada aprīļa </w:t>
      </w:r>
      <w:r w:rsidR="006A4289" w:rsidRPr="00B86F46">
        <w:rPr>
          <w:color w:val="000000"/>
          <w:szCs w:val="24"/>
        </w:rPr>
        <w:t>vispārēj</w:t>
      </w:r>
      <w:r w:rsidR="0066765F">
        <w:rPr>
          <w:color w:val="000000"/>
          <w:szCs w:val="24"/>
        </w:rPr>
        <w:t>ās</w:t>
      </w:r>
      <w:r w:rsidR="006A4289" w:rsidRPr="00B86F46">
        <w:rPr>
          <w:color w:val="000000"/>
          <w:szCs w:val="24"/>
        </w:rPr>
        <w:t xml:space="preserve"> valdības budžeta</w:t>
      </w:r>
      <w:r w:rsidR="00850F59" w:rsidRPr="00B86F46">
        <w:rPr>
          <w:color w:val="000000"/>
          <w:szCs w:val="24"/>
        </w:rPr>
        <w:t xml:space="preserve"> deficīta un parāda</w:t>
      </w:r>
      <w:r w:rsidR="006A4289" w:rsidRPr="00B86F46">
        <w:rPr>
          <w:color w:val="000000"/>
          <w:szCs w:val="24"/>
        </w:rPr>
        <w:t xml:space="preserve"> </w:t>
      </w:r>
      <w:r w:rsidR="003D5A3E" w:rsidRPr="00B86F46">
        <w:rPr>
          <w:color w:val="000000"/>
          <w:szCs w:val="24"/>
        </w:rPr>
        <w:t>notifikācijas datiem ir 3</w:t>
      </w:r>
      <w:r w:rsidR="00EC4FDB" w:rsidRPr="00B86F46">
        <w:rPr>
          <w:color w:val="000000"/>
          <w:szCs w:val="24"/>
        </w:rPr>
        <w:t>,</w:t>
      </w:r>
      <w:r w:rsidR="003D5A3E" w:rsidRPr="00B86F46">
        <w:rPr>
          <w:color w:val="000000"/>
          <w:szCs w:val="24"/>
        </w:rPr>
        <w:t>5</w:t>
      </w:r>
      <w:r w:rsidR="00BD0C67">
        <w:rPr>
          <w:color w:val="000000"/>
          <w:szCs w:val="24"/>
        </w:rPr>
        <w:t> </w:t>
      </w:r>
      <w:r w:rsidR="003D5A3E" w:rsidRPr="00B86F46">
        <w:rPr>
          <w:color w:val="000000"/>
          <w:szCs w:val="24"/>
        </w:rPr>
        <w:t xml:space="preserve">% no </w:t>
      </w:r>
      <w:r w:rsidR="0008285F" w:rsidRPr="00B86F46">
        <w:rPr>
          <w:color w:val="000000"/>
          <w:szCs w:val="24"/>
        </w:rPr>
        <w:t xml:space="preserve">iekšzemes kopprodukta (turpmāk – </w:t>
      </w:r>
      <w:r w:rsidR="003D5A3E" w:rsidRPr="00B86F46">
        <w:rPr>
          <w:color w:val="000000"/>
          <w:szCs w:val="24"/>
        </w:rPr>
        <w:t>IKP</w:t>
      </w:r>
      <w:r w:rsidR="0008285F" w:rsidRPr="00B86F46">
        <w:rPr>
          <w:color w:val="000000"/>
          <w:szCs w:val="24"/>
        </w:rPr>
        <w:t>)</w:t>
      </w:r>
      <w:r w:rsidR="003D5A3E" w:rsidRPr="00B86F46">
        <w:rPr>
          <w:color w:val="000000"/>
          <w:szCs w:val="24"/>
        </w:rPr>
        <w:t>, savukārt 2012.</w:t>
      </w:r>
      <w:r w:rsidR="00EC4FDB" w:rsidRPr="00B86F46">
        <w:rPr>
          <w:color w:val="000000"/>
          <w:szCs w:val="24"/>
        </w:rPr>
        <w:t xml:space="preserve"> </w:t>
      </w:r>
      <w:r w:rsidR="003D5A3E" w:rsidRPr="00B86F46">
        <w:rPr>
          <w:color w:val="000000"/>
          <w:szCs w:val="24"/>
        </w:rPr>
        <w:t xml:space="preserve">gada </w:t>
      </w:r>
      <w:r w:rsidR="0030350B" w:rsidRPr="00B86F46">
        <w:rPr>
          <w:color w:val="000000"/>
          <w:szCs w:val="24"/>
        </w:rPr>
        <w:t xml:space="preserve">valsts </w:t>
      </w:r>
      <w:r w:rsidR="003D5A3E" w:rsidRPr="00B86F46">
        <w:rPr>
          <w:color w:val="000000"/>
          <w:szCs w:val="24"/>
        </w:rPr>
        <w:t>budžets ir sagatavots</w:t>
      </w:r>
      <w:r w:rsidR="0030350B" w:rsidRPr="00B86F46">
        <w:rPr>
          <w:color w:val="000000"/>
          <w:szCs w:val="24"/>
        </w:rPr>
        <w:t>, nodrošinot vispārējās valdības</w:t>
      </w:r>
      <w:r w:rsidR="003D5A3E" w:rsidRPr="00B86F46">
        <w:rPr>
          <w:color w:val="000000"/>
          <w:szCs w:val="24"/>
        </w:rPr>
        <w:t xml:space="preserve"> </w:t>
      </w:r>
      <w:r w:rsidR="00850F59" w:rsidRPr="00B86F46">
        <w:rPr>
          <w:color w:val="000000"/>
          <w:szCs w:val="24"/>
        </w:rPr>
        <w:t xml:space="preserve">budžeta deficītu </w:t>
      </w:r>
      <w:r w:rsidR="003D5A3E" w:rsidRPr="00B86F46">
        <w:rPr>
          <w:color w:val="000000"/>
          <w:szCs w:val="24"/>
        </w:rPr>
        <w:t>2</w:t>
      </w:r>
      <w:r w:rsidR="00EC4FDB" w:rsidRPr="00B86F46">
        <w:rPr>
          <w:color w:val="000000"/>
          <w:szCs w:val="24"/>
        </w:rPr>
        <w:t>,</w:t>
      </w:r>
      <w:r w:rsidR="003D5A3E" w:rsidRPr="00B86F46">
        <w:rPr>
          <w:color w:val="000000"/>
          <w:szCs w:val="24"/>
        </w:rPr>
        <w:t>1</w:t>
      </w:r>
      <w:r w:rsidR="00BD0C67">
        <w:rPr>
          <w:color w:val="000000"/>
          <w:szCs w:val="24"/>
        </w:rPr>
        <w:t> </w:t>
      </w:r>
      <w:r w:rsidR="003D5A3E" w:rsidRPr="00B86F46">
        <w:rPr>
          <w:color w:val="000000"/>
          <w:szCs w:val="24"/>
        </w:rPr>
        <w:t xml:space="preserve">% </w:t>
      </w:r>
      <w:r w:rsidR="0030350B" w:rsidRPr="00B86F46">
        <w:rPr>
          <w:color w:val="000000"/>
          <w:szCs w:val="24"/>
        </w:rPr>
        <w:t xml:space="preserve">apmērā </w:t>
      </w:r>
      <w:r w:rsidR="003D5A3E" w:rsidRPr="00B86F46">
        <w:rPr>
          <w:color w:val="000000"/>
          <w:szCs w:val="24"/>
        </w:rPr>
        <w:t>no IKP. Līdz ar to</w:t>
      </w:r>
      <w:r w:rsidRPr="00B86F46">
        <w:rPr>
          <w:color w:val="000000"/>
          <w:szCs w:val="24"/>
        </w:rPr>
        <w:t xml:space="preserve"> ir radīti priekšnoteikumi pārmērīgas budžeta deficīta novēršanas procedūras izbeigšanai 2012.</w:t>
      </w:r>
      <w:r w:rsidR="00EC4FDB" w:rsidRPr="00B86F46">
        <w:rPr>
          <w:color w:val="000000"/>
          <w:szCs w:val="24"/>
        </w:rPr>
        <w:t xml:space="preserve"> </w:t>
      </w:r>
      <w:r w:rsidRPr="00B86F46">
        <w:rPr>
          <w:color w:val="000000"/>
          <w:szCs w:val="24"/>
        </w:rPr>
        <w:t xml:space="preserve">gada beigās. </w:t>
      </w:r>
    </w:p>
    <w:p w:rsidR="0039733F" w:rsidRPr="00B86F46" w:rsidRDefault="004B53F8" w:rsidP="002D62B9">
      <w:pPr>
        <w:rPr>
          <w:color w:val="000000"/>
          <w:szCs w:val="24"/>
        </w:rPr>
      </w:pPr>
      <w:r w:rsidRPr="00B86F46">
        <w:rPr>
          <w:color w:val="000000"/>
          <w:szCs w:val="24"/>
        </w:rPr>
        <w:t xml:space="preserve">Jaunās </w:t>
      </w:r>
      <w:r w:rsidR="00731718" w:rsidRPr="00B86F46">
        <w:rPr>
          <w:color w:val="000000"/>
          <w:szCs w:val="24"/>
        </w:rPr>
        <w:t>Konverģences programmas vidēja termiņa makroekonomiskās attīstības scenārijs veidots uz konservatīviem pieņēmumiem par ārējās vides attīstību.</w:t>
      </w:r>
      <w:r w:rsidRPr="00B86F46">
        <w:rPr>
          <w:color w:val="000000"/>
          <w:szCs w:val="24"/>
        </w:rPr>
        <w:t xml:space="preserve"> </w:t>
      </w:r>
      <w:r w:rsidR="00731718" w:rsidRPr="00B86F46">
        <w:rPr>
          <w:color w:val="000000"/>
          <w:szCs w:val="24"/>
        </w:rPr>
        <w:t>2011.</w:t>
      </w:r>
      <w:r w:rsidR="0030350B" w:rsidRPr="00B86F46">
        <w:rPr>
          <w:color w:val="000000"/>
          <w:szCs w:val="24"/>
        </w:rPr>
        <w:t> </w:t>
      </w:r>
      <w:r w:rsidR="00731718" w:rsidRPr="00B86F46">
        <w:rPr>
          <w:color w:val="000000"/>
          <w:szCs w:val="24"/>
        </w:rPr>
        <w:t>gada rudenī prognozētā IKP izaugsme 2012.gadam 2,5</w:t>
      </w:r>
      <w:r w:rsidR="009856BE">
        <w:rPr>
          <w:color w:val="000000"/>
          <w:szCs w:val="24"/>
        </w:rPr>
        <w:t xml:space="preserve"> </w:t>
      </w:r>
      <w:r w:rsidR="00731718" w:rsidRPr="00B86F46">
        <w:rPr>
          <w:color w:val="000000"/>
          <w:szCs w:val="24"/>
        </w:rPr>
        <w:t>% apmērā 2012.</w:t>
      </w:r>
      <w:r w:rsidR="00EC4FDB" w:rsidRPr="00B86F46">
        <w:rPr>
          <w:color w:val="000000"/>
          <w:szCs w:val="24"/>
        </w:rPr>
        <w:t xml:space="preserve"> </w:t>
      </w:r>
      <w:r w:rsidR="00731718" w:rsidRPr="00B86F46">
        <w:rPr>
          <w:color w:val="000000"/>
          <w:szCs w:val="24"/>
        </w:rPr>
        <w:t>gada februārī ir pārskatīta un samazināta līdz 2,0</w:t>
      </w:r>
      <w:r w:rsidR="00BD0C67">
        <w:rPr>
          <w:color w:val="000000"/>
          <w:szCs w:val="24"/>
        </w:rPr>
        <w:t> </w:t>
      </w:r>
      <w:r w:rsidR="00731718" w:rsidRPr="00B86F46">
        <w:rPr>
          <w:color w:val="000000"/>
          <w:szCs w:val="24"/>
        </w:rPr>
        <w:t xml:space="preserve">% apmēram. Makroekonomiskās attīstības scenārijs ir balstīts uz pieņēmumu par pasaules izaugsmes tempu samazināšanos 2012. gada pirmajos divos ceturkšņos, kam sekos atgriešanās pie iepriekšējiem izaugsmes tempiem. </w:t>
      </w:r>
    </w:p>
    <w:p w:rsidR="00C62401" w:rsidRPr="00B86F46" w:rsidRDefault="004B53F8" w:rsidP="002D62B9">
      <w:pPr>
        <w:rPr>
          <w:color w:val="000000"/>
          <w:szCs w:val="24"/>
        </w:rPr>
      </w:pPr>
      <w:r w:rsidRPr="00B86F46">
        <w:rPr>
          <w:color w:val="000000"/>
          <w:szCs w:val="24"/>
        </w:rPr>
        <w:t>Pamatojoties uz makroekonomiskās attīstības scenāriju</w:t>
      </w:r>
      <w:r w:rsidR="00AA303F" w:rsidRPr="00B86F46">
        <w:rPr>
          <w:color w:val="000000"/>
          <w:szCs w:val="24"/>
        </w:rPr>
        <w:t>,</w:t>
      </w:r>
      <w:r w:rsidRPr="00B86F46">
        <w:rPr>
          <w:color w:val="000000"/>
          <w:szCs w:val="24"/>
        </w:rPr>
        <w:t xml:space="preserve"> nepieciešamību turpināt budžeta bilances stabilizācij</w:t>
      </w:r>
      <w:r w:rsidR="00AA303F" w:rsidRPr="00B86F46">
        <w:rPr>
          <w:color w:val="000000"/>
          <w:szCs w:val="24"/>
        </w:rPr>
        <w:t xml:space="preserve">u turpmākajos gados un </w:t>
      </w:r>
      <w:r w:rsidR="002E27DC" w:rsidRPr="00B86F46">
        <w:rPr>
          <w:color w:val="000000"/>
          <w:szCs w:val="24"/>
        </w:rPr>
        <w:t xml:space="preserve">apņemšanos </w:t>
      </w:r>
      <w:r w:rsidR="00AA303F" w:rsidRPr="00B86F46">
        <w:rPr>
          <w:color w:val="000000"/>
          <w:szCs w:val="24"/>
        </w:rPr>
        <w:t xml:space="preserve">realizēt pretciklisku fiskālo politiku, </w:t>
      </w:r>
      <w:r w:rsidRPr="00B86F46">
        <w:rPr>
          <w:color w:val="000000"/>
          <w:szCs w:val="24"/>
        </w:rPr>
        <w:t xml:space="preserve">ir </w:t>
      </w:r>
      <w:r w:rsidR="0076500C" w:rsidRPr="00B86F46">
        <w:rPr>
          <w:color w:val="000000"/>
          <w:szCs w:val="24"/>
        </w:rPr>
        <w:t xml:space="preserve">noteikti </w:t>
      </w:r>
      <w:r w:rsidRPr="00B86F46">
        <w:rPr>
          <w:color w:val="000000"/>
          <w:szCs w:val="24"/>
        </w:rPr>
        <w:t xml:space="preserve">fiskālie mērķi turpmākajiem trīs gadiem, t.i. </w:t>
      </w:r>
      <w:r w:rsidR="0039733F" w:rsidRPr="00B86F46">
        <w:rPr>
          <w:color w:val="000000"/>
          <w:szCs w:val="24"/>
        </w:rPr>
        <w:t xml:space="preserve">nodrošināt </w:t>
      </w:r>
      <w:r w:rsidR="00EC4FDB" w:rsidRPr="00B86F46">
        <w:rPr>
          <w:color w:val="000000"/>
          <w:szCs w:val="24"/>
        </w:rPr>
        <w:t xml:space="preserve">vispārējās valdības </w:t>
      </w:r>
      <w:r w:rsidR="0039733F" w:rsidRPr="00B86F46">
        <w:rPr>
          <w:color w:val="000000"/>
          <w:szCs w:val="24"/>
        </w:rPr>
        <w:lastRenderedPageBreak/>
        <w:t>budžeta deficītu 2013</w:t>
      </w:r>
      <w:r w:rsidRPr="00B86F46">
        <w:rPr>
          <w:color w:val="000000"/>
          <w:szCs w:val="24"/>
        </w:rPr>
        <w:t xml:space="preserve">. gadā </w:t>
      </w:r>
      <w:r w:rsidR="0039733F" w:rsidRPr="00B86F46">
        <w:rPr>
          <w:color w:val="000000"/>
          <w:szCs w:val="24"/>
        </w:rPr>
        <w:t>1</w:t>
      </w:r>
      <w:r w:rsidR="00EC4FDB" w:rsidRPr="00B86F46">
        <w:rPr>
          <w:color w:val="000000"/>
          <w:szCs w:val="24"/>
        </w:rPr>
        <w:t>,</w:t>
      </w:r>
      <w:r w:rsidR="0039733F" w:rsidRPr="00B86F46">
        <w:rPr>
          <w:color w:val="000000"/>
          <w:szCs w:val="24"/>
        </w:rPr>
        <w:t>4</w:t>
      </w:r>
      <w:r w:rsidRPr="00B86F46">
        <w:rPr>
          <w:color w:val="000000"/>
          <w:szCs w:val="24"/>
        </w:rPr>
        <w:t xml:space="preserve"> %</w:t>
      </w:r>
      <w:r w:rsidR="0039733F" w:rsidRPr="00B86F46">
        <w:rPr>
          <w:color w:val="000000"/>
          <w:szCs w:val="24"/>
        </w:rPr>
        <w:t xml:space="preserve"> </w:t>
      </w:r>
      <w:r w:rsidRPr="00B86F46">
        <w:rPr>
          <w:color w:val="000000"/>
          <w:szCs w:val="24"/>
        </w:rPr>
        <w:t xml:space="preserve">apmērā no IKP, </w:t>
      </w:r>
      <w:r w:rsidR="0035776A">
        <w:rPr>
          <w:color w:val="000000"/>
          <w:szCs w:val="24"/>
        </w:rPr>
        <w:t xml:space="preserve">2014.gadā – </w:t>
      </w:r>
      <w:r w:rsidR="0039733F" w:rsidRPr="00B86F46">
        <w:rPr>
          <w:color w:val="000000"/>
          <w:szCs w:val="24"/>
        </w:rPr>
        <w:t>0,8</w:t>
      </w:r>
      <w:r w:rsidR="009856BE">
        <w:rPr>
          <w:color w:val="000000"/>
          <w:szCs w:val="24"/>
        </w:rPr>
        <w:t xml:space="preserve"> </w:t>
      </w:r>
      <w:r w:rsidRPr="00B86F46">
        <w:rPr>
          <w:color w:val="000000"/>
          <w:szCs w:val="24"/>
        </w:rPr>
        <w:t>% no IKP</w:t>
      </w:r>
      <w:r w:rsidR="0039733F" w:rsidRPr="00B86F46">
        <w:rPr>
          <w:color w:val="000000"/>
          <w:szCs w:val="24"/>
        </w:rPr>
        <w:t xml:space="preserve"> un 2015.gadā </w:t>
      </w:r>
      <w:r w:rsidR="0035776A">
        <w:rPr>
          <w:color w:val="000000"/>
          <w:szCs w:val="24"/>
        </w:rPr>
        <w:softHyphen/>
        <w:t>–</w:t>
      </w:r>
      <w:r w:rsidR="0039733F" w:rsidRPr="00B86F46">
        <w:rPr>
          <w:color w:val="000000"/>
          <w:szCs w:val="24"/>
        </w:rPr>
        <w:t>0,3</w:t>
      </w:r>
      <w:r w:rsidRPr="00B86F46">
        <w:rPr>
          <w:color w:val="000000"/>
          <w:szCs w:val="24"/>
        </w:rPr>
        <w:t xml:space="preserve"> % no IKP. </w:t>
      </w:r>
    </w:p>
    <w:p w:rsidR="005A585C" w:rsidRPr="00B86F46" w:rsidRDefault="004B53F8" w:rsidP="002D62B9">
      <w:pPr>
        <w:rPr>
          <w:color w:val="000000"/>
          <w:szCs w:val="24"/>
        </w:rPr>
      </w:pPr>
      <w:r w:rsidRPr="003156ED">
        <w:rPr>
          <w:color w:val="000000"/>
          <w:szCs w:val="24"/>
        </w:rPr>
        <w:t xml:space="preserve">Šie fiskālie mērķi </w:t>
      </w:r>
      <w:r w:rsidR="007836C3" w:rsidRPr="003156ED">
        <w:rPr>
          <w:color w:val="000000"/>
          <w:szCs w:val="24"/>
        </w:rPr>
        <w:t xml:space="preserve">skaidri demonstrē, ka Latvija </w:t>
      </w:r>
      <w:r w:rsidRPr="003156ED">
        <w:rPr>
          <w:color w:val="000000"/>
          <w:szCs w:val="24"/>
        </w:rPr>
        <w:t xml:space="preserve">ir </w:t>
      </w:r>
      <w:r w:rsidR="00E03406" w:rsidRPr="003156ED">
        <w:rPr>
          <w:color w:val="000000"/>
          <w:szCs w:val="24"/>
        </w:rPr>
        <w:t xml:space="preserve">stingri apņēmusies </w:t>
      </w:r>
      <w:r w:rsidR="003A1F5B">
        <w:rPr>
          <w:color w:val="000000"/>
          <w:szCs w:val="24"/>
        </w:rPr>
        <w:t>nodrošināt</w:t>
      </w:r>
      <w:r w:rsidR="00DA1C08" w:rsidRPr="003156ED">
        <w:rPr>
          <w:color w:val="000000"/>
          <w:szCs w:val="24"/>
        </w:rPr>
        <w:t xml:space="preserve"> </w:t>
      </w:r>
      <w:r w:rsidR="00E03406" w:rsidRPr="003156ED">
        <w:rPr>
          <w:color w:val="000000"/>
          <w:szCs w:val="24"/>
        </w:rPr>
        <w:t>budžet</w:t>
      </w:r>
      <w:r w:rsidR="005A585C" w:rsidRPr="003156ED">
        <w:rPr>
          <w:color w:val="000000"/>
          <w:szCs w:val="24"/>
        </w:rPr>
        <w:t xml:space="preserve">a </w:t>
      </w:r>
      <w:r w:rsidR="00DA1C08" w:rsidRPr="003156ED">
        <w:rPr>
          <w:color w:val="000000"/>
          <w:szCs w:val="24"/>
        </w:rPr>
        <w:t>deficīt</w:t>
      </w:r>
      <w:r w:rsidR="004E09E3">
        <w:rPr>
          <w:color w:val="000000"/>
          <w:szCs w:val="24"/>
        </w:rPr>
        <w:t xml:space="preserve">u </w:t>
      </w:r>
      <w:r w:rsidR="003156ED">
        <w:rPr>
          <w:color w:val="000000"/>
          <w:szCs w:val="24"/>
        </w:rPr>
        <w:t>strukturālajā izteiksmē</w:t>
      </w:r>
      <w:r w:rsidR="004E09E3">
        <w:rPr>
          <w:color w:val="000000"/>
          <w:szCs w:val="24"/>
        </w:rPr>
        <w:t xml:space="preserve"> ne vairāk kā 0,5</w:t>
      </w:r>
      <w:r w:rsidR="003A1F5B">
        <w:rPr>
          <w:color w:val="000000"/>
          <w:szCs w:val="24"/>
        </w:rPr>
        <w:t> </w:t>
      </w:r>
      <w:r w:rsidR="004E09E3">
        <w:rPr>
          <w:color w:val="000000"/>
          <w:szCs w:val="24"/>
        </w:rPr>
        <w:t>% no IKP</w:t>
      </w:r>
      <w:r w:rsidR="003A1F5B">
        <w:rPr>
          <w:color w:val="000000"/>
          <w:szCs w:val="24"/>
        </w:rPr>
        <w:t xml:space="preserve"> </w:t>
      </w:r>
      <w:r w:rsidR="00A508D2" w:rsidRPr="003156ED">
        <w:rPr>
          <w:color w:val="000000"/>
          <w:szCs w:val="24"/>
        </w:rPr>
        <w:t xml:space="preserve">jau tuvākajos gados </w:t>
      </w:r>
      <w:r w:rsidR="0035776A" w:rsidRPr="003156ED">
        <w:rPr>
          <w:color w:val="000000"/>
          <w:szCs w:val="24"/>
        </w:rPr>
        <w:t>–</w:t>
      </w:r>
      <w:r w:rsidR="00A508D2" w:rsidRPr="003156ED">
        <w:rPr>
          <w:color w:val="000000"/>
          <w:szCs w:val="24"/>
        </w:rPr>
        <w:t xml:space="preserve"> </w:t>
      </w:r>
      <w:r w:rsidR="008E2E83" w:rsidRPr="003156ED">
        <w:rPr>
          <w:color w:val="000000"/>
          <w:szCs w:val="24"/>
        </w:rPr>
        <w:t>sākot jau ar 201</w:t>
      </w:r>
      <w:r w:rsidR="003C07E4" w:rsidRPr="003156ED">
        <w:rPr>
          <w:color w:val="000000"/>
          <w:szCs w:val="24"/>
        </w:rPr>
        <w:t>5</w:t>
      </w:r>
      <w:r w:rsidR="008E2E83" w:rsidRPr="003156ED">
        <w:rPr>
          <w:color w:val="000000"/>
          <w:szCs w:val="24"/>
        </w:rPr>
        <w:t xml:space="preserve">. </w:t>
      </w:r>
      <w:r w:rsidR="005A585C" w:rsidRPr="003156ED">
        <w:rPr>
          <w:color w:val="000000"/>
          <w:szCs w:val="24"/>
        </w:rPr>
        <w:t>gad</w:t>
      </w:r>
      <w:r w:rsidR="008E2E83" w:rsidRPr="003156ED">
        <w:rPr>
          <w:color w:val="000000"/>
          <w:szCs w:val="24"/>
        </w:rPr>
        <w:t>u</w:t>
      </w:r>
      <w:r w:rsidR="005A585C" w:rsidRPr="003156ED">
        <w:rPr>
          <w:color w:val="000000"/>
          <w:szCs w:val="24"/>
        </w:rPr>
        <w:t xml:space="preserve"> budžeta deficīts</w:t>
      </w:r>
      <w:r w:rsidR="00E56F6C" w:rsidRPr="003156ED">
        <w:rPr>
          <w:color w:val="000000"/>
          <w:szCs w:val="24"/>
        </w:rPr>
        <w:t xml:space="preserve"> strukturālajā izteiksmē</w:t>
      </w:r>
      <w:r w:rsidR="005A585C" w:rsidRPr="003156ED">
        <w:rPr>
          <w:color w:val="000000"/>
          <w:szCs w:val="24"/>
        </w:rPr>
        <w:t xml:space="preserve"> būs zemāks par EK noteikto vidēja termiņa budžeta mērķi Latvijai.</w:t>
      </w:r>
    </w:p>
    <w:p w:rsidR="004B53F8" w:rsidRPr="00B86F46" w:rsidRDefault="005A585C" w:rsidP="002D62B9">
      <w:pPr>
        <w:rPr>
          <w:color w:val="000000"/>
          <w:szCs w:val="24"/>
        </w:rPr>
      </w:pPr>
      <w:r w:rsidRPr="00B86F46">
        <w:rPr>
          <w:color w:val="000000"/>
          <w:szCs w:val="24"/>
        </w:rPr>
        <w:t>Šādas fiskālās politikas realizācija ir</w:t>
      </w:r>
      <w:r w:rsidR="004B53F8" w:rsidRPr="00B86F46">
        <w:rPr>
          <w:color w:val="000000"/>
          <w:szCs w:val="24"/>
        </w:rPr>
        <w:t xml:space="preserve"> būtisk</w:t>
      </w:r>
      <w:r w:rsidRPr="00B86F46">
        <w:rPr>
          <w:color w:val="000000"/>
          <w:szCs w:val="24"/>
        </w:rPr>
        <w:t>s</w:t>
      </w:r>
      <w:r w:rsidR="004B53F8" w:rsidRPr="00B86F46">
        <w:rPr>
          <w:color w:val="000000"/>
          <w:szCs w:val="24"/>
        </w:rPr>
        <w:t xml:space="preserve"> priekšnoteikum</w:t>
      </w:r>
      <w:r w:rsidRPr="00B86F46">
        <w:rPr>
          <w:color w:val="000000"/>
          <w:szCs w:val="24"/>
        </w:rPr>
        <w:t>s</w:t>
      </w:r>
      <w:r w:rsidR="004B53F8" w:rsidRPr="00B86F46">
        <w:rPr>
          <w:color w:val="000000"/>
          <w:szCs w:val="24"/>
        </w:rPr>
        <w:t xml:space="preserve">, lai Latvija īstenotu tās stratēģisko mērķi </w:t>
      </w:r>
      <w:r w:rsidR="00E56F6C" w:rsidRPr="00B86F46">
        <w:rPr>
          <w:color w:val="000000"/>
          <w:szCs w:val="24"/>
        </w:rPr>
        <w:t>– ieviest eiro ar 2014. gada 1. janvāri.</w:t>
      </w:r>
      <w:r w:rsidR="004B53F8" w:rsidRPr="00B86F46">
        <w:rPr>
          <w:color w:val="000000"/>
          <w:szCs w:val="24"/>
        </w:rPr>
        <w:t xml:space="preserve"> Lai nodrošinātu atbilstību visiem iestāšanās eiro zonā kritērijiem, kā arī demonstrētu Latvijas realizēto politiku kvalitāti un ilgtspēju, Latvija ir stingri apņēmusies realizēt pretciklisku fiskālo politiku, uzturēt stabilu un labi </w:t>
      </w:r>
      <w:r w:rsidR="00835840" w:rsidRPr="00B86F46">
        <w:rPr>
          <w:color w:val="000000"/>
          <w:szCs w:val="24"/>
        </w:rPr>
        <w:t xml:space="preserve">funkcionējošu finanšu sektoru, </w:t>
      </w:r>
      <w:r w:rsidR="004B53F8" w:rsidRPr="00B86F46">
        <w:rPr>
          <w:color w:val="000000"/>
          <w:szCs w:val="24"/>
        </w:rPr>
        <w:t xml:space="preserve">nodrošināt efektīvu un caurskatāmu ES fondu apguvi, </w:t>
      </w:r>
      <w:r w:rsidR="007A23F7" w:rsidRPr="00B86F46">
        <w:rPr>
          <w:color w:val="000000"/>
          <w:szCs w:val="24"/>
        </w:rPr>
        <w:t xml:space="preserve">stingri </w:t>
      </w:r>
      <w:r w:rsidR="00096D57" w:rsidRPr="00B86F46">
        <w:rPr>
          <w:color w:val="000000"/>
          <w:szCs w:val="24"/>
        </w:rPr>
        <w:t xml:space="preserve">uzraudzīt </w:t>
      </w:r>
      <w:r w:rsidR="007A23F7" w:rsidRPr="00B86F46">
        <w:rPr>
          <w:color w:val="000000"/>
          <w:szCs w:val="24"/>
        </w:rPr>
        <w:t xml:space="preserve">budžeta izdevumu pieaugumu, </w:t>
      </w:r>
      <w:r w:rsidR="00E506F0" w:rsidRPr="00B86F46">
        <w:rPr>
          <w:color w:val="000000"/>
          <w:szCs w:val="24"/>
        </w:rPr>
        <w:t xml:space="preserve">plānot </w:t>
      </w:r>
      <w:r w:rsidR="003A374E" w:rsidRPr="00B86F46">
        <w:rPr>
          <w:color w:val="000000"/>
          <w:szCs w:val="24"/>
        </w:rPr>
        <w:t>strukturālās reformas nodokļu jomā ar mērķi palielināt Latvijas konkurētspēju</w:t>
      </w:r>
      <w:r w:rsidR="004F21FA" w:rsidRPr="00B86F46">
        <w:rPr>
          <w:color w:val="000000"/>
          <w:szCs w:val="24"/>
        </w:rPr>
        <w:t>, veicināt nodarbinātību un izaugsmi</w:t>
      </w:r>
      <w:r w:rsidR="003A374E" w:rsidRPr="00B86F46">
        <w:rPr>
          <w:color w:val="000000"/>
          <w:szCs w:val="24"/>
        </w:rPr>
        <w:t xml:space="preserve"> un mazināt inflācijas spiedienu</w:t>
      </w:r>
      <w:r w:rsidR="00E56F6C" w:rsidRPr="00B86F46">
        <w:rPr>
          <w:color w:val="000000"/>
          <w:szCs w:val="24"/>
        </w:rPr>
        <w:t>,</w:t>
      </w:r>
      <w:r w:rsidR="003A374E" w:rsidRPr="00B86F46">
        <w:rPr>
          <w:color w:val="000000"/>
          <w:szCs w:val="24"/>
        </w:rPr>
        <w:t xml:space="preserve"> </w:t>
      </w:r>
      <w:r w:rsidR="004B53F8" w:rsidRPr="00B86F46">
        <w:rPr>
          <w:color w:val="000000"/>
          <w:szCs w:val="24"/>
        </w:rPr>
        <w:t>turpināt strukturālās reformas tādās jomās kā izglītība</w:t>
      </w:r>
      <w:r w:rsidR="00DA1C08">
        <w:rPr>
          <w:color w:val="000000"/>
          <w:szCs w:val="24"/>
        </w:rPr>
        <w:t xml:space="preserve"> un zinātne</w:t>
      </w:r>
      <w:r w:rsidR="004B53F8" w:rsidRPr="00B86F46">
        <w:rPr>
          <w:color w:val="000000"/>
          <w:szCs w:val="24"/>
        </w:rPr>
        <w:t xml:space="preserve">, nodarbinātība, </w:t>
      </w:r>
      <w:r w:rsidR="00DA1C08">
        <w:rPr>
          <w:color w:val="000000"/>
          <w:szCs w:val="24"/>
        </w:rPr>
        <w:t xml:space="preserve">veselības aprūpe, </w:t>
      </w:r>
      <w:r w:rsidR="004B53F8" w:rsidRPr="00B86F46">
        <w:rPr>
          <w:color w:val="000000"/>
          <w:szCs w:val="24"/>
        </w:rPr>
        <w:t>valsts sektor</w:t>
      </w:r>
      <w:r w:rsidR="00DA1C08">
        <w:rPr>
          <w:color w:val="000000"/>
          <w:szCs w:val="24"/>
        </w:rPr>
        <w:t>s</w:t>
      </w:r>
      <w:r w:rsidR="004B53F8" w:rsidRPr="00B86F46">
        <w:rPr>
          <w:color w:val="000000"/>
          <w:szCs w:val="24"/>
        </w:rPr>
        <w:t>, sociālā budžeta ilgtspēja un citās jomās.</w:t>
      </w:r>
    </w:p>
    <w:p w:rsidR="00102F37" w:rsidRPr="00B86F46" w:rsidRDefault="004B53F8" w:rsidP="002D62B9">
      <w:pPr>
        <w:rPr>
          <w:color w:val="000000"/>
          <w:szCs w:val="24"/>
        </w:rPr>
      </w:pPr>
      <w:r w:rsidRPr="00B86F46">
        <w:rPr>
          <w:color w:val="000000"/>
          <w:szCs w:val="24"/>
        </w:rPr>
        <w:t>Finanšu sektora stabilitātes nod</w:t>
      </w:r>
      <w:r w:rsidR="009B6CDF" w:rsidRPr="00B86F46">
        <w:rPr>
          <w:color w:val="000000"/>
          <w:szCs w:val="24"/>
        </w:rPr>
        <w:t>rošināšana ir svarīgs nosacījum</w:t>
      </w:r>
      <w:r w:rsidRPr="00B86F46">
        <w:rPr>
          <w:color w:val="000000"/>
          <w:szCs w:val="24"/>
        </w:rPr>
        <w:t xml:space="preserve">s ekonomikas izaugsmes atjaunošanai. </w:t>
      </w:r>
      <w:r w:rsidR="00102F37" w:rsidRPr="00B86F46">
        <w:rPr>
          <w:color w:val="000000"/>
          <w:szCs w:val="24"/>
        </w:rPr>
        <w:t>2011.</w:t>
      </w:r>
      <w:r w:rsidR="00E56F6C" w:rsidRPr="00B86F46">
        <w:rPr>
          <w:color w:val="000000"/>
          <w:szCs w:val="24"/>
        </w:rPr>
        <w:t> </w:t>
      </w:r>
      <w:r w:rsidR="00102F37" w:rsidRPr="00B86F46">
        <w:rPr>
          <w:color w:val="000000"/>
          <w:szCs w:val="24"/>
        </w:rPr>
        <w:t xml:space="preserve">gadā tika turpināts nodrošināt finanšu sektora stabilitātes pasākumus  </w:t>
      </w:r>
      <w:r w:rsidR="0035776A">
        <w:rPr>
          <w:color w:val="000000"/>
          <w:szCs w:val="24"/>
        </w:rPr>
        <w:t>–</w:t>
      </w:r>
      <w:r w:rsidR="00102F37" w:rsidRPr="00B86F46">
        <w:rPr>
          <w:color w:val="000000"/>
          <w:szCs w:val="24"/>
        </w:rPr>
        <w:t xml:space="preserve"> pilnveidot normatīvo bāzi ar mērķi veicināt banku kapitāla bāzes stiprināšanu, nodrošināt uzraudzības pasākumus, </w:t>
      </w:r>
      <w:r w:rsidR="0071166F" w:rsidRPr="00B86F46">
        <w:rPr>
          <w:color w:val="000000"/>
          <w:szCs w:val="24"/>
        </w:rPr>
        <w:t>lai īstenotu</w:t>
      </w:r>
      <w:r w:rsidR="00102F37" w:rsidRPr="00B86F46">
        <w:rPr>
          <w:color w:val="000000"/>
          <w:szCs w:val="24"/>
        </w:rPr>
        <w:t xml:space="preserve"> efektīvu kredītriska vadību, veicot "horizontālās" pārbaudes bankās, kuru laikā tika izvērtētas banku darbības kredītu restrukturizācijas procesā, tirgus riska pārvaldīšanā un politiku ieviešanā un banku iekšējie kapitāla pietiekamības novērtēšanas procesi ar mērķi noteikt, vai minimālās kapitāla prasības ir pietiekamas bankas darbībai piemītošā kredītriska, tirgus risku un operacionālā riska segšanai un vai bankas darbībai nepiemīt arī citi būtiski riski, kuru segšanai nepieciešams nodrošināt papildu kapitālu. </w:t>
      </w:r>
    </w:p>
    <w:p w:rsidR="00102F37" w:rsidRPr="00B86F46" w:rsidRDefault="00102F37" w:rsidP="002D62B9">
      <w:pPr>
        <w:autoSpaceDE w:val="0"/>
        <w:autoSpaceDN w:val="0"/>
        <w:adjustRightInd w:val="0"/>
        <w:rPr>
          <w:rFonts w:eastAsia="Calibri"/>
          <w:color w:val="000000"/>
          <w:szCs w:val="24"/>
        </w:rPr>
      </w:pPr>
      <w:r w:rsidRPr="00B86F46">
        <w:rPr>
          <w:color w:val="000000"/>
          <w:szCs w:val="24"/>
        </w:rPr>
        <w:t xml:space="preserve">Gan 2012. gadā, gan arī turpmākajos gados </w:t>
      </w:r>
      <w:r w:rsidRPr="00B86F46">
        <w:rPr>
          <w:rFonts w:eastAsia="Calibri"/>
          <w:color w:val="000000"/>
          <w:szCs w:val="24"/>
        </w:rPr>
        <w:t xml:space="preserve">tiks veikta virkne likumdošanas pasākumu visā finanšu sektora jomā, kas saistīti ar </w:t>
      </w:r>
      <w:r w:rsidR="00435998" w:rsidRPr="00B86F46">
        <w:rPr>
          <w:rFonts w:eastAsia="Calibri"/>
          <w:color w:val="000000"/>
          <w:szCs w:val="24"/>
        </w:rPr>
        <w:t>ES</w:t>
      </w:r>
      <w:r w:rsidRPr="00B86F46">
        <w:rPr>
          <w:rFonts w:eastAsia="Calibri"/>
          <w:color w:val="000000"/>
          <w:szCs w:val="24"/>
        </w:rPr>
        <w:t xml:space="preserve"> normatīvo aktu prasību pārņemšanu un normatīvā regulējuma pilnveidošanu. </w:t>
      </w:r>
      <w:r w:rsidRPr="00B86F46">
        <w:rPr>
          <w:color w:val="000000"/>
          <w:szCs w:val="24"/>
        </w:rPr>
        <w:t>Lai pilnveidotu kredītiestāžu maksātnespējas un likvidācijas tiesisko regulējumu, tiks sākts darbs pie grozījumu Kredītiestāžu likumā izstrādes.</w:t>
      </w:r>
      <w:r w:rsidRPr="00B86F46">
        <w:rPr>
          <w:rFonts w:eastAsia="Calibri"/>
          <w:color w:val="000000"/>
          <w:szCs w:val="24"/>
        </w:rPr>
        <w:t xml:space="preserve"> Uzraudzības jomā tiek plānots turpināt nodrošināt pastiprinātu banku darbības uzraudzības ietvaru.</w:t>
      </w:r>
    </w:p>
    <w:p w:rsidR="004B53F8" w:rsidRPr="00B86F46" w:rsidRDefault="00102F37" w:rsidP="002D62B9">
      <w:pPr>
        <w:rPr>
          <w:color w:val="000000"/>
          <w:szCs w:val="24"/>
        </w:rPr>
      </w:pPr>
      <w:r w:rsidRPr="00B86F46">
        <w:rPr>
          <w:color w:val="000000"/>
          <w:szCs w:val="24"/>
        </w:rPr>
        <w:t>T</w:t>
      </w:r>
      <w:r w:rsidR="004B53F8" w:rsidRPr="00B86F46">
        <w:rPr>
          <w:color w:val="000000"/>
          <w:szCs w:val="24"/>
        </w:rPr>
        <w:t>āpat ti</w:t>
      </w:r>
      <w:r w:rsidR="006305BC" w:rsidRPr="00B86F46">
        <w:rPr>
          <w:color w:val="000000"/>
          <w:szCs w:val="24"/>
        </w:rPr>
        <w:t>ek</w:t>
      </w:r>
      <w:r w:rsidR="004B53F8" w:rsidRPr="00B86F46">
        <w:rPr>
          <w:color w:val="000000"/>
          <w:szCs w:val="24"/>
        </w:rPr>
        <w:t xml:space="preserve"> turpināts darbs pie </w:t>
      </w:r>
      <w:r w:rsidR="005B41A0" w:rsidRPr="00B86F46">
        <w:rPr>
          <w:color w:val="000000"/>
          <w:szCs w:val="24"/>
        </w:rPr>
        <w:t>v</w:t>
      </w:r>
      <w:r w:rsidR="004B53F8" w:rsidRPr="00B86F46">
        <w:rPr>
          <w:color w:val="000000"/>
          <w:szCs w:val="24"/>
        </w:rPr>
        <w:t>alsts akciju sabiedrība</w:t>
      </w:r>
      <w:r w:rsidR="001F40C1" w:rsidRPr="00B86F46">
        <w:rPr>
          <w:color w:val="000000"/>
          <w:szCs w:val="24"/>
        </w:rPr>
        <w:t>s</w:t>
      </w:r>
      <w:r w:rsidR="004B53F8" w:rsidRPr="00B86F46">
        <w:rPr>
          <w:color w:val="000000"/>
          <w:szCs w:val="24"/>
        </w:rPr>
        <w:t xml:space="preserve"> „Latvijas Hipotēku un zemes banka” pārveides plāna un akciju sabiedrību „Parex banka” un „Citadeles banka” restrukturizācijas plāna ieviešanas.</w:t>
      </w:r>
    </w:p>
    <w:p w:rsidR="006F72DA" w:rsidRPr="00B86F46" w:rsidRDefault="004B53F8" w:rsidP="002D62B9">
      <w:pPr>
        <w:ind w:firstLine="720"/>
        <w:rPr>
          <w:color w:val="000000"/>
          <w:szCs w:val="24"/>
        </w:rPr>
      </w:pPr>
      <w:r w:rsidRPr="00B86F46">
        <w:rPr>
          <w:color w:val="000000"/>
          <w:szCs w:val="24"/>
        </w:rPr>
        <w:t xml:space="preserve">Papildu tam, </w:t>
      </w:r>
      <w:r w:rsidR="006F72DA" w:rsidRPr="00B86F46">
        <w:rPr>
          <w:color w:val="000000"/>
          <w:szCs w:val="24"/>
        </w:rPr>
        <w:t xml:space="preserve">Latvija </w:t>
      </w:r>
      <w:r w:rsidR="00656D23" w:rsidRPr="00B86F46">
        <w:rPr>
          <w:color w:val="000000"/>
          <w:szCs w:val="24"/>
        </w:rPr>
        <w:t xml:space="preserve">ir </w:t>
      </w:r>
      <w:r w:rsidR="006F72DA" w:rsidRPr="00B86F46">
        <w:rPr>
          <w:color w:val="000000"/>
          <w:szCs w:val="24"/>
        </w:rPr>
        <w:t xml:space="preserve">pārliecinoši </w:t>
      </w:r>
      <w:r w:rsidR="00656D23" w:rsidRPr="00B86F46">
        <w:rPr>
          <w:color w:val="000000"/>
          <w:szCs w:val="24"/>
        </w:rPr>
        <w:t>no</w:t>
      </w:r>
      <w:r w:rsidR="006F72DA" w:rsidRPr="00B86F46">
        <w:rPr>
          <w:color w:val="000000"/>
          <w:szCs w:val="24"/>
        </w:rPr>
        <w:t>demonstrēj</w:t>
      </w:r>
      <w:r w:rsidR="00656D23" w:rsidRPr="00B86F46">
        <w:rPr>
          <w:color w:val="000000"/>
          <w:szCs w:val="24"/>
        </w:rPr>
        <w:t>usi</w:t>
      </w:r>
      <w:r w:rsidR="006F72DA" w:rsidRPr="00B86F46">
        <w:rPr>
          <w:color w:val="000000"/>
          <w:szCs w:val="24"/>
        </w:rPr>
        <w:t xml:space="preserve"> veiksmīgu atgriešanos starptautiskajos kapitāla tirgos </w:t>
      </w:r>
      <w:r w:rsidR="0035776A">
        <w:rPr>
          <w:color w:val="000000"/>
          <w:szCs w:val="24"/>
        </w:rPr>
        <w:t>–</w:t>
      </w:r>
      <w:r w:rsidR="006F72DA" w:rsidRPr="00B86F46">
        <w:rPr>
          <w:color w:val="000000"/>
          <w:szCs w:val="24"/>
        </w:rPr>
        <w:t xml:space="preserve"> </w:t>
      </w:r>
      <w:r w:rsidR="00656D23" w:rsidRPr="00B86F46">
        <w:rPr>
          <w:color w:val="000000"/>
          <w:szCs w:val="24"/>
        </w:rPr>
        <w:t>Latvija</w:t>
      </w:r>
      <w:r w:rsidR="006F72DA" w:rsidRPr="00B86F46">
        <w:rPr>
          <w:color w:val="000000"/>
          <w:szCs w:val="24"/>
        </w:rPr>
        <w:t xml:space="preserve"> 2011.</w:t>
      </w:r>
      <w:r w:rsidR="00E56F6C" w:rsidRPr="00B86F46">
        <w:rPr>
          <w:color w:val="000000"/>
          <w:szCs w:val="24"/>
        </w:rPr>
        <w:t> </w:t>
      </w:r>
      <w:r w:rsidR="006F72DA" w:rsidRPr="00B86F46">
        <w:rPr>
          <w:color w:val="000000"/>
          <w:szCs w:val="24"/>
        </w:rPr>
        <w:t>gada jūnijā sekmīgi emitēja 10 gadu eiroobligācij</w:t>
      </w:r>
      <w:r w:rsidR="00E56F6C" w:rsidRPr="00B86F46">
        <w:rPr>
          <w:color w:val="000000"/>
          <w:szCs w:val="24"/>
        </w:rPr>
        <w:t>as 500 milj. </w:t>
      </w:r>
      <w:r w:rsidR="006F72DA" w:rsidRPr="00B86F46">
        <w:rPr>
          <w:color w:val="000000"/>
          <w:szCs w:val="24"/>
        </w:rPr>
        <w:t xml:space="preserve">ASV dolāru apmērā vēl pirms </w:t>
      </w:r>
      <w:r w:rsidR="00CF0FBB" w:rsidRPr="00B86F46">
        <w:rPr>
          <w:color w:val="000000"/>
          <w:szCs w:val="24"/>
        </w:rPr>
        <w:t xml:space="preserve">Starptautiskās aizdevuma programmas (turpmāk – </w:t>
      </w:r>
      <w:r w:rsidR="006F72DA" w:rsidRPr="00B86F46">
        <w:rPr>
          <w:color w:val="000000"/>
          <w:szCs w:val="24"/>
        </w:rPr>
        <w:t>Programmas</w:t>
      </w:r>
      <w:r w:rsidR="00CF0FBB" w:rsidRPr="00B86F46">
        <w:rPr>
          <w:color w:val="000000"/>
          <w:szCs w:val="24"/>
        </w:rPr>
        <w:t>)</w:t>
      </w:r>
      <w:r w:rsidR="006F72DA" w:rsidRPr="00B86F46">
        <w:rPr>
          <w:color w:val="000000"/>
          <w:szCs w:val="24"/>
        </w:rPr>
        <w:t xml:space="preserve"> noslēguma un </w:t>
      </w:r>
      <w:r w:rsidR="00656D23" w:rsidRPr="00B86F46">
        <w:rPr>
          <w:color w:val="000000"/>
          <w:szCs w:val="24"/>
        </w:rPr>
        <w:t>2012.</w:t>
      </w:r>
      <w:r w:rsidR="00E3034D" w:rsidRPr="00B86F46">
        <w:rPr>
          <w:color w:val="000000"/>
          <w:szCs w:val="24"/>
        </w:rPr>
        <w:t xml:space="preserve"> </w:t>
      </w:r>
      <w:r w:rsidR="00656D23" w:rsidRPr="00B86F46">
        <w:rPr>
          <w:color w:val="000000"/>
          <w:szCs w:val="24"/>
        </w:rPr>
        <w:t>gada februārī emitēj</w:t>
      </w:r>
      <w:r w:rsidR="00D82C46">
        <w:rPr>
          <w:color w:val="000000"/>
          <w:szCs w:val="24"/>
        </w:rPr>
        <w:t>a</w:t>
      </w:r>
      <w:r w:rsidR="00656D23" w:rsidRPr="00B86F46">
        <w:rPr>
          <w:color w:val="000000"/>
          <w:szCs w:val="24"/>
        </w:rPr>
        <w:t xml:space="preserve"> 5 gadu obligācijas</w:t>
      </w:r>
      <w:r w:rsidR="006F72DA" w:rsidRPr="00B86F46">
        <w:rPr>
          <w:color w:val="000000"/>
          <w:szCs w:val="24"/>
        </w:rPr>
        <w:t xml:space="preserve"> 1 miljarda ASV dolāru apmērā, kas apliecināja starptautisko finanšu tirgus dalībnieku, it īpaši investoru, augsto novērtējumu par paveikto Latvijas ekonomikā un uzticību valsts kredītspējai, kas nodrošina stabilu pamatu un pārliecību par Programmas sekmīgu pā</w:t>
      </w:r>
      <w:r w:rsidR="00CF0FBB" w:rsidRPr="00B86F46">
        <w:rPr>
          <w:color w:val="000000"/>
          <w:szCs w:val="24"/>
        </w:rPr>
        <w:t>rfinansēšanu turpmākajos gados.</w:t>
      </w:r>
    </w:p>
    <w:p w:rsidR="004B53F8" w:rsidRPr="00B86F46" w:rsidRDefault="00E56F6C" w:rsidP="002D62B9">
      <w:pPr>
        <w:rPr>
          <w:color w:val="000000"/>
          <w:szCs w:val="24"/>
        </w:rPr>
      </w:pPr>
      <w:r w:rsidRPr="00B86F46">
        <w:rPr>
          <w:color w:val="000000"/>
          <w:szCs w:val="24"/>
        </w:rPr>
        <w:t>Latvija 2011. </w:t>
      </w:r>
      <w:r w:rsidR="004B53F8" w:rsidRPr="00B86F46">
        <w:rPr>
          <w:color w:val="000000"/>
          <w:szCs w:val="24"/>
        </w:rPr>
        <w:t>gada beigā</w:t>
      </w:r>
      <w:r w:rsidR="007A7565" w:rsidRPr="00B86F46">
        <w:rPr>
          <w:color w:val="000000"/>
          <w:szCs w:val="24"/>
        </w:rPr>
        <w:t>s</w:t>
      </w:r>
      <w:r w:rsidR="004B53F8" w:rsidRPr="00B86F46">
        <w:rPr>
          <w:color w:val="000000"/>
          <w:szCs w:val="24"/>
        </w:rPr>
        <w:t xml:space="preserve"> sekmīgi noslē</w:t>
      </w:r>
      <w:r w:rsidR="007A7565" w:rsidRPr="00B86F46">
        <w:rPr>
          <w:color w:val="000000"/>
          <w:szCs w:val="24"/>
        </w:rPr>
        <w:t>dza</w:t>
      </w:r>
      <w:r w:rsidR="004B53F8" w:rsidRPr="00B86F46">
        <w:rPr>
          <w:color w:val="000000"/>
          <w:szCs w:val="24"/>
        </w:rPr>
        <w:t xml:space="preserve"> </w:t>
      </w:r>
      <w:r w:rsidR="00CF0FBB" w:rsidRPr="00B86F46">
        <w:rPr>
          <w:color w:val="000000"/>
          <w:szCs w:val="24"/>
        </w:rPr>
        <w:t>P</w:t>
      </w:r>
      <w:r w:rsidR="004B53F8" w:rsidRPr="00B86F46">
        <w:rPr>
          <w:color w:val="000000"/>
          <w:szCs w:val="24"/>
        </w:rPr>
        <w:t xml:space="preserve">rogrammu, īstenojot Latvijas ekonomikas stabilizācijas un izaugsmes atjaunošanas programmu, un arī turpmāk ieviesīs Latvijas Stratēģiskās attīstības plānā 2010. – 2013. </w:t>
      </w:r>
      <w:r w:rsidR="001D4739" w:rsidRPr="00B86F46">
        <w:rPr>
          <w:color w:val="000000"/>
          <w:szCs w:val="24"/>
        </w:rPr>
        <w:t>g</w:t>
      </w:r>
      <w:r w:rsidR="004B53F8" w:rsidRPr="00B86F46">
        <w:rPr>
          <w:color w:val="000000"/>
          <w:szCs w:val="24"/>
        </w:rPr>
        <w:t>adam</w:t>
      </w:r>
      <w:r w:rsidR="001D4739" w:rsidRPr="00B86F46">
        <w:rPr>
          <w:color w:val="000000"/>
          <w:szCs w:val="24"/>
        </w:rPr>
        <w:t xml:space="preserve"> (turpmāk – LSAP)</w:t>
      </w:r>
      <w:r w:rsidR="004B53F8" w:rsidRPr="00B86F46">
        <w:rPr>
          <w:color w:val="000000"/>
          <w:szCs w:val="24"/>
        </w:rPr>
        <w:t xml:space="preserve"> noteiktos vidēja termiņa rīcības virzienus noteikto prioritāšu ietvaros: ekonomikas izaugsme, sociālā drošība un publiskās pārvaldes </w:t>
      </w:r>
      <w:r w:rsidR="00CA2552" w:rsidRPr="00B86F46">
        <w:rPr>
          <w:color w:val="000000"/>
          <w:szCs w:val="24"/>
        </w:rPr>
        <w:t>reformas</w:t>
      </w:r>
      <w:r w:rsidR="004B53F8" w:rsidRPr="00B86F46">
        <w:rPr>
          <w:color w:val="000000"/>
          <w:szCs w:val="24"/>
        </w:rPr>
        <w:t xml:space="preserve">. </w:t>
      </w:r>
    </w:p>
    <w:p w:rsidR="004B53F8" w:rsidRPr="00B86F46" w:rsidRDefault="004B53F8" w:rsidP="002D62B9">
      <w:pPr>
        <w:rPr>
          <w:color w:val="000000"/>
          <w:szCs w:val="24"/>
        </w:rPr>
      </w:pPr>
      <w:r w:rsidRPr="00B86F46">
        <w:rPr>
          <w:color w:val="000000"/>
          <w:szCs w:val="24"/>
        </w:rPr>
        <w:lastRenderedPageBreak/>
        <w:t>Kon</w:t>
      </w:r>
      <w:r w:rsidR="00F82FC8" w:rsidRPr="00B86F46">
        <w:rPr>
          <w:color w:val="000000"/>
          <w:szCs w:val="24"/>
        </w:rPr>
        <w:t xml:space="preserve">verģences programma </w:t>
      </w:r>
      <w:r w:rsidRPr="00B86F46">
        <w:rPr>
          <w:color w:val="000000"/>
          <w:szCs w:val="24"/>
        </w:rPr>
        <w:t xml:space="preserve">kā politikas plānošanas dokuments ir apstiprināta Ministru kabinetā, prezentēta un izskatīta atbilstošajās Saeimas komisijās. </w:t>
      </w:r>
      <w:r w:rsidR="00E3034D" w:rsidRPr="00B86F46">
        <w:rPr>
          <w:color w:val="000000"/>
          <w:szCs w:val="24"/>
        </w:rPr>
        <w:t>Konverģences p</w:t>
      </w:r>
      <w:r w:rsidRPr="00B86F46">
        <w:rPr>
          <w:color w:val="000000"/>
          <w:szCs w:val="24"/>
        </w:rPr>
        <w:t>rogramma un par to Latvijai sniegtie ES Padomes ieteikumi būs pa</w:t>
      </w:r>
      <w:r w:rsidR="007A7565" w:rsidRPr="00B86F46">
        <w:rPr>
          <w:color w:val="000000"/>
          <w:szCs w:val="24"/>
        </w:rPr>
        <w:t>mats turpmākajam darbam pie 2013</w:t>
      </w:r>
      <w:r w:rsidR="00E56F6C" w:rsidRPr="00B86F46">
        <w:rPr>
          <w:color w:val="000000"/>
          <w:szCs w:val="24"/>
        </w:rPr>
        <w:t>. </w:t>
      </w:r>
      <w:r w:rsidRPr="00B86F46">
        <w:rPr>
          <w:color w:val="000000"/>
          <w:szCs w:val="24"/>
        </w:rPr>
        <w:t>gada valsts budžeta sagatavošanas.</w:t>
      </w:r>
    </w:p>
    <w:p w:rsidR="004B53F8" w:rsidRPr="007F1224" w:rsidRDefault="004B53F8" w:rsidP="002D62B9">
      <w:pPr>
        <w:ind w:firstLine="0"/>
        <w:rPr>
          <w:b/>
          <w:sz w:val="32"/>
          <w:szCs w:val="32"/>
        </w:rPr>
      </w:pPr>
    </w:p>
    <w:p w:rsidR="000F6956" w:rsidRPr="009C61B1" w:rsidRDefault="000F6956" w:rsidP="002D62B9">
      <w:pPr>
        <w:pStyle w:val="PIRMAIS"/>
      </w:pPr>
      <w:bookmarkStart w:id="6" w:name="_Toc323120272"/>
      <w:r w:rsidRPr="009C61B1">
        <w:lastRenderedPageBreak/>
        <w:t>2.</w:t>
      </w:r>
      <w:r w:rsidRPr="009C61B1">
        <w:tab/>
        <w:t>Ekonomiskā situācija</w:t>
      </w:r>
      <w:bookmarkEnd w:id="5"/>
      <w:bookmarkEnd w:id="6"/>
    </w:p>
    <w:p w:rsidR="00BD74BB" w:rsidRPr="009856BE" w:rsidRDefault="00BD74BB" w:rsidP="002D62B9">
      <w:pPr>
        <w:pStyle w:val="H2"/>
        <w:rPr>
          <w:rFonts w:ascii="Times New Roman" w:hAnsi="Times New Roman"/>
          <w:szCs w:val="32"/>
        </w:rPr>
      </w:pPr>
      <w:bookmarkStart w:id="7" w:name="_Toc290024493"/>
      <w:bookmarkStart w:id="8" w:name="_Toc323120273"/>
      <w:bookmarkStart w:id="9" w:name="_Toc284924042"/>
      <w:r w:rsidRPr="009856BE">
        <w:rPr>
          <w:rFonts w:ascii="Times New Roman" w:hAnsi="Times New Roman"/>
          <w:szCs w:val="32"/>
        </w:rPr>
        <w:t>2.1. Pašreizējā ekonomiskā attīstība</w:t>
      </w:r>
      <w:bookmarkEnd w:id="7"/>
      <w:bookmarkEnd w:id="8"/>
    </w:p>
    <w:p w:rsidR="00445D0B" w:rsidRPr="005869E7" w:rsidRDefault="00445D0B" w:rsidP="002D62B9">
      <w:pPr>
        <w:ind w:right="42"/>
        <w:rPr>
          <w:szCs w:val="24"/>
        </w:rPr>
      </w:pPr>
      <w:bookmarkStart w:id="10" w:name="_Toc290024494"/>
      <w:r w:rsidRPr="005869E7">
        <w:t>Ņemot vērā nozīmīgas pārmaiņas Latvijas tautsaimniecībā un pakāpenisku globālās ekonomikas atlabšanu no straujās lejupslīdes, Latvijas ekonomika jau sākot no 2010.</w:t>
      </w:r>
      <w:r w:rsidR="002738FA">
        <w:t> </w:t>
      </w:r>
      <w:r w:rsidRPr="005869E7">
        <w:t xml:space="preserve">gada vidus ir atgriezusies pie izaugsmes, ko nodrošinājuši gan ekonomikas stabilizācijas un iekšējās devalvācijas pasākumi, gan labvēlīgā situācija ārējos tirgos. </w:t>
      </w:r>
      <w:r w:rsidRPr="005869E7">
        <w:rPr>
          <w:szCs w:val="24"/>
        </w:rPr>
        <w:t>Latvijas IKP 2011. gadā, salīdzinot ar iepriekšējo gadu, palielinājās par 5,5 procentiem, tomēr jāatzīmē, ka sasniegtais IKP līmenis pagājušajā gadā aizvien vēl atpalika no pirmskrīzes laikā maksimāli sasniegtā par 16,4</w:t>
      </w:r>
      <w:r w:rsidR="002738FA">
        <w:rPr>
          <w:szCs w:val="24"/>
        </w:rPr>
        <w:t> </w:t>
      </w:r>
      <w:r w:rsidRPr="005869E7">
        <w:rPr>
          <w:szCs w:val="24"/>
        </w:rPr>
        <w:t>% (salīdzināmajās cenās).</w:t>
      </w:r>
    </w:p>
    <w:p w:rsidR="00445D0B" w:rsidRPr="005869E7" w:rsidRDefault="00445D0B" w:rsidP="002D62B9">
      <w:pPr>
        <w:pStyle w:val="teksts"/>
        <w:ind w:right="42" w:firstLine="567"/>
        <w:rPr>
          <w:rFonts w:ascii="Times New Roman" w:hAnsi="Times New Roman"/>
          <w:szCs w:val="28"/>
        </w:rPr>
      </w:pPr>
      <w:r w:rsidRPr="005869E7">
        <w:rPr>
          <w:rFonts w:ascii="Times New Roman" w:hAnsi="Times New Roman"/>
        </w:rPr>
        <w:t>Ekonomikas attīstības pamatā pagājušajā gadā bija eksportējošā rūpniecība. Veiksmīgi izmantojot ārējā pieprasījuma un cenu pieaugumu, eksports jau sasniedzis pirmskrīzes apjomus, bet rūpniecības izlaides apjomi ir tuvu šim līmenim.</w:t>
      </w:r>
      <w:r w:rsidRPr="005869E7">
        <w:t xml:space="preserve"> </w:t>
      </w:r>
      <w:r w:rsidRPr="005869E7">
        <w:rPr>
          <w:rFonts w:ascii="Times New Roman" w:hAnsi="Times New Roman"/>
        </w:rPr>
        <w:t>Ienākumu pieaugums no eksporta stimulēja arī pieprasījuma kāpumu vietējā tirgū.</w:t>
      </w:r>
      <w:r w:rsidRPr="005869E7">
        <w:t xml:space="preserve"> </w:t>
      </w:r>
      <w:r w:rsidRPr="005869E7">
        <w:rPr>
          <w:rFonts w:ascii="Times New Roman" w:hAnsi="Times New Roman"/>
        </w:rPr>
        <w:t>Lielāko ieguldījumu IKP izaugsmē</w:t>
      </w:r>
      <w:r w:rsidRPr="005869E7">
        <w:t xml:space="preserve"> </w:t>
      </w:r>
      <w:r w:rsidRPr="005869E7">
        <w:rPr>
          <w:rFonts w:ascii="Times New Roman" w:eastAsia="Calibri" w:hAnsi="Times New Roman"/>
          <w:szCs w:val="24"/>
        </w:rPr>
        <w:t>2011. gadā deva tirdzniecības</w:t>
      </w:r>
      <w:r w:rsidRPr="005869E7">
        <w:rPr>
          <w:rFonts w:ascii="Times New Roman" w:hAnsi="Times New Roman"/>
          <w:szCs w:val="28"/>
        </w:rPr>
        <w:t>,  apstrādes rūpniecības un transporta un uzglabāšanas nozares, bet būvniecības nozare, kas 2008.</w:t>
      </w:r>
      <w:r w:rsidR="009856BE">
        <w:rPr>
          <w:rFonts w:ascii="Times New Roman" w:hAnsi="Times New Roman"/>
          <w:szCs w:val="28"/>
        </w:rPr>
        <w:t xml:space="preserve"> </w:t>
      </w:r>
      <w:r w:rsidR="0035776A">
        <w:rPr>
          <w:rFonts w:ascii="Times New Roman" w:hAnsi="Times New Roman"/>
          <w:szCs w:val="28"/>
        </w:rPr>
        <w:t>–</w:t>
      </w:r>
      <w:r w:rsidRPr="005869E7">
        <w:rPr>
          <w:rFonts w:ascii="Times New Roman" w:hAnsi="Times New Roman"/>
          <w:szCs w:val="28"/>
        </w:rPr>
        <w:t>2010.</w:t>
      </w:r>
      <w:r w:rsidR="002738FA">
        <w:rPr>
          <w:rFonts w:ascii="Times New Roman" w:hAnsi="Times New Roman"/>
          <w:szCs w:val="28"/>
        </w:rPr>
        <w:t> </w:t>
      </w:r>
      <w:r w:rsidRPr="005869E7">
        <w:rPr>
          <w:rFonts w:ascii="Times New Roman" w:hAnsi="Times New Roman"/>
          <w:szCs w:val="28"/>
        </w:rPr>
        <w:t>g</w:t>
      </w:r>
      <w:r w:rsidR="002738FA">
        <w:rPr>
          <w:rFonts w:ascii="Times New Roman" w:hAnsi="Times New Roman"/>
          <w:szCs w:val="28"/>
        </w:rPr>
        <w:t>adā</w:t>
      </w:r>
      <w:r w:rsidRPr="005869E7">
        <w:rPr>
          <w:rFonts w:ascii="Times New Roman" w:hAnsi="Times New Roman"/>
          <w:szCs w:val="28"/>
        </w:rPr>
        <w:t xml:space="preserve"> piedzīvoja dziļu un ilgstošu lejupslīdi, kā vien</w:t>
      </w:r>
      <w:r>
        <w:rPr>
          <w:rFonts w:ascii="Times New Roman" w:hAnsi="Times New Roman"/>
          <w:szCs w:val="28"/>
        </w:rPr>
        <w:t>a</w:t>
      </w:r>
      <w:r w:rsidRPr="005869E7">
        <w:rPr>
          <w:rFonts w:ascii="Times New Roman" w:hAnsi="Times New Roman"/>
          <w:szCs w:val="28"/>
        </w:rPr>
        <w:t xml:space="preserve"> no pēdējām pagājušajā gadā atgriezās pie izaugsmes. </w:t>
      </w:r>
      <w:r w:rsidRPr="005869E7">
        <w:rPr>
          <w:rFonts w:ascii="Times New Roman" w:hAnsi="Times New Roman"/>
        </w:rPr>
        <w:t xml:space="preserve">Arī IKP struktūra kļuvusi sabalansētāka un ilgtspējīgāka </w:t>
      </w:r>
      <w:r w:rsidR="0035776A">
        <w:rPr>
          <w:rFonts w:ascii="Times New Roman" w:hAnsi="Times New Roman"/>
        </w:rPr>
        <w:t>–</w:t>
      </w:r>
      <w:r w:rsidRPr="005869E7">
        <w:rPr>
          <w:rFonts w:ascii="Times New Roman" w:hAnsi="Times New Roman"/>
        </w:rPr>
        <w:t xml:space="preserve"> pieaudzis rūpniecības nozaru īpatsvars nozaru pievienotās vērtības struktūrā, samazinājies importa pārsvars pār eksportu IKP izlietojuma sadalījumā.</w:t>
      </w:r>
    </w:p>
    <w:p w:rsidR="00445D0B" w:rsidRPr="005869E7" w:rsidRDefault="00445D0B" w:rsidP="002D62B9">
      <w:pPr>
        <w:ind w:right="42"/>
      </w:pPr>
      <w:r w:rsidRPr="005869E7">
        <w:rPr>
          <w:szCs w:val="24"/>
          <w:lang w:eastAsia="lv-LV"/>
        </w:rPr>
        <w:t>Paaugstinoties ekonomiskajai aktivitātei, 2011.</w:t>
      </w:r>
      <w:r w:rsidR="002738FA">
        <w:rPr>
          <w:szCs w:val="24"/>
          <w:lang w:eastAsia="lv-LV"/>
        </w:rPr>
        <w:t> </w:t>
      </w:r>
      <w:r w:rsidRPr="005869E7">
        <w:rPr>
          <w:szCs w:val="24"/>
          <w:lang w:eastAsia="lv-LV"/>
        </w:rPr>
        <w:t>gadā Latvijas preču eksports un preču imports auga līdzīgos tempos (attiecīgi par 28,1</w:t>
      </w:r>
      <w:r w:rsidR="002738FA">
        <w:rPr>
          <w:szCs w:val="24"/>
          <w:lang w:eastAsia="lv-LV"/>
        </w:rPr>
        <w:t> </w:t>
      </w:r>
      <w:r w:rsidRPr="005869E7">
        <w:rPr>
          <w:szCs w:val="24"/>
          <w:lang w:eastAsia="lv-LV"/>
        </w:rPr>
        <w:t>% un 28,3</w:t>
      </w:r>
      <w:r w:rsidR="002738FA">
        <w:rPr>
          <w:szCs w:val="24"/>
          <w:lang w:eastAsia="lv-LV"/>
        </w:rPr>
        <w:t> </w:t>
      </w:r>
      <w:r w:rsidRPr="005869E7">
        <w:rPr>
          <w:szCs w:val="24"/>
          <w:lang w:eastAsia="lv-LV"/>
        </w:rPr>
        <w:t xml:space="preserve">%). Attiecīgi ārējās tirdzniecības deficīts pieauga, tomēr šis kāpums lielā mērā ir saistīts ar investīciju preču importa pieaugumu. </w:t>
      </w:r>
      <w:r w:rsidRPr="005869E7">
        <w:t>Izdevumi bruto pamatkapitāla veidošanai 2011.</w:t>
      </w:r>
      <w:r w:rsidR="002738FA">
        <w:t> </w:t>
      </w:r>
      <w:r w:rsidRPr="005869E7">
        <w:t>gadā palielinājās par 24,6</w:t>
      </w:r>
      <w:r w:rsidR="002738FA">
        <w:t> </w:t>
      </w:r>
      <w:r w:rsidRPr="005869E7">
        <w:t>%, turklāt, pozitīv</w:t>
      </w:r>
      <w:r>
        <w:t>u</w:t>
      </w:r>
      <w:r w:rsidRPr="005869E7">
        <w:t xml:space="preserve"> ietekmi uz tautsaimniecību nodrošina investīciju straujāks pieaugums tieši uz eksportu orientētajos tautsaimniecības sektoros (rūpniecība, transports).</w:t>
      </w:r>
    </w:p>
    <w:p w:rsidR="00445D0B" w:rsidRPr="005869E7" w:rsidRDefault="00445D0B" w:rsidP="002D62B9">
      <w:pPr>
        <w:pStyle w:val="EE-paragr"/>
        <w:spacing w:before="0"/>
        <w:ind w:right="42" w:firstLine="567"/>
      </w:pPr>
      <w:r w:rsidRPr="005869E7">
        <w:t>Augot ienākumiem no eksporta un atgriežoties investīciju plūsmai, pakāpeniski atjaunojas pieprasījums arī vietējā tirgū, pieaug nodarbinātība. Nodarbinātības līmenis 2011.</w:t>
      </w:r>
      <w:r w:rsidR="002738FA">
        <w:t> </w:t>
      </w:r>
      <w:r w:rsidRPr="005869E7">
        <w:t>gadā palielinājās par 2,2 procentpunktiem un veidoja 55,3 procentus, bet darba meklētāju īpatsvars samazinājies līdz 15,4</w:t>
      </w:r>
      <w:r w:rsidR="002738FA">
        <w:t> </w:t>
      </w:r>
      <w:r w:rsidRPr="005869E7">
        <w:t>% no ekonomiski aktīvajiem iedzīvotājiem. Tomēr strauju iekšzemes pieprasījuma pieaugumu kavē augstais bezdarba līmenis, mājsaimniecību kredītu slogs un gandrīz nemainīgā reālā darba alga. Lai gan strādājošo mēneša vidējā darba samaksa 2011.</w:t>
      </w:r>
      <w:r w:rsidR="002738FA">
        <w:t> </w:t>
      </w:r>
      <w:r w:rsidRPr="005869E7">
        <w:t>gada laikā kāpusi par 4,3</w:t>
      </w:r>
      <w:r w:rsidR="002738FA">
        <w:t> </w:t>
      </w:r>
      <w:r w:rsidRPr="005869E7">
        <w:t xml:space="preserve">%, patēriņa pieaugumu bremzē gandrīz tikpat augstā inflācija </w:t>
      </w:r>
      <w:r w:rsidR="0035776A">
        <w:t>–</w:t>
      </w:r>
      <w:r w:rsidRPr="005869E7">
        <w:t xml:space="preserve"> </w:t>
      </w:r>
      <w:r w:rsidRPr="00D9028A">
        <w:rPr>
          <w:rStyle w:val="Strong"/>
          <w:b w:val="0"/>
        </w:rPr>
        <w:t>patēriņa cenas šajā periodā augušas par 4,0</w:t>
      </w:r>
      <w:r w:rsidR="002738FA" w:rsidRPr="00D9028A">
        <w:rPr>
          <w:rStyle w:val="Strong"/>
          <w:b w:val="0"/>
        </w:rPr>
        <w:t> </w:t>
      </w:r>
      <w:r w:rsidRPr="00D9028A">
        <w:rPr>
          <w:rStyle w:val="Strong"/>
          <w:b w:val="0"/>
        </w:rPr>
        <w:t>%, ko noteica</w:t>
      </w:r>
      <w:r w:rsidRPr="005869E7">
        <w:rPr>
          <w:rStyle w:val="Strong"/>
        </w:rPr>
        <w:t xml:space="preserve"> </w:t>
      </w:r>
      <w:r w:rsidRPr="005869E7">
        <w:t>naftas produktu un pārtikas cenu kāpums pasaulē, kā arī  izmaiņas nodokļu politikā.</w:t>
      </w:r>
    </w:p>
    <w:p w:rsidR="00445D0B" w:rsidRPr="005869E7" w:rsidRDefault="00445D0B" w:rsidP="002D62B9">
      <w:pPr>
        <w:ind w:right="42"/>
        <w:rPr>
          <w:szCs w:val="24"/>
          <w:lang w:eastAsia="lv-LV"/>
        </w:rPr>
      </w:pPr>
      <w:r w:rsidRPr="005869E7">
        <w:t>Lai gan Latvijas tautsaimniecības izaugsme 2011.</w:t>
      </w:r>
      <w:r w:rsidR="002738FA">
        <w:t> </w:t>
      </w:r>
      <w:r w:rsidRPr="005869E7">
        <w:t xml:space="preserve">gadā ir bijusi straujāka kā iepriekš prognozēts, Finanšu ministrijas izstrādātais </w:t>
      </w:r>
      <w:r w:rsidRPr="005869E7">
        <w:rPr>
          <w:szCs w:val="24"/>
          <w:lang w:eastAsia="lv-LV"/>
        </w:rPr>
        <w:t>makroekonomiskās attīstības scenārijs ir veidots uz konservatīviem pieņēmumiem par ārējās vides attīstību un 2012.</w:t>
      </w:r>
      <w:r w:rsidR="002738FA">
        <w:rPr>
          <w:szCs w:val="24"/>
          <w:lang w:eastAsia="lv-LV"/>
        </w:rPr>
        <w:t> </w:t>
      </w:r>
      <w:r w:rsidRPr="005869E7">
        <w:rPr>
          <w:szCs w:val="24"/>
          <w:lang w:eastAsia="lv-LV"/>
        </w:rPr>
        <w:t>gadam paredz IKP izaugsmes tempu 2,0</w:t>
      </w:r>
      <w:r w:rsidR="002738FA">
        <w:rPr>
          <w:szCs w:val="24"/>
          <w:lang w:eastAsia="lv-LV"/>
        </w:rPr>
        <w:t> </w:t>
      </w:r>
      <w:r w:rsidRPr="005869E7">
        <w:rPr>
          <w:szCs w:val="24"/>
          <w:lang w:eastAsia="lv-LV"/>
        </w:rPr>
        <w:t>% apmērā. Scenārijs ir balstīts uz pieņēmumu par pasaules izaugsmes tempu samazināšanos 2012.</w:t>
      </w:r>
      <w:r w:rsidR="002738FA">
        <w:rPr>
          <w:szCs w:val="24"/>
          <w:lang w:eastAsia="lv-LV"/>
        </w:rPr>
        <w:t> </w:t>
      </w:r>
      <w:r w:rsidRPr="005869E7">
        <w:rPr>
          <w:szCs w:val="24"/>
          <w:lang w:eastAsia="lv-LV"/>
        </w:rPr>
        <w:t>gada pirmajos divos ceturkšņos, kam sekos atgriešanās pie iepriekšējiem izaugsmes tempiem. Tā rezultātā, negatīvā ietekme uz Latvijas izaugsmes tempiem būs īslaicīga, un turpmākajos gados ekonomikas izaugsmes tempi atgriezīsies pie to potenciālā līmeņa.</w:t>
      </w:r>
    </w:p>
    <w:p w:rsidR="00445D0B" w:rsidRPr="005869E7" w:rsidRDefault="00445D0B" w:rsidP="002D62B9">
      <w:pPr>
        <w:ind w:right="42"/>
        <w:rPr>
          <w:szCs w:val="24"/>
          <w:lang w:eastAsia="lv-LV"/>
        </w:rPr>
      </w:pPr>
      <w:r w:rsidRPr="005869E7">
        <w:rPr>
          <w:szCs w:val="24"/>
          <w:lang w:eastAsia="lv-LV"/>
        </w:rPr>
        <w:t>Finanšu ministrija 2011.</w:t>
      </w:r>
      <w:r w:rsidR="002738FA">
        <w:rPr>
          <w:szCs w:val="24"/>
          <w:lang w:eastAsia="lv-LV"/>
        </w:rPr>
        <w:t> </w:t>
      </w:r>
      <w:r w:rsidRPr="005869E7">
        <w:rPr>
          <w:szCs w:val="24"/>
          <w:lang w:eastAsia="lv-LV"/>
        </w:rPr>
        <w:t xml:space="preserve">gadā ir uzsākusi vērtēt ES fondu finansējuma ietekmi uz Latvijas tautsaimniecības attīstību un secinājusi, ka </w:t>
      </w:r>
      <w:r w:rsidRPr="005869E7">
        <w:t xml:space="preserve">ES fondu finansējums ir viens no būtiskākajiem investīciju avotiem valsts ekonomikā, kas līdz šim mazināja un amortizēja </w:t>
      </w:r>
      <w:r w:rsidRPr="005869E7">
        <w:lastRenderedPageBreak/>
        <w:t>ekonomikas lejupslīdi krīzes laikā, arī pēc tās turpinot pozitīvi ietekmēt tautsaimniecības stabilizāciju un izaugsmi.</w:t>
      </w:r>
    </w:p>
    <w:p w:rsidR="00445D0B" w:rsidRPr="005869E7" w:rsidRDefault="00445D0B" w:rsidP="002D62B9">
      <w:pPr>
        <w:pStyle w:val="NormalWeb"/>
        <w:spacing w:before="0" w:beforeAutospacing="0" w:after="0" w:afterAutospacing="0"/>
        <w:ind w:firstLine="567"/>
        <w:jc w:val="both"/>
      </w:pPr>
      <w:r w:rsidRPr="005869E7">
        <w:t>Izvērtējuma rezultāti demonstrē</w:t>
      </w:r>
      <w:r w:rsidRPr="005869E7">
        <w:rPr>
          <w:rFonts w:eastAsia="EUAlbertina-Bold-Identity-H"/>
        </w:rPr>
        <w:t xml:space="preserve"> ES fondu pozitīvo ietekmi </w:t>
      </w:r>
      <w:r w:rsidRPr="005869E7">
        <w:t xml:space="preserve">uz svarīgākajiem makroekonomikas rādītājiem, tai skaitā ES fondi </w:t>
      </w:r>
      <w:r w:rsidRPr="005869E7">
        <w:rPr>
          <w:rFonts w:eastAsia="EUAlbertina-Bold-Identity-H"/>
        </w:rPr>
        <w:t>par 6.7 procentpunktiem</w:t>
      </w:r>
      <w:r w:rsidRPr="005869E7" w:rsidDel="007F078A">
        <w:t xml:space="preserve"> </w:t>
      </w:r>
      <w:r w:rsidRPr="005869E7">
        <w:t>mazināja krīzes ietekmēto investīciju kritumu, kas 2009.</w:t>
      </w:r>
      <w:r w:rsidR="002738FA">
        <w:t> </w:t>
      </w:r>
      <w:r w:rsidRPr="005869E7">
        <w:t>gadā sasniedza 37.4</w:t>
      </w:r>
      <w:r w:rsidR="002738FA">
        <w:t> </w:t>
      </w:r>
      <w:r w:rsidRPr="005869E7">
        <w:t>%.</w:t>
      </w:r>
      <w:r w:rsidRPr="005869E7">
        <w:rPr>
          <w:rFonts w:eastAsia="EUAlbertina-Bold-Identity-H"/>
        </w:rPr>
        <w:t xml:space="preserve"> Savukārt 2009.</w:t>
      </w:r>
      <w:r w:rsidR="002738FA">
        <w:rPr>
          <w:rFonts w:eastAsia="EUAlbertina-Bold-Identity-H"/>
        </w:rPr>
        <w:t> </w:t>
      </w:r>
      <w:r w:rsidRPr="005869E7">
        <w:rPr>
          <w:rFonts w:eastAsia="EUAlbertina-Bold-Identity-H"/>
        </w:rPr>
        <w:t xml:space="preserve">gada IKP </w:t>
      </w:r>
      <w:r w:rsidRPr="005869E7">
        <w:t>samazinājums par 17.7</w:t>
      </w:r>
      <w:r w:rsidR="002738FA">
        <w:t> </w:t>
      </w:r>
      <w:r w:rsidRPr="005869E7">
        <w:t xml:space="preserve">% bez ES fondu līdzekļiem būtu vēl </w:t>
      </w:r>
      <w:r w:rsidRPr="005869E7">
        <w:rPr>
          <w:rFonts w:eastAsia="EUAlbertina-Bold-Identity-H"/>
        </w:rPr>
        <w:t xml:space="preserve">par 3.7 procentpunktiem lielāks. </w:t>
      </w:r>
      <w:r w:rsidRPr="005869E7">
        <w:t>ES fondu labvēlīgā ietekme uz IKP dinamiku parādās arī turpmākajos gados, pieaugot atbilstoši apgūtā finansējuma apjomam (skat</w:t>
      </w:r>
      <w:r w:rsidR="001D4739">
        <w:t>. 2.</w:t>
      </w:r>
      <w:r w:rsidRPr="005869E7">
        <w:t>1.</w:t>
      </w:r>
      <w:r w:rsidR="002738FA">
        <w:t> </w:t>
      </w:r>
      <w:r w:rsidRPr="005869E7">
        <w:t>attēlu).</w:t>
      </w:r>
    </w:p>
    <w:p w:rsidR="00445D0B" w:rsidRPr="005869E7" w:rsidRDefault="00BD6F38" w:rsidP="00DB385C">
      <w:pPr>
        <w:pStyle w:val="NormalWeb"/>
        <w:spacing w:before="0" w:beforeAutospacing="0" w:after="0" w:afterAutospacing="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style="width:415.7pt;height:234.15pt;visibility:visible">
            <v:imagedata r:id="rId16" o:title=""/>
          </v:shape>
        </w:pict>
      </w:r>
    </w:p>
    <w:p w:rsidR="00445D0B" w:rsidRPr="005869E7" w:rsidRDefault="00445D0B" w:rsidP="002D62B9">
      <w:pPr>
        <w:jc w:val="center"/>
        <w:rPr>
          <w:szCs w:val="24"/>
        </w:rPr>
      </w:pPr>
      <w:r w:rsidRPr="005869E7">
        <w:rPr>
          <w:szCs w:val="24"/>
        </w:rPr>
        <w:t>2.1.att. ES fondu ietekme uz investīciju</w:t>
      </w:r>
      <w:r w:rsidRPr="005869E7">
        <w:rPr>
          <w:szCs w:val="24"/>
          <w:lang w:eastAsia="lv-LV"/>
        </w:rPr>
        <w:t xml:space="preserve"> </w:t>
      </w:r>
      <w:r w:rsidRPr="005869E7">
        <w:rPr>
          <w:szCs w:val="24"/>
        </w:rPr>
        <w:t>pieaugumu un reālā IKP izmaiņu tempu</w:t>
      </w:r>
    </w:p>
    <w:p w:rsidR="00445D0B" w:rsidRPr="005869E7" w:rsidRDefault="00445D0B" w:rsidP="002D62B9">
      <w:pPr>
        <w:ind w:firstLine="720"/>
        <w:rPr>
          <w:szCs w:val="24"/>
        </w:rPr>
      </w:pPr>
      <w:r w:rsidRPr="005869E7">
        <w:rPr>
          <w:szCs w:val="24"/>
        </w:rPr>
        <w:t xml:space="preserve">Pirms krīzes ES fondu līdzekļu ieplūde papildus viegli pieejamajiem lētajiem kredītiem veicināja inflācijas līmeņa kāpumu, savukārt krīzes laikā mazināja deflāciju. Kopumā ES fondi radīja vieglu inflāciju paaugstinošu efektu </w:t>
      </w:r>
      <w:r w:rsidR="0035776A">
        <w:rPr>
          <w:szCs w:val="24"/>
        </w:rPr>
        <w:t>–</w:t>
      </w:r>
      <w:r w:rsidRPr="005869E7">
        <w:rPr>
          <w:szCs w:val="24"/>
        </w:rPr>
        <w:t xml:space="preserve"> laika periodā no 2004. līdz 2011.</w:t>
      </w:r>
      <w:r w:rsidR="002738FA">
        <w:rPr>
          <w:szCs w:val="24"/>
        </w:rPr>
        <w:t> </w:t>
      </w:r>
      <w:r w:rsidRPr="005869E7">
        <w:rPr>
          <w:szCs w:val="24"/>
        </w:rPr>
        <w:t>gadam vidēji par 1 procentpunktu.</w:t>
      </w:r>
    </w:p>
    <w:p w:rsidR="00445D0B" w:rsidRPr="005869E7" w:rsidRDefault="00445D0B" w:rsidP="002D62B9">
      <w:pPr>
        <w:rPr>
          <w:szCs w:val="24"/>
        </w:rPr>
      </w:pPr>
      <w:r w:rsidRPr="005869E7">
        <w:rPr>
          <w:szCs w:val="24"/>
        </w:rPr>
        <w:t xml:space="preserve">ES fondu apguve pozitīvi ietekmēja reālo algu pieaugumu, līdz ar to privātais patēriņš pieauga </w:t>
      </w:r>
      <w:r w:rsidRPr="005869E7">
        <w:rPr>
          <w:rFonts w:eastAsia="EUAlbertina-Bold-Identity-H"/>
          <w:szCs w:val="24"/>
          <w:lang w:eastAsia="lv-LV"/>
        </w:rPr>
        <w:t>vidēji par 2</w:t>
      </w:r>
      <w:r w:rsidR="00D82C46">
        <w:rPr>
          <w:rFonts w:eastAsia="EUAlbertina-Bold-Identity-H"/>
          <w:szCs w:val="24"/>
          <w:lang w:eastAsia="lv-LV"/>
        </w:rPr>
        <w:t>,</w:t>
      </w:r>
      <w:r w:rsidRPr="005869E7">
        <w:rPr>
          <w:rFonts w:eastAsia="EUAlbertina-Bold-Identity-H"/>
          <w:szCs w:val="24"/>
          <w:lang w:eastAsia="lv-LV"/>
        </w:rPr>
        <w:t>5 procentpunktiem gadā</w:t>
      </w:r>
      <w:r w:rsidRPr="005869E7">
        <w:rPr>
          <w:szCs w:val="24"/>
        </w:rPr>
        <w:t xml:space="preserve">. Privātā patēriņa pieaugums un pieprasījums </w:t>
      </w:r>
      <w:r w:rsidRPr="005869E7">
        <w:rPr>
          <w:rFonts w:eastAsia="EUAlbertina-Bold-Identity-H"/>
          <w:szCs w:val="24"/>
          <w:lang w:eastAsia="lv-LV"/>
        </w:rPr>
        <w:t xml:space="preserve">pēc ārvalstu investīciju precēm (izejvielas, būvmateriāli utt.) stimulēja importa pieaugumu </w:t>
      </w:r>
      <w:r w:rsidR="0035776A">
        <w:rPr>
          <w:rFonts w:eastAsia="EUAlbertina-Bold-Identity-H"/>
          <w:szCs w:val="24"/>
          <w:lang w:eastAsia="lv-LV"/>
        </w:rPr>
        <w:t>–</w:t>
      </w:r>
      <w:r w:rsidRPr="005869E7">
        <w:rPr>
          <w:rFonts w:eastAsia="EUAlbertina-Bold-Identity-H"/>
          <w:szCs w:val="24"/>
          <w:lang w:eastAsia="lv-LV"/>
        </w:rPr>
        <w:t xml:space="preserve"> vidēji par 4 procentpunktiem</w:t>
      </w:r>
      <w:r w:rsidRPr="005869E7" w:rsidDel="007F078A">
        <w:rPr>
          <w:rFonts w:eastAsia="EUAlbertina-Bold-Identity-H"/>
          <w:szCs w:val="24"/>
          <w:lang w:eastAsia="lv-LV"/>
        </w:rPr>
        <w:t xml:space="preserve"> </w:t>
      </w:r>
      <w:r w:rsidRPr="005869E7">
        <w:rPr>
          <w:rFonts w:eastAsia="EUAlbertina-Bold-Identity-H"/>
          <w:szCs w:val="24"/>
          <w:lang w:eastAsia="lv-LV"/>
        </w:rPr>
        <w:t>gadā. ES fondu finansējums sekmēja galvenokārt iekšējā tirgus attīstību, t.sk. infrastruktūras uzlabošanu.</w:t>
      </w:r>
    </w:p>
    <w:p w:rsidR="00445D0B" w:rsidRPr="00BD74BB" w:rsidRDefault="00445D0B" w:rsidP="002D62B9">
      <w:pPr>
        <w:ind w:firstLine="720"/>
        <w:rPr>
          <w:color w:val="000000"/>
          <w:szCs w:val="24"/>
        </w:rPr>
      </w:pPr>
      <w:r w:rsidRPr="00BD74BB">
        <w:rPr>
          <w:color w:val="000000"/>
          <w:szCs w:val="24"/>
        </w:rPr>
        <w:t xml:space="preserve">Lielākā stimulējošā ietekme uz pievienotās vērtības pieauguma tempu bija būvniecības un  privāto pakalpojumu sektoros (gadā vidēji apt. </w:t>
      </w:r>
      <w:r w:rsidRPr="005869E7">
        <w:rPr>
          <w:szCs w:val="24"/>
          <w:lang w:eastAsia="lv-LV"/>
        </w:rPr>
        <w:t>4</w:t>
      </w:r>
      <w:r w:rsidR="0035776A">
        <w:rPr>
          <w:szCs w:val="24"/>
          <w:lang w:eastAsia="lv-LV"/>
        </w:rPr>
        <w:t>–</w:t>
      </w:r>
      <w:r w:rsidRPr="005869E7">
        <w:rPr>
          <w:szCs w:val="24"/>
          <w:lang w:eastAsia="lv-LV"/>
        </w:rPr>
        <w:t>5 procentpunktiem)</w:t>
      </w:r>
      <w:r w:rsidRPr="00BD74BB">
        <w:rPr>
          <w:color w:val="000000"/>
          <w:szCs w:val="24"/>
        </w:rPr>
        <w:t xml:space="preserve">. </w:t>
      </w:r>
      <w:r w:rsidRPr="005869E7">
        <w:rPr>
          <w:szCs w:val="24"/>
        </w:rPr>
        <w:t>Lielā ES fondu ietekme uz būvniecību ir skaidrojama ar to, ka būvniecības nozarē realizētos projektus pēdējo 3 gadu laikā pamatā ir nodrošinājuši ES fondu finansētie inženierbūvniecības un sabiedriskā sektora ēku būvniecības un renovācijas darbu pasūtījumi. Ja nebūtu apgūti fondu līdzekļi, kritums nozares pievienotajā vērtībā krīzes laikā būtu aptuveni par 4</w:t>
      </w:r>
      <w:r w:rsidR="00D82C46">
        <w:rPr>
          <w:szCs w:val="24"/>
        </w:rPr>
        <w:t>,</w:t>
      </w:r>
      <w:r w:rsidRPr="005869E7">
        <w:rPr>
          <w:szCs w:val="24"/>
        </w:rPr>
        <w:t>5 procentpunktiem dziļāks. Nozīmīgā ietekme uz privāto pakalpojumu izaugsmi ir skaidrojama ar ES fondu investīciju izraisīto reālo ienākumu palielinājumu.</w:t>
      </w:r>
    </w:p>
    <w:p w:rsidR="00445D0B" w:rsidRPr="005869E7" w:rsidRDefault="00445D0B" w:rsidP="002D62B9">
      <w:pPr>
        <w:rPr>
          <w:szCs w:val="24"/>
        </w:rPr>
      </w:pPr>
      <w:r w:rsidRPr="005869E7">
        <w:rPr>
          <w:rFonts w:eastAsia="EUAlbertina-Bold-Identity-H"/>
          <w:szCs w:val="24"/>
          <w:lang w:eastAsia="lv-LV"/>
        </w:rPr>
        <w:t>Izvērtējot ES fondu ietekmi uz darba tirgus rādītājiem, ir secināms, ka pirmskrīzes periodā ES fondu projektu ieviešana samazināja bezdarba līmeni vidēji par 1</w:t>
      </w:r>
      <w:r w:rsidR="00D82C46">
        <w:rPr>
          <w:rFonts w:eastAsia="EUAlbertina-Bold-Identity-H"/>
          <w:szCs w:val="24"/>
          <w:lang w:eastAsia="lv-LV"/>
        </w:rPr>
        <w:t>,</w:t>
      </w:r>
      <w:r w:rsidRPr="005869E7">
        <w:rPr>
          <w:rFonts w:eastAsia="EUAlbertina-Bold-Identity-H"/>
          <w:szCs w:val="24"/>
          <w:lang w:eastAsia="lv-LV"/>
        </w:rPr>
        <w:t>6 procentpunktiem. Jāatzīmē, ka kopš 2009.</w:t>
      </w:r>
      <w:r w:rsidR="00D4023B">
        <w:rPr>
          <w:rFonts w:eastAsia="EUAlbertina-Bold-Identity-H"/>
          <w:szCs w:val="24"/>
          <w:lang w:eastAsia="lv-LV"/>
        </w:rPr>
        <w:t> </w:t>
      </w:r>
      <w:r w:rsidRPr="005869E7">
        <w:rPr>
          <w:rFonts w:eastAsia="EUAlbertina-Bold-Identity-H"/>
          <w:szCs w:val="24"/>
          <w:lang w:eastAsia="lv-LV"/>
        </w:rPr>
        <w:t>gada ES fondu pozitīvā ietekme uz bezdarba līmeņa dinamiku ievērojami pieaug.</w:t>
      </w:r>
      <w:r w:rsidRPr="005869E7">
        <w:rPr>
          <w:szCs w:val="24"/>
        </w:rPr>
        <w:t xml:space="preserve"> ES fondu ietekme uz nodarbināto skaita pieaugumu ir samērā neliela. K</w:t>
      </w:r>
      <w:r w:rsidRPr="005869E7">
        <w:rPr>
          <w:szCs w:val="24"/>
          <w:lang w:eastAsia="lv-LV"/>
        </w:rPr>
        <w:t>opš 2001.</w:t>
      </w:r>
      <w:r w:rsidR="00D4023B">
        <w:rPr>
          <w:szCs w:val="24"/>
          <w:lang w:eastAsia="lv-LV"/>
        </w:rPr>
        <w:t> </w:t>
      </w:r>
      <w:r w:rsidRPr="005869E7">
        <w:rPr>
          <w:szCs w:val="24"/>
          <w:lang w:eastAsia="lv-LV"/>
        </w:rPr>
        <w:t xml:space="preserve">gada ES fondu līdzfinansēto aktivitāšu īstenošanas rezultātā ir </w:t>
      </w:r>
      <w:r w:rsidRPr="005869E7">
        <w:rPr>
          <w:szCs w:val="24"/>
          <w:lang w:eastAsia="lv-LV"/>
        </w:rPr>
        <w:lastRenderedPageBreak/>
        <w:t>tikušas radītas ap 25 tūkst. jaunas darba vietas</w:t>
      </w:r>
      <w:r w:rsidRPr="005869E7">
        <w:rPr>
          <w:szCs w:val="24"/>
        </w:rPr>
        <w:t>, kas skaidrojams ar to, ka ES fondu investīcijas galvenokārt stimulējušas  darbaspēka produktivitāti un cilvēkkapitāla attīstību.</w:t>
      </w:r>
    </w:p>
    <w:p w:rsidR="00BD74BB" w:rsidRPr="009856BE" w:rsidRDefault="00BD74BB" w:rsidP="008C2AD4">
      <w:pPr>
        <w:pStyle w:val="H2"/>
        <w:rPr>
          <w:rFonts w:ascii="Times New Roman" w:hAnsi="Times New Roman"/>
          <w:szCs w:val="32"/>
        </w:rPr>
      </w:pPr>
      <w:bookmarkStart w:id="11" w:name="_Toc323120274"/>
      <w:r w:rsidRPr="009856BE">
        <w:rPr>
          <w:rFonts w:ascii="Times New Roman" w:hAnsi="Times New Roman"/>
          <w:szCs w:val="32"/>
        </w:rPr>
        <w:t>2.2. Makroekonomiskās attīstības scenārijs</w:t>
      </w:r>
      <w:bookmarkEnd w:id="10"/>
      <w:bookmarkEnd w:id="11"/>
    </w:p>
    <w:p w:rsidR="00445D0B" w:rsidRPr="005869E7" w:rsidRDefault="00445D0B" w:rsidP="002D62B9">
      <w:pPr>
        <w:ind w:firstLine="720"/>
      </w:pPr>
      <w:bookmarkStart w:id="12" w:name="_Toc290024495"/>
      <w:r w:rsidRPr="005869E7">
        <w:t>Pēc izaugsmes atjaunošanās 2010.</w:t>
      </w:r>
      <w:r w:rsidR="00D4023B">
        <w:t> </w:t>
      </w:r>
      <w:r w:rsidRPr="005869E7">
        <w:t>gadā, 2011.</w:t>
      </w:r>
      <w:r w:rsidR="00D4023B">
        <w:t> </w:t>
      </w:r>
      <w:r w:rsidRPr="005869E7">
        <w:t>gadā ekonomikas attīstības tempi turpina paātrināties un 2011.</w:t>
      </w:r>
      <w:r w:rsidR="00D4023B">
        <w:t> </w:t>
      </w:r>
      <w:r w:rsidRPr="005869E7">
        <w:t>gadā IKP pieaugums bija 5,5</w:t>
      </w:r>
      <w:r w:rsidR="00024F65">
        <w:t> </w:t>
      </w:r>
      <w:r w:rsidRPr="005869E7">
        <w:t>%. Izaugsme turpina balstīties uz eksportējošo nozaru attīstību, tomēr būtiski pieauguma tempi jau vērojami arī pakalpojumu un tirdzniecības nozarēs, lai gan to izlaide saglabājas zemā līmenī.</w:t>
      </w:r>
    </w:p>
    <w:p w:rsidR="00445D0B" w:rsidRPr="005869E7" w:rsidRDefault="00BD6F38" w:rsidP="002D62B9">
      <w:pPr>
        <w:pStyle w:val="Z"/>
      </w:pPr>
      <w:r>
        <w:rPr>
          <w:noProof/>
          <w:lang w:eastAsia="lv-LV"/>
        </w:rPr>
        <w:pict>
          <v:shape id="Chart 2" o:spid="_x0000_i1026" type="#_x0000_t75" style="width:5in;height:3in;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">
            <v:imagedata r:id="rId17" o:title=""/>
            <o:lock v:ext="edit" aspectratio="f"/>
          </v:shape>
        </w:pict>
      </w:r>
    </w:p>
    <w:p w:rsidR="00445D0B" w:rsidRPr="005869E7" w:rsidRDefault="00445D0B" w:rsidP="002D62B9">
      <w:pPr>
        <w:pStyle w:val="Z"/>
        <w:jc w:val="center"/>
        <w:rPr>
          <w:rFonts w:ascii="Times New Roman" w:hAnsi="Times New Roman"/>
        </w:rPr>
      </w:pPr>
      <w:r w:rsidRPr="005869E7">
        <w:rPr>
          <w:rFonts w:ascii="Times New Roman" w:hAnsi="Times New Roman"/>
          <w:sz w:val="24"/>
        </w:rPr>
        <w:t>2.2. att.</w:t>
      </w:r>
      <w:r w:rsidRPr="005869E7">
        <w:rPr>
          <w:rFonts w:ascii="Times New Roman" w:hAnsi="Times New Roman"/>
          <w:color w:val="FF0000"/>
          <w:sz w:val="24"/>
        </w:rPr>
        <w:t xml:space="preserve"> </w:t>
      </w:r>
      <w:r w:rsidRPr="005869E7">
        <w:rPr>
          <w:rFonts w:ascii="Times New Roman" w:hAnsi="Times New Roman"/>
          <w:sz w:val="24"/>
        </w:rPr>
        <w:t>IKP izmaiņas salīdzināmajās cenās, %</w:t>
      </w:r>
    </w:p>
    <w:p w:rsidR="00445D0B" w:rsidRPr="005869E7" w:rsidRDefault="00445D0B" w:rsidP="002D62B9">
      <w:pPr>
        <w:rPr>
          <w:szCs w:val="24"/>
        </w:rPr>
      </w:pPr>
      <w:r w:rsidRPr="005869E7">
        <w:t>Vidēja termiņa makroekonomiskās attīstības scenārijs veidots uz konservatīviem pieņēmumiem par ārējās vides attīstību. 2011.</w:t>
      </w:r>
      <w:r w:rsidR="00D4023B">
        <w:t> </w:t>
      </w:r>
      <w:r w:rsidRPr="005869E7">
        <w:t>gada rudenī prognozētā IKP izaugsme 2012.</w:t>
      </w:r>
      <w:r w:rsidR="00D4023B">
        <w:t> </w:t>
      </w:r>
      <w:r w:rsidRPr="005869E7">
        <w:t xml:space="preserve">gadam </w:t>
      </w:r>
      <w:r w:rsidRPr="005869E7">
        <w:rPr>
          <w:szCs w:val="24"/>
        </w:rPr>
        <w:t>2,5</w:t>
      </w:r>
      <w:r w:rsidR="00024F65">
        <w:rPr>
          <w:szCs w:val="24"/>
        </w:rPr>
        <w:t> </w:t>
      </w:r>
      <w:r w:rsidRPr="005869E7">
        <w:rPr>
          <w:szCs w:val="24"/>
        </w:rPr>
        <w:t>% apmērā 2012.</w:t>
      </w:r>
      <w:r w:rsidR="00D4023B">
        <w:rPr>
          <w:szCs w:val="24"/>
        </w:rPr>
        <w:t> </w:t>
      </w:r>
      <w:r w:rsidRPr="005869E7">
        <w:rPr>
          <w:szCs w:val="24"/>
        </w:rPr>
        <w:t xml:space="preserve">gada februārī ir pārskatīta un </w:t>
      </w:r>
      <w:r w:rsidRPr="005869E7">
        <w:t>samazināta līdz 2,0</w:t>
      </w:r>
      <w:r w:rsidR="00024F65">
        <w:t> </w:t>
      </w:r>
      <w:r w:rsidRPr="005869E7">
        <w:t>% apmēram. Makroekonomiskās attīstības scenārijs ir balstīts uz pieņēmumu par pasaules izaugsmes tempu samazināšanos 2012.</w:t>
      </w:r>
      <w:r w:rsidR="00D4023B">
        <w:t> </w:t>
      </w:r>
      <w:r w:rsidRPr="005869E7">
        <w:t>gada pirmajos divos ceturkšņos, kam sekos atgriešanās pie iepriekšējiem izaugsmes tempiem. Tā rezultātā, negatīvā ietekme uz Latvijas izaugsmes tempiem būs īslaicīga, un turpmākajos gados ekonomikas izaugsmes tempi atgriezīsies pie to potenciālā līmeņa 4</w:t>
      </w:r>
      <w:r w:rsidR="00D4023B">
        <w:t> </w:t>
      </w:r>
      <w:r w:rsidRPr="005869E7">
        <w:t>% apmērā. Scenārijs paredz, ka eirozonas valstu valdības spēs veiksmīgi atrisināt valstu parādu krīzi. Makroekonomiskā attīstības scenārijā ir izmantoti Eiropas Komisijas ārējās vides pieņēmumi</w:t>
      </w:r>
      <w:r w:rsidR="00F242E9">
        <w:t>.</w:t>
      </w:r>
    </w:p>
    <w:p w:rsidR="00BD74BB" w:rsidRPr="009856BE" w:rsidRDefault="00BD74BB" w:rsidP="002D62B9">
      <w:pPr>
        <w:pStyle w:val="H3"/>
        <w:rPr>
          <w:rFonts w:ascii="Times New Roman" w:hAnsi="Times New Roman"/>
          <w:szCs w:val="28"/>
        </w:rPr>
      </w:pPr>
      <w:bookmarkStart w:id="13" w:name="_Toc323120275"/>
      <w:r w:rsidRPr="009856BE">
        <w:rPr>
          <w:rFonts w:ascii="Times New Roman" w:hAnsi="Times New Roman"/>
          <w:szCs w:val="28"/>
        </w:rPr>
        <w:t>2.2.1. Reālais sektors</w:t>
      </w:r>
      <w:bookmarkEnd w:id="12"/>
      <w:bookmarkEnd w:id="13"/>
    </w:p>
    <w:p w:rsidR="00445D0B" w:rsidRPr="005869E7" w:rsidRDefault="00445D0B" w:rsidP="002D62B9">
      <w:bookmarkStart w:id="14" w:name="_Toc48371894"/>
      <w:r w:rsidRPr="005869E7">
        <w:t>Pēc krīzes periodā galvenais ekonomikas dzinējs ir bijis eksports, tomēr līdz ar ekonomiskās izaugsmes atjaunošanos arī privātais patēriņš ir atgriezies pie pozitīva</w:t>
      </w:r>
      <w:r>
        <w:t>s</w:t>
      </w:r>
      <w:r w:rsidRPr="005869E7">
        <w:t xml:space="preserve"> izaugsmes, lai gan šie pieaugumi kopumā vērtējami kā mēreni. Privātā patēriņa attīstība cieši saistāma ar izmaiņām iedzīvotāju ienākumos, ko ietekmē gan vidējās darba algas, gan nodarbināto skaita izmaiņas, un inflācija, kas mazina iedzīvotāju reālos ienākumus un bremzē privātā patēriņa pieaugumu. </w:t>
      </w:r>
    </w:p>
    <w:p w:rsidR="00445D0B" w:rsidRPr="00074315" w:rsidRDefault="00445D0B" w:rsidP="002D62B9">
      <w:pPr>
        <w:pStyle w:val="T"/>
        <w:jc w:val="right"/>
        <w:rPr>
          <w:rFonts w:ascii="Times New Roman" w:hAnsi="Times New Roman"/>
          <w:b w:val="0"/>
        </w:rPr>
      </w:pPr>
      <w:r w:rsidRPr="00074315">
        <w:rPr>
          <w:rFonts w:ascii="Times New Roman" w:hAnsi="Times New Roman"/>
          <w:b w:val="0"/>
        </w:rPr>
        <w:t>2.1. tabula IKP izlietojums (pieauguma tempi 2000. gada cenās,</w:t>
      </w:r>
      <w:r w:rsidRPr="00074315">
        <w:rPr>
          <w:rFonts w:ascii="Times New Roman" w:hAnsi="Times New Roman"/>
          <w:b w:val="0"/>
        </w:rPr>
        <w:br/>
        <w:t>% pret iepriekšējo periodu)</w:t>
      </w:r>
    </w:p>
    <w:tbl>
      <w:tblPr>
        <w:tblW w:w="7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5"/>
        <w:gridCol w:w="733"/>
        <w:gridCol w:w="733"/>
        <w:gridCol w:w="733"/>
        <w:gridCol w:w="716"/>
        <w:gridCol w:w="716"/>
        <w:gridCol w:w="716"/>
        <w:gridCol w:w="716"/>
      </w:tblGrid>
      <w:tr w:rsidR="00445D0B" w:rsidRPr="005869E7" w:rsidTr="00C1532A">
        <w:trPr>
          <w:jc w:val="center"/>
        </w:trPr>
        <w:tc>
          <w:tcPr>
            <w:tcW w:w="2915" w:type="dxa"/>
          </w:tcPr>
          <w:p w:rsidR="00445D0B" w:rsidRPr="005869E7" w:rsidRDefault="00445D0B" w:rsidP="002D62B9">
            <w:pPr>
              <w:pStyle w:val="tabtekst"/>
              <w:spacing w:after="120"/>
              <w:rPr>
                <w:b/>
                <w:bCs/>
              </w:rPr>
            </w:pPr>
          </w:p>
        </w:tc>
        <w:tc>
          <w:tcPr>
            <w:tcW w:w="733" w:type="dxa"/>
            <w:vAlign w:val="bottom"/>
          </w:tcPr>
          <w:p w:rsidR="00445D0B" w:rsidRPr="005869E7" w:rsidRDefault="00445D0B" w:rsidP="002D62B9">
            <w:pPr>
              <w:pStyle w:val="tabtekst"/>
              <w:spacing w:after="120"/>
              <w:jc w:val="center"/>
              <w:rPr>
                <w:b/>
              </w:rPr>
            </w:pPr>
            <w:r w:rsidRPr="005869E7">
              <w:rPr>
                <w:b/>
              </w:rPr>
              <w:t>2009</w:t>
            </w:r>
          </w:p>
        </w:tc>
        <w:tc>
          <w:tcPr>
            <w:tcW w:w="733" w:type="dxa"/>
            <w:vAlign w:val="bottom"/>
          </w:tcPr>
          <w:p w:rsidR="00445D0B" w:rsidRPr="005869E7" w:rsidRDefault="00445D0B" w:rsidP="002D62B9">
            <w:pPr>
              <w:pStyle w:val="tabtekst"/>
              <w:spacing w:after="120"/>
              <w:jc w:val="center"/>
              <w:rPr>
                <w:b/>
              </w:rPr>
            </w:pPr>
            <w:r w:rsidRPr="005869E7">
              <w:rPr>
                <w:b/>
              </w:rPr>
              <w:t>2010</w:t>
            </w:r>
          </w:p>
        </w:tc>
        <w:tc>
          <w:tcPr>
            <w:tcW w:w="733" w:type="dxa"/>
            <w:vAlign w:val="bottom"/>
          </w:tcPr>
          <w:p w:rsidR="00445D0B" w:rsidRPr="005869E7" w:rsidRDefault="00445D0B" w:rsidP="002D62B9">
            <w:pPr>
              <w:pStyle w:val="tabtekst"/>
              <w:spacing w:after="120"/>
              <w:jc w:val="center"/>
              <w:rPr>
                <w:b/>
              </w:rPr>
            </w:pPr>
            <w:r w:rsidRPr="005869E7">
              <w:rPr>
                <w:b/>
              </w:rPr>
              <w:t>2011</w:t>
            </w:r>
          </w:p>
        </w:tc>
        <w:tc>
          <w:tcPr>
            <w:tcW w:w="716" w:type="dxa"/>
            <w:vAlign w:val="bottom"/>
          </w:tcPr>
          <w:p w:rsidR="00445D0B" w:rsidRPr="005869E7" w:rsidRDefault="00445D0B" w:rsidP="002D62B9">
            <w:pPr>
              <w:pStyle w:val="tabtekst"/>
              <w:spacing w:after="120"/>
              <w:jc w:val="center"/>
              <w:rPr>
                <w:b/>
              </w:rPr>
            </w:pPr>
            <w:r w:rsidRPr="005869E7">
              <w:rPr>
                <w:b/>
              </w:rPr>
              <w:t>2012</w:t>
            </w:r>
          </w:p>
        </w:tc>
        <w:tc>
          <w:tcPr>
            <w:tcW w:w="716" w:type="dxa"/>
            <w:vAlign w:val="bottom"/>
          </w:tcPr>
          <w:p w:rsidR="00445D0B" w:rsidRPr="005869E7" w:rsidRDefault="00445D0B" w:rsidP="002D62B9">
            <w:pPr>
              <w:pStyle w:val="tabtekst"/>
              <w:spacing w:after="120"/>
              <w:jc w:val="center"/>
              <w:rPr>
                <w:b/>
              </w:rPr>
            </w:pPr>
            <w:r w:rsidRPr="005869E7">
              <w:rPr>
                <w:b/>
              </w:rPr>
              <w:t>2013</w:t>
            </w:r>
          </w:p>
        </w:tc>
        <w:tc>
          <w:tcPr>
            <w:tcW w:w="716" w:type="dxa"/>
            <w:vAlign w:val="bottom"/>
          </w:tcPr>
          <w:p w:rsidR="00445D0B" w:rsidRPr="005869E7" w:rsidRDefault="00445D0B" w:rsidP="002D62B9">
            <w:pPr>
              <w:pStyle w:val="tabtekst"/>
              <w:spacing w:after="120"/>
              <w:jc w:val="center"/>
              <w:rPr>
                <w:b/>
              </w:rPr>
            </w:pPr>
            <w:r w:rsidRPr="005869E7">
              <w:rPr>
                <w:b/>
              </w:rPr>
              <w:t>2014</w:t>
            </w:r>
          </w:p>
        </w:tc>
        <w:tc>
          <w:tcPr>
            <w:tcW w:w="716" w:type="dxa"/>
            <w:vAlign w:val="bottom"/>
          </w:tcPr>
          <w:p w:rsidR="00445D0B" w:rsidRPr="005869E7" w:rsidRDefault="00445D0B" w:rsidP="002D62B9">
            <w:pPr>
              <w:pStyle w:val="tabtekst"/>
              <w:spacing w:after="120"/>
              <w:jc w:val="center"/>
              <w:rPr>
                <w:b/>
              </w:rPr>
            </w:pPr>
            <w:r w:rsidRPr="005869E7">
              <w:rPr>
                <w:b/>
              </w:rPr>
              <w:t>2015</w:t>
            </w:r>
          </w:p>
        </w:tc>
      </w:tr>
      <w:tr w:rsidR="00445D0B" w:rsidRPr="005869E7" w:rsidTr="00C1532A">
        <w:trPr>
          <w:jc w:val="center"/>
        </w:trPr>
        <w:tc>
          <w:tcPr>
            <w:tcW w:w="2915" w:type="dxa"/>
          </w:tcPr>
          <w:p w:rsidR="00445D0B" w:rsidRPr="005869E7" w:rsidRDefault="00445D0B" w:rsidP="002D62B9">
            <w:pPr>
              <w:pStyle w:val="tabtekst"/>
              <w:spacing w:after="120"/>
              <w:rPr>
                <w:b/>
                <w:bCs/>
              </w:rPr>
            </w:pPr>
          </w:p>
        </w:tc>
        <w:tc>
          <w:tcPr>
            <w:tcW w:w="2199" w:type="dxa"/>
            <w:gridSpan w:val="3"/>
          </w:tcPr>
          <w:p w:rsidR="00445D0B" w:rsidRPr="005869E7" w:rsidRDefault="00445D0B" w:rsidP="002D62B9">
            <w:pPr>
              <w:pStyle w:val="tabtekst"/>
              <w:spacing w:after="120"/>
              <w:jc w:val="center"/>
              <w:rPr>
                <w:b/>
              </w:rPr>
            </w:pPr>
            <w:r w:rsidRPr="005869E7">
              <w:rPr>
                <w:b/>
              </w:rPr>
              <w:t>fakts</w:t>
            </w:r>
          </w:p>
        </w:tc>
        <w:tc>
          <w:tcPr>
            <w:tcW w:w="2864" w:type="dxa"/>
            <w:gridSpan w:val="4"/>
          </w:tcPr>
          <w:p w:rsidR="00445D0B" w:rsidRPr="005869E7" w:rsidRDefault="00D4023B" w:rsidP="002D62B9">
            <w:pPr>
              <w:pStyle w:val="tabtekst"/>
              <w:spacing w:after="120"/>
              <w:jc w:val="center"/>
              <w:rPr>
                <w:b/>
              </w:rPr>
            </w:pPr>
            <w:r w:rsidRPr="005869E7">
              <w:rPr>
                <w:b/>
              </w:rPr>
              <w:t>P</w:t>
            </w:r>
            <w:r w:rsidR="00445D0B" w:rsidRPr="005869E7">
              <w:rPr>
                <w:b/>
              </w:rPr>
              <w:t>rognoze</w:t>
            </w:r>
          </w:p>
        </w:tc>
      </w:tr>
      <w:tr w:rsidR="00445D0B" w:rsidRPr="005869E7" w:rsidTr="00C1532A">
        <w:trPr>
          <w:jc w:val="center"/>
        </w:trPr>
        <w:tc>
          <w:tcPr>
            <w:tcW w:w="2915" w:type="dxa"/>
            <w:tcBorders>
              <w:bottom w:val="nil"/>
            </w:tcBorders>
          </w:tcPr>
          <w:p w:rsidR="00445D0B" w:rsidRPr="005869E7" w:rsidRDefault="00445D0B" w:rsidP="002D62B9">
            <w:pPr>
              <w:pStyle w:val="tabtekst"/>
              <w:spacing w:after="120"/>
            </w:pPr>
            <w:r w:rsidRPr="005869E7">
              <w:t>IKP</w:t>
            </w:r>
          </w:p>
        </w:tc>
        <w:tc>
          <w:tcPr>
            <w:tcW w:w="733" w:type="dxa"/>
            <w:tcBorders>
              <w:bottom w:val="nil"/>
            </w:tcBorders>
            <w:vAlign w:val="bottom"/>
          </w:tcPr>
          <w:p w:rsidR="00445D0B" w:rsidRPr="005869E7" w:rsidRDefault="00445D0B" w:rsidP="002D62B9">
            <w:pPr>
              <w:pStyle w:val="tabtekst"/>
              <w:spacing w:after="120"/>
              <w:jc w:val="center"/>
            </w:pPr>
            <w:r w:rsidRPr="005869E7">
              <w:t>-17,7</w:t>
            </w:r>
          </w:p>
        </w:tc>
        <w:tc>
          <w:tcPr>
            <w:tcW w:w="733" w:type="dxa"/>
            <w:tcBorders>
              <w:bottom w:val="nil"/>
            </w:tcBorders>
            <w:vAlign w:val="bottom"/>
          </w:tcPr>
          <w:p w:rsidR="00445D0B" w:rsidRPr="005869E7" w:rsidRDefault="00445D0B" w:rsidP="002D62B9">
            <w:pPr>
              <w:pStyle w:val="tabtekst"/>
              <w:spacing w:after="120"/>
              <w:jc w:val="center"/>
            </w:pPr>
            <w:r w:rsidRPr="005869E7">
              <w:t>-0,3</w:t>
            </w:r>
          </w:p>
        </w:tc>
        <w:tc>
          <w:tcPr>
            <w:tcW w:w="733" w:type="dxa"/>
            <w:tcBorders>
              <w:bottom w:val="nil"/>
            </w:tcBorders>
            <w:vAlign w:val="bottom"/>
          </w:tcPr>
          <w:p w:rsidR="00445D0B" w:rsidRPr="005869E7" w:rsidRDefault="00445D0B" w:rsidP="002D62B9">
            <w:pPr>
              <w:pStyle w:val="tabtekst"/>
              <w:spacing w:after="120"/>
              <w:jc w:val="center"/>
            </w:pPr>
            <w:r w:rsidRPr="005869E7">
              <w:t>5,5</w:t>
            </w:r>
          </w:p>
        </w:tc>
        <w:tc>
          <w:tcPr>
            <w:tcW w:w="716" w:type="dxa"/>
            <w:tcBorders>
              <w:bottom w:val="nil"/>
            </w:tcBorders>
            <w:vAlign w:val="bottom"/>
          </w:tcPr>
          <w:p w:rsidR="00445D0B" w:rsidRPr="005869E7" w:rsidRDefault="00445D0B" w:rsidP="002D62B9">
            <w:pPr>
              <w:pStyle w:val="tabtekst"/>
              <w:spacing w:after="120"/>
              <w:jc w:val="center"/>
            </w:pPr>
            <w:r w:rsidRPr="005869E7">
              <w:t>2,0</w:t>
            </w:r>
          </w:p>
        </w:tc>
        <w:tc>
          <w:tcPr>
            <w:tcW w:w="716" w:type="dxa"/>
            <w:tcBorders>
              <w:bottom w:val="nil"/>
            </w:tcBorders>
            <w:vAlign w:val="bottom"/>
          </w:tcPr>
          <w:p w:rsidR="00445D0B" w:rsidRPr="005869E7" w:rsidRDefault="00445D0B" w:rsidP="002D62B9">
            <w:pPr>
              <w:pStyle w:val="tabtekst"/>
              <w:spacing w:after="120"/>
              <w:jc w:val="center"/>
            </w:pPr>
            <w:r w:rsidRPr="005869E7">
              <w:t>3,7</w:t>
            </w:r>
          </w:p>
        </w:tc>
        <w:tc>
          <w:tcPr>
            <w:tcW w:w="716" w:type="dxa"/>
            <w:tcBorders>
              <w:bottom w:val="nil"/>
            </w:tcBorders>
            <w:vAlign w:val="bottom"/>
          </w:tcPr>
          <w:p w:rsidR="00445D0B" w:rsidRPr="005869E7" w:rsidRDefault="00445D0B" w:rsidP="002D62B9">
            <w:pPr>
              <w:pStyle w:val="tabtekst"/>
              <w:spacing w:after="120"/>
              <w:jc w:val="center"/>
            </w:pPr>
            <w:r w:rsidRPr="005869E7">
              <w:t>4,0</w:t>
            </w:r>
          </w:p>
        </w:tc>
        <w:tc>
          <w:tcPr>
            <w:tcW w:w="716" w:type="dxa"/>
            <w:tcBorders>
              <w:bottom w:val="nil"/>
            </w:tcBorders>
            <w:vAlign w:val="bottom"/>
          </w:tcPr>
          <w:p w:rsidR="00445D0B" w:rsidRPr="005869E7" w:rsidRDefault="00445D0B" w:rsidP="002D62B9">
            <w:pPr>
              <w:pStyle w:val="tabtekst"/>
              <w:spacing w:after="120"/>
              <w:jc w:val="center"/>
            </w:pPr>
            <w:r w:rsidRPr="005869E7">
              <w:t>4,0</w:t>
            </w:r>
          </w:p>
        </w:tc>
      </w:tr>
      <w:tr w:rsidR="00445D0B" w:rsidRPr="005869E7" w:rsidTr="00C1532A">
        <w:trPr>
          <w:jc w:val="center"/>
        </w:trPr>
        <w:tc>
          <w:tcPr>
            <w:tcW w:w="2915" w:type="dxa"/>
            <w:tcBorders>
              <w:bottom w:val="nil"/>
            </w:tcBorders>
          </w:tcPr>
          <w:p w:rsidR="00445D0B" w:rsidRPr="005869E7" w:rsidRDefault="00445D0B" w:rsidP="002D62B9">
            <w:pPr>
              <w:pStyle w:val="tabtekst"/>
              <w:spacing w:after="120"/>
            </w:pPr>
            <w:r w:rsidRPr="005869E7">
              <w:t>Sabiedriskais patēriņš</w:t>
            </w:r>
          </w:p>
        </w:tc>
        <w:tc>
          <w:tcPr>
            <w:tcW w:w="733" w:type="dxa"/>
            <w:tcBorders>
              <w:bottom w:val="nil"/>
            </w:tcBorders>
            <w:vAlign w:val="bottom"/>
          </w:tcPr>
          <w:p w:rsidR="00445D0B" w:rsidRPr="005869E7" w:rsidRDefault="00445D0B" w:rsidP="002D62B9">
            <w:pPr>
              <w:pStyle w:val="tabtekst"/>
              <w:spacing w:after="120"/>
              <w:jc w:val="center"/>
            </w:pPr>
            <w:r w:rsidRPr="005869E7">
              <w:t>-9,4</w:t>
            </w:r>
          </w:p>
        </w:tc>
        <w:tc>
          <w:tcPr>
            <w:tcW w:w="733" w:type="dxa"/>
            <w:tcBorders>
              <w:bottom w:val="nil"/>
            </w:tcBorders>
            <w:vAlign w:val="bottom"/>
          </w:tcPr>
          <w:p w:rsidR="00445D0B" w:rsidRPr="005869E7" w:rsidRDefault="00445D0B" w:rsidP="002D62B9">
            <w:pPr>
              <w:pStyle w:val="tabtekst"/>
              <w:spacing w:after="120"/>
              <w:jc w:val="center"/>
            </w:pPr>
            <w:r w:rsidRPr="005869E7">
              <w:t>-9,7</w:t>
            </w:r>
          </w:p>
        </w:tc>
        <w:tc>
          <w:tcPr>
            <w:tcW w:w="733" w:type="dxa"/>
            <w:tcBorders>
              <w:bottom w:val="nil"/>
            </w:tcBorders>
            <w:vAlign w:val="bottom"/>
          </w:tcPr>
          <w:p w:rsidR="00445D0B" w:rsidRPr="005869E7" w:rsidRDefault="00445D0B" w:rsidP="002D62B9">
            <w:pPr>
              <w:pStyle w:val="tabtekst"/>
              <w:spacing w:after="120"/>
              <w:jc w:val="center"/>
            </w:pPr>
            <w:r w:rsidRPr="005869E7">
              <w:t>1,3</w:t>
            </w:r>
          </w:p>
        </w:tc>
        <w:tc>
          <w:tcPr>
            <w:tcW w:w="716" w:type="dxa"/>
            <w:tcBorders>
              <w:bottom w:val="nil"/>
            </w:tcBorders>
            <w:vAlign w:val="bottom"/>
          </w:tcPr>
          <w:p w:rsidR="00445D0B" w:rsidRPr="005869E7" w:rsidRDefault="00445D0B" w:rsidP="002D62B9">
            <w:pPr>
              <w:pStyle w:val="tabtekst"/>
              <w:spacing w:after="120"/>
              <w:jc w:val="center"/>
            </w:pPr>
            <w:r w:rsidRPr="005869E7">
              <w:t>0,0</w:t>
            </w:r>
          </w:p>
        </w:tc>
        <w:tc>
          <w:tcPr>
            <w:tcW w:w="716" w:type="dxa"/>
            <w:tcBorders>
              <w:bottom w:val="nil"/>
            </w:tcBorders>
            <w:vAlign w:val="bottom"/>
          </w:tcPr>
          <w:p w:rsidR="00445D0B" w:rsidRPr="005869E7" w:rsidRDefault="00445D0B" w:rsidP="002D62B9">
            <w:pPr>
              <w:pStyle w:val="tabtekst"/>
              <w:spacing w:after="120"/>
              <w:jc w:val="center"/>
            </w:pPr>
            <w:r w:rsidRPr="005869E7">
              <w:t>0,0</w:t>
            </w:r>
          </w:p>
        </w:tc>
        <w:tc>
          <w:tcPr>
            <w:tcW w:w="716" w:type="dxa"/>
            <w:tcBorders>
              <w:bottom w:val="nil"/>
            </w:tcBorders>
            <w:vAlign w:val="bottom"/>
          </w:tcPr>
          <w:p w:rsidR="00445D0B" w:rsidRPr="005869E7" w:rsidRDefault="00445D0B" w:rsidP="002D62B9">
            <w:pPr>
              <w:pStyle w:val="tabtekst"/>
              <w:spacing w:after="120"/>
              <w:jc w:val="center"/>
            </w:pPr>
            <w:r w:rsidRPr="005869E7">
              <w:t>0,5</w:t>
            </w:r>
          </w:p>
        </w:tc>
        <w:tc>
          <w:tcPr>
            <w:tcW w:w="716" w:type="dxa"/>
            <w:tcBorders>
              <w:bottom w:val="nil"/>
            </w:tcBorders>
            <w:vAlign w:val="bottom"/>
          </w:tcPr>
          <w:p w:rsidR="00445D0B" w:rsidRPr="005869E7" w:rsidRDefault="00445D0B" w:rsidP="002D62B9">
            <w:pPr>
              <w:pStyle w:val="tabtekst"/>
              <w:spacing w:after="120"/>
              <w:jc w:val="center"/>
            </w:pPr>
            <w:r w:rsidRPr="005869E7">
              <w:t>1,0</w:t>
            </w:r>
          </w:p>
        </w:tc>
      </w:tr>
      <w:tr w:rsidR="00445D0B" w:rsidRPr="005869E7" w:rsidTr="00C1532A">
        <w:trPr>
          <w:jc w:val="center"/>
        </w:trPr>
        <w:tc>
          <w:tcPr>
            <w:tcW w:w="2915" w:type="dxa"/>
            <w:tcBorders>
              <w:top w:val="nil"/>
              <w:bottom w:val="nil"/>
            </w:tcBorders>
          </w:tcPr>
          <w:p w:rsidR="00445D0B" w:rsidRPr="005869E7" w:rsidRDefault="00445D0B" w:rsidP="002D62B9">
            <w:pPr>
              <w:pStyle w:val="tabtekst"/>
              <w:spacing w:after="120"/>
            </w:pPr>
            <w:r w:rsidRPr="005869E7">
              <w:t>Privātais patēriņš</w:t>
            </w:r>
          </w:p>
        </w:tc>
        <w:tc>
          <w:tcPr>
            <w:tcW w:w="733" w:type="dxa"/>
            <w:tcBorders>
              <w:top w:val="nil"/>
              <w:bottom w:val="nil"/>
            </w:tcBorders>
            <w:vAlign w:val="bottom"/>
          </w:tcPr>
          <w:p w:rsidR="00445D0B" w:rsidRPr="005869E7" w:rsidRDefault="00445D0B" w:rsidP="002D62B9">
            <w:pPr>
              <w:pStyle w:val="tabtekst"/>
              <w:spacing w:after="120"/>
              <w:jc w:val="center"/>
            </w:pPr>
            <w:r w:rsidRPr="005869E7">
              <w:t>-22,6</w:t>
            </w:r>
          </w:p>
        </w:tc>
        <w:tc>
          <w:tcPr>
            <w:tcW w:w="733" w:type="dxa"/>
            <w:tcBorders>
              <w:top w:val="nil"/>
              <w:bottom w:val="nil"/>
            </w:tcBorders>
            <w:vAlign w:val="bottom"/>
          </w:tcPr>
          <w:p w:rsidR="00445D0B" w:rsidRPr="005869E7" w:rsidRDefault="00445D0B" w:rsidP="002D62B9">
            <w:pPr>
              <w:pStyle w:val="tabtekst"/>
              <w:spacing w:after="120"/>
              <w:jc w:val="center"/>
            </w:pPr>
            <w:r w:rsidRPr="005869E7">
              <w:t>0,4</w:t>
            </w:r>
          </w:p>
        </w:tc>
        <w:tc>
          <w:tcPr>
            <w:tcW w:w="733" w:type="dxa"/>
            <w:tcBorders>
              <w:top w:val="nil"/>
              <w:bottom w:val="nil"/>
            </w:tcBorders>
            <w:vAlign w:val="bottom"/>
          </w:tcPr>
          <w:p w:rsidR="00445D0B" w:rsidRPr="005869E7" w:rsidRDefault="00445D0B" w:rsidP="002D62B9">
            <w:pPr>
              <w:pStyle w:val="tabtekst"/>
              <w:spacing w:after="120"/>
              <w:jc w:val="center"/>
            </w:pPr>
            <w:r w:rsidRPr="005869E7">
              <w:t>4,4</w:t>
            </w:r>
          </w:p>
        </w:tc>
        <w:tc>
          <w:tcPr>
            <w:tcW w:w="716" w:type="dxa"/>
            <w:tcBorders>
              <w:top w:val="nil"/>
              <w:bottom w:val="nil"/>
            </w:tcBorders>
            <w:vAlign w:val="bottom"/>
          </w:tcPr>
          <w:p w:rsidR="00445D0B" w:rsidRPr="005869E7" w:rsidRDefault="00445D0B" w:rsidP="002D62B9">
            <w:pPr>
              <w:pStyle w:val="tabtekst"/>
              <w:spacing w:after="120"/>
              <w:jc w:val="center"/>
            </w:pPr>
            <w:r w:rsidRPr="005869E7">
              <w:t>1,9</w:t>
            </w:r>
          </w:p>
        </w:tc>
        <w:tc>
          <w:tcPr>
            <w:tcW w:w="716" w:type="dxa"/>
            <w:tcBorders>
              <w:top w:val="nil"/>
              <w:bottom w:val="nil"/>
            </w:tcBorders>
            <w:vAlign w:val="bottom"/>
          </w:tcPr>
          <w:p w:rsidR="00445D0B" w:rsidRPr="005869E7" w:rsidRDefault="00445D0B" w:rsidP="002D62B9">
            <w:pPr>
              <w:pStyle w:val="tabtekst"/>
              <w:spacing w:after="120"/>
              <w:jc w:val="center"/>
            </w:pPr>
            <w:r w:rsidRPr="005869E7">
              <w:t>3,7</w:t>
            </w:r>
          </w:p>
        </w:tc>
        <w:tc>
          <w:tcPr>
            <w:tcW w:w="716" w:type="dxa"/>
            <w:tcBorders>
              <w:top w:val="nil"/>
              <w:bottom w:val="nil"/>
            </w:tcBorders>
            <w:vAlign w:val="bottom"/>
          </w:tcPr>
          <w:p w:rsidR="00445D0B" w:rsidRPr="005869E7" w:rsidRDefault="00445D0B" w:rsidP="002D62B9">
            <w:pPr>
              <w:pStyle w:val="tabtekst"/>
              <w:spacing w:after="120"/>
              <w:jc w:val="center"/>
            </w:pPr>
            <w:r w:rsidRPr="005869E7">
              <w:t>4,0</w:t>
            </w:r>
          </w:p>
        </w:tc>
        <w:tc>
          <w:tcPr>
            <w:tcW w:w="716" w:type="dxa"/>
            <w:tcBorders>
              <w:top w:val="nil"/>
              <w:bottom w:val="nil"/>
            </w:tcBorders>
            <w:vAlign w:val="bottom"/>
          </w:tcPr>
          <w:p w:rsidR="00445D0B" w:rsidRPr="005869E7" w:rsidRDefault="00445D0B" w:rsidP="002D62B9">
            <w:pPr>
              <w:pStyle w:val="tabtekst"/>
              <w:spacing w:after="120"/>
              <w:jc w:val="center"/>
            </w:pPr>
            <w:r w:rsidRPr="005869E7">
              <w:t>4,0</w:t>
            </w:r>
          </w:p>
        </w:tc>
      </w:tr>
      <w:tr w:rsidR="00445D0B" w:rsidRPr="005869E7" w:rsidTr="00C1532A">
        <w:trPr>
          <w:jc w:val="center"/>
        </w:trPr>
        <w:tc>
          <w:tcPr>
            <w:tcW w:w="2915" w:type="dxa"/>
            <w:tcBorders>
              <w:top w:val="nil"/>
              <w:bottom w:val="nil"/>
            </w:tcBorders>
          </w:tcPr>
          <w:p w:rsidR="00445D0B" w:rsidRPr="005869E7" w:rsidRDefault="00445D0B" w:rsidP="002D62B9">
            <w:pPr>
              <w:pStyle w:val="tabtekst"/>
              <w:spacing w:after="120"/>
            </w:pPr>
            <w:r w:rsidRPr="005869E7">
              <w:t>Kopējā pamatkapitāla veidošana</w:t>
            </w:r>
          </w:p>
        </w:tc>
        <w:tc>
          <w:tcPr>
            <w:tcW w:w="733" w:type="dxa"/>
            <w:tcBorders>
              <w:top w:val="nil"/>
              <w:bottom w:val="nil"/>
            </w:tcBorders>
            <w:vAlign w:val="bottom"/>
          </w:tcPr>
          <w:p w:rsidR="00445D0B" w:rsidRPr="005869E7" w:rsidRDefault="00445D0B" w:rsidP="002D62B9">
            <w:pPr>
              <w:pStyle w:val="tabtekst"/>
              <w:spacing w:after="120"/>
              <w:jc w:val="center"/>
            </w:pPr>
            <w:r w:rsidRPr="005869E7">
              <w:t>-37,4</w:t>
            </w:r>
          </w:p>
        </w:tc>
        <w:tc>
          <w:tcPr>
            <w:tcW w:w="733" w:type="dxa"/>
            <w:tcBorders>
              <w:top w:val="nil"/>
              <w:bottom w:val="nil"/>
            </w:tcBorders>
            <w:vAlign w:val="bottom"/>
          </w:tcPr>
          <w:p w:rsidR="00445D0B" w:rsidRPr="005869E7" w:rsidRDefault="00445D0B" w:rsidP="002D62B9">
            <w:pPr>
              <w:pStyle w:val="tabtekst"/>
              <w:spacing w:after="120"/>
              <w:jc w:val="center"/>
            </w:pPr>
            <w:r w:rsidRPr="005869E7">
              <w:t>-12,2</w:t>
            </w:r>
          </w:p>
        </w:tc>
        <w:tc>
          <w:tcPr>
            <w:tcW w:w="733" w:type="dxa"/>
            <w:tcBorders>
              <w:top w:val="nil"/>
              <w:bottom w:val="nil"/>
            </w:tcBorders>
            <w:vAlign w:val="bottom"/>
          </w:tcPr>
          <w:p w:rsidR="00445D0B" w:rsidRPr="005869E7" w:rsidRDefault="00445D0B" w:rsidP="002D62B9">
            <w:pPr>
              <w:pStyle w:val="tabtekst"/>
              <w:spacing w:after="120"/>
              <w:jc w:val="center"/>
            </w:pPr>
            <w:r w:rsidRPr="005869E7">
              <w:t>24,6</w:t>
            </w:r>
          </w:p>
        </w:tc>
        <w:tc>
          <w:tcPr>
            <w:tcW w:w="716" w:type="dxa"/>
            <w:tcBorders>
              <w:top w:val="nil"/>
              <w:bottom w:val="nil"/>
            </w:tcBorders>
            <w:vAlign w:val="bottom"/>
          </w:tcPr>
          <w:p w:rsidR="00445D0B" w:rsidRPr="005869E7" w:rsidRDefault="00445D0B" w:rsidP="002D62B9">
            <w:pPr>
              <w:pStyle w:val="tabtekst"/>
              <w:spacing w:after="120"/>
              <w:jc w:val="center"/>
            </w:pPr>
            <w:r w:rsidRPr="005869E7">
              <w:t>7,4</w:t>
            </w:r>
          </w:p>
        </w:tc>
        <w:tc>
          <w:tcPr>
            <w:tcW w:w="716" w:type="dxa"/>
            <w:tcBorders>
              <w:top w:val="nil"/>
              <w:bottom w:val="nil"/>
            </w:tcBorders>
            <w:vAlign w:val="bottom"/>
          </w:tcPr>
          <w:p w:rsidR="00445D0B" w:rsidRPr="005869E7" w:rsidRDefault="00445D0B" w:rsidP="002D62B9">
            <w:pPr>
              <w:pStyle w:val="tabtekst"/>
              <w:spacing w:after="120"/>
              <w:jc w:val="center"/>
            </w:pPr>
            <w:r w:rsidRPr="005869E7">
              <w:t>7,3</w:t>
            </w:r>
          </w:p>
        </w:tc>
        <w:tc>
          <w:tcPr>
            <w:tcW w:w="716" w:type="dxa"/>
            <w:tcBorders>
              <w:top w:val="nil"/>
              <w:bottom w:val="nil"/>
            </w:tcBorders>
            <w:vAlign w:val="bottom"/>
          </w:tcPr>
          <w:p w:rsidR="00445D0B" w:rsidRPr="005869E7" w:rsidRDefault="00445D0B" w:rsidP="002D62B9">
            <w:pPr>
              <w:pStyle w:val="tabtekst"/>
              <w:spacing w:after="120"/>
              <w:jc w:val="center"/>
            </w:pPr>
            <w:r w:rsidRPr="005869E7">
              <w:t>6,5</w:t>
            </w:r>
          </w:p>
        </w:tc>
        <w:tc>
          <w:tcPr>
            <w:tcW w:w="716" w:type="dxa"/>
            <w:tcBorders>
              <w:top w:val="nil"/>
              <w:bottom w:val="nil"/>
            </w:tcBorders>
            <w:vAlign w:val="bottom"/>
          </w:tcPr>
          <w:p w:rsidR="00445D0B" w:rsidRPr="005869E7" w:rsidRDefault="00445D0B" w:rsidP="002D62B9">
            <w:pPr>
              <w:pStyle w:val="tabtekst"/>
              <w:spacing w:after="120"/>
              <w:jc w:val="center"/>
            </w:pPr>
            <w:r w:rsidRPr="005869E7">
              <w:t>6,4</w:t>
            </w:r>
          </w:p>
        </w:tc>
      </w:tr>
      <w:tr w:rsidR="00445D0B" w:rsidRPr="005869E7" w:rsidTr="00C1532A">
        <w:trPr>
          <w:trHeight w:val="66"/>
          <w:jc w:val="center"/>
        </w:trPr>
        <w:tc>
          <w:tcPr>
            <w:tcW w:w="2915" w:type="dxa"/>
            <w:tcBorders>
              <w:top w:val="nil"/>
              <w:bottom w:val="nil"/>
            </w:tcBorders>
          </w:tcPr>
          <w:p w:rsidR="00445D0B" w:rsidRPr="005869E7" w:rsidRDefault="00445D0B" w:rsidP="002D62B9">
            <w:pPr>
              <w:pStyle w:val="tabtekst"/>
              <w:spacing w:after="120"/>
            </w:pPr>
            <w:r w:rsidRPr="005869E7">
              <w:t>Preču un pakalpojumu eksports</w:t>
            </w:r>
          </w:p>
        </w:tc>
        <w:tc>
          <w:tcPr>
            <w:tcW w:w="733" w:type="dxa"/>
            <w:tcBorders>
              <w:top w:val="nil"/>
              <w:bottom w:val="nil"/>
            </w:tcBorders>
            <w:vAlign w:val="bottom"/>
          </w:tcPr>
          <w:p w:rsidR="00445D0B" w:rsidRPr="005869E7" w:rsidRDefault="00445D0B" w:rsidP="002D62B9">
            <w:pPr>
              <w:pStyle w:val="tabtekst"/>
              <w:spacing w:after="120"/>
              <w:jc w:val="center"/>
            </w:pPr>
            <w:r w:rsidRPr="005869E7">
              <w:t>-14,1</w:t>
            </w:r>
          </w:p>
        </w:tc>
        <w:tc>
          <w:tcPr>
            <w:tcW w:w="733" w:type="dxa"/>
            <w:tcBorders>
              <w:top w:val="nil"/>
              <w:bottom w:val="nil"/>
            </w:tcBorders>
            <w:vAlign w:val="bottom"/>
          </w:tcPr>
          <w:p w:rsidR="00445D0B" w:rsidRPr="005869E7" w:rsidRDefault="00445D0B" w:rsidP="002D62B9">
            <w:pPr>
              <w:pStyle w:val="tabtekst"/>
              <w:spacing w:after="120"/>
              <w:jc w:val="center"/>
            </w:pPr>
            <w:r w:rsidRPr="005869E7">
              <w:t>11,5</w:t>
            </w:r>
          </w:p>
        </w:tc>
        <w:tc>
          <w:tcPr>
            <w:tcW w:w="733" w:type="dxa"/>
            <w:tcBorders>
              <w:top w:val="nil"/>
              <w:bottom w:val="nil"/>
            </w:tcBorders>
            <w:vAlign w:val="bottom"/>
          </w:tcPr>
          <w:p w:rsidR="00445D0B" w:rsidRPr="005869E7" w:rsidRDefault="00445D0B" w:rsidP="002D62B9">
            <w:pPr>
              <w:pStyle w:val="tabtekst"/>
              <w:spacing w:after="120"/>
              <w:jc w:val="center"/>
            </w:pPr>
            <w:r w:rsidRPr="005869E7">
              <w:t>12,6</w:t>
            </w:r>
          </w:p>
        </w:tc>
        <w:tc>
          <w:tcPr>
            <w:tcW w:w="716" w:type="dxa"/>
            <w:tcBorders>
              <w:top w:val="nil"/>
              <w:bottom w:val="nil"/>
            </w:tcBorders>
            <w:vAlign w:val="bottom"/>
          </w:tcPr>
          <w:p w:rsidR="00445D0B" w:rsidRPr="005869E7" w:rsidRDefault="00445D0B" w:rsidP="002D62B9">
            <w:pPr>
              <w:pStyle w:val="tabtekst"/>
              <w:spacing w:after="120"/>
              <w:jc w:val="center"/>
            </w:pPr>
            <w:r w:rsidRPr="005869E7">
              <w:t>3,8</w:t>
            </w:r>
          </w:p>
        </w:tc>
        <w:tc>
          <w:tcPr>
            <w:tcW w:w="716" w:type="dxa"/>
            <w:tcBorders>
              <w:top w:val="nil"/>
              <w:bottom w:val="nil"/>
            </w:tcBorders>
            <w:vAlign w:val="bottom"/>
          </w:tcPr>
          <w:p w:rsidR="00445D0B" w:rsidRPr="005869E7" w:rsidRDefault="00445D0B" w:rsidP="002D62B9">
            <w:pPr>
              <w:pStyle w:val="tabtekst"/>
              <w:spacing w:after="120"/>
              <w:jc w:val="center"/>
            </w:pPr>
            <w:r w:rsidRPr="005869E7">
              <w:t>5,4</w:t>
            </w:r>
          </w:p>
        </w:tc>
        <w:tc>
          <w:tcPr>
            <w:tcW w:w="716" w:type="dxa"/>
            <w:tcBorders>
              <w:top w:val="nil"/>
              <w:bottom w:val="nil"/>
            </w:tcBorders>
            <w:vAlign w:val="bottom"/>
          </w:tcPr>
          <w:p w:rsidR="00445D0B" w:rsidRPr="005869E7" w:rsidRDefault="00445D0B" w:rsidP="002D62B9">
            <w:pPr>
              <w:pStyle w:val="tabtekst"/>
              <w:spacing w:after="120"/>
              <w:jc w:val="center"/>
            </w:pPr>
            <w:r w:rsidRPr="005869E7">
              <w:t>5,9</w:t>
            </w:r>
          </w:p>
        </w:tc>
        <w:tc>
          <w:tcPr>
            <w:tcW w:w="716" w:type="dxa"/>
            <w:tcBorders>
              <w:top w:val="nil"/>
              <w:bottom w:val="nil"/>
            </w:tcBorders>
            <w:vAlign w:val="bottom"/>
          </w:tcPr>
          <w:p w:rsidR="00445D0B" w:rsidRPr="005869E7" w:rsidRDefault="00445D0B" w:rsidP="002D62B9">
            <w:pPr>
              <w:pStyle w:val="tabtekst"/>
              <w:spacing w:after="120"/>
              <w:jc w:val="center"/>
            </w:pPr>
            <w:r w:rsidRPr="005869E7">
              <w:t>5,6</w:t>
            </w:r>
          </w:p>
        </w:tc>
      </w:tr>
      <w:tr w:rsidR="00445D0B" w:rsidRPr="005869E7" w:rsidTr="00C1532A">
        <w:trPr>
          <w:jc w:val="center"/>
        </w:trPr>
        <w:tc>
          <w:tcPr>
            <w:tcW w:w="2915" w:type="dxa"/>
            <w:tcBorders>
              <w:top w:val="nil"/>
            </w:tcBorders>
          </w:tcPr>
          <w:p w:rsidR="00445D0B" w:rsidRPr="005869E7" w:rsidRDefault="00445D0B" w:rsidP="002D62B9">
            <w:pPr>
              <w:pStyle w:val="tabtekst"/>
              <w:spacing w:after="120"/>
            </w:pPr>
            <w:r w:rsidRPr="005869E7">
              <w:t>Preču un pakalpojumu imports</w:t>
            </w:r>
          </w:p>
        </w:tc>
        <w:tc>
          <w:tcPr>
            <w:tcW w:w="733" w:type="dxa"/>
            <w:tcBorders>
              <w:top w:val="nil"/>
            </w:tcBorders>
            <w:vAlign w:val="bottom"/>
          </w:tcPr>
          <w:p w:rsidR="00445D0B" w:rsidRPr="005869E7" w:rsidRDefault="00445D0B" w:rsidP="002D62B9">
            <w:pPr>
              <w:pStyle w:val="tabtekst"/>
              <w:spacing w:after="120"/>
              <w:jc w:val="center"/>
            </w:pPr>
            <w:r w:rsidRPr="005869E7">
              <w:t>-33,3</w:t>
            </w:r>
          </w:p>
        </w:tc>
        <w:tc>
          <w:tcPr>
            <w:tcW w:w="733" w:type="dxa"/>
            <w:tcBorders>
              <w:top w:val="nil"/>
            </w:tcBorders>
            <w:vAlign w:val="bottom"/>
          </w:tcPr>
          <w:p w:rsidR="00445D0B" w:rsidRPr="005869E7" w:rsidRDefault="00445D0B" w:rsidP="002D62B9">
            <w:pPr>
              <w:pStyle w:val="tabtekst"/>
              <w:spacing w:after="120"/>
              <w:jc w:val="center"/>
            </w:pPr>
            <w:r w:rsidRPr="005869E7">
              <w:t>11,5</w:t>
            </w:r>
          </w:p>
        </w:tc>
        <w:tc>
          <w:tcPr>
            <w:tcW w:w="733" w:type="dxa"/>
            <w:tcBorders>
              <w:top w:val="nil"/>
            </w:tcBorders>
            <w:vAlign w:val="bottom"/>
          </w:tcPr>
          <w:p w:rsidR="00445D0B" w:rsidRPr="005869E7" w:rsidRDefault="00445D0B" w:rsidP="002D62B9">
            <w:pPr>
              <w:pStyle w:val="tabtekst"/>
              <w:spacing w:after="120"/>
              <w:jc w:val="center"/>
            </w:pPr>
            <w:r w:rsidRPr="005869E7">
              <w:t>20,7</w:t>
            </w:r>
          </w:p>
        </w:tc>
        <w:tc>
          <w:tcPr>
            <w:tcW w:w="716" w:type="dxa"/>
            <w:tcBorders>
              <w:top w:val="nil"/>
            </w:tcBorders>
            <w:vAlign w:val="bottom"/>
          </w:tcPr>
          <w:p w:rsidR="00445D0B" w:rsidRPr="005869E7" w:rsidRDefault="00445D0B" w:rsidP="002D62B9">
            <w:pPr>
              <w:pStyle w:val="tabtekst"/>
              <w:spacing w:after="120"/>
              <w:jc w:val="center"/>
            </w:pPr>
            <w:r w:rsidRPr="005869E7">
              <w:t>5,1</w:t>
            </w:r>
          </w:p>
        </w:tc>
        <w:tc>
          <w:tcPr>
            <w:tcW w:w="716" w:type="dxa"/>
            <w:tcBorders>
              <w:top w:val="nil"/>
            </w:tcBorders>
            <w:vAlign w:val="bottom"/>
          </w:tcPr>
          <w:p w:rsidR="00445D0B" w:rsidRPr="005869E7" w:rsidRDefault="00445D0B" w:rsidP="002D62B9">
            <w:pPr>
              <w:pStyle w:val="tabtekst"/>
              <w:spacing w:after="120"/>
              <w:jc w:val="center"/>
            </w:pPr>
            <w:r w:rsidRPr="005869E7">
              <w:t>5,8</w:t>
            </w:r>
          </w:p>
        </w:tc>
        <w:tc>
          <w:tcPr>
            <w:tcW w:w="716" w:type="dxa"/>
            <w:tcBorders>
              <w:top w:val="nil"/>
            </w:tcBorders>
            <w:vAlign w:val="bottom"/>
          </w:tcPr>
          <w:p w:rsidR="00445D0B" w:rsidRPr="005869E7" w:rsidRDefault="00445D0B" w:rsidP="002D62B9">
            <w:pPr>
              <w:pStyle w:val="tabtekst"/>
              <w:spacing w:after="120"/>
              <w:jc w:val="center"/>
            </w:pPr>
            <w:r w:rsidRPr="005869E7">
              <w:t>6,0</w:t>
            </w:r>
          </w:p>
        </w:tc>
        <w:tc>
          <w:tcPr>
            <w:tcW w:w="716" w:type="dxa"/>
            <w:tcBorders>
              <w:top w:val="nil"/>
            </w:tcBorders>
            <w:vAlign w:val="bottom"/>
          </w:tcPr>
          <w:p w:rsidR="00445D0B" w:rsidRPr="005869E7" w:rsidRDefault="00445D0B" w:rsidP="002D62B9">
            <w:pPr>
              <w:pStyle w:val="tabtekst"/>
              <w:spacing w:after="120"/>
              <w:jc w:val="center"/>
            </w:pPr>
            <w:r w:rsidRPr="005869E7">
              <w:t>5,8</w:t>
            </w:r>
          </w:p>
        </w:tc>
      </w:tr>
    </w:tbl>
    <w:p w:rsidR="00445D0B" w:rsidRPr="005869E7" w:rsidRDefault="00445D0B" w:rsidP="002D62B9">
      <w:pPr>
        <w:spacing w:before="240" w:after="240"/>
      </w:pPr>
      <w:r w:rsidRPr="005869E7">
        <w:t>Atšķirībā no 2011.</w:t>
      </w:r>
      <w:r w:rsidR="00D4023B">
        <w:t> </w:t>
      </w:r>
      <w:r w:rsidRPr="005869E7">
        <w:t>gada privātā patēriņa attīstību nākamajos gados patēriņu cenu izmaiņas ietekmēs mazāk un svarīgāka lom</w:t>
      </w:r>
      <w:r>
        <w:t>a</w:t>
      </w:r>
      <w:r w:rsidRPr="005869E7">
        <w:t xml:space="preserve"> privātā patēriņa attīstībā būs ārējās vides situācijai. Negatīvāka ārējā vide un lēnāki pieauguma tempi eksporta nozarēs bremzēs algu un nodarbinātības pieaugumu gan attiecīgajās nozarēs, gan tautsaimniecībā kopumā. Papildus tam, iedzīvotāju iespējas palielināt patēriņu ierobežo arī augstais mājsaimniecībām izsniegto kredītu apjoms, kas 2011.</w:t>
      </w:r>
      <w:r w:rsidR="00D4023B">
        <w:t> </w:t>
      </w:r>
      <w:r w:rsidRPr="005869E7">
        <w:t>gada jūnijā bija 5,5 miljardi latu</w:t>
      </w:r>
      <w:r>
        <w:t xml:space="preserve"> (7,82 miljardi eiro)</w:t>
      </w:r>
      <w:r w:rsidRPr="005869E7">
        <w:t>. Ierobežots atalgojuma pieaugums un kredītu apkalpošanas izmaksas mazina privātā patēriņa pieauguma iespējas, tādēļ tiek prognozēts, ka privātā patēriņa izaugsme 2012. un 2013.</w:t>
      </w:r>
      <w:r w:rsidR="00D4023B">
        <w:t> </w:t>
      </w:r>
      <w:r w:rsidRPr="005869E7">
        <w:t>gadā nepārsniegs IKP pieaugumu un būs attiecīgi 1,9</w:t>
      </w:r>
      <w:r w:rsidR="00F242E9">
        <w:t> </w:t>
      </w:r>
      <w:r w:rsidRPr="005869E7">
        <w:t>% un 3,6</w:t>
      </w:r>
      <w:r w:rsidR="00F242E9">
        <w:t> </w:t>
      </w:r>
      <w:r w:rsidRPr="005869E7">
        <w:t>%, savukārt vidējā termiņā – vienāda ar IKP izaugsmi.</w:t>
      </w:r>
    </w:p>
    <w:p w:rsidR="00445D0B" w:rsidRPr="005869E7" w:rsidRDefault="00445D0B" w:rsidP="002D62B9">
      <w:r w:rsidRPr="005869E7">
        <w:t>Sabiedriskā patēriņa izmaiņas ir tieši atkarīgas no vispārējās valdības izdevumu apjoma. Saskaņā ar Latvijas izvirzītajiem mērķiem, 2012.</w:t>
      </w:r>
      <w:r w:rsidR="00D4023B">
        <w:t> </w:t>
      </w:r>
      <w:r w:rsidRPr="005869E7">
        <w:t xml:space="preserve">gadā turpināsies budžeta deficīta samazināšana, kas ierobežos kopējo vispārējās valdības izdevumu pieaugumu. Vidējā termiņā, lai samazinātu budžeta deficītu, izdevumu pieaugums būs lēnāks, nekā IKP izaugsmes tempi. </w:t>
      </w:r>
    </w:p>
    <w:p w:rsidR="00445D0B" w:rsidRPr="005869E7" w:rsidRDefault="00BD6F38" w:rsidP="002D62B9">
      <w:pPr>
        <w:ind w:firstLine="0"/>
        <w:jc w:val="center"/>
      </w:pPr>
      <w:r>
        <w:rPr>
          <w:noProof/>
          <w:lang w:eastAsia="lv-LV"/>
        </w:rPr>
        <w:pict>
          <v:shape id="Chart 8" o:spid="_x0000_i1027" type="#_x0000_t75" style="width:381.3pt;height:241.6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">
            <v:imagedata r:id="rId18" o:title="" cropbottom="-38f"/>
            <o:lock v:ext="edit" aspectratio="f"/>
          </v:shape>
        </w:pict>
      </w:r>
    </w:p>
    <w:p w:rsidR="00445D0B" w:rsidRPr="005869E7" w:rsidRDefault="00445D0B" w:rsidP="002D62B9">
      <w:pPr>
        <w:pStyle w:val="Z"/>
        <w:ind w:left="0" w:right="-1"/>
        <w:jc w:val="center"/>
        <w:rPr>
          <w:rFonts w:ascii="Times New Roman" w:hAnsi="Times New Roman"/>
          <w:sz w:val="24"/>
        </w:rPr>
      </w:pPr>
      <w:r w:rsidRPr="005869E7">
        <w:rPr>
          <w:rFonts w:ascii="Times New Roman" w:hAnsi="Times New Roman"/>
          <w:sz w:val="24"/>
        </w:rPr>
        <w:t>2.3. att. Izlietojuma komponenšu ietekme uz IKP, procentpunkti</w:t>
      </w:r>
    </w:p>
    <w:p w:rsidR="00445D0B" w:rsidRPr="005869E7" w:rsidRDefault="00445D0B" w:rsidP="002D62B9">
      <w:r w:rsidRPr="005869E7">
        <w:t>Pēc 3 gadu krituma, kura laikā investīciju apjoms samazinājās par 56</w:t>
      </w:r>
      <w:r w:rsidR="00D4023B">
        <w:t> </w:t>
      </w:r>
      <w:r w:rsidRPr="005869E7">
        <w:t>%, to īpatsvars IKP samazinājies no 34</w:t>
      </w:r>
      <w:r w:rsidR="00D4023B">
        <w:t> </w:t>
      </w:r>
      <w:r w:rsidRPr="005869E7">
        <w:t>% uz 18</w:t>
      </w:r>
      <w:r w:rsidR="00D4023B">
        <w:t> </w:t>
      </w:r>
      <w:r w:rsidRPr="005869E7">
        <w:t xml:space="preserve">%. Daļēji investīciju īpatsvara samazināšanās saistāma ar tautsaimniecības struktūras izmaiņām, kā rezultātā strauji mazinājās būvniecības apjomi. Tomēr investīcijas lielā mērā ir saistāmas ar investoru noskaņojumu par ekonomiskās attīstības perspektīvām un investīciju vidi kopumā. Sarežģītā ekonomiskā situācija un </w:t>
      </w:r>
      <w:r w:rsidRPr="005869E7">
        <w:lastRenderedPageBreak/>
        <w:t>piesardzība par ekonomiskās attīstības perspektīvām 2009. un 2010.</w:t>
      </w:r>
      <w:r w:rsidR="00D4023B">
        <w:t> </w:t>
      </w:r>
      <w:r w:rsidRPr="005869E7">
        <w:t>gadā lika uzņēmumiem samazināt savus izdevumus. Iespējams, ka daļa uzņēmumu būs ekonomējuši līdzekļus, atliekot nolietoto pamatlīdzekļu atjaunošanu. Uz to norāda jau 2011.</w:t>
      </w:r>
      <w:r w:rsidR="00D4023B">
        <w:t> </w:t>
      </w:r>
      <w:r w:rsidRPr="005869E7">
        <w:t>gadā vērojamā tendence, ka uzņēmumi sāk īstenot tādas, iespējams, atliktās investīcijas, kā autoparku sastāvu atjaunošana. Savukārt atsākoties ekonomikas izaugsmei, piesardzība likusi vietējiem uzņēmējiem maksimāli izmantot esošās ražošanas jaudas, lai palielinātu izlaidi, kā rezultātā šobrīd uzņēmēju aptaujas norāda uz vēsturiski augstām jaudu noslodzēm lielākajās rūpniecības apakšnozarēs. Tā rezultātā 2011.</w:t>
      </w:r>
      <w:r w:rsidR="00D4023B">
        <w:t> </w:t>
      </w:r>
      <w:r w:rsidRPr="005869E7">
        <w:t>gadā investīcijas Latvijā pieauga par 24,6</w:t>
      </w:r>
      <w:r w:rsidR="00D4023B">
        <w:t> </w:t>
      </w:r>
      <w:r w:rsidRPr="005869E7">
        <w:t>%. Šie faktori rada arī labvēlīgu vidi investīciju pieaugumam vidējā termiņā. To papildus veicinās arī Latvijas investīciju līmeņa kredītreitinga un ārvalstu investoru uzticības atgūšana, ko sekmējusi Latvijas valdības veiksmīgi īstenotā fiskālā politika, būtiski samazinot valsts budžeta deficītu no 9,7</w:t>
      </w:r>
      <w:r w:rsidR="00D4023B">
        <w:t> </w:t>
      </w:r>
      <w:r w:rsidRPr="005869E7">
        <w:t xml:space="preserve">% no IKP </w:t>
      </w:r>
      <w:r w:rsidRPr="00D523D5">
        <w:t xml:space="preserve">līdz </w:t>
      </w:r>
      <w:r w:rsidR="00D4023B">
        <w:t>3,5</w:t>
      </w:r>
      <w:r w:rsidR="00D82C46">
        <w:t> </w:t>
      </w:r>
      <w:r w:rsidRPr="00D523D5">
        <w:t>%</w:t>
      </w:r>
      <w:r w:rsidRPr="005869E7">
        <w:t xml:space="preserve"> 2011.</w:t>
      </w:r>
      <w:r w:rsidR="00D4023B">
        <w:t> </w:t>
      </w:r>
      <w:r w:rsidRPr="005869E7">
        <w:t>gadā. Lai gan ārējās vides nenoteiktība var īstermiņā ietekmēt atsevišķu investīciju projektu realizāciju, nepieciešamība pēc papildus investīcij</w:t>
      </w:r>
      <w:r>
        <w:t>ām</w:t>
      </w:r>
      <w:r w:rsidRPr="005869E7">
        <w:t xml:space="preserve"> uzņēmumu jaudu paplašināšanai un infrastruktūras modernizēšanai nodrošinās investīciju pieaugumu. Tādējādi sagaidām, ka investīciju pieaugums vidējā termiņā pārsniegs IKP pieaugumu un līdz 2015.</w:t>
      </w:r>
      <w:r w:rsidR="00D4023B">
        <w:t> </w:t>
      </w:r>
      <w:r w:rsidRPr="005869E7">
        <w:t>gadam to īpatsvars IKP sasniegs 25</w:t>
      </w:r>
      <w:r w:rsidR="00D4023B">
        <w:t> </w:t>
      </w:r>
      <w:r w:rsidRPr="005869E7">
        <w:t>%, kas atbilst vidējam investīciju līmenim pirms ekonomikas pārkaršanas no 1998. līdz 2004.</w:t>
      </w:r>
      <w:r w:rsidR="00D4023B">
        <w:t> </w:t>
      </w:r>
      <w:r w:rsidRPr="005869E7">
        <w:t>gadam.</w:t>
      </w:r>
    </w:p>
    <w:p w:rsidR="00445D0B" w:rsidRPr="005869E7" w:rsidRDefault="00445D0B" w:rsidP="002D62B9">
      <w:r w:rsidRPr="005869E7">
        <w:t>Pēc straujā eksporta pieauguma 2010. un 2011.</w:t>
      </w:r>
      <w:r w:rsidR="00D4023B">
        <w:t> </w:t>
      </w:r>
      <w:r w:rsidRPr="005869E7">
        <w:t>gadā sagaidāms, ka 2012.</w:t>
      </w:r>
      <w:r w:rsidR="00D4023B">
        <w:t> </w:t>
      </w:r>
      <w:r w:rsidRPr="005869E7">
        <w:t>gadā eksporta pieauguma tempi būtiski bremzēsies. To, pirmkārt, noteiks ārējās vides pasliktināšanās, kā arī eksporta attīstību ierobežos arī iekšējie faktori. Šobrīd preču eksporta apjoms jau pārsniedzis pirmskrīzes līmeni, tādējādi turpmākam pieaugumam jau būs nepieciešamas jaunas investīcijas ražošanas jaudu palielināšanā, veidojot jaunus produktus un paplašinot esošo produktu noieta tirgus. Šis process ir ilgstošs, un nav sagaidāms 2010. un 2011.</w:t>
      </w:r>
      <w:r w:rsidR="00D4023B">
        <w:t> </w:t>
      </w:r>
      <w:r w:rsidRPr="005869E7">
        <w:t>gada straujo pieaugumu tempu turpinājums. 2012.</w:t>
      </w:r>
      <w:r w:rsidR="00D4023B">
        <w:t> </w:t>
      </w:r>
      <w:r w:rsidRPr="005869E7">
        <w:t>gadā eksporta pieauguma tempus ietekmēs ārējās vides pasliktināšanās, bet turpmākajos gados sagaidāms, ka tā apjoms varētu pieaugt vidēji par 5</w:t>
      </w:r>
      <w:r w:rsidR="00F242E9">
        <w:t xml:space="preserve"> </w:t>
      </w:r>
      <w:r w:rsidR="0035776A">
        <w:t>–</w:t>
      </w:r>
      <w:r w:rsidR="00F242E9">
        <w:t xml:space="preserve"> </w:t>
      </w:r>
      <w:r w:rsidRPr="005869E7">
        <w:t>6</w:t>
      </w:r>
      <w:r w:rsidR="00D4023B">
        <w:t> </w:t>
      </w:r>
      <w:r w:rsidRPr="005869E7">
        <w:t>% gadā.</w:t>
      </w:r>
    </w:p>
    <w:p w:rsidR="00445D0B" w:rsidRPr="005869E7" w:rsidRDefault="00445D0B" w:rsidP="002D62B9">
      <w:r w:rsidRPr="005869E7">
        <w:t>Importa apjomi ir tieši atkarīgi no iekšzemes pieprasījuma, ko veido valdības un privātais patēriņš, investīcijas, kā arī eksports. Investīciju nepieciešamība, kā arī privātā patēriņa turpmāka stabilizācija un pieauguma tempu palielināšanās veicinās importa pieaugumu, kas vidējā termiņā pieaugs straujāk nekā eksporta apjomi.</w:t>
      </w:r>
    </w:p>
    <w:p w:rsidR="00BD74BB" w:rsidRPr="005869E7" w:rsidRDefault="00BD74BB" w:rsidP="002D62B9">
      <w:r w:rsidRPr="005869E7">
        <w:t xml:space="preserve"> </w:t>
      </w:r>
    </w:p>
    <w:p w:rsidR="00BD74BB" w:rsidRPr="009856BE" w:rsidRDefault="00BD74BB" w:rsidP="002D62B9">
      <w:pPr>
        <w:pStyle w:val="H4"/>
        <w:rPr>
          <w:rFonts w:ascii="Times New Roman" w:hAnsi="Times New Roman"/>
          <w:sz w:val="24"/>
          <w:szCs w:val="24"/>
        </w:rPr>
      </w:pPr>
      <w:r w:rsidRPr="009856BE">
        <w:rPr>
          <w:rFonts w:ascii="Times New Roman" w:hAnsi="Times New Roman"/>
          <w:sz w:val="24"/>
          <w:szCs w:val="24"/>
        </w:rPr>
        <w:t>IKP pa nozarēm</w:t>
      </w:r>
      <w:bookmarkEnd w:id="14"/>
    </w:p>
    <w:p w:rsidR="00445D0B" w:rsidRPr="005869E7" w:rsidRDefault="00445D0B" w:rsidP="002D62B9">
      <w:r w:rsidRPr="005869E7">
        <w:t>No nozarēm sagaidāms, ka vidējā termiņā vienu no straujākajiem pieauguma tempiem turpinās uzrādīt rūpniecība. Izlaidi turpinās noteikt ārējais pieprasījums un ražotāju konkurētspēja, kā arī investīcijas izlaides jaudu palielināšanā. 2012.</w:t>
      </w:r>
      <w:r w:rsidR="00D4023B">
        <w:t> </w:t>
      </w:r>
      <w:r w:rsidRPr="005869E7">
        <w:t xml:space="preserve">gadā rūpniecības nozares </w:t>
      </w:r>
      <w:r>
        <w:t>p</w:t>
      </w:r>
      <w:r w:rsidRPr="005869E7">
        <w:t>ievienotās vērtības pieauguma tempi samazināsies līdz 3,3</w:t>
      </w:r>
      <w:r w:rsidR="00D82C46">
        <w:t> </w:t>
      </w:r>
      <w:r w:rsidRPr="005869E7">
        <w:t xml:space="preserve">%, ko noteiks svārstības ārējā vidē, bet vidējā </w:t>
      </w:r>
      <w:r>
        <w:t xml:space="preserve">termiņā </w:t>
      </w:r>
      <w:r w:rsidRPr="005869E7">
        <w:t>tie pārsniegs IKP pieauguma tempus, un rūpniecības īpatsvars IKP struktūrā turpinās palielināties.</w:t>
      </w:r>
    </w:p>
    <w:p w:rsidR="00445D0B" w:rsidRPr="00074315" w:rsidRDefault="00445D0B" w:rsidP="002D62B9">
      <w:pPr>
        <w:pStyle w:val="T"/>
        <w:spacing w:after="0"/>
        <w:jc w:val="right"/>
        <w:rPr>
          <w:rFonts w:ascii="Times New Roman" w:hAnsi="Times New Roman"/>
          <w:b w:val="0"/>
        </w:rPr>
      </w:pPr>
      <w:r w:rsidRPr="00074315">
        <w:rPr>
          <w:rFonts w:ascii="Times New Roman" w:hAnsi="Times New Roman"/>
          <w:b w:val="0"/>
        </w:rPr>
        <w:t xml:space="preserve">2.2. tabula IKP sadalījumā pa nozarēm </w:t>
      </w:r>
    </w:p>
    <w:p w:rsidR="00445D0B" w:rsidRPr="00074315" w:rsidRDefault="00445D0B" w:rsidP="002D62B9">
      <w:pPr>
        <w:pStyle w:val="T"/>
        <w:jc w:val="right"/>
        <w:rPr>
          <w:rFonts w:ascii="Times New Roman" w:hAnsi="Times New Roman"/>
          <w:b w:val="0"/>
        </w:rPr>
      </w:pPr>
      <w:r w:rsidRPr="00074315">
        <w:rPr>
          <w:rFonts w:ascii="Times New Roman" w:hAnsi="Times New Roman"/>
          <w:b w:val="0"/>
        </w:rPr>
        <w:t>(pieauguma tempi 2000. gada cenās, % pret iepriekšējo periodu)</w:t>
      </w:r>
    </w:p>
    <w:tbl>
      <w:tblPr>
        <w:tblW w:w="8778" w:type="dxa"/>
        <w:jc w:val="center"/>
        <w:tblInd w:w="-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52"/>
        <w:gridCol w:w="742"/>
        <w:gridCol w:w="708"/>
        <w:gridCol w:w="709"/>
        <w:gridCol w:w="709"/>
        <w:gridCol w:w="709"/>
        <w:gridCol w:w="809"/>
        <w:gridCol w:w="840"/>
      </w:tblGrid>
      <w:tr w:rsidR="00445D0B" w:rsidRPr="005869E7" w:rsidTr="00C1532A">
        <w:trPr>
          <w:jc w:val="center"/>
        </w:trPr>
        <w:tc>
          <w:tcPr>
            <w:tcW w:w="3552" w:type="dxa"/>
          </w:tcPr>
          <w:p w:rsidR="00445D0B" w:rsidRPr="005869E7" w:rsidRDefault="00445D0B" w:rsidP="002D62B9">
            <w:pPr>
              <w:pStyle w:val="tabtekst"/>
              <w:spacing w:after="120"/>
            </w:pPr>
          </w:p>
        </w:tc>
        <w:tc>
          <w:tcPr>
            <w:tcW w:w="742" w:type="dxa"/>
            <w:vAlign w:val="bottom"/>
          </w:tcPr>
          <w:p w:rsidR="00445D0B" w:rsidRPr="005869E7" w:rsidRDefault="00445D0B" w:rsidP="002D62B9">
            <w:pPr>
              <w:pStyle w:val="tabtekst"/>
              <w:spacing w:after="120"/>
              <w:jc w:val="center"/>
            </w:pPr>
            <w:r w:rsidRPr="005869E7">
              <w:t>2009</w:t>
            </w:r>
          </w:p>
        </w:tc>
        <w:tc>
          <w:tcPr>
            <w:tcW w:w="708" w:type="dxa"/>
            <w:vAlign w:val="bottom"/>
          </w:tcPr>
          <w:p w:rsidR="00445D0B" w:rsidRPr="005869E7" w:rsidRDefault="00445D0B" w:rsidP="002D62B9">
            <w:pPr>
              <w:pStyle w:val="tabtekst"/>
              <w:spacing w:after="120"/>
              <w:jc w:val="center"/>
            </w:pPr>
            <w:r w:rsidRPr="005869E7">
              <w:t>2010</w:t>
            </w:r>
          </w:p>
        </w:tc>
        <w:tc>
          <w:tcPr>
            <w:tcW w:w="709" w:type="dxa"/>
            <w:vAlign w:val="bottom"/>
          </w:tcPr>
          <w:p w:rsidR="00445D0B" w:rsidRPr="005869E7" w:rsidRDefault="00445D0B" w:rsidP="002D62B9">
            <w:pPr>
              <w:pStyle w:val="tabtekst"/>
              <w:spacing w:after="120"/>
              <w:jc w:val="center"/>
            </w:pPr>
            <w:r w:rsidRPr="005869E7">
              <w:t>2011</w:t>
            </w:r>
          </w:p>
        </w:tc>
        <w:tc>
          <w:tcPr>
            <w:tcW w:w="709" w:type="dxa"/>
            <w:vAlign w:val="bottom"/>
          </w:tcPr>
          <w:p w:rsidR="00445D0B" w:rsidRPr="005869E7" w:rsidRDefault="00445D0B" w:rsidP="002D62B9">
            <w:pPr>
              <w:pStyle w:val="tabtekst"/>
              <w:spacing w:after="120"/>
              <w:jc w:val="center"/>
            </w:pPr>
            <w:r w:rsidRPr="005869E7">
              <w:t>2012</w:t>
            </w:r>
          </w:p>
        </w:tc>
        <w:tc>
          <w:tcPr>
            <w:tcW w:w="709" w:type="dxa"/>
            <w:vAlign w:val="bottom"/>
          </w:tcPr>
          <w:p w:rsidR="00445D0B" w:rsidRPr="005869E7" w:rsidRDefault="00445D0B" w:rsidP="002D62B9">
            <w:pPr>
              <w:pStyle w:val="tabtekst"/>
              <w:spacing w:after="120"/>
              <w:jc w:val="center"/>
            </w:pPr>
            <w:r w:rsidRPr="005869E7">
              <w:t>2013</w:t>
            </w:r>
          </w:p>
        </w:tc>
        <w:tc>
          <w:tcPr>
            <w:tcW w:w="809" w:type="dxa"/>
            <w:vAlign w:val="bottom"/>
          </w:tcPr>
          <w:p w:rsidR="00445D0B" w:rsidRPr="005869E7" w:rsidRDefault="00445D0B" w:rsidP="002D62B9">
            <w:pPr>
              <w:pStyle w:val="tabtekst"/>
              <w:spacing w:after="120"/>
              <w:jc w:val="center"/>
            </w:pPr>
            <w:r w:rsidRPr="005869E7">
              <w:t>2014</w:t>
            </w:r>
          </w:p>
        </w:tc>
        <w:tc>
          <w:tcPr>
            <w:tcW w:w="840" w:type="dxa"/>
            <w:vAlign w:val="bottom"/>
          </w:tcPr>
          <w:p w:rsidR="00445D0B" w:rsidRPr="005869E7" w:rsidRDefault="00445D0B" w:rsidP="002D62B9">
            <w:pPr>
              <w:pStyle w:val="tabtekst"/>
              <w:spacing w:after="120"/>
              <w:jc w:val="center"/>
            </w:pPr>
            <w:r w:rsidRPr="005869E7">
              <w:t>2015</w:t>
            </w:r>
          </w:p>
        </w:tc>
      </w:tr>
      <w:tr w:rsidR="00445D0B" w:rsidRPr="005869E7" w:rsidTr="00C1532A">
        <w:trPr>
          <w:jc w:val="center"/>
        </w:trPr>
        <w:tc>
          <w:tcPr>
            <w:tcW w:w="3552" w:type="dxa"/>
          </w:tcPr>
          <w:p w:rsidR="00445D0B" w:rsidRPr="005869E7" w:rsidRDefault="00445D0B" w:rsidP="002D62B9">
            <w:pPr>
              <w:pStyle w:val="tabtekst"/>
              <w:spacing w:after="120"/>
            </w:pPr>
          </w:p>
        </w:tc>
        <w:tc>
          <w:tcPr>
            <w:tcW w:w="2159" w:type="dxa"/>
            <w:gridSpan w:val="3"/>
          </w:tcPr>
          <w:p w:rsidR="00445D0B" w:rsidRPr="005869E7" w:rsidRDefault="00445D0B" w:rsidP="002D62B9">
            <w:pPr>
              <w:pStyle w:val="tabtekst"/>
              <w:spacing w:after="120"/>
              <w:jc w:val="center"/>
            </w:pPr>
            <w:r w:rsidRPr="005869E7">
              <w:t>Fakts</w:t>
            </w:r>
          </w:p>
        </w:tc>
        <w:tc>
          <w:tcPr>
            <w:tcW w:w="3067" w:type="dxa"/>
            <w:gridSpan w:val="4"/>
          </w:tcPr>
          <w:p w:rsidR="00445D0B" w:rsidRPr="005869E7" w:rsidRDefault="00D4023B" w:rsidP="002D62B9">
            <w:pPr>
              <w:pStyle w:val="tabtekst"/>
              <w:spacing w:after="120"/>
              <w:jc w:val="center"/>
            </w:pPr>
            <w:r w:rsidRPr="005869E7">
              <w:t>P</w:t>
            </w:r>
            <w:r w:rsidR="00445D0B" w:rsidRPr="005869E7">
              <w:t>rognoze</w:t>
            </w:r>
          </w:p>
        </w:tc>
      </w:tr>
      <w:tr w:rsidR="00445D0B" w:rsidRPr="005869E7" w:rsidTr="00C1532A">
        <w:trPr>
          <w:jc w:val="center"/>
        </w:trPr>
        <w:tc>
          <w:tcPr>
            <w:tcW w:w="3552" w:type="dxa"/>
            <w:tcBorders>
              <w:bottom w:val="nil"/>
            </w:tcBorders>
          </w:tcPr>
          <w:p w:rsidR="00445D0B" w:rsidRPr="005869E7" w:rsidRDefault="00445D0B" w:rsidP="002D62B9">
            <w:pPr>
              <w:pStyle w:val="tabtekst"/>
              <w:spacing w:after="120"/>
            </w:pPr>
            <w:r w:rsidRPr="005869E7">
              <w:t>IKP</w:t>
            </w:r>
          </w:p>
        </w:tc>
        <w:tc>
          <w:tcPr>
            <w:tcW w:w="742" w:type="dxa"/>
            <w:tcBorders>
              <w:bottom w:val="nil"/>
            </w:tcBorders>
            <w:vAlign w:val="bottom"/>
          </w:tcPr>
          <w:p w:rsidR="00445D0B" w:rsidRPr="005869E7" w:rsidRDefault="00445D0B" w:rsidP="002D62B9">
            <w:pPr>
              <w:pStyle w:val="tabtekst"/>
              <w:spacing w:after="120"/>
              <w:jc w:val="center"/>
            </w:pPr>
            <w:r w:rsidRPr="005869E7">
              <w:t>-17,7</w:t>
            </w:r>
          </w:p>
        </w:tc>
        <w:tc>
          <w:tcPr>
            <w:tcW w:w="708" w:type="dxa"/>
            <w:tcBorders>
              <w:bottom w:val="nil"/>
            </w:tcBorders>
            <w:vAlign w:val="bottom"/>
          </w:tcPr>
          <w:p w:rsidR="00445D0B" w:rsidRPr="005869E7" w:rsidRDefault="00445D0B" w:rsidP="002D62B9">
            <w:pPr>
              <w:pStyle w:val="tabtekst"/>
              <w:spacing w:after="120"/>
              <w:jc w:val="center"/>
            </w:pPr>
            <w:r w:rsidRPr="005869E7">
              <w:t>-0,3</w:t>
            </w:r>
          </w:p>
        </w:tc>
        <w:tc>
          <w:tcPr>
            <w:tcW w:w="709" w:type="dxa"/>
            <w:tcBorders>
              <w:bottom w:val="nil"/>
            </w:tcBorders>
            <w:vAlign w:val="bottom"/>
          </w:tcPr>
          <w:p w:rsidR="00445D0B" w:rsidRPr="005869E7" w:rsidRDefault="00445D0B" w:rsidP="002D62B9">
            <w:pPr>
              <w:pStyle w:val="tabtekst"/>
              <w:spacing w:after="120"/>
              <w:jc w:val="center"/>
            </w:pPr>
            <w:r w:rsidRPr="005869E7">
              <w:t>5,5</w:t>
            </w:r>
          </w:p>
        </w:tc>
        <w:tc>
          <w:tcPr>
            <w:tcW w:w="709" w:type="dxa"/>
            <w:tcBorders>
              <w:bottom w:val="nil"/>
            </w:tcBorders>
            <w:vAlign w:val="bottom"/>
          </w:tcPr>
          <w:p w:rsidR="00445D0B" w:rsidRPr="005869E7" w:rsidRDefault="00445D0B" w:rsidP="002D62B9">
            <w:pPr>
              <w:pStyle w:val="tabtekst"/>
              <w:spacing w:after="120"/>
              <w:jc w:val="center"/>
            </w:pPr>
            <w:r w:rsidRPr="005869E7">
              <w:t>2,0</w:t>
            </w:r>
          </w:p>
        </w:tc>
        <w:tc>
          <w:tcPr>
            <w:tcW w:w="709" w:type="dxa"/>
            <w:tcBorders>
              <w:bottom w:val="nil"/>
            </w:tcBorders>
            <w:vAlign w:val="bottom"/>
          </w:tcPr>
          <w:p w:rsidR="00445D0B" w:rsidRPr="005869E7" w:rsidRDefault="00445D0B" w:rsidP="002D62B9">
            <w:pPr>
              <w:pStyle w:val="tabtekst"/>
              <w:spacing w:after="120"/>
              <w:jc w:val="center"/>
            </w:pPr>
            <w:r w:rsidRPr="005869E7">
              <w:t>3,7</w:t>
            </w:r>
          </w:p>
        </w:tc>
        <w:tc>
          <w:tcPr>
            <w:tcW w:w="809" w:type="dxa"/>
            <w:tcBorders>
              <w:bottom w:val="nil"/>
            </w:tcBorders>
            <w:vAlign w:val="bottom"/>
          </w:tcPr>
          <w:p w:rsidR="00445D0B" w:rsidRPr="005869E7" w:rsidRDefault="00445D0B" w:rsidP="002D62B9">
            <w:pPr>
              <w:pStyle w:val="tabtekst"/>
              <w:spacing w:after="120"/>
              <w:jc w:val="center"/>
            </w:pPr>
            <w:r w:rsidRPr="005869E7">
              <w:t>4,0</w:t>
            </w:r>
          </w:p>
        </w:tc>
        <w:tc>
          <w:tcPr>
            <w:tcW w:w="840" w:type="dxa"/>
            <w:tcBorders>
              <w:bottom w:val="nil"/>
            </w:tcBorders>
            <w:vAlign w:val="bottom"/>
          </w:tcPr>
          <w:p w:rsidR="00445D0B" w:rsidRPr="005869E7" w:rsidRDefault="00445D0B" w:rsidP="002D62B9">
            <w:pPr>
              <w:pStyle w:val="tabtekst"/>
              <w:spacing w:after="120"/>
              <w:jc w:val="center"/>
            </w:pPr>
            <w:r w:rsidRPr="005869E7">
              <w:t>4,0</w:t>
            </w:r>
          </w:p>
        </w:tc>
      </w:tr>
      <w:tr w:rsidR="00445D0B" w:rsidRPr="005869E7" w:rsidTr="00C1532A">
        <w:trPr>
          <w:jc w:val="center"/>
        </w:trPr>
        <w:tc>
          <w:tcPr>
            <w:tcW w:w="3552" w:type="dxa"/>
            <w:tcBorders>
              <w:bottom w:val="nil"/>
            </w:tcBorders>
          </w:tcPr>
          <w:p w:rsidR="00445D0B" w:rsidRPr="005869E7" w:rsidRDefault="00445D0B" w:rsidP="002D62B9">
            <w:pPr>
              <w:pStyle w:val="tabtekst"/>
              <w:spacing w:after="120"/>
            </w:pPr>
            <w:r w:rsidRPr="005869E7">
              <w:t>Lauksaimn., medn., mežs. un zvejn.</w:t>
            </w:r>
          </w:p>
        </w:tc>
        <w:tc>
          <w:tcPr>
            <w:tcW w:w="742" w:type="dxa"/>
            <w:tcBorders>
              <w:bottom w:val="nil"/>
            </w:tcBorders>
            <w:vAlign w:val="bottom"/>
          </w:tcPr>
          <w:p w:rsidR="00445D0B" w:rsidRPr="005869E7" w:rsidRDefault="00445D0B" w:rsidP="002D62B9">
            <w:pPr>
              <w:pStyle w:val="tabtekst"/>
              <w:spacing w:after="120"/>
              <w:jc w:val="center"/>
            </w:pPr>
            <w:r w:rsidRPr="005869E7">
              <w:t>9,1</w:t>
            </w:r>
          </w:p>
        </w:tc>
        <w:tc>
          <w:tcPr>
            <w:tcW w:w="708" w:type="dxa"/>
            <w:tcBorders>
              <w:bottom w:val="nil"/>
            </w:tcBorders>
            <w:vAlign w:val="bottom"/>
          </w:tcPr>
          <w:p w:rsidR="00445D0B" w:rsidRPr="005869E7" w:rsidRDefault="00445D0B" w:rsidP="002D62B9">
            <w:pPr>
              <w:pStyle w:val="tabtekst"/>
              <w:spacing w:after="120"/>
              <w:jc w:val="center"/>
            </w:pPr>
            <w:r w:rsidRPr="005869E7">
              <w:t>2,0</w:t>
            </w:r>
          </w:p>
        </w:tc>
        <w:tc>
          <w:tcPr>
            <w:tcW w:w="709" w:type="dxa"/>
            <w:tcBorders>
              <w:bottom w:val="nil"/>
            </w:tcBorders>
            <w:vAlign w:val="bottom"/>
          </w:tcPr>
          <w:p w:rsidR="00445D0B" w:rsidRPr="005869E7" w:rsidRDefault="00445D0B" w:rsidP="002D62B9">
            <w:pPr>
              <w:pStyle w:val="tabtekst"/>
              <w:spacing w:after="120"/>
              <w:jc w:val="center"/>
            </w:pPr>
            <w:r w:rsidRPr="005869E7">
              <w:t>2,8</w:t>
            </w:r>
          </w:p>
        </w:tc>
        <w:tc>
          <w:tcPr>
            <w:tcW w:w="709" w:type="dxa"/>
            <w:tcBorders>
              <w:bottom w:val="nil"/>
            </w:tcBorders>
            <w:vAlign w:val="bottom"/>
          </w:tcPr>
          <w:p w:rsidR="00445D0B" w:rsidRPr="005869E7" w:rsidRDefault="00445D0B" w:rsidP="002D62B9">
            <w:pPr>
              <w:pStyle w:val="tabtekst"/>
              <w:spacing w:after="120"/>
              <w:jc w:val="center"/>
            </w:pPr>
            <w:r w:rsidRPr="005869E7">
              <w:t>3,0</w:t>
            </w:r>
          </w:p>
        </w:tc>
        <w:tc>
          <w:tcPr>
            <w:tcW w:w="709" w:type="dxa"/>
            <w:tcBorders>
              <w:bottom w:val="nil"/>
            </w:tcBorders>
            <w:vAlign w:val="bottom"/>
          </w:tcPr>
          <w:p w:rsidR="00445D0B" w:rsidRPr="005869E7" w:rsidRDefault="00445D0B" w:rsidP="002D62B9">
            <w:pPr>
              <w:pStyle w:val="tabtekst"/>
              <w:spacing w:after="120"/>
              <w:jc w:val="center"/>
            </w:pPr>
            <w:r w:rsidRPr="005869E7">
              <w:t>4,2</w:t>
            </w:r>
          </w:p>
        </w:tc>
        <w:tc>
          <w:tcPr>
            <w:tcW w:w="809" w:type="dxa"/>
            <w:tcBorders>
              <w:bottom w:val="nil"/>
            </w:tcBorders>
            <w:vAlign w:val="bottom"/>
          </w:tcPr>
          <w:p w:rsidR="00445D0B" w:rsidRPr="005869E7" w:rsidRDefault="00445D0B" w:rsidP="002D62B9">
            <w:pPr>
              <w:pStyle w:val="tabtekst"/>
              <w:spacing w:after="120"/>
              <w:jc w:val="center"/>
            </w:pPr>
            <w:r w:rsidRPr="005869E7">
              <w:t>4,0</w:t>
            </w:r>
          </w:p>
        </w:tc>
        <w:tc>
          <w:tcPr>
            <w:tcW w:w="840" w:type="dxa"/>
            <w:tcBorders>
              <w:bottom w:val="nil"/>
            </w:tcBorders>
            <w:vAlign w:val="bottom"/>
          </w:tcPr>
          <w:p w:rsidR="00445D0B" w:rsidRPr="005869E7" w:rsidRDefault="00445D0B" w:rsidP="002D62B9">
            <w:pPr>
              <w:pStyle w:val="tabtekst"/>
              <w:spacing w:after="120"/>
              <w:jc w:val="center"/>
            </w:pPr>
            <w:r w:rsidRPr="005869E7">
              <w:t>4,0</w:t>
            </w:r>
          </w:p>
        </w:tc>
      </w:tr>
      <w:tr w:rsidR="00445D0B" w:rsidRPr="005869E7" w:rsidTr="00C1532A">
        <w:trPr>
          <w:jc w:val="center"/>
        </w:trPr>
        <w:tc>
          <w:tcPr>
            <w:tcW w:w="3552" w:type="dxa"/>
            <w:tcBorders>
              <w:top w:val="nil"/>
              <w:bottom w:val="nil"/>
            </w:tcBorders>
          </w:tcPr>
          <w:p w:rsidR="00445D0B" w:rsidRPr="005869E7" w:rsidRDefault="00445D0B" w:rsidP="002D62B9">
            <w:pPr>
              <w:pStyle w:val="tabtekst"/>
              <w:spacing w:after="120"/>
            </w:pPr>
            <w:r w:rsidRPr="005869E7">
              <w:t>Rūpniecība</w:t>
            </w:r>
          </w:p>
        </w:tc>
        <w:tc>
          <w:tcPr>
            <w:tcW w:w="742" w:type="dxa"/>
            <w:tcBorders>
              <w:top w:val="nil"/>
              <w:bottom w:val="nil"/>
            </w:tcBorders>
            <w:vAlign w:val="bottom"/>
          </w:tcPr>
          <w:p w:rsidR="00445D0B" w:rsidRPr="005869E7" w:rsidRDefault="00445D0B" w:rsidP="002D62B9">
            <w:pPr>
              <w:pStyle w:val="tabtekst"/>
              <w:spacing w:after="120"/>
              <w:jc w:val="center"/>
            </w:pPr>
            <w:r w:rsidRPr="005869E7">
              <w:t>-14,5</w:t>
            </w:r>
          </w:p>
        </w:tc>
        <w:tc>
          <w:tcPr>
            <w:tcW w:w="708" w:type="dxa"/>
            <w:tcBorders>
              <w:top w:val="nil"/>
              <w:bottom w:val="nil"/>
            </w:tcBorders>
            <w:vAlign w:val="bottom"/>
          </w:tcPr>
          <w:p w:rsidR="00445D0B" w:rsidRPr="005869E7" w:rsidRDefault="00445D0B" w:rsidP="002D62B9">
            <w:pPr>
              <w:pStyle w:val="tabtekst"/>
              <w:spacing w:after="120"/>
              <w:jc w:val="center"/>
            </w:pPr>
            <w:r w:rsidRPr="005869E7">
              <w:t>13,7</w:t>
            </w:r>
          </w:p>
        </w:tc>
        <w:tc>
          <w:tcPr>
            <w:tcW w:w="709" w:type="dxa"/>
            <w:tcBorders>
              <w:top w:val="nil"/>
              <w:bottom w:val="nil"/>
            </w:tcBorders>
            <w:vAlign w:val="bottom"/>
          </w:tcPr>
          <w:p w:rsidR="00445D0B" w:rsidRPr="005869E7" w:rsidRDefault="00445D0B" w:rsidP="002D62B9">
            <w:pPr>
              <w:pStyle w:val="tabtekst"/>
              <w:spacing w:after="120"/>
              <w:jc w:val="center"/>
            </w:pPr>
            <w:r w:rsidRPr="005869E7">
              <w:t>8,7</w:t>
            </w:r>
          </w:p>
        </w:tc>
        <w:tc>
          <w:tcPr>
            <w:tcW w:w="709" w:type="dxa"/>
            <w:tcBorders>
              <w:top w:val="nil"/>
              <w:bottom w:val="nil"/>
            </w:tcBorders>
            <w:vAlign w:val="bottom"/>
          </w:tcPr>
          <w:p w:rsidR="00445D0B" w:rsidRPr="005869E7" w:rsidRDefault="00445D0B" w:rsidP="002D62B9">
            <w:pPr>
              <w:pStyle w:val="tabtekst"/>
              <w:spacing w:after="120"/>
              <w:jc w:val="center"/>
            </w:pPr>
            <w:r w:rsidRPr="005869E7">
              <w:t>3,3</w:t>
            </w:r>
          </w:p>
        </w:tc>
        <w:tc>
          <w:tcPr>
            <w:tcW w:w="709" w:type="dxa"/>
            <w:tcBorders>
              <w:top w:val="nil"/>
              <w:bottom w:val="nil"/>
            </w:tcBorders>
            <w:vAlign w:val="bottom"/>
          </w:tcPr>
          <w:p w:rsidR="00445D0B" w:rsidRPr="005869E7" w:rsidRDefault="00445D0B" w:rsidP="002D62B9">
            <w:pPr>
              <w:pStyle w:val="tabtekst"/>
              <w:spacing w:after="120"/>
              <w:jc w:val="center"/>
            </w:pPr>
            <w:r w:rsidRPr="005869E7">
              <w:t>5,4</w:t>
            </w:r>
          </w:p>
        </w:tc>
        <w:tc>
          <w:tcPr>
            <w:tcW w:w="809" w:type="dxa"/>
            <w:tcBorders>
              <w:top w:val="nil"/>
              <w:bottom w:val="nil"/>
            </w:tcBorders>
            <w:vAlign w:val="bottom"/>
          </w:tcPr>
          <w:p w:rsidR="00445D0B" w:rsidRPr="005869E7" w:rsidRDefault="00445D0B" w:rsidP="002D62B9">
            <w:pPr>
              <w:pStyle w:val="tabtekst"/>
              <w:spacing w:after="120"/>
              <w:jc w:val="center"/>
            </w:pPr>
            <w:r w:rsidRPr="005869E7">
              <w:t>5,3</w:t>
            </w:r>
          </w:p>
        </w:tc>
        <w:tc>
          <w:tcPr>
            <w:tcW w:w="840" w:type="dxa"/>
            <w:tcBorders>
              <w:top w:val="nil"/>
              <w:bottom w:val="nil"/>
            </w:tcBorders>
            <w:vAlign w:val="bottom"/>
          </w:tcPr>
          <w:p w:rsidR="00445D0B" w:rsidRPr="005869E7" w:rsidRDefault="00445D0B" w:rsidP="002D62B9">
            <w:pPr>
              <w:pStyle w:val="tabtekst"/>
              <w:spacing w:after="120"/>
              <w:jc w:val="center"/>
            </w:pPr>
            <w:r w:rsidRPr="005869E7">
              <w:t>5,3</w:t>
            </w:r>
          </w:p>
        </w:tc>
      </w:tr>
      <w:tr w:rsidR="00445D0B" w:rsidRPr="005869E7" w:rsidTr="00C1532A">
        <w:trPr>
          <w:jc w:val="center"/>
        </w:trPr>
        <w:tc>
          <w:tcPr>
            <w:tcW w:w="3552" w:type="dxa"/>
            <w:tcBorders>
              <w:top w:val="nil"/>
              <w:bottom w:val="nil"/>
            </w:tcBorders>
          </w:tcPr>
          <w:p w:rsidR="00445D0B" w:rsidRPr="005869E7" w:rsidRDefault="00445D0B" w:rsidP="002D62B9">
            <w:pPr>
              <w:pStyle w:val="tabtekst"/>
              <w:spacing w:after="120"/>
            </w:pPr>
            <w:r w:rsidRPr="005869E7">
              <w:t>Būvniecība</w:t>
            </w:r>
          </w:p>
        </w:tc>
        <w:tc>
          <w:tcPr>
            <w:tcW w:w="742" w:type="dxa"/>
            <w:tcBorders>
              <w:top w:val="nil"/>
              <w:bottom w:val="nil"/>
            </w:tcBorders>
            <w:vAlign w:val="bottom"/>
          </w:tcPr>
          <w:p w:rsidR="00445D0B" w:rsidRPr="005869E7" w:rsidRDefault="00445D0B" w:rsidP="002D62B9">
            <w:pPr>
              <w:pStyle w:val="tabtekst"/>
              <w:spacing w:after="120"/>
              <w:jc w:val="center"/>
            </w:pPr>
            <w:r w:rsidRPr="005869E7">
              <w:t>-32,0</w:t>
            </w:r>
          </w:p>
        </w:tc>
        <w:tc>
          <w:tcPr>
            <w:tcW w:w="708" w:type="dxa"/>
            <w:tcBorders>
              <w:top w:val="nil"/>
              <w:bottom w:val="nil"/>
            </w:tcBorders>
            <w:vAlign w:val="bottom"/>
          </w:tcPr>
          <w:p w:rsidR="00445D0B" w:rsidRPr="005869E7" w:rsidRDefault="00445D0B" w:rsidP="002D62B9">
            <w:pPr>
              <w:pStyle w:val="tabtekst"/>
              <w:spacing w:after="120"/>
              <w:jc w:val="center"/>
            </w:pPr>
            <w:r w:rsidRPr="005869E7">
              <w:t>-23,9</w:t>
            </w:r>
          </w:p>
        </w:tc>
        <w:tc>
          <w:tcPr>
            <w:tcW w:w="709" w:type="dxa"/>
            <w:tcBorders>
              <w:top w:val="nil"/>
              <w:bottom w:val="nil"/>
            </w:tcBorders>
            <w:vAlign w:val="bottom"/>
          </w:tcPr>
          <w:p w:rsidR="00445D0B" w:rsidRPr="005869E7" w:rsidRDefault="00445D0B" w:rsidP="002D62B9">
            <w:pPr>
              <w:pStyle w:val="tabtekst"/>
              <w:spacing w:after="120"/>
              <w:jc w:val="center"/>
            </w:pPr>
            <w:r w:rsidRPr="005869E7">
              <w:t>12,4</w:t>
            </w:r>
          </w:p>
        </w:tc>
        <w:tc>
          <w:tcPr>
            <w:tcW w:w="709" w:type="dxa"/>
            <w:tcBorders>
              <w:top w:val="nil"/>
              <w:bottom w:val="nil"/>
            </w:tcBorders>
            <w:vAlign w:val="bottom"/>
          </w:tcPr>
          <w:p w:rsidR="00445D0B" w:rsidRPr="005869E7" w:rsidRDefault="00445D0B" w:rsidP="002D62B9">
            <w:pPr>
              <w:pStyle w:val="tabtekst"/>
              <w:spacing w:after="120"/>
              <w:jc w:val="center"/>
            </w:pPr>
            <w:r w:rsidRPr="005869E7">
              <w:t>4,0</w:t>
            </w:r>
          </w:p>
        </w:tc>
        <w:tc>
          <w:tcPr>
            <w:tcW w:w="709" w:type="dxa"/>
            <w:tcBorders>
              <w:top w:val="nil"/>
              <w:bottom w:val="nil"/>
            </w:tcBorders>
            <w:vAlign w:val="bottom"/>
          </w:tcPr>
          <w:p w:rsidR="00445D0B" w:rsidRPr="005869E7" w:rsidRDefault="00445D0B" w:rsidP="002D62B9">
            <w:pPr>
              <w:pStyle w:val="tabtekst"/>
              <w:spacing w:after="120"/>
              <w:jc w:val="center"/>
            </w:pPr>
            <w:r w:rsidRPr="005869E7">
              <w:t>4,0</w:t>
            </w:r>
          </w:p>
        </w:tc>
        <w:tc>
          <w:tcPr>
            <w:tcW w:w="809" w:type="dxa"/>
            <w:tcBorders>
              <w:top w:val="nil"/>
              <w:bottom w:val="nil"/>
            </w:tcBorders>
            <w:vAlign w:val="bottom"/>
          </w:tcPr>
          <w:p w:rsidR="00445D0B" w:rsidRPr="005869E7" w:rsidRDefault="00445D0B" w:rsidP="002D62B9">
            <w:pPr>
              <w:pStyle w:val="tabtekst"/>
              <w:spacing w:after="120"/>
              <w:jc w:val="center"/>
            </w:pPr>
            <w:r w:rsidRPr="005869E7">
              <w:t>4,3</w:t>
            </w:r>
          </w:p>
        </w:tc>
        <w:tc>
          <w:tcPr>
            <w:tcW w:w="840" w:type="dxa"/>
            <w:tcBorders>
              <w:top w:val="nil"/>
              <w:bottom w:val="nil"/>
            </w:tcBorders>
            <w:vAlign w:val="bottom"/>
          </w:tcPr>
          <w:p w:rsidR="00445D0B" w:rsidRPr="005869E7" w:rsidRDefault="00445D0B" w:rsidP="002D62B9">
            <w:pPr>
              <w:pStyle w:val="tabtekst"/>
              <w:spacing w:after="120"/>
              <w:jc w:val="center"/>
            </w:pPr>
            <w:r w:rsidRPr="005869E7">
              <w:t>4,0</w:t>
            </w:r>
          </w:p>
        </w:tc>
      </w:tr>
      <w:tr w:rsidR="00445D0B" w:rsidRPr="005869E7" w:rsidTr="00C1532A">
        <w:trPr>
          <w:jc w:val="center"/>
        </w:trPr>
        <w:tc>
          <w:tcPr>
            <w:tcW w:w="3552" w:type="dxa"/>
            <w:tcBorders>
              <w:top w:val="nil"/>
              <w:bottom w:val="nil"/>
            </w:tcBorders>
          </w:tcPr>
          <w:p w:rsidR="00445D0B" w:rsidRPr="005869E7" w:rsidRDefault="00445D0B" w:rsidP="002D62B9">
            <w:pPr>
              <w:pStyle w:val="tabtekst"/>
              <w:spacing w:after="120"/>
            </w:pPr>
            <w:r w:rsidRPr="005869E7">
              <w:lastRenderedPageBreak/>
              <w:t>Tirdzniecība, transports, viesnīcas</w:t>
            </w:r>
          </w:p>
        </w:tc>
        <w:tc>
          <w:tcPr>
            <w:tcW w:w="742" w:type="dxa"/>
            <w:tcBorders>
              <w:top w:val="nil"/>
              <w:bottom w:val="nil"/>
            </w:tcBorders>
            <w:vAlign w:val="bottom"/>
          </w:tcPr>
          <w:p w:rsidR="00445D0B" w:rsidRPr="005869E7" w:rsidRDefault="00445D0B" w:rsidP="002D62B9">
            <w:pPr>
              <w:pStyle w:val="tabtekst"/>
              <w:spacing w:after="120"/>
              <w:jc w:val="center"/>
            </w:pPr>
            <w:r w:rsidRPr="005869E7">
              <w:t>-16,6</w:t>
            </w:r>
          </w:p>
        </w:tc>
        <w:tc>
          <w:tcPr>
            <w:tcW w:w="708" w:type="dxa"/>
            <w:tcBorders>
              <w:top w:val="nil"/>
              <w:bottom w:val="nil"/>
            </w:tcBorders>
            <w:vAlign w:val="bottom"/>
          </w:tcPr>
          <w:p w:rsidR="00445D0B" w:rsidRPr="005869E7" w:rsidRDefault="00445D0B" w:rsidP="002D62B9">
            <w:pPr>
              <w:pStyle w:val="tabtekst"/>
              <w:spacing w:after="120"/>
              <w:jc w:val="center"/>
            </w:pPr>
            <w:r w:rsidRPr="005869E7">
              <w:t>4,1</w:t>
            </w:r>
          </w:p>
        </w:tc>
        <w:tc>
          <w:tcPr>
            <w:tcW w:w="709" w:type="dxa"/>
            <w:tcBorders>
              <w:top w:val="nil"/>
              <w:bottom w:val="nil"/>
            </w:tcBorders>
            <w:vAlign w:val="bottom"/>
          </w:tcPr>
          <w:p w:rsidR="00445D0B" w:rsidRPr="005869E7" w:rsidRDefault="00445D0B" w:rsidP="002D62B9">
            <w:pPr>
              <w:pStyle w:val="tabtekst"/>
              <w:spacing w:after="120"/>
              <w:jc w:val="center"/>
            </w:pPr>
            <w:r w:rsidRPr="005869E7">
              <w:t>8,9</w:t>
            </w:r>
          </w:p>
        </w:tc>
        <w:tc>
          <w:tcPr>
            <w:tcW w:w="709" w:type="dxa"/>
            <w:tcBorders>
              <w:top w:val="nil"/>
              <w:bottom w:val="nil"/>
            </w:tcBorders>
            <w:vAlign w:val="bottom"/>
          </w:tcPr>
          <w:p w:rsidR="00445D0B" w:rsidRPr="005869E7" w:rsidRDefault="00445D0B" w:rsidP="002D62B9">
            <w:pPr>
              <w:pStyle w:val="tabtekst"/>
              <w:spacing w:after="120"/>
              <w:jc w:val="center"/>
            </w:pPr>
            <w:r w:rsidRPr="005869E7">
              <w:t>3,3</w:t>
            </w:r>
          </w:p>
        </w:tc>
        <w:tc>
          <w:tcPr>
            <w:tcW w:w="709" w:type="dxa"/>
            <w:tcBorders>
              <w:top w:val="nil"/>
              <w:bottom w:val="nil"/>
            </w:tcBorders>
            <w:vAlign w:val="bottom"/>
          </w:tcPr>
          <w:p w:rsidR="00445D0B" w:rsidRPr="005869E7" w:rsidRDefault="00445D0B" w:rsidP="002D62B9">
            <w:pPr>
              <w:pStyle w:val="tabtekst"/>
              <w:spacing w:after="120"/>
              <w:jc w:val="center"/>
            </w:pPr>
            <w:r w:rsidRPr="005869E7">
              <w:t>3,6</w:t>
            </w:r>
          </w:p>
        </w:tc>
        <w:tc>
          <w:tcPr>
            <w:tcW w:w="809" w:type="dxa"/>
            <w:tcBorders>
              <w:top w:val="nil"/>
              <w:bottom w:val="nil"/>
            </w:tcBorders>
            <w:vAlign w:val="bottom"/>
          </w:tcPr>
          <w:p w:rsidR="00445D0B" w:rsidRPr="005869E7" w:rsidRDefault="00445D0B" w:rsidP="002D62B9">
            <w:pPr>
              <w:pStyle w:val="tabtekst"/>
              <w:spacing w:after="120"/>
              <w:jc w:val="center"/>
            </w:pPr>
            <w:r w:rsidRPr="005869E7">
              <w:t>4,3</w:t>
            </w:r>
          </w:p>
        </w:tc>
        <w:tc>
          <w:tcPr>
            <w:tcW w:w="840" w:type="dxa"/>
            <w:tcBorders>
              <w:top w:val="nil"/>
              <w:bottom w:val="nil"/>
            </w:tcBorders>
            <w:vAlign w:val="bottom"/>
          </w:tcPr>
          <w:p w:rsidR="00445D0B" w:rsidRPr="005869E7" w:rsidRDefault="00445D0B" w:rsidP="002D62B9">
            <w:pPr>
              <w:pStyle w:val="tabtekst"/>
              <w:spacing w:after="120"/>
              <w:jc w:val="center"/>
            </w:pPr>
            <w:r w:rsidRPr="005869E7">
              <w:t>4,4</w:t>
            </w:r>
          </w:p>
        </w:tc>
      </w:tr>
      <w:tr w:rsidR="00445D0B" w:rsidRPr="005869E7" w:rsidTr="00C1532A">
        <w:trPr>
          <w:jc w:val="center"/>
        </w:trPr>
        <w:tc>
          <w:tcPr>
            <w:tcW w:w="3552" w:type="dxa"/>
            <w:tcBorders>
              <w:top w:val="nil"/>
              <w:bottom w:val="nil"/>
            </w:tcBorders>
          </w:tcPr>
          <w:p w:rsidR="00445D0B" w:rsidRPr="005869E7" w:rsidRDefault="00445D0B" w:rsidP="002D62B9">
            <w:pPr>
              <w:pStyle w:val="tabtekst"/>
              <w:spacing w:after="120"/>
            </w:pPr>
            <w:r w:rsidRPr="005869E7">
              <w:t>Finanšu un komercpakalpojumi</w:t>
            </w:r>
          </w:p>
        </w:tc>
        <w:tc>
          <w:tcPr>
            <w:tcW w:w="742" w:type="dxa"/>
            <w:tcBorders>
              <w:top w:val="nil"/>
              <w:bottom w:val="nil"/>
            </w:tcBorders>
            <w:vAlign w:val="bottom"/>
          </w:tcPr>
          <w:p w:rsidR="00445D0B" w:rsidRPr="005869E7" w:rsidRDefault="00445D0B" w:rsidP="002D62B9">
            <w:pPr>
              <w:pStyle w:val="tabtekst"/>
              <w:spacing w:after="120"/>
              <w:jc w:val="center"/>
            </w:pPr>
            <w:r w:rsidRPr="005869E7">
              <w:t>-8,0</w:t>
            </w:r>
          </w:p>
        </w:tc>
        <w:tc>
          <w:tcPr>
            <w:tcW w:w="708" w:type="dxa"/>
            <w:tcBorders>
              <w:top w:val="nil"/>
              <w:bottom w:val="nil"/>
            </w:tcBorders>
            <w:vAlign w:val="bottom"/>
          </w:tcPr>
          <w:p w:rsidR="00445D0B" w:rsidRPr="005869E7" w:rsidRDefault="00445D0B" w:rsidP="002D62B9">
            <w:pPr>
              <w:pStyle w:val="tabtekst"/>
              <w:spacing w:after="120"/>
              <w:jc w:val="center"/>
            </w:pPr>
            <w:r w:rsidRPr="005869E7">
              <w:t>-3,4</w:t>
            </w:r>
          </w:p>
        </w:tc>
        <w:tc>
          <w:tcPr>
            <w:tcW w:w="709" w:type="dxa"/>
            <w:tcBorders>
              <w:top w:val="nil"/>
              <w:bottom w:val="nil"/>
            </w:tcBorders>
            <w:vAlign w:val="bottom"/>
          </w:tcPr>
          <w:p w:rsidR="00445D0B" w:rsidRPr="005869E7" w:rsidRDefault="00445D0B" w:rsidP="002D62B9">
            <w:pPr>
              <w:pStyle w:val="tabtekst"/>
              <w:spacing w:after="120"/>
              <w:jc w:val="center"/>
            </w:pPr>
            <w:r w:rsidRPr="005869E7">
              <w:t>-2,1</w:t>
            </w:r>
          </w:p>
        </w:tc>
        <w:tc>
          <w:tcPr>
            <w:tcW w:w="709" w:type="dxa"/>
            <w:tcBorders>
              <w:top w:val="nil"/>
              <w:bottom w:val="nil"/>
            </w:tcBorders>
            <w:vAlign w:val="bottom"/>
          </w:tcPr>
          <w:p w:rsidR="00445D0B" w:rsidRPr="005869E7" w:rsidRDefault="00445D0B" w:rsidP="002D62B9">
            <w:pPr>
              <w:pStyle w:val="tabtekst"/>
              <w:spacing w:after="120"/>
              <w:jc w:val="center"/>
            </w:pPr>
            <w:r w:rsidRPr="005869E7">
              <w:t>-1,7</w:t>
            </w:r>
          </w:p>
        </w:tc>
        <w:tc>
          <w:tcPr>
            <w:tcW w:w="709" w:type="dxa"/>
            <w:tcBorders>
              <w:top w:val="nil"/>
              <w:bottom w:val="nil"/>
            </w:tcBorders>
            <w:vAlign w:val="bottom"/>
          </w:tcPr>
          <w:p w:rsidR="00445D0B" w:rsidRPr="005869E7" w:rsidRDefault="00445D0B" w:rsidP="002D62B9">
            <w:pPr>
              <w:pStyle w:val="tabtekst"/>
              <w:spacing w:after="120"/>
              <w:jc w:val="center"/>
            </w:pPr>
            <w:r w:rsidRPr="005869E7">
              <w:t>3,7</w:t>
            </w:r>
          </w:p>
        </w:tc>
        <w:tc>
          <w:tcPr>
            <w:tcW w:w="809" w:type="dxa"/>
            <w:tcBorders>
              <w:top w:val="nil"/>
              <w:bottom w:val="nil"/>
            </w:tcBorders>
            <w:vAlign w:val="bottom"/>
          </w:tcPr>
          <w:p w:rsidR="00445D0B" w:rsidRPr="005869E7" w:rsidRDefault="00445D0B" w:rsidP="002D62B9">
            <w:pPr>
              <w:pStyle w:val="tabtekst"/>
              <w:spacing w:after="120"/>
              <w:jc w:val="center"/>
            </w:pPr>
            <w:r w:rsidRPr="005869E7">
              <w:t>3,7</w:t>
            </w:r>
          </w:p>
        </w:tc>
        <w:tc>
          <w:tcPr>
            <w:tcW w:w="840" w:type="dxa"/>
            <w:tcBorders>
              <w:top w:val="nil"/>
              <w:bottom w:val="nil"/>
            </w:tcBorders>
            <w:vAlign w:val="bottom"/>
          </w:tcPr>
          <w:p w:rsidR="00445D0B" w:rsidRPr="005869E7" w:rsidRDefault="00445D0B" w:rsidP="002D62B9">
            <w:pPr>
              <w:pStyle w:val="tabtekst"/>
              <w:spacing w:after="120"/>
              <w:jc w:val="center"/>
            </w:pPr>
            <w:r w:rsidRPr="005869E7">
              <w:t>3,9</w:t>
            </w:r>
          </w:p>
        </w:tc>
      </w:tr>
      <w:tr w:rsidR="00445D0B" w:rsidRPr="005869E7" w:rsidTr="00C1532A">
        <w:trPr>
          <w:jc w:val="center"/>
        </w:trPr>
        <w:tc>
          <w:tcPr>
            <w:tcW w:w="3552" w:type="dxa"/>
            <w:tcBorders>
              <w:top w:val="nil"/>
              <w:bottom w:val="nil"/>
            </w:tcBorders>
          </w:tcPr>
          <w:p w:rsidR="00445D0B" w:rsidRPr="005869E7" w:rsidRDefault="00445D0B" w:rsidP="002D62B9">
            <w:pPr>
              <w:pStyle w:val="tabtekst"/>
              <w:spacing w:after="120"/>
            </w:pPr>
            <w:r w:rsidRPr="005869E7">
              <w:t>Sabiedriskie pakalpojumi</w:t>
            </w:r>
          </w:p>
        </w:tc>
        <w:tc>
          <w:tcPr>
            <w:tcW w:w="742" w:type="dxa"/>
            <w:tcBorders>
              <w:top w:val="nil"/>
              <w:bottom w:val="nil"/>
            </w:tcBorders>
            <w:vAlign w:val="bottom"/>
          </w:tcPr>
          <w:p w:rsidR="00445D0B" w:rsidRPr="005869E7" w:rsidRDefault="00445D0B" w:rsidP="002D62B9">
            <w:pPr>
              <w:pStyle w:val="tabtekst"/>
              <w:spacing w:after="120"/>
              <w:jc w:val="center"/>
            </w:pPr>
            <w:r w:rsidRPr="005869E7">
              <w:t>-16,9</w:t>
            </w:r>
          </w:p>
        </w:tc>
        <w:tc>
          <w:tcPr>
            <w:tcW w:w="708" w:type="dxa"/>
            <w:tcBorders>
              <w:top w:val="nil"/>
              <w:bottom w:val="nil"/>
            </w:tcBorders>
            <w:vAlign w:val="bottom"/>
          </w:tcPr>
          <w:p w:rsidR="00445D0B" w:rsidRPr="005869E7" w:rsidRDefault="00445D0B" w:rsidP="002D62B9">
            <w:pPr>
              <w:pStyle w:val="tabtekst"/>
              <w:spacing w:after="120"/>
              <w:jc w:val="center"/>
            </w:pPr>
            <w:r w:rsidRPr="005869E7">
              <w:t>-7,0</w:t>
            </w:r>
          </w:p>
        </w:tc>
        <w:tc>
          <w:tcPr>
            <w:tcW w:w="709" w:type="dxa"/>
            <w:tcBorders>
              <w:top w:val="nil"/>
              <w:bottom w:val="nil"/>
            </w:tcBorders>
            <w:vAlign w:val="bottom"/>
          </w:tcPr>
          <w:p w:rsidR="00445D0B" w:rsidRPr="005869E7" w:rsidRDefault="00445D0B" w:rsidP="002D62B9">
            <w:pPr>
              <w:pStyle w:val="tabtekst"/>
              <w:spacing w:after="120"/>
              <w:jc w:val="center"/>
            </w:pPr>
            <w:r w:rsidRPr="005869E7">
              <w:t>2,2</w:t>
            </w:r>
          </w:p>
        </w:tc>
        <w:tc>
          <w:tcPr>
            <w:tcW w:w="709" w:type="dxa"/>
            <w:tcBorders>
              <w:top w:val="nil"/>
              <w:bottom w:val="nil"/>
            </w:tcBorders>
            <w:vAlign w:val="bottom"/>
          </w:tcPr>
          <w:p w:rsidR="00445D0B" w:rsidRPr="005869E7" w:rsidRDefault="00445D0B" w:rsidP="002D62B9">
            <w:pPr>
              <w:pStyle w:val="tabtekst"/>
              <w:spacing w:after="120"/>
              <w:jc w:val="center"/>
            </w:pPr>
            <w:r w:rsidRPr="005869E7">
              <w:t>0,5</w:t>
            </w:r>
          </w:p>
        </w:tc>
        <w:tc>
          <w:tcPr>
            <w:tcW w:w="709" w:type="dxa"/>
            <w:tcBorders>
              <w:top w:val="nil"/>
              <w:bottom w:val="nil"/>
            </w:tcBorders>
            <w:vAlign w:val="bottom"/>
          </w:tcPr>
          <w:p w:rsidR="00445D0B" w:rsidRPr="005869E7" w:rsidRDefault="00445D0B" w:rsidP="002D62B9">
            <w:pPr>
              <w:pStyle w:val="tabtekst"/>
              <w:spacing w:after="120"/>
              <w:jc w:val="center"/>
            </w:pPr>
            <w:r w:rsidRPr="005869E7">
              <w:t>1,8</w:t>
            </w:r>
          </w:p>
        </w:tc>
        <w:tc>
          <w:tcPr>
            <w:tcW w:w="809" w:type="dxa"/>
            <w:tcBorders>
              <w:top w:val="nil"/>
              <w:bottom w:val="nil"/>
            </w:tcBorders>
            <w:vAlign w:val="bottom"/>
          </w:tcPr>
          <w:p w:rsidR="00445D0B" w:rsidRPr="005869E7" w:rsidRDefault="00445D0B" w:rsidP="002D62B9">
            <w:pPr>
              <w:pStyle w:val="tabtekst"/>
              <w:spacing w:after="120"/>
              <w:jc w:val="center"/>
            </w:pPr>
            <w:r w:rsidRPr="005869E7">
              <w:t>2,1</w:t>
            </w:r>
          </w:p>
        </w:tc>
        <w:tc>
          <w:tcPr>
            <w:tcW w:w="840" w:type="dxa"/>
            <w:tcBorders>
              <w:top w:val="nil"/>
              <w:bottom w:val="nil"/>
            </w:tcBorders>
            <w:vAlign w:val="bottom"/>
          </w:tcPr>
          <w:p w:rsidR="00445D0B" w:rsidRPr="005869E7" w:rsidRDefault="00445D0B" w:rsidP="002D62B9">
            <w:pPr>
              <w:pStyle w:val="tabtekst"/>
              <w:spacing w:after="120"/>
              <w:jc w:val="center"/>
            </w:pPr>
            <w:r w:rsidRPr="005869E7">
              <w:t>2,1</w:t>
            </w:r>
          </w:p>
        </w:tc>
      </w:tr>
      <w:tr w:rsidR="00445D0B" w:rsidRPr="005869E7" w:rsidTr="00C1532A">
        <w:trPr>
          <w:trHeight w:val="66"/>
          <w:jc w:val="center"/>
        </w:trPr>
        <w:tc>
          <w:tcPr>
            <w:tcW w:w="3552" w:type="dxa"/>
            <w:tcBorders>
              <w:top w:val="nil"/>
            </w:tcBorders>
          </w:tcPr>
          <w:p w:rsidR="00445D0B" w:rsidRPr="005869E7" w:rsidRDefault="00445D0B" w:rsidP="002D62B9">
            <w:pPr>
              <w:pStyle w:val="tabtekst"/>
              <w:spacing w:after="120"/>
            </w:pPr>
            <w:r w:rsidRPr="005869E7">
              <w:t>Citi pakalpojumi</w:t>
            </w:r>
          </w:p>
        </w:tc>
        <w:tc>
          <w:tcPr>
            <w:tcW w:w="742" w:type="dxa"/>
            <w:tcBorders>
              <w:top w:val="nil"/>
            </w:tcBorders>
            <w:vAlign w:val="bottom"/>
          </w:tcPr>
          <w:p w:rsidR="00445D0B" w:rsidRPr="005869E7" w:rsidRDefault="00445D0B" w:rsidP="002D62B9">
            <w:pPr>
              <w:pStyle w:val="tabtekst"/>
              <w:spacing w:after="120"/>
              <w:jc w:val="center"/>
            </w:pPr>
            <w:r w:rsidRPr="005869E7">
              <w:t>-20,7</w:t>
            </w:r>
          </w:p>
        </w:tc>
        <w:tc>
          <w:tcPr>
            <w:tcW w:w="708" w:type="dxa"/>
            <w:tcBorders>
              <w:top w:val="nil"/>
            </w:tcBorders>
            <w:vAlign w:val="bottom"/>
          </w:tcPr>
          <w:p w:rsidR="00445D0B" w:rsidRPr="005869E7" w:rsidRDefault="00445D0B" w:rsidP="002D62B9">
            <w:pPr>
              <w:pStyle w:val="tabtekst"/>
              <w:spacing w:after="120"/>
              <w:jc w:val="center"/>
            </w:pPr>
            <w:r w:rsidRPr="005869E7">
              <w:t>-7,5</w:t>
            </w:r>
          </w:p>
        </w:tc>
        <w:tc>
          <w:tcPr>
            <w:tcW w:w="709" w:type="dxa"/>
            <w:tcBorders>
              <w:top w:val="nil"/>
            </w:tcBorders>
            <w:vAlign w:val="bottom"/>
          </w:tcPr>
          <w:p w:rsidR="00445D0B" w:rsidRPr="005869E7" w:rsidRDefault="00445D0B" w:rsidP="002D62B9">
            <w:pPr>
              <w:pStyle w:val="tabtekst"/>
              <w:spacing w:after="120"/>
              <w:jc w:val="center"/>
            </w:pPr>
            <w:r w:rsidRPr="005869E7">
              <w:t>6,8</w:t>
            </w:r>
          </w:p>
        </w:tc>
        <w:tc>
          <w:tcPr>
            <w:tcW w:w="709" w:type="dxa"/>
            <w:tcBorders>
              <w:top w:val="nil"/>
            </w:tcBorders>
            <w:vAlign w:val="bottom"/>
          </w:tcPr>
          <w:p w:rsidR="00445D0B" w:rsidRPr="005869E7" w:rsidRDefault="00445D0B" w:rsidP="002D62B9">
            <w:pPr>
              <w:pStyle w:val="tabtekst"/>
              <w:spacing w:after="120"/>
              <w:jc w:val="center"/>
            </w:pPr>
            <w:r w:rsidRPr="005869E7">
              <w:t>2,1</w:t>
            </w:r>
          </w:p>
        </w:tc>
        <w:tc>
          <w:tcPr>
            <w:tcW w:w="709" w:type="dxa"/>
            <w:tcBorders>
              <w:top w:val="nil"/>
            </w:tcBorders>
            <w:vAlign w:val="bottom"/>
          </w:tcPr>
          <w:p w:rsidR="00445D0B" w:rsidRPr="005869E7" w:rsidRDefault="00445D0B" w:rsidP="002D62B9">
            <w:pPr>
              <w:pStyle w:val="tabtekst"/>
              <w:spacing w:after="120"/>
              <w:jc w:val="center"/>
            </w:pPr>
            <w:r w:rsidRPr="005869E7">
              <w:t>5,1</w:t>
            </w:r>
          </w:p>
        </w:tc>
        <w:tc>
          <w:tcPr>
            <w:tcW w:w="809" w:type="dxa"/>
            <w:tcBorders>
              <w:top w:val="nil"/>
            </w:tcBorders>
            <w:vAlign w:val="bottom"/>
          </w:tcPr>
          <w:p w:rsidR="00445D0B" w:rsidRPr="005869E7" w:rsidRDefault="00445D0B" w:rsidP="002D62B9">
            <w:pPr>
              <w:pStyle w:val="tabtekst"/>
              <w:spacing w:after="120"/>
              <w:jc w:val="center"/>
            </w:pPr>
            <w:r w:rsidRPr="005869E7">
              <w:t>5,6</w:t>
            </w:r>
          </w:p>
        </w:tc>
        <w:tc>
          <w:tcPr>
            <w:tcW w:w="840" w:type="dxa"/>
            <w:tcBorders>
              <w:top w:val="nil"/>
            </w:tcBorders>
            <w:vAlign w:val="bottom"/>
          </w:tcPr>
          <w:p w:rsidR="00445D0B" w:rsidRPr="005869E7" w:rsidRDefault="00445D0B" w:rsidP="002D62B9">
            <w:pPr>
              <w:pStyle w:val="tabtekst"/>
              <w:spacing w:after="120"/>
              <w:jc w:val="center"/>
            </w:pPr>
            <w:r w:rsidRPr="005869E7">
              <w:t>6,1</w:t>
            </w:r>
          </w:p>
        </w:tc>
      </w:tr>
    </w:tbl>
    <w:p w:rsidR="00445D0B" w:rsidRPr="005869E7" w:rsidRDefault="00445D0B" w:rsidP="002D62B9">
      <w:pPr>
        <w:rPr>
          <w:sz w:val="10"/>
        </w:rPr>
      </w:pPr>
    </w:p>
    <w:p w:rsidR="00445D0B" w:rsidRPr="005869E7" w:rsidRDefault="00445D0B" w:rsidP="002D62B9">
      <w:r w:rsidRPr="005869E7">
        <w:t>Būvniecības, finanšu un komercpakalpojumu, kā arī citu pakalpojumu nozares lielākoties vērstas uz iekšējā pieprasījuma apkalpošanu, kas vidējā termiņā saglabāsies zemā līmenī. Pakalpojumu nozaru izaugsmi ierobežos augstais privātais parāds, kā rezultātā šo nozaru pievienotās vērtības pieaugums nepārsniegs IKP pieaugumu, savukārt būvniecības attīstību varētu veicināt investīciju pieaugums, kas vidējā termiņā varētu ļaut šai nozarei attīstīties straujāk, nekā tautsaimniecībai kopumā.</w:t>
      </w:r>
    </w:p>
    <w:p w:rsidR="00350C95" w:rsidRDefault="00350C95" w:rsidP="002D62B9">
      <w:pPr>
        <w:pStyle w:val="H4"/>
        <w:rPr>
          <w:rFonts w:ascii="Times New Roman" w:hAnsi="Times New Roman"/>
          <w:szCs w:val="28"/>
        </w:rPr>
      </w:pPr>
    </w:p>
    <w:p w:rsidR="00BD74BB" w:rsidRPr="009856BE" w:rsidRDefault="00BD74BB" w:rsidP="002D62B9">
      <w:pPr>
        <w:pStyle w:val="H4"/>
        <w:rPr>
          <w:rFonts w:ascii="Times New Roman" w:hAnsi="Times New Roman"/>
          <w:sz w:val="24"/>
          <w:szCs w:val="24"/>
        </w:rPr>
      </w:pPr>
      <w:r w:rsidRPr="009856BE">
        <w:rPr>
          <w:rFonts w:ascii="Times New Roman" w:hAnsi="Times New Roman"/>
          <w:sz w:val="24"/>
          <w:szCs w:val="24"/>
        </w:rPr>
        <w:t>Inflācija</w:t>
      </w:r>
    </w:p>
    <w:p w:rsidR="00445D0B" w:rsidRPr="005869E7" w:rsidRDefault="00445D0B" w:rsidP="002D62B9">
      <w:pPr>
        <w:ind w:firstLine="720"/>
        <w:rPr>
          <w:szCs w:val="24"/>
        </w:rPr>
      </w:pPr>
      <w:r w:rsidRPr="005869E7">
        <w:rPr>
          <w:szCs w:val="24"/>
        </w:rPr>
        <w:t>Inflāciju 2012.</w:t>
      </w:r>
      <w:r w:rsidR="00D4023B">
        <w:rPr>
          <w:szCs w:val="24"/>
        </w:rPr>
        <w:t> </w:t>
      </w:r>
      <w:r w:rsidRPr="005869E7">
        <w:rPr>
          <w:szCs w:val="24"/>
        </w:rPr>
        <w:t xml:space="preserve">gadā pārsvarā noteiks situācija ārējā vidē, savukārt iekšējā tirgus stāvoklis Latvijā </w:t>
      </w:r>
      <w:r w:rsidR="00096D57">
        <w:rPr>
          <w:szCs w:val="24"/>
        </w:rPr>
        <w:t xml:space="preserve">kopumā </w:t>
      </w:r>
      <w:r w:rsidRPr="005869E7">
        <w:rPr>
          <w:szCs w:val="24"/>
        </w:rPr>
        <w:t xml:space="preserve">nerada bažas par pieprasījuma puses radītu cenu kāpumu. </w:t>
      </w:r>
    </w:p>
    <w:p w:rsidR="00445D0B" w:rsidRPr="005869E7" w:rsidRDefault="00445D0B" w:rsidP="002D62B9">
      <w:pPr>
        <w:ind w:firstLine="720"/>
        <w:rPr>
          <w:szCs w:val="24"/>
        </w:rPr>
      </w:pPr>
      <w:r w:rsidRPr="005869E7">
        <w:rPr>
          <w:szCs w:val="24"/>
        </w:rPr>
        <w:t>Nemainīgā nodokļu politika nodrošinās spēcīgu inflāciju mazinošu efektu 2012.</w:t>
      </w:r>
      <w:r w:rsidR="00D4023B">
        <w:rPr>
          <w:szCs w:val="24"/>
        </w:rPr>
        <w:t> </w:t>
      </w:r>
      <w:r w:rsidRPr="005869E7">
        <w:rPr>
          <w:szCs w:val="24"/>
        </w:rPr>
        <w:t>gada pirmajā pusē, jo būtisku daļu no inflācijas pēdējā gada laikā noteica netiešo nodokļu izmaiņas, kas tika ieviestas 2011.</w:t>
      </w:r>
      <w:r w:rsidR="00D4023B">
        <w:rPr>
          <w:szCs w:val="24"/>
        </w:rPr>
        <w:t> </w:t>
      </w:r>
      <w:r w:rsidRPr="005869E7">
        <w:rPr>
          <w:szCs w:val="24"/>
        </w:rPr>
        <w:t>gada pirmajā pusē. Nodokļu ietekme uz inflāciju pakāpeniski izzudīs līdz 2012.</w:t>
      </w:r>
      <w:r w:rsidR="00D4023B">
        <w:rPr>
          <w:szCs w:val="24"/>
        </w:rPr>
        <w:t> </w:t>
      </w:r>
      <w:r w:rsidRPr="005869E7">
        <w:rPr>
          <w:szCs w:val="24"/>
        </w:rPr>
        <w:t>gada vidum. Lēnais privātā pieprasījuma pieaugums un salīdzinoši augstais bezdarba līmenis iekšējā tirgū neradīs papildus inflāciju kāpinošu spiedienu.</w:t>
      </w:r>
    </w:p>
    <w:p w:rsidR="00445D0B" w:rsidRPr="005869E7" w:rsidRDefault="00445D0B" w:rsidP="002D62B9">
      <w:pPr>
        <w:ind w:firstLine="720"/>
        <w:rPr>
          <w:szCs w:val="24"/>
        </w:rPr>
      </w:pPr>
      <w:r w:rsidRPr="005869E7">
        <w:rPr>
          <w:szCs w:val="24"/>
        </w:rPr>
        <w:t>Lielākā nenoteiktība un riski saistībā ar cenu kāpumu 2012.</w:t>
      </w:r>
      <w:r w:rsidR="00D4023B">
        <w:rPr>
          <w:szCs w:val="24"/>
        </w:rPr>
        <w:t> </w:t>
      </w:r>
      <w:r w:rsidRPr="005869E7">
        <w:rPr>
          <w:szCs w:val="24"/>
        </w:rPr>
        <w:t xml:space="preserve">gadā ir vērojami ārējā vidē. Grūti prognozējamas ir naftas cenas, kurām kā spekulatīvu investīciju objektam ir gaidāmas būtiskas svārstības, reaģējot gan uz notikumiem Tuvajos Austrumos, gan uz Eiropas Savienības valstu izaugsmes atbilstību prognozēm. Būtiska loma ir arī EUR/USD kursu savstarpējām svārstībām </w:t>
      </w:r>
      <w:r w:rsidR="0035776A">
        <w:rPr>
          <w:szCs w:val="24"/>
        </w:rPr>
        <w:t>–</w:t>
      </w:r>
      <w:r w:rsidRPr="005869E7">
        <w:rPr>
          <w:szCs w:val="24"/>
        </w:rPr>
        <w:t xml:space="preserve"> vāja EUR kursa ietekmē cenas uz energoresursiem var pieaugt vēl vairāk.</w:t>
      </w:r>
    </w:p>
    <w:p w:rsidR="00445D0B" w:rsidRPr="005869E7" w:rsidRDefault="00445D0B" w:rsidP="002D62B9">
      <w:pPr>
        <w:ind w:firstLine="720"/>
        <w:rPr>
          <w:szCs w:val="24"/>
        </w:rPr>
      </w:pPr>
      <w:r w:rsidRPr="005869E7">
        <w:rPr>
          <w:szCs w:val="24"/>
        </w:rPr>
        <w:t xml:space="preserve">Energoresursu cenu kāpums var palielināt patērētāju izmaksas tieši saistītajām precēm un pakalpojumiem (gāze, degviela, siltumenerģija u.t.t.), tomēr šis inflāciju veicinošais faktors nerada būtiskus riskus tiešā veidā ietekmēt Latvijas izredzes izpildīt Māstrihtas kritēriju. Relatīvi pret citām </w:t>
      </w:r>
      <w:r w:rsidR="001D4739">
        <w:rPr>
          <w:szCs w:val="24"/>
        </w:rPr>
        <w:t>ES</w:t>
      </w:r>
      <w:r w:rsidRPr="005869E7">
        <w:rPr>
          <w:szCs w:val="24"/>
        </w:rPr>
        <w:t xml:space="preserve"> valstīm (kas noteiks pašu kritēriju), cenas neaugs straujāk.  Latvijā gala patēriņa cenu veidošanās mehānisms precēm, kuras tiešā veidā ietekmē naftas cenu indeksi, būtiski neatšķiras no vairuma </w:t>
      </w:r>
      <w:r w:rsidR="001D4739">
        <w:rPr>
          <w:szCs w:val="24"/>
        </w:rPr>
        <w:t>ES</w:t>
      </w:r>
      <w:r w:rsidRPr="005869E7">
        <w:rPr>
          <w:szCs w:val="24"/>
        </w:rPr>
        <w:t xml:space="preserve"> valstu, arī īpatsvari patēriņa grozā ir līdzīgi. Līdz ar to arī kopējā ietekme uz inflāciju būs aptuveni tāda pati.</w:t>
      </w:r>
    </w:p>
    <w:p w:rsidR="00634888" w:rsidRPr="005869E7" w:rsidRDefault="00634888" w:rsidP="002D62B9">
      <w:pPr>
        <w:ind w:firstLine="720"/>
        <w:rPr>
          <w:szCs w:val="24"/>
        </w:rPr>
      </w:pPr>
      <w:r>
        <w:t>Atšķirīgās iezīmes inflācijas dinamikā</w:t>
      </w:r>
      <w:r w:rsidRPr="00B305CE">
        <w:t xml:space="preserve"> ir saistīt</w:t>
      </w:r>
      <w:r>
        <w:t>a</w:t>
      </w:r>
      <w:r w:rsidRPr="00B305CE">
        <w:t>s ar patēriņa groza struktūru un atsevišķu preču vai pakalpojumu jūtīgumu pret energoresursu cenu izmaiņām, jeb</w:t>
      </w:r>
      <w:r w:rsidRPr="00B305CE">
        <w:rPr>
          <w:szCs w:val="24"/>
        </w:rPr>
        <w:t xml:space="preserve"> ražotāju un tirgotāju spēja absorbēt energoresursu cenu kāpumu, nepaaugstinot preču vai pakalpojumu cenas, lai segtu papildus izmaksas. </w:t>
      </w:r>
      <w:r w:rsidRPr="00B305CE">
        <w:t>Latvijā ir viens no lielākajiem pārtikas preču īpatsvariem patēriņa grozā Eiropā, un degvielas cenas ir sasniegušas savu maksimumu tieši sējas periodā un tā kā pārtikas preces principā ir jūtīgas pret naftas cenu izmaiņām, ir iespējams, ka efekts uz inflāciju Latvijā būs spēcīgāks, nekā vidēji Eiropā.</w:t>
      </w:r>
    </w:p>
    <w:p w:rsidR="00445D0B" w:rsidRPr="005869E7" w:rsidRDefault="00BD6F38" w:rsidP="002D62B9">
      <w:pPr>
        <w:ind w:firstLine="0"/>
        <w:rPr>
          <w:szCs w:val="24"/>
        </w:rPr>
      </w:pPr>
      <w:r>
        <w:rPr>
          <w:noProof/>
          <w:lang w:eastAsia="lv-LV"/>
        </w:rPr>
        <w:lastRenderedPageBreak/>
        <w:pict>
          <v:shape id="Picture 4" o:spid="_x0000_i1028" type="#_x0000_t75" style="width:453.9pt;height:226.65pt;visibility:visible">
            <v:imagedata r:id="rId19" o:title=""/>
          </v:shape>
        </w:pict>
      </w:r>
    </w:p>
    <w:p w:rsidR="00445D0B" w:rsidRPr="005869E7" w:rsidRDefault="00445D0B" w:rsidP="002D62B9">
      <w:pPr>
        <w:pStyle w:val="Zpar"/>
        <w:spacing w:after="120"/>
        <w:ind w:left="0" w:right="-57" w:firstLine="0"/>
        <w:jc w:val="center"/>
        <w:rPr>
          <w:rFonts w:ascii="Times New Roman" w:hAnsi="Times New Roman"/>
          <w:i w:val="0"/>
          <w:sz w:val="24"/>
        </w:rPr>
      </w:pPr>
      <w:r w:rsidRPr="005869E7">
        <w:rPr>
          <w:rFonts w:ascii="Times New Roman" w:hAnsi="Times New Roman"/>
          <w:i w:val="0"/>
          <w:noProof/>
          <w:sz w:val="24"/>
        </w:rPr>
        <w:t>2.4. att.</w:t>
      </w:r>
      <w:r w:rsidRPr="005869E7">
        <w:rPr>
          <w:rFonts w:ascii="Times New Roman" w:hAnsi="Times New Roman"/>
          <w:i w:val="0"/>
          <w:sz w:val="24"/>
        </w:rPr>
        <w:t xml:space="preserve"> Patēriņa cenu izmaiņas 200</w:t>
      </w:r>
      <w:r>
        <w:rPr>
          <w:rFonts w:ascii="Times New Roman" w:hAnsi="Times New Roman"/>
          <w:i w:val="0"/>
          <w:sz w:val="24"/>
        </w:rPr>
        <w:t>9.</w:t>
      </w:r>
      <w:r w:rsidR="0035776A">
        <w:rPr>
          <w:rFonts w:ascii="Times New Roman" w:hAnsi="Times New Roman"/>
          <w:i w:val="0"/>
          <w:sz w:val="24"/>
        </w:rPr>
        <w:t>–</w:t>
      </w:r>
      <w:r>
        <w:rPr>
          <w:rFonts w:ascii="Times New Roman" w:hAnsi="Times New Roman"/>
          <w:i w:val="0"/>
          <w:sz w:val="24"/>
        </w:rPr>
        <w:t>2013</w:t>
      </w:r>
      <w:r w:rsidRPr="005869E7">
        <w:rPr>
          <w:rFonts w:ascii="Times New Roman" w:hAnsi="Times New Roman"/>
          <w:i w:val="0"/>
          <w:sz w:val="24"/>
        </w:rPr>
        <w:t>. gadā, %</w:t>
      </w:r>
    </w:p>
    <w:p w:rsidR="00445D0B" w:rsidRPr="005869E7" w:rsidRDefault="00445D0B" w:rsidP="002D62B9">
      <w:pPr>
        <w:ind w:firstLine="720"/>
        <w:rPr>
          <w:szCs w:val="24"/>
        </w:rPr>
      </w:pPr>
      <w:r w:rsidRPr="005869E7">
        <w:rPr>
          <w:szCs w:val="24"/>
        </w:rPr>
        <w:t>Ņemot vērā aktuālo situāciju un iespējamos riskus, inflācijas prognoze 2012.</w:t>
      </w:r>
      <w:r w:rsidR="00D4023B">
        <w:rPr>
          <w:szCs w:val="24"/>
        </w:rPr>
        <w:t> </w:t>
      </w:r>
      <w:r w:rsidRPr="005869E7">
        <w:rPr>
          <w:szCs w:val="24"/>
        </w:rPr>
        <w:t>gadam tika paaugstināta par 0,2 procentpunktiem (</w:t>
      </w:r>
      <w:r>
        <w:rPr>
          <w:szCs w:val="24"/>
        </w:rPr>
        <w:t xml:space="preserve">salīdzinot ar </w:t>
      </w:r>
      <w:r w:rsidRPr="005869E7">
        <w:rPr>
          <w:szCs w:val="24"/>
        </w:rPr>
        <w:t>2011.</w:t>
      </w:r>
      <w:r w:rsidR="00D4023B">
        <w:rPr>
          <w:szCs w:val="24"/>
        </w:rPr>
        <w:t> </w:t>
      </w:r>
      <w:r w:rsidRPr="005869E7">
        <w:rPr>
          <w:szCs w:val="24"/>
        </w:rPr>
        <w:t>gada ruden</w:t>
      </w:r>
      <w:r>
        <w:rPr>
          <w:szCs w:val="24"/>
        </w:rPr>
        <w:t>ī</w:t>
      </w:r>
      <w:r w:rsidRPr="005869E7">
        <w:rPr>
          <w:szCs w:val="24"/>
        </w:rPr>
        <w:t xml:space="preserve"> prognoz</w:t>
      </w:r>
      <w:r>
        <w:rPr>
          <w:szCs w:val="24"/>
        </w:rPr>
        <w:t>ēto</w:t>
      </w:r>
      <w:r w:rsidRPr="005869E7">
        <w:rPr>
          <w:szCs w:val="24"/>
        </w:rPr>
        <w:t>). Prognozētais patēriņa cenu kāpums 2012.</w:t>
      </w:r>
      <w:r w:rsidR="00D4023B">
        <w:rPr>
          <w:szCs w:val="24"/>
        </w:rPr>
        <w:t> </w:t>
      </w:r>
      <w:r w:rsidRPr="005869E7">
        <w:rPr>
          <w:szCs w:val="24"/>
        </w:rPr>
        <w:t>gadā, salīdzinot ar iepriekšējo gadu ir 2,6</w:t>
      </w:r>
      <w:r w:rsidR="00D4023B">
        <w:rPr>
          <w:szCs w:val="24"/>
        </w:rPr>
        <w:t> </w:t>
      </w:r>
      <w:r w:rsidRPr="005869E7">
        <w:rPr>
          <w:szCs w:val="24"/>
        </w:rPr>
        <w:t xml:space="preserve">%. </w:t>
      </w:r>
    </w:p>
    <w:p w:rsidR="00BD74BB" w:rsidRPr="005869E7" w:rsidRDefault="00BD74BB" w:rsidP="002D62B9">
      <w:pPr>
        <w:ind w:firstLine="0"/>
      </w:pPr>
    </w:p>
    <w:p w:rsidR="00BD74BB" w:rsidRPr="009856BE" w:rsidRDefault="00BD74BB" w:rsidP="002D62B9">
      <w:pPr>
        <w:pStyle w:val="H4"/>
        <w:rPr>
          <w:rFonts w:ascii="Times New Roman" w:hAnsi="Times New Roman"/>
          <w:sz w:val="24"/>
          <w:szCs w:val="24"/>
        </w:rPr>
      </w:pPr>
      <w:bookmarkStart w:id="15" w:name="_Toc290024496"/>
      <w:r w:rsidRPr="009856BE">
        <w:rPr>
          <w:rFonts w:ascii="Times New Roman" w:hAnsi="Times New Roman"/>
          <w:sz w:val="24"/>
          <w:szCs w:val="24"/>
        </w:rPr>
        <w:t>Darba tirgus</w:t>
      </w:r>
    </w:p>
    <w:p w:rsidR="00445D0B" w:rsidRPr="005869E7" w:rsidRDefault="00445D0B" w:rsidP="002D62B9">
      <w:r w:rsidRPr="005869E7">
        <w:t>Līdz ar kopējā Latvijas iedzīvotāju skaita pakāpenisku samazināšanos, ko nosaka negatīvais dabiskais pieaugums un pieaugošā emigrācija, valstī turpina samazināties iedzīvotāju skaits darbspējas vecumā un šīs samazinājums ir vēl nedaudz straujāks par kopējā iedzīvotāju skaita kritumu. 2012. gada sākumā, pēc statistikas datiem, kuros vēl nav ietverti 2011. gada tautas skaitīšanas rezultāti, Latvijā bija 2,21 milj. iedzīvotāju un pēdējā gada laikā iedzīvotāju skaits ir samazinājies par 1,0</w:t>
      </w:r>
      <w:r w:rsidR="00D82C46">
        <w:t> </w:t>
      </w:r>
      <w:r w:rsidRPr="005869E7">
        <w:t>%, salīdzinot ar 0,6</w:t>
      </w:r>
      <w:r w:rsidR="00D82C46">
        <w:t> </w:t>
      </w:r>
      <w:r w:rsidRPr="005869E7">
        <w:t>% samazinājumu vidēji pēdējos piecos gados. Pēdējos gados iedzīvotāju skaita samazināšanās kļūst straujāka, ko līdzās negatīvajam dabiskajam pieaugumam arvien vairāk ietekmē pieaugošā emigrācija.</w:t>
      </w:r>
      <w:r>
        <w:t xml:space="preserve"> Pēc provizoriskajiem tautas skaitīšanas rezultātiem iedzīvotāju skaits Latvijā 2011.gadā 1.martā bija 2,07 milj. iedzīvotāju, taču oficiālie tautas skaitīšanas dati, t.sk. </w:t>
      </w:r>
      <w:r w:rsidRPr="000438E3">
        <w:rPr>
          <w:szCs w:val="18"/>
        </w:rPr>
        <w:t>kopsavilkuma dati par iedzīvotāju skaitu un nodarbinātību</w:t>
      </w:r>
      <w:r>
        <w:rPr>
          <w:szCs w:val="18"/>
        </w:rPr>
        <w:t>,</w:t>
      </w:r>
      <w:r w:rsidRPr="000438E3">
        <w:rPr>
          <w:szCs w:val="18"/>
        </w:rPr>
        <w:t xml:space="preserve"> </w:t>
      </w:r>
      <w:r>
        <w:rPr>
          <w:szCs w:val="18"/>
        </w:rPr>
        <w:t>vēl nav publicēti.</w:t>
      </w:r>
      <w:r w:rsidR="00B47FC3">
        <w:rPr>
          <w:szCs w:val="18"/>
        </w:rPr>
        <w:t xml:space="preserve"> </w:t>
      </w:r>
      <w:r w:rsidRPr="005869E7">
        <w:t>Situāciju darba tirgū šobrīd nosaka Latvijas ekonomikas iziešana no krīzes un pēdējā gada laikā vērojamā spēcīgā ekonomiskās izaugsmes atjaunošanās. Līdz šim augstākie nodarbinātības rādītāji Latvijā bija sasniegti 2007. gada beigās, taču pēc tam ekonomiskās krīzes ietekmē darba vietu skaits un nodarbināto iedzīvotāju skaits strauji saruka, darba tirgum savu zemāko punktu sasniedzot 2010. gada pirmajā ceturksnī. No 2010. gada pavasara situācija darba tirgū pakāpeniski uzlabojas un reģistrētā bezdarba līmenis pēdējo divu gadu laikā ir samazinājies gandrīz par sešiem procentpunktiem. 2011. gada beigās Nodarbinātības valsts aģentūrā kā bezdarbnieki bija reģistrējušies 11,5</w:t>
      </w:r>
      <w:r w:rsidR="00D82C46">
        <w:t> </w:t>
      </w:r>
      <w:r w:rsidRPr="005869E7">
        <w:t>% no ekonomiski aktīvajiem iedzīvotājiem, kamēr 2010.</w:t>
      </w:r>
      <w:r w:rsidR="00D82C46">
        <w:t> </w:t>
      </w:r>
      <w:r w:rsidRPr="005869E7">
        <w:t>martā reģistrētā bezdarba līmenis bija sasniedzis 17,3</w:t>
      </w:r>
      <w:r w:rsidR="00D82C46">
        <w:t> </w:t>
      </w:r>
      <w:r w:rsidRPr="005869E7">
        <w:t>%.</w:t>
      </w:r>
    </w:p>
    <w:p w:rsidR="00445D0B" w:rsidRPr="005869E7" w:rsidRDefault="00445D0B" w:rsidP="002D62B9">
      <w:r w:rsidRPr="005869E7">
        <w:t>Līdzīgu situāciju parāda Centrālās statistikas pārvaldes</w:t>
      </w:r>
      <w:r w:rsidR="00A0175C">
        <w:t xml:space="preserve"> (turpmāk – CSP)</w:t>
      </w:r>
      <w:r w:rsidRPr="005869E7">
        <w:t xml:space="preserve"> darbaspēka apsekojuma rezultāti, atbilstoši kuriem darba meklētāju īpatsvars ir samazinājies no 20,5 procentiem 2010. gada pirmajā ceturksnī līdz 14,3 procentiem 2011. gada ceturtajā ceturksnī. Bezdarba līmeņa samazināšanos </w:t>
      </w:r>
      <w:r>
        <w:t xml:space="preserve">visvairāk </w:t>
      </w:r>
      <w:r w:rsidRPr="005869E7">
        <w:t>nosaka ekonomiskās aktivitātes palielināšanās un jaunu darba vietu radīšana, tomēr to ietekmējusi arī ekonomiski aktīvo iedzīvotāju skaita samazināšanās, darbspējas vecuma cilvēkiem izbraucot no valsts vai aizejot no darba tirgus.</w:t>
      </w:r>
    </w:p>
    <w:p w:rsidR="00445D0B" w:rsidRPr="005869E7" w:rsidRDefault="00445D0B" w:rsidP="002D62B9">
      <w:r w:rsidRPr="005869E7">
        <w:lastRenderedPageBreak/>
        <w:t xml:space="preserve">Vidējā termiņā situāciju darba tirgū turpinās pozitīvi ietekmēt ekonomikas izaugsme </w:t>
      </w:r>
      <w:r w:rsidR="0035776A">
        <w:t>–</w:t>
      </w:r>
      <w:r w:rsidRPr="005869E7">
        <w:t xml:space="preserve"> nodarbināto iedzīvotāju skaits turpinās palielināties un darba meklētāju īpatsvars saruks. Tomēr šīs izmaiņas nebūs straujas un 2012. gadā nodarbinātības pieaugumu palēninās eirozonas finanšu krīzes noteiktie zemākie Latvijas ekonomikas izaugsmes tempi. Arī turpmākajos gados nodarbināto iedzīvotāju skaita pieaugums būs mērens un strādājošo skaits vidējā termiņā neatgriezīsies pirmskrīzes laikā sasniegtajā līmenī.</w:t>
      </w:r>
    </w:p>
    <w:p w:rsidR="00445D0B" w:rsidRPr="005869E7" w:rsidRDefault="00BD6F38" w:rsidP="002D62B9">
      <w:pPr>
        <w:ind w:firstLine="0"/>
        <w:jc w:val="center"/>
      </w:pPr>
      <w:r>
        <w:rPr>
          <w:noProof/>
          <w:lang w:eastAsia="lv-LV"/>
        </w:rPr>
        <w:pict>
          <v:shape id="Picture 3" o:spid="_x0000_i1029" type="#_x0000_t75" style="width:409.45pt;height:240.4pt;visibility:visible">
            <v:imagedata r:id="rId20" o:title=""/>
          </v:shape>
        </w:pict>
      </w:r>
    </w:p>
    <w:p w:rsidR="00445D0B" w:rsidRPr="005869E7" w:rsidRDefault="00445D0B" w:rsidP="002D62B9">
      <w:pPr>
        <w:pStyle w:val="Zpar"/>
        <w:spacing w:after="120"/>
        <w:ind w:left="0" w:right="-57" w:firstLine="0"/>
        <w:jc w:val="center"/>
        <w:rPr>
          <w:i w:val="0"/>
          <w:sz w:val="24"/>
        </w:rPr>
      </w:pPr>
      <w:r w:rsidRPr="005869E7">
        <w:rPr>
          <w:rFonts w:ascii="Times New Roman" w:hAnsi="Times New Roman"/>
          <w:i w:val="0"/>
          <w:noProof/>
          <w:sz w:val="24"/>
        </w:rPr>
        <w:t>2.5. att.</w:t>
      </w:r>
      <w:r w:rsidRPr="005869E7">
        <w:rPr>
          <w:rFonts w:ascii="Times New Roman" w:hAnsi="Times New Roman"/>
          <w:i w:val="0"/>
          <w:sz w:val="24"/>
        </w:rPr>
        <w:t xml:space="preserve"> Nodarbinātība un bezdarbs 2008.</w:t>
      </w:r>
      <w:r w:rsidR="0035776A">
        <w:rPr>
          <w:rFonts w:ascii="Times New Roman" w:hAnsi="Times New Roman"/>
          <w:i w:val="0"/>
          <w:sz w:val="24"/>
        </w:rPr>
        <w:t>–</w:t>
      </w:r>
      <w:r w:rsidRPr="005869E7">
        <w:rPr>
          <w:rFonts w:ascii="Times New Roman" w:hAnsi="Times New Roman"/>
          <w:i w:val="0"/>
          <w:sz w:val="24"/>
        </w:rPr>
        <w:t>2015. gadā</w:t>
      </w:r>
    </w:p>
    <w:p w:rsidR="00445D0B" w:rsidRPr="005869E7" w:rsidRDefault="00445D0B" w:rsidP="002D62B9">
      <w:r w:rsidRPr="005869E7">
        <w:t>Paredzams, ka 2012. gadā tautsaimniecībā nodarbināto iedzīvotāju skaits palielināsies par 0,7</w:t>
      </w:r>
      <w:r w:rsidR="00D82C46">
        <w:t> </w:t>
      </w:r>
      <w:r w:rsidRPr="005869E7">
        <w:t>%, kamēr trīs nākamajos gados tas augs vidēji par 1,2</w:t>
      </w:r>
      <w:r w:rsidR="00D82C46">
        <w:t> </w:t>
      </w:r>
      <w:r w:rsidRPr="005869E7">
        <w:t xml:space="preserve">% gadā. Līdz ar to sagaidāms, ka </w:t>
      </w:r>
      <w:r w:rsidR="0008285F">
        <w:t>IKP</w:t>
      </w:r>
      <w:r w:rsidRPr="005869E7">
        <w:t xml:space="preserve"> pieaugumu tuvākajos gados vairāk nodrošinās produktivitātes un nostrādāto stundu skaita, nevis strādājošo skaita pieaugums.</w:t>
      </w:r>
    </w:p>
    <w:p w:rsidR="00445D0B" w:rsidRPr="005869E7" w:rsidRDefault="00445D0B" w:rsidP="002D62B9">
      <w:r w:rsidRPr="005869E7">
        <w:t>Līdz ar nodarbinātības pakāpenisku paaugstināšanos bezdarba līmenis vidējā termiņā pazemināsies, ko papildus ietekmēs arī darbspējas vecuma iedzīvotāju skaita samazināšanās, tostarp emigrācijas rezultātā. Lai gan kopējais bezdarba līmenis samazināsies, saglabāsies salīdzinoši liels ilgstošo bezdarbnieku skaits un augsts to īpatsvars starp visiem bezdarbniekiem. Tas norāda uz pieprasījuma un piedāvājuma neatbilstību darba tirgū un strukturālā bezdarba riskiem, un perspektīvā var izraisīt kvalificēta darbaspēka trūkumu atsevišķās profesijās un nozarēs.</w:t>
      </w:r>
    </w:p>
    <w:p w:rsidR="00445D0B" w:rsidRPr="005869E7" w:rsidRDefault="00BD6F38" w:rsidP="002D62B9">
      <w:pPr>
        <w:ind w:firstLine="0"/>
        <w:jc w:val="center"/>
      </w:pPr>
      <w:r>
        <w:rPr>
          <w:noProof/>
          <w:lang w:eastAsia="lv-LV"/>
        </w:rPr>
        <w:lastRenderedPageBreak/>
        <w:pict>
          <v:shape id="Picture 5" o:spid="_x0000_i1030" type="#_x0000_t75" style="width:409.45pt;height:240.4pt;visibility:visible">
            <v:imagedata r:id="rId21" o:title=""/>
          </v:shape>
        </w:pict>
      </w:r>
    </w:p>
    <w:p w:rsidR="00445D0B" w:rsidRPr="005869E7" w:rsidRDefault="00445D0B" w:rsidP="002D62B9">
      <w:pPr>
        <w:pStyle w:val="Zpar"/>
        <w:spacing w:after="120"/>
        <w:ind w:left="0" w:right="-57" w:firstLine="0"/>
        <w:jc w:val="center"/>
        <w:rPr>
          <w:rFonts w:ascii="Times New Roman" w:hAnsi="Times New Roman"/>
          <w:i w:val="0"/>
        </w:rPr>
      </w:pPr>
      <w:r w:rsidRPr="005869E7">
        <w:rPr>
          <w:rFonts w:ascii="Times New Roman" w:hAnsi="Times New Roman"/>
          <w:i w:val="0"/>
          <w:noProof/>
          <w:sz w:val="24"/>
        </w:rPr>
        <w:t>2.6. att.</w:t>
      </w:r>
      <w:r w:rsidRPr="005869E7">
        <w:rPr>
          <w:rFonts w:ascii="Times New Roman" w:hAnsi="Times New Roman"/>
          <w:i w:val="0"/>
          <w:sz w:val="24"/>
        </w:rPr>
        <w:tab/>
      </w:r>
      <w:r w:rsidR="00D82C46">
        <w:rPr>
          <w:rFonts w:ascii="Times New Roman" w:hAnsi="Times New Roman"/>
          <w:i w:val="0"/>
          <w:sz w:val="24"/>
        </w:rPr>
        <w:t> </w:t>
      </w:r>
      <w:r w:rsidRPr="005869E7">
        <w:rPr>
          <w:rFonts w:ascii="Times New Roman" w:hAnsi="Times New Roman"/>
          <w:i w:val="0"/>
          <w:sz w:val="24"/>
        </w:rPr>
        <w:t>Produktivitātes un reālā atalgojuma pieauguma temps 2008.</w:t>
      </w:r>
      <w:r w:rsidR="00D82C46">
        <w:rPr>
          <w:rFonts w:ascii="Times New Roman" w:hAnsi="Times New Roman"/>
          <w:i w:val="0"/>
          <w:sz w:val="24"/>
        </w:rPr>
        <w:t xml:space="preserve"> </w:t>
      </w:r>
      <w:r w:rsidR="0035776A">
        <w:rPr>
          <w:rFonts w:ascii="Times New Roman" w:hAnsi="Times New Roman"/>
          <w:i w:val="0"/>
          <w:sz w:val="24"/>
        </w:rPr>
        <w:t>–</w:t>
      </w:r>
      <w:r w:rsidR="00D82C46">
        <w:rPr>
          <w:rFonts w:ascii="Times New Roman" w:hAnsi="Times New Roman"/>
          <w:i w:val="0"/>
          <w:sz w:val="24"/>
        </w:rPr>
        <w:t xml:space="preserve"> </w:t>
      </w:r>
      <w:r w:rsidRPr="005869E7">
        <w:rPr>
          <w:rFonts w:ascii="Times New Roman" w:hAnsi="Times New Roman"/>
          <w:i w:val="0"/>
          <w:sz w:val="24"/>
        </w:rPr>
        <w:t>2015. gadā, %</w:t>
      </w:r>
    </w:p>
    <w:p w:rsidR="00445D0B" w:rsidRPr="005869E7" w:rsidRDefault="00445D0B" w:rsidP="002D62B9">
      <w:r w:rsidRPr="005869E7">
        <w:t>Ekonomiskās krīzes laikā uzņēmumiem būtiski samazinot strādājošo skaitu, racionalizējot darba procesus un ieviešot jaunas tehnoloģijas, kopš 2010. gada tautsaimniecībā ir atsācies produktivitātes pieaugums un sagaidāms, ka darba ražīgums turpinās palielināties arī laikā līdz 2015. gadam. Jau kopš 2009. gada produktivitāte ir augusi straujāk par strādājošo reālo darba samaksu, palielinot Latvijas konkurētspēju ārējos tirgos. Šāda situācija saglabāsies arī 2012. gadā un arī turpmākajos gados produktivitātes pieaugums pārsniegs reālās darba samaksas pieaugumu.</w:t>
      </w:r>
    </w:p>
    <w:p w:rsidR="00BD74BB" w:rsidRPr="00063DE4" w:rsidRDefault="00BD74BB" w:rsidP="00D82C46">
      <w:pPr>
        <w:pStyle w:val="tresais"/>
      </w:pPr>
      <w:bookmarkStart w:id="16" w:name="_Toc323120276"/>
      <w:r w:rsidRPr="00063DE4">
        <w:t>2.2.2. Ārējais sektors</w:t>
      </w:r>
      <w:bookmarkEnd w:id="15"/>
      <w:bookmarkEnd w:id="16"/>
    </w:p>
    <w:p w:rsidR="00063DE4" w:rsidRPr="005869E7" w:rsidRDefault="00063DE4" w:rsidP="002D62B9">
      <w:pPr>
        <w:rPr>
          <w:color w:val="FF0000"/>
        </w:rPr>
      </w:pPr>
      <w:bookmarkStart w:id="17" w:name="_Toc290024497"/>
      <w:r w:rsidRPr="005869E7">
        <w:t>Pieaugot ārvalstu tiešajām investīcijām, kā arī vietējo uzņēmēju aktivitātei uzņēmējdarbības paplašināšanā, tekošais konts pretēji iepriekšējos divos gados novērotajam pārpalikumam 2011.</w:t>
      </w:r>
      <w:r w:rsidR="009856BE">
        <w:t xml:space="preserve"> </w:t>
      </w:r>
      <w:r w:rsidRPr="005869E7">
        <w:t xml:space="preserve">gadā atkal bija negatīvs </w:t>
      </w:r>
      <w:r w:rsidR="0035776A">
        <w:t>–</w:t>
      </w:r>
      <w:r w:rsidR="009856BE">
        <w:t xml:space="preserve"> </w:t>
      </w:r>
      <w:r w:rsidRPr="005869E7">
        <w:t xml:space="preserve">1,2% apmērā. 2012. gadā imports palielināsies nedaudz straujāk kā eksports, līdz ar to tekošā konta negatīvā bilance varētu nedaudz palielināsies. To pamatā noteiks pieaugošās investīciju plūsmas uzņēmumu pamatkapitāla atjaunošanā gan ražošanas, gan pakalpojumu sektorā, ieviešot jaunas tehnoloģijas, kuras visbiežāk tiek importētas no tādām augsto tehnoloģiju ražotājvalstīm kā Vācija u.c. Tomēr, neskatoties uz tekošā konta deficīta kāpumu, investīcijas produktīvā ražošanas atjaunošanā dod pozitīvu devumu gan eksporta konkurētspējas kāpināšanā un eksporta palielināšanā, gan arī uzlabojot konkurētspēju vietējā tirgū, tādējādi aizstājot importa preces. </w:t>
      </w:r>
    </w:p>
    <w:p w:rsidR="00063DE4" w:rsidRPr="005869E7" w:rsidRDefault="00063DE4" w:rsidP="002D62B9">
      <w:r w:rsidRPr="005869E7">
        <w:t>Preču eksporta apjomi 2011. gadā vidēji jau ir pārsnieguši pirmskrīzes eksporta apjomus, arī importētās produkcijas apjomi tuvojas 2008. gada līmenim, atpaliekot vairs tikai par aptuveni 10</w:t>
      </w:r>
      <w:r w:rsidR="00D82C46">
        <w:t> </w:t>
      </w:r>
      <w:r w:rsidRPr="005869E7">
        <w:t>% no pirmskrīzes sasniegtā, ko</w:t>
      </w:r>
      <w:r>
        <w:t>,</w:t>
      </w:r>
      <w:r w:rsidRPr="005869E7">
        <w:t xml:space="preserve"> galvenokārt</w:t>
      </w:r>
      <w:r>
        <w:t>,</w:t>
      </w:r>
      <w:r w:rsidRPr="005869E7">
        <w:t xml:space="preserve"> nosaka joprojām zemāks mehānisko iekārtu un satiksmes līdzekļu imports. Savukārt nepieciešamība pēc iekārtu un autoparka atjaunošanas noteikusi importa apjomu pieaugum</w:t>
      </w:r>
      <w:r>
        <w:t>a</w:t>
      </w:r>
      <w:r w:rsidRPr="005869E7">
        <w:t xml:space="preserve"> pārsvaru pār eksportu 2011. gadā, un tā ietekmēs importa pieauguma tempu arī nākamajos gados.</w:t>
      </w:r>
    </w:p>
    <w:p w:rsidR="00063DE4" w:rsidRPr="005869E7" w:rsidRDefault="00063DE4" w:rsidP="002D62B9">
      <w:r w:rsidRPr="005869E7">
        <w:t>Palēninoties pasaules un arī galveno tirdzniecības partnervalstu ekonomiskajai izaugsmei, preču un pakalpojumu tirdzniecības pieauguma tempi, salīdzinot ar straujo izaugsmi 2010</w:t>
      </w:r>
      <w:r w:rsidR="00A52624">
        <w:t>.</w:t>
      </w:r>
      <w:r w:rsidRPr="005869E7">
        <w:t xml:space="preserve"> un 2011. gadā, 2012. gadā kļūs ievērojami lēnāki. Tomēr joprojām zemā pirktspēja vietējā tirgū noteiks, ka eksporta kāpums arī turpmāk būs noteicošais elements </w:t>
      </w:r>
      <w:r w:rsidRPr="005869E7">
        <w:lastRenderedPageBreak/>
        <w:t>ekonomikas izaugsmē. Tiek prognozēts, ka preču un pakalpojumu eksports 2012. gadā pieaugs par 5,1</w:t>
      </w:r>
      <w:r w:rsidR="00D82C46">
        <w:t> </w:t>
      </w:r>
      <w:r w:rsidRPr="005869E7">
        <w:t>%, savukārt preču un pakalpojumu imports pieaugs par 7,0</w:t>
      </w:r>
      <w:r w:rsidR="00D82C46">
        <w:t> </w:t>
      </w:r>
      <w:r w:rsidRPr="005869E7">
        <w:t>%.</w:t>
      </w:r>
    </w:p>
    <w:p w:rsidR="00BD74BB" w:rsidRPr="009856BE" w:rsidRDefault="00BD74BB" w:rsidP="002D62B9">
      <w:pPr>
        <w:pStyle w:val="H2"/>
        <w:rPr>
          <w:rFonts w:ascii="Times New Roman" w:hAnsi="Times New Roman"/>
          <w:szCs w:val="32"/>
        </w:rPr>
      </w:pPr>
      <w:bookmarkStart w:id="18" w:name="_Toc323120277"/>
      <w:r w:rsidRPr="009856BE">
        <w:rPr>
          <w:rFonts w:ascii="Times New Roman" w:hAnsi="Times New Roman"/>
          <w:szCs w:val="32"/>
        </w:rPr>
        <w:t>2.3. Dalība Valūtas kursa mehānismā II</w:t>
      </w:r>
      <w:bookmarkEnd w:id="17"/>
      <w:bookmarkEnd w:id="18"/>
    </w:p>
    <w:p w:rsidR="00063DE4" w:rsidRPr="005869E7" w:rsidRDefault="00063DE4" w:rsidP="002D62B9">
      <w:pPr>
        <w:pStyle w:val="Normal11pt"/>
        <w:spacing w:line="240" w:lineRule="auto"/>
        <w:ind w:firstLine="567"/>
        <w:rPr>
          <w:b w:val="0"/>
          <w:sz w:val="24"/>
          <w:szCs w:val="24"/>
          <w:lang w:val="lv-LV"/>
        </w:rPr>
      </w:pPr>
      <w:r w:rsidRPr="005869E7">
        <w:rPr>
          <w:b w:val="0"/>
          <w:noProof/>
          <w:sz w:val="24"/>
          <w:szCs w:val="24"/>
          <w:lang w:val="lv-LV"/>
        </w:rPr>
        <w:t>Līdz Latvijas integrācijai E</w:t>
      </w:r>
      <w:r w:rsidR="00D82C46">
        <w:rPr>
          <w:b w:val="0"/>
          <w:noProof/>
          <w:sz w:val="24"/>
          <w:szCs w:val="24"/>
          <w:lang w:val="lv-LV"/>
        </w:rPr>
        <w:t>konomikas un monetārās savienības (</w:t>
      </w:r>
      <w:r w:rsidR="009856BE">
        <w:rPr>
          <w:b w:val="0"/>
          <w:noProof/>
          <w:sz w:val="24"/>
          <w:szCs w:val="24"/>
          <w:lang w:val="lv-LV"/>
        </w:rPr>
        <w:t xml:space="preserve">turpmāk - </w:t>
      </w:r>
      <w:r w:rsidR="00D82C46">
        <w:rPr>
          <w:b w:val="0"/>
          <w:noProof/>
          <w:sz w:val="24"/>
          <w:szCs w:val="24"/>
          <w:lang w:val="lv-LV"/>
        </w:rPr>
        <w:t>E</w:t>
      </w:r>
      <w:r w:rsidRPr="005869E7">
        <w:rPr>
          <w:b w:val="0"/>
          <w:noProof/>
          <w:sz w:val="24"/>
          <w:szCs w:val="24"/>
          <w:lang w:val="lv-LV"/>
        </w:rPr>
        <w:t>MS</w:t>
      </w:r>
      <w:r w:rsidR="00D82C46">
        <w:rPr>
          <w:b w:val="0"/>
          <w:noProof/>
          <w:sz w:val="24"/>
          <w:szCs w:val="24"/>
          <w:lang w:val="lv-LV"/>
        </w:rPr>
        <w:t>)</w:t>
      </w:r>
      <w:r w:rsidRPr="005869E7">
        <w:rPr>
          <w:b w:val="0"/>
          <w:noProof/>
          <w:sz w:val="24"/>
          <w:szCs w:val="24"/>
          <w:lang w:val="lv-LV"/>
        </w:rPr>
        <w:t xml:space="preserve"> monetārās un valūtas kursa politikas ietvaru nav paredzēts mainīt.</w:t>
      </w:r>
      <w:r w:rsidRPr="005869E7">
        <w:rPr>
          <w:b w:val="0"/>
          <w:sz w:val="24"/>
          <w:szCs w:val="24"/>
          <w:lang w:val="lv-LV"/>
        </w:rPr>
        <w:t xml:space="preserve"> </w:t>
      </w:r>
      <w:r w:rsidRPr="005869E7">
        <w:rPr>
          <w:b w:val="0"/>
          <w:noProof/>
          <w:sz w:val="24"/>
          <w:szCs w:val="24"/>
          <w:lang w:val="lv-LV"/>
        </w:rPr>
        <w:t>Latvija pievienojās Valūtas kursa mehānismam II 2005. gada 2. maijā, vienpusēji apņemoties ievērot pieļaujamās valūtas kursa svārstību robežas +/-1% ap centrālo paritātes kursu (1 EUR = 0.702804 LVL).</w:t>
      </w:r>
      <w:r w:rsidRPr="005869E7">
        <w:rPr>
          <w:b w:val="0"/>
          <w:sz w:val="24"/>
          <w:szCs w:val="24"/>
          <w:lang w:val="lv-LV"/>
        </w:rPr>
        <w:t xml:space="preserve"> </w:t>
      </w:r>
      <w:r w:rsidRPr="005869E7">
        <w:rPr>
          <w:b w:val="0"/>
          <w:noProof/>
          <w:sz w:val="24"/>
          <w:szCs w:val="24"/>
          <w:lang w:val="lv-LV"/>
        </w:rPr>
        <w:t>Latvijas Banka</w:t>
      </w:r>
      <w:r>
        <w:rPr>
          <w:b w:val="0"/>
          <w:noProof/>
          <w:sz w:val="24"/>
          <w:szCs w:val="24"/>
          <w:lang w:val="lv-LV"/>
        </w:rPr>
        <w:t xml:space="preserve"> (turpmāk – LB)</w:t>
      </w:r>
      <w:r w:rsidRPr="005869E7">
        <w:rPr>
          <w:b w:val="0"/>
          <w:noProof/>
          <w:sz w:val="24"/>
          <w:szCs w:val="24"/>
          <w:lang w:val="lv-LV"/>
        </w:rPr>
        <w:t xml:space="preserve"> turpinās īstenot pašreizējo fiksēta valūtas kursa politiku līdz euro ieviešanai.</w:t>
      </w:r>
      <w:r w:rsidRPr="005869E7">
        <w:rPr>
          <w:b w:val="0"/>
          <w:sz w:val="24"/>
          <w:szCs w:val="24"/>
          <w:lang w:val="lv-LV"/>
        </w:rPr>
        <w:t xml:space="preserve"> </w:t>
      </w:r>
      <w:r w:rsidRPr="005869E7">
        <w:rPr>
          <w:b w:val="0"/>
          <w:noProof/>
          <w:sz w:val="24"/>
          <w:szCs w:val="24"/>
          <w:lang w:val="lv-LV"/>
        </w:rPr>
        <w:t>Latvijas valdība plāno panākt ilgtspējīgu konverģences pakāpi un izpildīt Māstrihtas kritērijus jau pirms 2014. gada, kuru valdība noteikusi kā euro ieviešanas plānoto datumu.</w:t>
      </w:r>
      <w:r w:rsidRPr="005869E7">
        <w:rPr>
          <w:b w:val="0"/>
          <w:sz w:val="24"/>
          <w:szCs w:val="24"/>
          <w:lang w:val="lv-LV"/>
        </w:rPr>
        <w:t xml:space="preserve"> </w:t>
      </w:r>
    </w:p>
    <w:p w:rsidR="00063DE4" w:rsidRPr="005869E7" w:rsidRDefault="00063DE4" w:rsidP="002D62B9">
      <w:pPr>
        <w:pStyle w:val="Normal11pt"/>
        <w:spacing w:line="240" w:lineRule="auto"/>
        <w:ind w:firstLine="567"/>
        <w:rPr>
          <w:b w:val="0"/>
          <w:sz w:val="24"/>
          <w:szCs w:val="24"/>
          <w:lang w:val="lv-LV"/>
        </w:rPr>
      </w:pPr>
      <w:r w:rsidRPr="005869E7">
        <w:rPr>
          <w:b w:val="0"/>
          <w:noProof/>
          <w:sz w:val="24"/>
          <w:szCs w:val="24"/>
          <w:lang w:val="lv-LV"/>
        </w:rPr>
        <w:t>Pēdējos gados Latvijas tautsaimniecībā veikti būtiski pielāgojumi, koriģējot iepriekšējos straujās izaugsmes gados uzkrāto nesabalansētību.</w:t>
      </w:r>
      <w:r w:rsidRPr="005869E7">
        <w:rPr>
          <w:b w:val="0"/>
          <w:sz w:val="24"/>
          <w:szCs w:val="24"/>
          <w:lang w:val="lv-LV"/>
        </w:rPr>
        <w:t xml:space="preserve"> </w:t>
      </w:r>
      <w:r w:rsidRPr="005869E7">
        <w:rPr>
          <w:b w:val="0"/>
          <w:noProof/>
          <w:sz w:val="24"/>
          <w:szCs w:val="24"/>
          <w:lang w:val="lv-LV"/>
        </w:rPr>
        <w:t>Tautsaimniecība sāka atgūties no recesijas jau 2010. gadā, bet 2011. gadā tās izaugsme pieņēmās spēkā.</w:t>
      </w:r>
      <w:r w:rsidRPr="005869E7">
        <w:rPr>
          <w:b w:val="0"/>
          <w:sz w:val="24"/>
          <w:szCs w:val="24"/>
          <w:lang w:val="lv-LV"/>
        </w:rPr>
        <w:t xml:space="preserve"> </w:t>
      </w:r>
      <w:r w:rsidRPr="005869E7">
        <w:rPr>
          <w:b w:val="0"/>
          <w:noProof/>
          <w:sz w:val="24"/>
          <w:szCs w:val="24"/>
          <w:lang w:val="lv-LV"/>
        </w:rPr>
        <w:t>ES</w:t>
      </w:r>
      <w:r>
        <w:rPr>
          <w:b w:val="0"/>
          <w:noProof/>
          <w:sz w:val="24"/>
          <w:szCs w:val="24"/>
          <w:lang w:val="lv-LV"/>
        </w:rPr>
        <w:t xml:space="preserve"> un Starptautiskā valūtas fonda (turpmāk </w:t>
      </w:r>
      <w:r w:rsidR="0035776A">
        <w:rPr>
          <w:b w:val="0"/>
          <w:noProof/>
          <w:sz w:val="24"/>
          <w:szCs w:val="24"/>
          <w:lang w:val="lv-LV"/>
        </w:rPr>
        <w:t>–</w:t>
      </w:r>
      <w:r>
        <w:rPr>
          <w:b w:val="0"/>
          <w:noProof/>
          <w:sz w:val="24"/>
          <w:szCs w:val="24"/>
          <w:lang w:val="lv-LV"/>
        </w:rPr>
        <w:t xml:space="preserve"> </w:t>
      </w:r>
      <w:r w:rsidRPr="005869E7">
        <w:rPr>
          <w:b w:val="0"/>
          <w:noProof/>
          <w:sz w:val="24"/>
          <w:szCs w:val="24"/>
          <w:lang w:val="lv-LV"/>
        </w:rPr>
        <w:t>SVF</w:t>
      </w:r>
      <w:r>
        <w:rPr>
          <w:b w:val="0"/>
          <w:noProof/>
          <w:sz w:val="24"/>
          <w:szCs w:val="24"/>
          <w:lang w:val="lv-LV"/>
        </w:rPr>
        <w:t>)</w:t>
      </w:r>
      <w:r w:rsidRPr="005869E7">
        <w:rPr>
          <w:b w:val="0"/>
          <w:noProof/>
          <w:sz w:val="24"/>
          <w:szCs w:val="24"/>
          <w:lang w:val="lv-LV"/>
        </w:rPr>
        <w:t xml:space="preserve"> vadītā </w:t>
      </w:r>
      <w:r w:rsidR="008C2AD4">
        <w:rPr>
          <w:b w:val="0"/>
          <w:noProof/>
          <w:sz w:val="24"/>
          <w:szCs w:val="24"/>
          <w:lang w:val="lv-LV"/>
        </w:rPr>
        <w:t>Programma</w:t>
      </w:r>
      <w:r w:rsidRPr="005869E7">
        <w:rPr>
          <w:b w:val="0"/>
          <w:noProof/>
          <w:sz w:val="24"/>
          <w:szCs w:val="24"/>
          <w:lang w:val="lv-LV"/>
        </w:rPr>
        <w:t>, kas palīdzēja atjaunot uzticību un sakārtot tautsaimniecību, veiksmīgi noslēdzās 2011. gada beigās.</w:t>
      </w:r>
      <w:r w:rsidRPr="005869E7">
        <w:rPr>
          <w:b w:val="0"/>
          <w:sz w:val="24"/>
          <w:szCs w:val="24"/>
          <w:lang w:val="lv-LV"/>
        </w:rPr>
        <w:t xml:space="preserve"> </w:t>
      </w:r>
      <w:r w:rsidRPr="005869E7">
        <w:rPr>
          <w:b w:val="0"/>
          <w:noProof/>
          <w:sz w:val="24"/>
          <w:szCs w:val="24"/>
          <w:lang w:val="lv-LV"/>
        </w:rPr>
        <w:t>Turklāt Latvija atguva pieeju starptautiskajiem kapitāla tirgiem.</w:t>
      </w:r>
      <w:r w:rsidRPr="005869E7">
        <w:rPr>
          <w:b w:val="0"/>
          <w:sz w:val="24"/>
          <w:szCs w:val="24"/>
          <w:lang w:val="lv-LV"/>
        </w:rPr>
        <w:t xml:space="preserve"> </w:t>
      </w:r>
    </w:p>
    <w:p w:rsidR="00063DE4" w:rsidRPr="005869E7" w:rsidRDefault="00063DE4" w:rsidP="002D62B9">
      <w:pPr>
        <w:pStyle w:val="Normal11pt"/>
        <w:spacing w:line="240" w:lineRule="auto"/>
        <w:ind w:firstLine="567"/>
        <w:rPr>
          <w:b w:val="0"/>
          <w:sz w:val="24"/>
          <w:szCs w:val="24"/>
          <w:lang w:val="lv-LV"/>
        </w:rPr>
      </w:pPr>
      <w:r w:rsidRPr="005869E7">
        <w:rPr>
          <w:b w:val="0"/>
          <w:sz w:val="24"/>
          <w:szCs w:val="24"/>
          <w:lang w:val="lv-LV"/>
        </w:rPr>
        <w:t xml:space="preserve">Latvijas izvēlētā stratēģija konkurētspējas atgūšanai ir bijusi veiksmīga, un tautsaimniecības elastība nodrošināja ilgtspējīgu iepriekš izveidojušos nesabalansētību korekciju. Kas attiecas uz politisko apņemšanos, pievienojoties VKM II, veikta apjomīga fiskālā konsolidācija un strukturālās reformas, lai koriģētu iepriekš uzkrātās nesabalansētības un veicinātu makroekonomisko stabilitāti un izaugsmi. Turklāt tiek gatavots </w:t>
      </w:r>
      <w:r w:rsidR="00EB5008">
        <w:rPr>
          <w:b w:val="0"/>
          <w:sz w:val="24"/>
          <w:szCs w:val="24"/>
          <w:lang w:val="lv-LV"/>
        </w:rPr>
        <w:t>FDL</w:t>
      </w:r>
      <w:r w:rsidRPr="005869E7">
        <w:rPr>
          <w:b w:val="0"/>
          <w:sz w:val="24"/>
          <w:szCs w:val="24"/>
          <w:lang w:val="lv-LV"/>
        </w:rPr>
        <w:t xml:space="preserve">, lai nodrošinātu fiskālo ilgtspēju arī turpmāk un nākotnē izvairītos no procikliskas fiskālās politikas. </w:t>
      </w:r>
    </w:p>
    <w:p w:rsidR="00063DE4" w:rsidRPr="005869E7" w:rsidRDefault="00063DE4" w:rsidP="002D62B9">
      <w:pPr>
        <w:pStyle w:val="Normal11pt"/>
        <w:spacing w:line="240" w:lineRule="auto"/>
        <w:ind w:firstLine="567"/>
        <w:rPr>
          <w:b w:val="0"/>
          <w:sz w:val="24"/>
          <w:szCs w:val="24"/>
          <w:lang w:val="lv-LV"/>
        </w:rPr>
      </w:pPr>
      <w:r>
        <w:rPr>
          <w:b w:val="0"/>
          <w:noProof/>
          <w:sz w:val="24"/>
          <w:szCs w:val="24"/>
          <w:lang w:val="lv-LV"/>
        </w:rPr>
        <w:t>LB</w:t>
      </w:r>
      <w:r w:rsidRPr="005869E7">
        <w:rPr>
          <w:b w:val="0"/>
          <w:noProof/>
          <w:sz w:val="24"/>
          <w:szCs w:val="24"/>
          <w:lang w:val="lv-LV"/>
        </w:rPr>
        <w:t xml:space="preserve"> monetārās politikas instrumenti pārsvarā ir līdzīgi </w:t>
      </w:r>
      <w:r>
        <w:rPr>
          <w:b w:val="0"/>
          <w:noProof/>
          <w:sz w:val="24"/>
          <w:szCs w:val="24"/>
          <w:lang w:val="lv-LV"/>
        </w:rPr>
        <w:t xml:space="preserve">Eiropas Centrālā banka (turpmāk – </w:t>
      </w:r>
      <w:r w:rsidRPr="005869E7">
        <w:rPr>
          <w:b w:val="0"/>
          <w:noProof/>
          <w:sz w:val="24"/>
          <w:szCs w:val="24"/>
          <w:lang w:val="lv-LV"/>
        </w:rPr>
        <w:t>ECB</w:t>
      </w:r>
      <w:r>
        <w:rPr>
          <w:b w:val="0"/>
          <w:noProof/>
          <w:sz w:val="24"/>
          <w:szCs w:val="24"/>
          <w:lang w:val="lv-LV"/>
        </w:rPr>
        <w:t>)</w:t>
      </w:r>
      <w:r w:rsidRPr="005869E7">
        <w:rPr>
          <w:b w:val="0"/>
          <w:noProof/>
          <w:sz w:val="24"/>
          <w:szCs w:val="24"/>
          <w:lang w:val="lv-LV"/>
        </w:rPr>
        <w:t xml:space="preserve"> izmantotajiem.</w:t>
      </w:r>
      <w:r w:rsidRPr="005869E7">
        <w:rPr>
          <w:b w:val="0"/>
          <w:sz w:val="24"/>
          <w:szCs w:val="24"/>
          <w:lang w:val="lv-LV"/>
        </w:rPr>
        <w:t xml:space="preserve"> </w:t>
      </w:r>
      <w:r w:rsidRPr="005869E7">
        <w:rPr>
          <w:b w:val="0"/>
          <w:noProof/>
          <w:sz w:val="24"/>
          <w:szCs w:val="24"/>
          <w:lang w:val="lv-LV"/>
        </w:rPr>
        <w:t xml:space="preserve">Ņemot vērā lata piesaisti euro, </w:t>
      </w:r>
      <w:r>
        <w:rPr>
          <w:b w:val="0"/>
          <w:noProof/>
          <w:sz w:val="24"/>
          <w:szCs w:val="24"/>
          <w:lang w:val="lv-LV"/>
        </w:rPr>
        <w:t>LB</w:t>
      </w:r>
      <w:r w:rsidRPr="005869E7">
        <w:rPr>
          <w:b w:val="0"/>
          <w:noProof/>
          <w:sz w:val="24"/>
          <w:szCs w:val="24"/>
          <w:lang w:val="lv-LV"/>
        </w:rPr>
        <w:t xml:space="preserve"> tirgus operācijās likviditāti vietējā valūtā nodrošina ierobežotā apjomā, lai nodrošinātu monetārās bāzes pilnīgu segumu ar ārvalstu valūtu un zelta rezervēm, un bankas izmanto ārvalstu valūtas intervences, lai iegūtu ilgtermiņa finansējumu no centrālās bankas.</w:t>
      </w:r>
      <w:r w:rsidRPr="005869E7">
        <w:rPr>
          <w:b w:val="0"/>
          <w:sz w:val="24"/>
          <w:szCs w:val="24"/>
          <w:lang w:val="lv-LV"/>
        </w:rPr>
        <w:t xml:space="preserve"> </w:t>
      </w:r>
      <w:r w:rsidRPr="005869E7">
        <w:rPr>
          <w:b w:val="0"/>
          <w:noProof/>
          <w:sz w:val="24"/>
          <w:szCs w:val="24"/>
          <w:lang w:val="lv-LV"/>
        </w:rPr>
        <w:t>Pēc pievienošanās EMS Latvija sāks izmantot visu ECB monetārās politikas instrumentu klāstu.</w:t>
      </w:r>
    </w:p>
    <w:p w:rsidR="00063DE4" w:rsidRPr="005869E7" w:rsidRDefault="00063DE4" w:rsidP="002D62B9">
      <w:pPr>
        <w:pStyle w:val="Normal11pt"/>
        <w:spacing w:line="240" w:lineRule="auto"/>
        <w:ind w:firstLine="567"/>
        <w:rPr>
          <w:b w:val="0"/>
          <w:sz w:val="24"/>
          <w:szCs w:val="24"/>
          <w:lang w:val="lv-LV"/>
        </w:rPr>
      </w:pPr>
      <w:r w:rsidRPr="005869E7">
        <w:rPr>
          <w:b w:val="0"/>
          <w:noProof/>
          <w:sz w:val="24"/>
          <w:szCs w:val="24"/>
          <w:lang w:val="lv-LV"/>
        </w:rPr>
        <w:t xml:space="preserve">Iekšzemes cenu spiedienam samazinoties un gandrīz visu periodu kopš iepriekšējās Konverģences programmas saglabājoties negatīvam, </w:t>
      </w:r>
      <w:r>
        <w:rPr>
          <w:b w:val="0"/>
          <w:noProof/>
          <w:sz w:val="24"/>
          <w:szCs w:val="24"/>
          <w:lang w:val="lv-LV"/>
        </w:rPr>
        <w:t>LB</w:t>
      </w:r>
      <w:r w:rsidRPr="005869E7">
        <w:rPr>
          <w:b w:val="0"/>
          <w:noProof/>
          <w:sz w:val="24"/>
          <w:szCs w:val="24"/>
          <w:lang w:val="lv-LV"/>
        </w:rPr>
        <w:t xml:space="preserve"> turpināja pielāgot savu monetāro politiku, lai veicinātu tautsaimniecības un finanšu sektora stabilizāciju.</w:t>
      </w:r>
      <w:r w:rsidRPr="005869E7">
        <w:rPr>
          <w:b w:val="0"/>
          <w:sz w:val="24"/>
          <w:szCs w:val="24"/>
          <w:lang w:val="lv-LV"/>
        </w:rPr>
        <w:t xml:space="preserve"> </w:t>
      </w:r>
      <w:r w:rsidRPr="005869E7">
        <w:rPr>
          <w:b w:val="0"/>
          <w:noProof/>
          <w:sz w:val="24"/>
          <w:szCs w:val="24"/>
          <w:lang w:val="lv-LV"/>
        </w:rPr>
        <w:t>Refinansēšanas likme 2010. gadā tika samazināta no 4</w:t>
      </w:r>
      <w:r w:rsidR="005A3B98">
        <w:rPr>
          <w:b w:val="0"/>
          <w:noProof/>
          <w:sz w:val="24"/>
          <w:szCs w:val="24"/>
          <w:lang w:val="lv-LV"/>
        </w:rPr>
        <w:t>,</w:t>
      </w:r>
      <w:r w:rsidRPr="005869E7">
        <w:rPr>
          <w:b w:val="0"/>
          <w:noProof/>
          <w:sz w:val="24"/>
          <w:szCs w:val="24"/>
          <w:lang w:val="lv-LV"/>
        </w:rPr>
        <w:t>0</w:t>
      </w:r>
      <w:r w:rsidR="00D82C46">
        <w:rPr>
          <w:b w:val="0"/>
          <w:noProof/>
          <w:sz w:val="24"/>
          <w:szCs w:val="24"/>
          <w:lang w:val="lv-LV"/>
        </w:rPr>
        <w:t> </w:t>
      </w:r>
      <w:r w:rsidRPr="005869E7">
        <w:rPr>
          <w:b w:val="0"/>
          <w:noProof/>
          <w:sz w:val="24"/>
          <w:szCs w:val="24"/>
          <w:lang w:val="lv-LV"/>
        </w:rPr>
        <w:t>% līdz 3</w:t>
      </w:r>
      <w:r w:rsidR="005A3B98">
        <w:rPr>
          <w:b w:val="0"/>
          <w:noProof/>
          <w:sz w:val="24"/>
          <w:szCs w:val="24"/>
          <w:lang w:val="lv-LV"/>
        </w:rPr>
        <w:t>,</w:t>
      </w:r>
      <w:r w:rsidRPr="005869E7">
        <w:rPr>
          <w:b w:val="0"/>
          <w:noProof/>
          <w:sz w:val="24"/>
          <w:szCs w:val="24"/>
          <w:lang w:val="lv-LV"/>
        </w:rPr>
        <w:t>5</w:t>
      </w:r>
      <w:r w:rsidR="00D82C46">
        <w:rPr>
          <w:b w:val="0"/>
          <w:noProof/>
          <w:sz w:val="24"/>
          <w:szCs w:val="24"/>
          <w:lang w:val="lv-LV"/>
        </w:rPr>
        <w:t> </w:t>
      </w:r>
      <w:r w:rsidRPr="005869E7">
        <w:rPr>
          <w:b w:val="0"/>
          <w:noProof/>
          <w:sz w:val="24"/>
          <w:szCs w:val="24"/>
          <w:lang w:val="lv-LV"/>
        </w:rPr>
        <w:t>%.</w:t>
      </w:r>
      <w:r w:rsidRPr="005869E7">
        <w:rPr>
          <w:b w:val="0"/>
          <w:sz w:val="24"/>
          <w:szCs w:val="24"/>
          <w:lang w:val="lv-LV"/>
        </w:rPr>
        <w:t xml:space="preserve"> </w:t>
      </w:r>
      <w:r w:rsidRPr="005869E7">
        <w:rPr>
          <w:b w:val="0"/>
          <w:noProof/>
          <w:sz w:val="24"/>
          <w:szCs w:val="24"/>
          <w:lang w:val="lv-LV"/>
        </w:rPr>
        <w:t>Procentu likme noguldījumu iespējai uz nakti trijos soļos tika samazināta no 1</w:t>
      </w:r>
      <w:r w:rsidR="005A3B98">
        <w:rPr>
          <w:b w:val="0"/>
          <w:noProof/>
          <w:sz w:val="24"/>
          <w:szCs w:val="24"/>
          <w:lang w:val="lv-LV"/>
        </w:rPr>
        <w:t>,</w:t>
      </w:r>
      <w:r w:rsidRPr="005869E7">
        <w:rPr>
          <w:b w:val="0"/>
          <w:noProof/>
          <w:sz w:val="24"/>
          <w:szCs w:val="24"/>
          <w:lang w:val="lv-LV"/>
        </w:rPr>
        <w:t>0</w:t>
      </w:r>
      <w:r w:rsidR="00D82C46">
        <w:rPr>
          <w:b w:val="0"/>
          <w:noProof/>
          <w:sz w:val="24"/>
          <w:szCs w:val="24"/>
          <w:lang w:val="lv-LV"/>
        </w:rPr>
        <w:t> </w:t>
      </w:r>
      <w:r w:rsidRPr="005869E7">
        <w:rPr>
          <w:b w:val="0"/>
          <w:noProof/>
          <w:sz w:val="24"/>
          <w:szCs w:val="24"/>
          <w:lang w:val="lv-LV"/>
        </w:rPr>
        <w:t>% līdz 0</w:t>
      </w:r>
      <w:r w:rsidR="005A3B98">
        <w:rPr>
          <w:b w:val="0"/>
          <w:noProof/>
          <w:sz w:val="24"/>
          <w:szCs w:val="24"/>
          <w:lang w:val="lv-LV"/>
        </w:rPr>
        <w:t>,</w:t>
      </w:r>
      <w:r w:rsidRPr="005869E7">
        <w:rPr>
          <w:b w:val="0"/>
          <w:noProof/>
          <w:sz w:val="24"/>
          <w:szCs w:val="24"/>
          <w:lang w:val="lv-LV"/>
        </w:rPr>
        <w:t>25</w:t>
      </w:r>
      <w:r w:rsidR="00D82C46">
        <w:rPr>
          <w:b w:val="0"/>
          <w:noProof/>
          <w:sz w:val="24"/>
          <w:szCs w:val="24"/>
          <w:lang w:val="lv-LV"/>
        </w:rPr>
        <w:t> </w:t>
      </w:r>
      <w:r w:rsidRPr="005869E7">
        <w:rPr>
          <w:b w:val="0"/>
          <w:noProof/>
          <w:sz w:val="24"/>
          <w:szCs w:val="24"/>
          <w:lang w:val="lv-LV"/>
        </w:rPr>
        <w:t>%.</w:t>
      </w:r>
      <w:r w:rsidRPr="005869E7">
        <w:rPr>
          <w:b w:val="0"/>
          <w:sz w:val="24"/>
          <w:szCs w:val="24"/>
          <w:lang w:val="lv-LV"/>
        </w:rPr>
        <w:t xml:space="preserve"> </w:t>
      </w:r>
      <w:r w:rsidRPr="005869E7">
        <w:rPr>
          <w:b w:val="0"/>
          <w:noProof/>
          <w:sz w:val="24"/>
          <w:szCs w:val="24"/>
          <w:lang w:val="lv-LV"/>
        </w:rPr>
        <w:t xml:space="preserve">Turklāt </w:t>
      </w:r>
      <w:r>
        <w:rPr>
          <w:b w:val="0"/>
          <w:noProof/>
          <w:sz w:val="24"/>
          <w:szCs w:val="24"/>
          <w:lang w:val="lv-LV"/>
        </w:rPr>
        <w:t>LB</w:t>
      </w:r>
      <w:r w:rsidRPr="005869E7">
        <w:rPr>
          <w:b w:val="0"/>
          <w:noProof/>
          <w:sz w:val="24"/>
          <w:szCs w:val="24"/>
          <w:lang w:val="lv-LV"/>
        </w:rPr>
        <w:t xml:space="preserve"> ieviesa noguldījumu iespēju uz 7 dienām un pakāpeniski samazināja tās procentu likmi no 1</w:t>
      </w:r>
      <w:r w:rsidR="005A3B98">
        <w:rPr>
          <w:b w:val="0"/>
          <w:noProof/>
          <w:sz w:val="24"/>
          <w:szCs w:val="24"/>
          <w:lang w:val="lv-LV"/>
        </w:rPr>
        <w:t>,</w:t>
      </w:r>
      <w:r w:rsidRPr="005869E7">
        <w:rPr>
          <w:b w:val="0"/>
          <w:noProof/>
          <w:sz w:val="24"/>
          <w:szCs w:val="24"/>
          <w:lang w:val="lv-LV"/>
        </w:rPr>
        <w:t>0</w:t>
      </w:r>
      <w:r w:rsidR="00D82C46">
        <w:rPr>
          <w:b w:val="0"/>
          <w:noProof/>
          <w:sz w:val="24"/>
          <w:szCs w:val="24"/>
          <w:lang w:val="lv-LV"/>
        </w:rPr>
        <w:t> </w:t>
      </w:r>
      <w:r w:rsidRPr="005869E7">
        <w:rPr>
          <w:b w:val="0"/>
          <w:noProof/>
          <w:sz w:val="24"/>
          <w:szCs w:val="24"/>
          <w:lang w:val="lv-LV"/>
        </w:rPr>
        <w:t>% līdz 0</w:t>
      </w:r>
      <w:r w:rsidR="005A3B98">
        <w:rPr>
          <w:b w:val="0"/>
          <w:noProof/>
          <w:sz w:val="24"/>
          <w:szCs w:val="24"/>
          <w:lang w:val="lv-LV"/>
        </w:rPr>
        <w:t>,</w:t>
      </w:r>
      <w:r w:rsidRPr="005869E7">
        <w:rPr>
          <w:b w:val="0"/>
          <w:noProof/>
          <w:sz w:val="24"/>
          <w:szCs w:val="24"/>
          <w:lang w:val="lv-LV"/>
        </w:rPr>
        <w:t>375</w:t>
      </w:r>
      <w:r w:rsidR="00D82C46">
        <w:rPr>
          <w:b w:val="0"/>
          <w:noProof/>
          <w:sz w:val="24"/>
          <w:szCs w:val="24"/>
          <w:lang w:val="lv-LV"/>
        </w:rPr>
        <w:t> </w:t>
      </w:r>
      <w:r w:rsidRPr="005869E7">
        <w:rPr>
          <w:b w:val="0"/>
          <w:noProof/>
          <w:sz w:val="24"/>
          <w:szCs w:val="24"/>
          <w:lang w:val="lv-LV"/>
        </w:rPr>
        <w:t>%.</w:t>
      </w:r>
      <w:r w:rsidRPr="005869E7">
        <w:rPr>
          <w:b w:val="0"/>
          <w:sz w:val="24"/>
          <w:szCs w:val="24"/>
          <w:lang w:val="lv-LV"/>
        </w:rPr>
        <w:t xml:space="preserve"> 2012. </w:t>
      </w:r>
      <w:r w:rsidRPr="005869E7">
        <w:rPr>
          <w:b w:val="0"/>
          <w:noProof/>
          <w:sz w:val="24"/>
          <w:szCs w:val="24"/>
          <w:lang w:val="lv-LV"/>
        </w:rPr>
        <w:t xml:space="preserve">gada sākumā </w:t>
      </w:r>
      <w:r>
        <w:rPr>
          <w:b w:val="0"/>
          <w:noProof/>
          <w:sz w:val="24"/>
          <w:szCs w:val="24"/>
          <w:lang w:val="lv-LV"/>
        </w:rPr>
        <w:t>LB</w:t>
      </w:r>
      <w:r w:rsidRPr="005869E7">
        <w:rPr>
          <w:b w:val="0"/>
          <w:noProof/>
          <w:sz w:val="24"/>
          <w:szCs w:val="24"/>
          <w:lang w:val="lv-LV"/>
        </w:rPr>
        <w:t xml:space="preserve"> par vienu procenta punktu samazināja rezervju normu:</w:t>
      </w:r>
      <w:r w:rsidRPr="005869E7">
        <w:rPr>
          <w:b w:val="0"/>
          <w:sz w:val="24"/>
          <w:szCs w:val="24"/>
          <w:lang w:val="lv-LV"/>
        </w:rPr>
        <w:t xml:space="preserve"> </w:t>
      </w:r>
      <w:r w:rsidRPr="005869E7">
        <w:rPr>
          <w:b w:val="0"/>
          <w:noProof/>
          <w:sz w:val="24"/>
          <w:szCs w:val="24"/>
          <w:lang w:val="lv-LV"/>
        </w:rPr>
        <w:t>banku saistībām ar termiņu ilgāku par diviem gadiem – no 3</w:t>
      </w:r>
      <w:r w:rsidR="00D82C46">
        <w:rPr>
          <w:b w:val="0"/>
          <w:noProof/>
          <w:sz w:val="24"/>
          <w:szCs w:val="24"/>
          <w:lang w:val="lv-LV"/>
        </w:rPr>
        <w:t> </w:t>
      </w:r>
      <w:r w:rsidRPr="005869E7">
        <w:rPr>
          <w:b w:val="0"/>
          <w:noProof/>
          <w:sz w:val="24"/>
          <w:szCs w:val="24"/>
          <w:lang w:val="lv-LV"/>
        </w:rPr>
        <w:t>% uz 2</w:t>
      </w:r>
      <w:r w:rsidR="00D82C46">
        <w:rPr>
          <w:b w:val="0"/>
          <w:noProof/>
          <w:sz w:val="24"/>
          <w:szCs w:val="24"/>
          <w:lang w:val="lv-LV"/>
        </w:rPr>
        <w:t> </w:t>
      </w:r>
      <w:r w:rsidRPr="005869E7">
        <w:rPr>
          <w:b w:val="0"/>
          <w:noProof/>
          <w:sz w:val="24"/>
          <w:szCs w:val="24"/>
          <w:lang w:val="lv-LV"/>
        </w:rPr>
        <w:t>%, bet pārējām rezervju bāzē ietvertajām saistībām – no 5</w:t>
      </w:r>
      <w:r w:rsidR="00D82C46">
        <w:rPr>
          <w:b w:val="0"/>
          <w:noProof/>
          <w:sz w:val="24"/>
          <w:szCs w:val="24"/>
          <w:lang w:val="lv-LV"/>
        </w:rPr>
        <w:t> </w:t>
      </w:r>
      <w:r w:rsidRPr="005869E7">
        <w:rPr>
          <w:b w:val="0"/>
          <w:noProof/>
          <w:sz w:val="24"/>
          <w:szCs w:val="24"/>
          <w:lang w:val="lv-LV"/>
        </w:rPr>
        <w:t>% un 4</w:t>
      </w:r>
      <w:r w:rsidR="00D82C46">
        <w:rPr>
          <w:b w:val="0"/>
          <w:noProof/>
          <w:sz w:val="24"/>
          <w:szCs w:val="24"/>
          <w:lang w:val="lv-LV"/>
        </w:rPr>
        <w:t> </w:t>
      </w:r>
      <w:r w:rsidRPr="005869E7">
        <w:rPr>
          <w:b w:val="0"/>
          <w:noProof/>
          <w:sz w:val="24"/>
          <w:szCs w:val="24"/>
          <w:lang w:val="lv-LV"/>
        </w:rPr>
        <w:t>%.</w:t>
      </w:r>
      <w:r w:rsidRPr="005869E7">
        <w:rPr>
          <w:b w:val="0"/>
          <w:sz w:val="24"/>
          <w:szCs w:val="24"/>
          <w:lang w:val="lv-LV"/>
        </w:rPr>
        <w:t xml:space="preserve"> </w:t>
      </w:r>
      <w:r w:rsidRPr="005869E7">
        <w:rPr>
          <w:b w:val="0"/>
          <w:noProof/>
          <w:sz w:val="24"/>
          <w:szCs w:val="24"/>
          <w:lang w:val="lv-LV"/>
        </w:rPr>
        <w:t>Aizdevumu iespējas uz nakti procentu likme 2010.</w:t>
      </w:r>
      <w:r w:rsidR="00D82C46">
        <w:rPr>
          <w:b w:val="0"/>
          <w:noProof/>
          <w:sz w:val="24"/>
          <w:szCs w:val="24"/>
          <w:lang w:val="lv-LV"/>
        </w:rPr>
        <w:t xml:space="preserve"> </w:t>
      </w:r>
      <w:r w:rsidRPr="005869E7">
        <w:rPr>
          <w:b w:val="0"/>
          <w:noProof/>
          <w:sz w:val="24"/>
          <w:szCs w:val="24"/>
          <w:lang w:val="lv-LV"/>
        </w:rPr>
        <w:t>–</w:t>
      </w:r>
      <w:r w:rsidR="00D82C46">
        <w:rPr>
          <w:b w:val="0"/>
          <w:noProof/>
          <w:sz w:val="24"/>
          <w:szCs w:val="24"/>
          <w:lang w:val="lv-LV"/>
        </w:rPr>
        <w:t xml:space="preserve"> </w:t>
      </w:r>
      <w:r w:rsidRPr="005869E7">
        <w:rPr>
          <w:b w:val="0"/>
          <w:noProof/>
          <w:sz w:val="24"/>
          <w:szCs w:val="24"/>
          <w:lang w:val="lv-LV"/>
        </w:rPr>
        <w:t>2011. gadā netika mainīta.</w:t>
      </w:r>
      <w:r w:rsidRPr="005869E7">
        <w:rPr>
          <w:b w:val="0"/>
          <w:sz w:val="24"/>
          <w:szCs w:val="24"/>
          <w:lang w:val="lv-LV"/>
        </w:rPr>
        <w:t xml:space="preserve"> </w:t>
      </w:r>
    </w:p>
    <w:p w:rsidR="00063DE4" w:rsidRDefault="00063DE4" w:rsidP="002D62B9">
      <w:pPr>
        <w:pStyle w:val="Normal11pt"/>
        <w:spacing w:line="240" w:lineRule="auto"/>
        <w:ind w:firstLine="567"/>
        <w:rPr>
          <w:b w:val="0"/>
          <w:sz w:val="24"/>
          <w:szCs w:val="24"/>
          <w:lang w:val="lv-LV"/>
        </w:rPr>
      </w:pPr>
      <w:r w:rsidRPr="005869E7">
        <w:rPr>
          <w:b w:val="0"/>
          <w:noProof/>
          <w:sz w:val="24"/>
          <w:szCs w:val="24"/>
          <w:lang w:val="lv-LV"/>
        </w:rPr>
        <w:t>Finanšu tirgiem stabilizējoties, lata naudas tirgus procentu likmes atgriezušās atbilstošajām euro naudas tirgus procentu likmēm tuvā līmenī (vairākumā termiņu procentu likme ir zemāka par 2</w:t>
      </w:r>
      <w:r w:rsidR="00D82C46">
        <w:rPr>
          <w:b w:val="0"/>
          <w:noProof/>
          <w:sz w:val="24"/>
          <w:szCs w:val="24"/>
          <w:lang w:val="lv-LV"/>
        </w:rPr>
        <w:t> </w:t>
      </w:r>
      <w:r w:rsidRPr="005869E7">
        <w:rPr>
          <w:b w:val="0"/>
          <w:noProof/>
          <w:sz w:val="24"/>
          <w:szCs w:val="24"/>
          <w:lang w:val="lv-LV"/>
        </w:rPr>
        <w:t>%).</w:t>
      </w:r>
      <w:r w:rsidRPr="005869E7">
        <w:rPr>
          <w:b w:val="0"/>
          <w:sz w:val="24"/>
          <w:szCs w:val="24"/>
          <w:lang w:val="lv-LV"/>
        </w:rPr>
        <w:t xml:space="preserve"> </w:t>
      </w:r>
      <w:r w:rsidRPr="005869E7">
        <w:rPr>
          <w:b w:val="0"/>
          <w:noProof/>
          <w:sz w:val="24"/>
          <w:szCs w:val="24"/>
          <w:lang w:val="lv-LV"/>
        </w:rPr>
        <w:t>Kopš 2011. gada Latvija veiksmīgi atgriezusies starptautiskajos kapitāla tirgos, emitējot ASV dolāros denominētas obligācijas ar termiņu 10 un 5 gadi.</w:t>
      </w:r>
      <w:r w:rsidRPr="005869E7">
        <w:rPr>
          <w:b w:val="0"/>
          <w:sz w:val="24"/>
          <w:szCs w:val="24"/>
          <w:lang w:val="lv-LV"/>
        </w:rPr>
        <w:t xml:space="preserve"> </w:t>
      </w:r>
      <w:r w:rsidRPr="005869E7">
        <w:rPr>
          <w:b w:val="0"/>
          <w:noProof/>
          <w:sz w:val="24"/>
          <w:szCs w:val="24"/>
          <w:lang w:val="lv-LV"/>
        </w:rPr>
        <w:t>Tā arī pagarinājusi termiņu līdz 10 gadiem iekšzemes obligāciju tirgū, būtiski samazinoties attiecīgajām peļņas likmēm.</w:t>
      </w:r>
      <w:r w:rsidRPr="005869E7">
        <w:rPr>
          <w:b w:val="0"/>
          <w:sz w:val="24"/>
          <w:szCs w:val="24"/>
          <w:lang w:val="lv-LV"/>
        </w:rPr>
        <w:t xml:space="preserve"> </w:t>
      </w:r>
      <w:r w:rsidRPr="005869E7">
        <w:rPr>
          <w:b w:val="0"/>
          <w:noProof/>
          <w:sz w:val="24"/>
          <w:szCs w:val="24"/>
          <w:lang w:val="lv-LV"/>
        </w:rPr>
        <w:t>Augsts pieteikumu seguma koeficients (krietni virs 5) starptautiskās obligāciju izsolēs atspoguļo to, ka atgriezusies investoru uzticēšanās Latvijai un nostiprinājusies spēja veiksmīgi segt finansēšanas vajadzības kapitāla tirgos.</w:t>
      </w:r>
      <w:r w:rsidRPr="005869E7">
        <w:rPr>
          <w:b w:val="0"/>
          <w:sz w:val="24"/>
          <w:szCs w:val="24"/>
          <w:lang w:val="lv-LV"/>
        </w:rPr>
        <w:t xml:space="preserve"> </w:t>
      </w:r>
    </w:p>
    <w:p w:rsidR="00063DE4" w:rsidRPr="005869E7" w:rsidRDefault="00063DE4" w:rsidP="002D62B9">
      <w:pPr>
        <w:pStyle w:val="Normal11pt"/>
        <w:spacing w:line="240" w:lineRule="auto"/>
        <w:ind w:firstLine="567"/>
        <w:rPr>
          <w:b w:val="0"/>
          <w:sz w:val="24"/>
          <w:szCs w:val="24"/>
          <w:lang w:val="lv-LV"/>
        </w:rPr>
      </w:pPr>
    </w:p>
    <w:p w:rsidR="00063DE4" w:rsidRPr="005869E7" w:rsidRDefault="00063DE4" w:rsidP="002D62B9">
      <w:pPr>
        <w:pStyle w:val="Normal11pt"/>
        <w:spacing w:line="240" w:lineRule="auto"/>
        <w:jc w:val="right"/>
        <w:rPr>
          <w:b w:val="0"/>
          <w:noProof/>
          <w:sz w:val="24"/>
          <w:szCs w:val="24"/>
          <w:lang w:val="lv-LV"/>
        </w:rPr>
      </w:pPr>
      <w:r>
        <w:rPr>
          <w:b w:val="0"/>
          <w:noProof/>
          <w:sz w:val="24"/>
          <w:szCs w:val="24"/>
          <w:lang w:val="lv-LV"/>
        </w:rPr>
        <w:t>2.3. tabula LB</w:t>
      </w:r>
      <w:r w:rsidRPr="005869E7">
        <w:rPr>
          <w:b w:val="0"/>
          <w:noProof/>
          <w:sz w:val="24"/>
          <w:szCs w:val="24"/>
          <w:lang w:val="lv-LV"/>
        </w:rPr>
        <w:t xml:space="preserve"> gada vidējās īstermiņa un ilgtermiņa</w:t>
      </w:r>
      <w:r>
        <w:rPr>
          <w:b w:val="0"/>
          <w:noProof/>
          <w:sz w:val="24"/>
          <w:szCs w:val="24"/>
          <w:lang w:val="lv-LV"/>
        </w:rPr>
        <w:t xml:space="preserve"> procentu likmes prognoze</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850"/>
        <w:gridCol w:w="992"/>
        <w:gridCol w:w="993"/>
        <w:gridCol w:w="1134"/>
      </w:tblGrid>
      <w:tr w:rsidR="00063DE4" w:rsidRPr="005869E7" w:rsidTr="00C1532A">
        <w:trPr>
          <w:trHeight w:val="255"/>
        </w:trPr>
        <w:tc>
          <w:tcPr>
            <w:tcW w:w="4678" w:type="dxa"/>
            <w:vAlign w:val="bottom"/>
          </w:tcPr>
          <w:p w:rsidR="00063DE4" w:rsidRPr="005869E7" w:rsidRDefault="00063DE4" w:rsidP="002D62B9">
            <w:pPr>
              <w:spacing w:after="0"/>
              <w:jc w:val="right"/>
              <w:rPr>
                <w:szCs w:val="24"/>
              </w:rPr>
            </w:pPr>
          </w:p>
        </w:tc>
        <w:tc>
          <w:tcPr>
            <w:tcW w:w="850" w:type="dxa"/>
            <w:vAlign w:val="bottom"/>
          </w:tcPr>
          <w:p w:rsidR="00063DE4" w:rsidRPr="005869E7" w:rsidRDefault="00063DE4" w:rsidP="002D62B9">
            <w:pPr>
              <w:spacing w:after="0"/>
              <w:ind w:firstLine="34"/>
              <w:jc w:val="right"/>
              <w:rPr>
                <w:szCs w:val="24"/>
              </w:rPr>
            </w:pPr>
            <w:r w:rsidRPr="005869E7">
              <w:rPr>
                <w:szCs w:val="24"/>
              </w:rPr>
              <w:t>2012</w:t>
            </w:r>
          </w:p>
        </w:tc>
        <w:tc>
          <w:tcPr>
            <w:tcW w:w="992" w:type="dxa"/>
            <w:noWrap/>
            <w:vAlign w:val="bottom"/>
            <w:hideMark/>
          </w:tcPr>
          <w:p w:rsidR="00063DE4" w:rsidRPr="005869E7" w:rsidRDefault="00063DE4" w:rsidP="002D62B9">
            <w:pPr>
              <w:spacing w:after="0"/>
              <w:ind w:firstLine="33"/>
              <w:jc w:val="right"/>
              <w:rPr>
                <w:szCs w:val="24"/>
              </w:rPr>
            </w:pPr>
            <w:r w:rsidRPr="005869E7">
              <w:rPr>
                <w:szCs w:val="24"/>
              </w:rPr>
              <w:t>2013</w:t>
            </w:r>
          </w:p>
        </w:tc>
        <w:tc>
          <w:tcPr>
            <w:tcW w:w="993" w:type="dxa"/>
            <w:noWrap/>
            <w:vAlign w:val="bottom"/>
            <w:hideMark/>
          </w:tcPr>
          <w:p w:rsidR="00063DE4" w:rsidRPr="005869E7" w:rsidRDefault="00063DE4" w:rsidP="002D62B9">
            <w:pPr>
              <w:spacing w:after="0"/>
              <w:ind w:firstLine="33"/>
              <w:jc w:val="right"/>
              <w:rPr>
                <w:szCs w:val="24"/>
              </w:rPr>
            </w:pPr>
            <w:r w:rsidRPr="005869E7">
              <w:rPr>
                <w:szCs w:val="24"/>
              </w:rPr>
              <w:t>2014</w:t>
            </w:r>
          </w:p>
        </w:tc>
        <w:tc>
          <w:tcPr>
            <w:tcW w:w="1134" w:type="dxa"/>
            <w:noWrap/>
            <w:vAlign w:val="bottom"/>
            <w:hideMark/>
          </w:tcPr>
          <w:p w:rsidR="00063DE4" w:rsidRPr="005869E7" w:rsidRDefault="00063DE4" w:rsidP="002D62B9">
            <w:pPr>
              <w:spacing w:after="0"/>
              <w:ind w:firstLine="33"/>
              <w:jc w:val="right"/>
              <w:rPr>
                <w:szCs w:val="24"/>
              </w:rPr>
            </w:pPr>
            <w:r w:rsidRPr="005869E7">
              <w:rPr>
                <w:szCs w:val="24"/>
              </w:rPr>
              <w:t>2015</w:t>
            </w:r>
          </w:p>
        </w:tc>
      </w:tr>
      <w:tr w:rsidR="00063DE4" w:rsidRPr="005869E7" w:rsidTr="00C1532A">
        <w:trPr>
          <w:trHeight w:val="255"/>
        </w:trPr>
        <w:tc>
          <w:tcPr>
            <w:tcW w:w="4678" w:type="dxa"/>
            <w:vAlign w:val="bottom"/>
          </w:tcPr>
          <w:p w:rsidR="00063DE4" w:rsidRDefault="00063DE4" w:rsidP="002D62B9">
            <w:pPr>
              <w:spacing w:after="0"/>
              <w:jc w:val="left"/>
              <w:rPr>
                <w:noProof/>
                <w:szCs w:val="24"/>
              </w:rPr>
            </w:pPr>
            <w:r w:rsidRPr="005869E7">
              <w:rPr>
                <w:noProof/>
                <w:szCs w:val="24"/>
              </w:rPr>
              <w:t>Īstermiņa likme (%)</w:t>
            </w:r>
          </w:p>
          <w:p w:rsidR="00063DE4" w:rsidRPr="005869E7" w:rsidRDefault="00063DE4" w:rsidP="002D62B9">
            <w:pPr>
              <w:spacing w:after="0"/>
              <w:ind w:firstLine="0"/>
              <w:jc w:val="left"/>
              <w:rPr>
                <w:szCs w:val="24"/>
              </w:rPr>
            </w:pPr>
            <w:r w:rsidRPr="005869E7">
              <w:rPr>
                <w:noProof/>
                <w:szCs w:val="24"/>
              </w:rPr>
              <w:t>(starpbanku tirgus 3</w:t>
            </w:r>
            <w:r w:rsidR="0035776A">
              <w:rPr>
                <w:noProof/>
                <w:szCs w:val="24"/>
              </w:rPr>
              <w:t>-</w:t>
            </w:r>
            <w:r w:rsidRPr="005869E7">
              <w:rPr>
                <w:noProof/>
                <w:szCs w:val="24"/>
              </w:rPr>
              <w:t>mēnešu procentu likme)</w:t>
            </w:r>
          </w:p>
        </w:tc>
        <w:tc>
          <w:tcPr>
            <w:tcW w:w="850" w:type="dxa"/>
            <w:vAlign w:val="bottom"/>
          </w:tcPr>
          <w:p w:rsidR="00063DE4" w:rsidRPr="005869E7" w:rsidRDefault="00063DE4" w:rsidP="00B54B48">
            <w:pPr>
              <w:spacing w:after="0"/>
              <w:ind w:firstLine="34"/>
              <w:jc w:val="right"/>
              <w:rPr>
                <w:szCs w:val="24"/>
              </w:rPr>
            </w:pPr>
            <w:r w:rsidRPr="005869E7">
              <w:rPr>
                <w:szCs w:val="24"/>
              </w:rPr>
              <w:t>1</w:t>
            </w:r>
            <w:r w:rsidR="00B54B48">
              <w:rPr>
                <w:szCs w:val="24"/>
              </w:rPr>
              <w:t>,</w:t>
            </w:r>
            <w:r w:rsidRPr="005869E7">
              <w:rPr>
                <w:szCs w:val="24"/>
              </w:rPr>
              <w:t>3</w:t>
            </w:r>
          </w:p>
        </w:tc>
        <w:tc>
          <w:tcPr>
            <w:tcW w:w="992" w:type="dxa"/>
            <w:noWrap/>
            <w:vAlign w:val="bottom"/>
            <w:hideMark/>
          </w:tcPr>
          <w:p w:rsidR="00063DE4" w:rsidRPr="005869E7" w:rsidRDefault="00063DE4" w:rsidP="00B54B48">
            <w:pPr>
              <w:spacing w:after="0"/>
              <w:ind w:firstLine="34"/>
              <w:jc w:val="right"/>
              <w:rPr>
                <w:szCs w:val="24"/>
              </w:rPr>
            </w:pPr>
            <w:r w:rsidRPr="005869E7">
              <w:rPr>
                <w:szCs w:val="24"/>
              </w:rPr>
              <w:t>1</w:t>
            </w:r>
            <w:r w:rsidR="00B54B48">
              <w:rPr>
                <w:szCs w:val="24"/>
              </w:rPr>
              <w:t>,</w:t>
            </w:r>
            <w:r w:rsidRPr="005869E7">
              <w:rPr>
                <w:szCs w:val="24"/>
              </w:rPr>
              <w:t>3</w:t>
            </w:r>
          </w:p>
        </w:tc>
        <w:tc>
          <w:tcPr>
            <w:tcW w:w="993" w:type="dxa"/>
            <w:noWrap/>
            <w:vAlign w:val="bottom"/>
            <w:hideMark/>
          </w:tcPr>
          <w:p w:rsidR="00063DE4" w:rsidRPr="005869E7" w:rsidRDefault="00063DE4" w:rsidP="00B54B48">
            <w:pPr>
              <w:spacing w:after="0"/>
              <w:ind w:firstLine="34"/>
              <w:jc w:val="right"/>
              <w:rPr>
                <w:szCs w:val="24"/>
              </w:rPr>
            </w:pPr>
            <w:r w:rsidRPr="005869E7">
              <w:rPr>
                <w:szCs w:val="24"/>
              </w:rPr>
              <w:t>1</w:t>
            </w:r>
            <w:r w:rsidR="00B54B48">
              <w:rPr>
                <w:szCs w:val="24"/>
              </w:rPr>
              <w:t>,</w:t>
            </w:r>
            <w:r w:rsidRPr="005869E7">
              <w:rPr>
                <w:szCs w:val="24"/>
              </w:rPr>
              <w:t>3</w:t>
            </w:r>
          </w:p>
        </w:tc>
        <w:tc>
          <w:tcPr>
            <w:tcW w:w="1134" w:type="dxa"/>
            <w:noWrap/>
            <w:vAlign w:val="bottom"/>
            <w:hideMark/>
          </w:tcPr>
          <w:p w:rsidR="00063DE4" w:rsidRPr="005869E7" w:rsidRDefault="00063DE4" w:rsidP="00B54B48">
            <w:pPr>
              <w:spacing w:after="0"/>
              <w:ind w:firstLine="34"/>
              <w:jc w:val="right"/>
              <w:rPr>
                <w:szCs w:val="24"/>
              </w:rPr>
            </w:pPr>
            <w:r w:rsidRPr="005869E7">
              <w:rPr>
                <w:szCs w:val="24"/>
              </w:rPr>
              <w:t>1</w:t>
            </w:r>
            <w:r w:rsidR="00B54B48">
              <w:rPr>
                <w:szCs w:val="24"/>
              </w:rPr>
              <w:t>,</w:t>
            </w:r>
            <w:r w:rsidRPr="005869E7">
              <w:rPr>
                <w:szCs w:val="24"/>
              </w:rPr>
              <w:t>9 </w:t>
            </w:r>
          </w:p>
        </w:tc>
      </w:tr>
      <w:tr w:rsidR="00063DE4" w:rsidRPr="005869E7" w:rsidTr="00C1532A">
        <w:trPr>
          <w:trHeight w:val="255"/>
        </w:trPr>
        <w:tc>
          <w:tcPr>
            <w:tcW w:w="4678" w:type="dxa"/>
            <w:vAlign w:val="bottom"/>
          </w:tcPr>
          <w:p w:rsidR="00063DE4" w:rsidRDefault="00063DE4" w:rsidP="002D62B9">
            <w:pPr>
              <w:spacing w:after="0"/>
              <w:jc w:val="left"/>
              <w:rPr>
                <w:noProof/>
                <w:szCs w:val="24"/>
              </w:rPr>
            </w:pPr>
            <w:r w:rsidRPr="005869E7">
              <w:rPr>
                <w:noProof/>
                <w:szCs w:val="24"/>
              </w:rPr>
              <w:t>Ilgtermiņa likme (%)</w:t>
            </w:r>
          </w:p>
          <w:p w:rsidR="00063DE4" w:rsidRPr="005869E7" w:rsidRDefault="00063DE4" w:rsidP="002D62B9">
            <w:pPr>
              <w:spacing w:after="0"/>
              <w:ind w:firstLine="0"/>
              <w:jc w:val="left"/>
              <w:rPr>
                <w:szCs w:val="24"/>
              </w:rPr>
            </w:pPr>
            <w:r w:rsidRPr="005869E7">
              <w:rPr>
                <w:noProof/>
                <w:szCs w:val="24"/>
              </w:rPr>
              <w:t xml:space="preserve">valdības 10-gadu obligāciju peļņas </w:t>
            </w:r>
            <w:r w:rsidRPr="00493523">
              <w:rPr>
                <w:noProof/>
                <w:szCs w:val="24"/>
              </w:rPr>
              <w:t>likme</w:t>
            </w:r>
            <w:r>
              <w:rPr>
                <w:b/>
                <w:noProof/>
                <w:szCs w:val="24"/>
              </w:rPr>
              <w:t>)</w:t>
            </w:r>
          </w:p>
        </w:tc>
        <w:tc>
          <w:tcPr>
            <w:tcW w:w="850" w:type="dxa"/>
            <w:vAlign w:val="bottom"/>
          </w:tcPr>
          <w:p w:rsidR="00063DE4" w:rsidRPr="005869E7" w:rsidRDefault="00063DE4" w:rsidP="00B54B48">
            <w:pPr>
              <w:spacing w:after="0"/>
              <w:ind w:firstLine="34"/>
              <w:jc w:val="right"/>
              <w:rPr>
                <w:szCs w:val="24"/>
              </w:rPr>
            </w:pPr>
            <w:r w:rsidRPr="005869E7">
              <w:rPr>
                <w:szCs w:val="24"/>
              </w:rPr>
              <w:t>5</w:t>
            </w:r>
            <w:r w:rsidR="00B54B48">
              <w:rPr>
                <w:szCs w:val="24"/>
              </w:rPr>
              <w:t>,</w:t>
            </w:r>
            <w:r w:rsidRPr="005869E7">
              <w:rPr>
                <w:szCs w:val="24"/>
              </w:rPr>
              <w:t>0</w:t>
            </w:r>
          </w:p>
        </w:tc>
        <w:tc>
          <w:tcPr>
            <w:tcW w:w="992" w:type="dxa"/>
            <w:noWrap/>
            <w:vAlign w:val="bottom"/>
            <w:hideMark/>
          </w:tcPr>
          <w:p w:rsidR="00063DE4" w:rsidRPr="005869E7" w:rsidRDefault="00063DE4" w:rsidP="00B54B48">
            <w:pPr>
              <w:spacing w:after="0"/>
              <w:ind w:firstLine="34"/>
              <w:jc w:val="right"/>
              <w:rPr>
                <w:szCs w:val="24"/>
              </w:rPr>
            </w:pPr>
            <w:r w:rsidRPr="005869E7">
              <w:rPr>
                <w:szCs w:val="24"/>
              </w:rPr>
              <w:t>4</w:t>
            </w:r>
            <w:r w:rsidR="00B54B48">
              <w:rPr>
                <w:szCs w:val="24"/>
              </w:rPr>
              <w:t>,</w:t>
            </w:r>
            <w:r w:rsidRPr="005869E7">
              <w:rPr>
                <w:szCs w:val="24"/>
              </w:rPr>
              <w:t>5</w:t>
            </w:r>
          </w:p>
        </w:tc>
        <w:tc>
          <w:tcPr>
            <w:tcW w:w="993" w:type="dxa"/>
            <w:noWrap/>
            <w:vAlign w:val="bottom"/>
            <w:hideMark/>
          </w:tcPr>
          <w:p w:rsidR="00063DE4" w:rsidRPr="005869E7" w:rsidRDefault="00063DE4" w:rsidP="00B54B48">
            <w:pPr>
              <w:spacing w:after="0"/>
              <w:ind w:firstLine="34"/>
              <w:jc w:val="right"/>
              <w:rPr>
                <w:szCs w:val="24"/>
              </w:rPr>
            </w:pPr>
            <w:r w:rsidRPr="005869E7">
              <w:rPr>
                <w:szCs w:val="24"/>
              </w:rPr>
              <w:t>4</w:t>
            </w:r>
            <w:r w:rsidR="00B54B48">
              <w:rPr>
                <w:szCs w:val="24"/>
              </w:rPr>
              <w:t>,</w:t>
            </w:r>
            <w:r w:rsidRPr="005869E7">
              <w:rPr>
                <w:szCs w:val="24"/>
              </w:rPr>
              <w:t>4</w:t>
            </w:r>
          </w:p>
        </w:tc>
        <w:tc>
          <w:tcPr>
            <w:tcW w:w="1134" w:type="dxa"/>
            <w:noWrap/>
            <w:vAlign w:val="bottom"/>
            <w:hideMark/>
          </w:tcPr>
          <w:p w:rsidR="00063DE4" w:rsidRPr="005869E7" w:rsidRDefault="00063DE4" w:rsidP="00B54B48">
            <w:pPr>
              <w:spacing w:after="0"/>
              <w:ind w:firstLine="34"/>
              <w:jc w:val="right"/>
              <w:rPr>
                <w:szCs w:val="24"/>
              </w:rPr>
            </w:pPr>
            <w:r w:rsidRPr="005869E7">
              <w:rPr>
                <w:szCs w:val="24"/>
              </w:rPr>
              <w:t>4</w:t>
            </w:r>
            <w:r w:rsidR="00B54B48">
              <w:rPr>
                <w:szCs w:val="24"/>
              </w:rPr>
              <w:t>,</w:t>
            </w:r>
            <w:r w:rsidRPr="005869E7">
              <w:rPr>
                <w:szCs w:val="24"/>
              </w:rPr>
              <w:t>4</w:t>
            </w:r>
          </w:p>
        </w:tc>
      </w:tr>
    </w:tbl>
    <w:p w:rsidR="00063DE4" w:rsidRPr="005869E7" w:rsidRDefault="00063DE4" w:rsidP="002D62B9">
      <w:pPr>
        <w:autoSpaceDE w:val="0"/>
        <w:autoSpaceDN w:val="0"/>
        <w:adjustRightInd w:val="0"/>
        <w:spacing w:after="0"/>
        <w:rPr>
          <w:rFonts w:eastAsia="TimesNewRomanWGL"/>
          <w:szCs w:val="24"/>
        </w:rPr>
      </w:pPr>
    </w:p>
    <w:p w:rsidR="00063DE4" w:rsidRPr="005869E7" w:rsidRDefault="00063DE4" w:rsidP="002D62B9">
      <w:pPr>
        <w:rPr>
          <w:szCs w:val="24"/>
          <w:u w:val="single"/>
        </w:rPr>
      </w:pPr>
      <w:r w:rsidRPr="005869E7">
        <w:rPr>
          <w:szCs w:val="24"/>
          <w:u w:val="single"/>
        </w:rPr>
        <w:t>Inflācijas kritērija izpilde</w:t>
      </w:r>
    </w:p>
    <w:p w:rsidR="00063DE4" w:rsidRDefault="00063DE4" w:rsidP="002D62B9">
      <w:pPr>
        <w:ind w:firstLine="720"/>
        <w:rPr>
          <w:szCs w:val="24"/>
        </w:rPr>
      </w:pPr>
      <w:r w:rsidRPr="005869E7">
        <w:rPr>
          <w:szCs w:val="24"/>
        </w:rPr>
        <w:t xml:space="preserve"> Gada vidēj</w:t>
      </w:r>
      <w:r w:rsidR="00634888">
        <w:rPr>
          <w:szCs w:val="24"/>
        </w:rPr>
        <w:t>ais</w:t>
      </w:r>
      <w:r w:rsidRPr="005869E7">
        <w:rPr>
          <w:szCs w:val="24"/>
        </w:rPr>
        <w:t xml:space="preserve"> </w:t>
      </w:r>
      <w:r w:rsidR="00634888">
        <w:rPr>
          <w:szCs w:val="24"/>
        </w:rPr>
        <w:t>patēriņa cenu indeksa pieaugums</w:t>
      </w:r>
      <w:r w:rsidRPr="005869E7">
        <w:rPr>
          <w:szCs w:val="24"/>
        </w:rPr>
        <w:t xml:space="preserve"> 2011. gadā, salīdzinot ar 2010. gadu sasniedza 4,4</w:t>
      </w:r>
      <w:r w:rsidR="00D82C46">
        <w:rPr>
          <w:szCs w:val="24"/>
        </w:rPr>
        <w:t> </w:t>
      </w:r>
      <w:r w:rsidRPr="005869E7">
        <w:rPr>
          <w:szCs w:val="24"/>
        </w:rPr>
        <w:t xml:space="preserve">%, kas ir virs kritērija. Māstrihtas kritēriju ir plānots sasniegt 2012. gada beigās, jo indikatoru ilgstoši ietekmēs 2011. gada nodokļu izmaiņu efekts. Līdz novērtējuma periodam (gaidāms, ka pēdējie pieejami dati par inflāciju, kurus izmantos novērtējumam būs par 2013. gada martu) šis efekts izzudīs, jo nodokļu pacelšanai ir tikai vienreizējs efekts uz inflāciju un tas neatstāj paliekošas sekas.  </w:t>
      </w:r>
    </w:p>
    <w:p w:rsidR="00634888" w:rsidRPr="005869E7" w:rsidRDefault="00634888" w:rsidP="00634888">
      <w:pPr>
        <w:ind w:firstLine="720"/>
        <w:rPr>
          <w:szCs w:val="24"/>
        </w:rPr>
      </w:pPr>
      <w:r w:rsidRPr="00B305CE">
        <w:rPr>
          <w:szCs w:val="24"/>
        </w:rPr>
        <w:t>Lai arī inflācijas kritērijs 2012. gada sākumā netiek izpildīts, Latvijā ir viena no zemākajām pamatinflācijām Eiropas Savienībā, kas norāda uz paliekošu inflāciju bremzējošu efektu no budžeta konsolidācijas pasākumiem. Tomēr, ar to saistītais patēriņa kritums ir padarījis ekonomiku uzņēmīgāku pret globālo energoresursu cenu kāpumu.</w:t>
      </w:r>
    </w:p>
    <w:p w:rsidR="00063DE4" w:rsidRPr="005869E7" w:rsidRDefault="00063DE4" w:rsidP="002D62B9">
      <w:pPr>
        <w:ind w:firstLine="720"/>
        <w:rPr>
          <w:szCs w:val="24"/>
        </w:rPr>
      </w:pPr>
      <w:r w:rsidRPr="005869E7">
        <w:rPr>
          <w:szCs w:val="24"/>
        </w:rPr>
        <w:t xml:space="preserve"> </w:t>
      </w:r>
      <w:r w:rsidR="00634888">
        <w:rPr>
          <w:szCs w:val="24"/>
        </w:rPr>
        <w:t>Gada vidējās inflācijas a</w:t>
      </w:r>
      <w:r w:rsidRPr="005869E7">
        <w:rPr>
          <w:szCs w:val="24"/>
        </w:rPr>
        <w:t xml:space="preserve">prēķina metodoloģijas specifika norāda, ka spēcīgākā ietekme uz inflāciju novērtējuma periodā ir 2012. gada pirmajā pusē. Šajā periodā inflācijas dinamiku noteiks svārstīgās energoresursu cenas pasaulē – gan primāri ietekmējot degvielas un komunālo pakalpojumu cenas, gan arī sekundāri – ražotājiem un tirgotājiem pārskatot cenas atbilstoši izmaksu kāpumam. </w:t>
      </w:r>
    </w:p>
    <w:p w:rsidR="00063DE4" w:rsidRPr="005869E7" w:rsidRDefault="00BD6F38" w:rsidP="002D62B9">
      <w:pPr>
        <w:ind w:firstLine="0"/>
        <w:jc w:val="center"/>
        <w:rPr>
          <w:szCs w:val="24"/>
        </w:rPr>
      </w:pPr>
      <w:r>
        <w:rPr>
          <w:noProof/>
          <w:lang w:eastAsia="lv-LV"/>
        </w:rPr>
        <w:pict>
          <v:shape id="Picture 10" o:spid="_x0000_i1031" type="#_x0000_t75" style="width:415.1pt;height:254.2pt;visibility:visible">
            <v:imagedata r:id="rId22" o:title=""/>
          </v:shape>
        </w:pict>
      </w:r>
    </w:p>
    <w:p w:rsidR="00063DE4" w:rsidRPr="005869E7" w:rsidRDefault="00063DE4" w:rsidP="002D62B9">
      <w:pPr>
        <w:ind w:firstLine="0"/>
        <w:jc w:val="center"/>
        <w:rPr>
          <w:szCs w:val="24"/>
        </w:rPr>
      </w:pPr>
      <w:r w:rsidRPr="005869E7">
        <w:rPr>
          <w:szCs w:val="24"/>
        </w:rPr>
        <w:t xml:space="preserve">2.7. att. </w:t>
      </w:r>
      <w:r>
        <w:rPr>
          <w:szCs w:val="24"/>
        </w:rPr>
        <w:t>Latvijas gada vidējās i</w:t>
      </w:r>
      <w:r w:rsidRPr="005869E7">
        <w:rPr>
          <w:szCs w:val="24"/>
        </w:rPr>
        <w:t>nflācijas</w:t>
      </w:r>
      <w:r>
        <w:rPr>
          <w:szCs w:val="24"/>
        </w:rPr>
        <w:t xml:space="preserve"> rādītāja</w:t>
      </w:r>
      <w:r w:rsidRPr="005869E7">
        <w:rPr>
          <w:szCs w:val="24"/>
        </w:rPr>
        <w:t xml:space="preserve"> un Māstrihtas</w:t>
      </w:r>
      <w:r>
        <w:rPr>
          <w:szCs w:val="24"/>
        </w:rPr>
        <w:t xml:space="preserve"> in</w:t>
      </w:r>
      <w:r w:rsidRPr="005869E7">
        <w:rPr>
          <w:szCs w:val="24"/>
        </w:rPr>
        <w:t>f</w:t>
      </w:r>
      <w:r>
        <w:rPr>
          <w:szCs w:val="24"/>
        </w:rPr>
        <w:t>lācijas kritērija izpilde un prognozes</w:t>
      </w:r>
    </w:p>
    <w:p w:rsidR="00BD74BB" w:rsidRPr="00063DE4" w:rsidRDefault="00063DE4" w:rsidP="00525064">
      <w:pPr>
        <w:ind w:firstLine="720"/>
        <w:rPr>
          <w:szCs w:val="24"/>
        </w:rPr>
      </w:pPr>
      <w:r w:rsidRPr="005869E7">
        <w:rPr>
          <w:szCs w:val="24"/>
        </w:rPr>
        <w:t xml:space="preserve">Saskaņā ar </w:t>
      </w:r>
      <w:r>
        <w:rPr>
          <w:szCs w:val="24"/>
        </w:rPr>
        <w:t>F</w:t>
      </w:r>
      <w:r w:rsidRPr="005869E7">
        <w:rPr>
          <w:szCs w:val="24"/>
        </w:rPr>
        <w:t>M prognozēm, gada vidējā inflācija novērtējuma periodā 2013. gada martā samazināsies līdz 2,2</w:t>
      </w:r>
      <w:r w:rsidR="00D82C46">
        <w:rPr>
          <w:szCs w:val="24"/>
        </w:rPr>
        <w:t> </w:t>
      </w:r>
      <w:r w:rsidRPr="005869E7">
        <w:rPr>
          <w:szCs w:val="24"/>
        </w:rPr>
        <w:t xml:space="preserve">%, savukārt kritērijs pēc jaunākajiem FM aprēķiniem (pamatojoties uz 2012. gada februāra </w:t>
      </w:r>
      <w:r w:rsidR="001D4739">
        <w:rPr>
          <w:szCs w:val="24"/>
        </w:rPr>
        <w:t>EK</w:t>
      </w:r>
      <w:r w:rsidRPr="005869E7">
        <w:rPr>
          <w:szCs w:val="24"/>
        </w:rPr>
        <w:t xml:space="preserve"> starpposma ziņojuma atjaunotajām makroekonomisko rādītāju prognozēm) būs 2,3 procenti. Jāatzīmē, ka aprēķinā tiek ņemta </w:t>
      </w:r>
      <w:r w:rsidRPr="005869E7">
        <w:rPr>
          <w:szCs w:val="24"/>
        </w:rPr>
        <w:lastRenderedPageBreak/>
        <w:t xml:space="preserve">vērā arī prognozētā deflācija Grieķijā, jo </w:t>
      </w:r>
      <w:r>
        <w:rPr>
          <w:szCs w:val="24"/>
        </w:rPr>
        <w:t>ES</w:t>
      </w:r>
      <w:r w:rsidRPr="005869E7">
        <w:rPr>
          <w:szCs w:val="24"/>
        </w:rPr>
        <w:t xml:space="preserve"> normatīvajos aktos nav atrunāta precīza procedūra, kas nosaka izņēmuma gadījumus valstīm, kas ņemtas par pamatu kritērijam. </w:t>
      </w:r>
    </w:p>
    <w:p w:rsidR="00AF1E4C" w:rsidRDefault="00283B8B" w:rsidP="002D62B9">
      <w:pPr>
        <w:pStyle w:val="PIRMAIS"/>
        <w:tabs>
          <w:tab w:val="clear" w:pos="567"/>
        </w:tabs>
        <w:ind w:left="426" w:hanging="426"/>
      </w:pPr>
      <w:bookmarkStart w:id="19" w:name="_Toc284924047"/>
      <w:bookmarkStart w:id="20" w:name="_Toc323120278"/>
      <w:bookmarkEnd w:id="9"/>
      <w:r>
        <w:lastRenderedPageBreak/>
        <w:t xml:space="preserve">3. </w:t>
      </w:r>
      <w:r w:rsidR="000F6956" w:rsidRPr="009C61B1">
        <w:t>Strukturālo reformu ietekme uz tautsaimniecību un valsts finansēm</w:t>
      </w:r>
      <w:bookmarkStart w:id="21" w:name="_Toc251917330"/>
      <w:bookmarkStart w:id="22" w:name="_Toc290024499"/>
      <w:bookmarkEnd w:id="19"/>
      <w:bookmarkEnd w:id="20"/>
    </w:p>
    <w:p w:rsidR="002B225F" w:rsidRDefault="002B225F" w:rsidP="002D62B9">
      <w:pPr>
        <w:rPr>
          <w:szCs w:val="24"/>
        </w:rPr>
      </w:pPr>
      <w:bookmarkStart w:id="23" w:name="_Toc284924048"/>
      <w:bookmarkEnd w:id="21"/>
      <w:bookmarkEnd w:id="22"/>
    </w:p>
    <w:p w:rsidR="006677FA" w:rsidRPr="006677FA" w:rsidRDefault="006677FA" w:rsidP="002D62B9">
      <w:pPr>
        <w:rPr>
          <w:szCs w:val="24"/>
        </w:rPr>
      </w:pPr>
      <w:r w:rsidRPr="006677FA">
        <w:rPr>
          <w:szCs w:val="24"/>
        </w:rPr>
        <w:t xml:space="preserve">Lai sasniegtu vispārējās valdības budžeta mērķus, tajā pašā laikā nodrošinot apstākļus ekonomikas izaugsmei vidējā termiņā, Latvijas valdība turpina īstenot strukturālās reformas šādos galvenajos virzienos: </w:t>
      </w:r>
    </w:p>
    <w:p w:rsidR="006677FA" w:rsidRPr="006677FA" w:rsidRDefault="006677FA" w:rsidP="002D62B9">
      <w:pPr>
        <w:pStyle w:val="ListParagraph"/>
        <w:numPr>
          <w:ilvl w:val="0"/>
          <w:numId w:val="27"/>
        </w:numPr>
        <w:spacing w:after="120" w:line="240" w:lineRule="auto"/>
        <w:jc w:val="both"/>
        <w:rPr>
          <w:rFonts w:ascii="Times New Roman" w:hAnsi="Times New Roman"/>
          <w:sz w:val="24"/>
          <w:szCs w:val="24"/>
        </w:rPr>
      </w:pPr>
      <w:r w:rsidRPr="006677FA">
        <w:rPr>
          <w:rFonts w:ascii="Times New Roman" w:hAnsi="Times New Roman"/>
          <w:sz w:val="24"/>
          <w:szCs w:val="24"/>
        </w:rPr>
        <w:t>Finanšu stabilitāte</w:t>
      </w:r>
      <w:r w:rsidR="00C740F1">
        <w:rPr>
          <w:rFonts w:ascii="Times New Roman" w:hAnsi="Times New Roman"/>
          <w:sz w:val="24"/>
          <w:szCs w:val="24"/>
          <w:lang w:val="lv-LV"/>
        </w:rPr>
        <w:t>;</w:t>
      </w:r>
    </w:p>
    <w:p w:rsidR="006677FA" w:rsidRPr="006677FA" w:rsidRDefault="00C740F1" w:rsidP="002D62B9">
      <w:pPr>
        <w:pStyle w:val="ListParagraph"/>
        <w:numPr>
          <w:ilvl w:val="0"/>
          <w:numId w:val="27"/>
        </w:numPr>
        <w:spacing w:after="120" w:line="240" w:lineRule="auto"/>
        <w:jc w:val="both"/>
        <w:rPr>
          <w:rFonts w:ascii="Times New Roman" w:hAnsi="Times New Roman"/>
          <w:sz w:val="24"/>
          <w:szCs w:val="24"/>
        </w:rPr>
      </w:pPr>
      <w:r>
        <w:rPr>
          <w:rFonts w:ascii="Times New Roman" w:hAnsi="Times New Roman"/>
          <w:sz w:val="24"/>
          <w:szCs w:val="24"/>
        </w:rPr>
        <w:t>Konkurētspējas veicināšana;</w:t>
      </w:r>
    </w:p>
    <w:p w:rsidR="006677FA" w:rsidRPr="006677FA" w:rsidRDefault="006677FA" w:rsidP="002D62B9">
      <w:pPr>
        <w:pStyle w:val="ListParagraph"/>
        <w:numPr>
          <w:ilvl w:val="0"/>
          <w:numId w:val="27"/>
        </w:numPr>
        <w:spacing w:after="120" w:line="240" w:lineRule="auto"/>
        <w:jc w:val="both"/>
        <w:rPr>
          <w:rFonts w:ascii="Times New Roman" w:hAnsi="Times New Roman"/>
          <w:sz w:val="24"/>
          <w:szCs w:val="24"/>
        </w:rPr>
      </w:pPr>
      <w:r w:rsidRPr="006677FA">
        <w:rPr>
          <w:rFonts w:ascii="Times New Roman" w:hAnsi="Times New Roman"/>
          <w:sz w:val="24"/>
          <w:szCs w:val="24"/>
        </w:rPr>
        <w:t>Sabalansēta s</w:t>
      </w:r>
      <w:r w:rsidR="00C740F1">
        <w:rPr>
          <w:rFonts w:ascii="Times New Roman" w:hAnsi="Times New Roman"/>
          <w:sz w:val="24"/>
          <w:szCs w:val="24"/>
        </w:rPr>
        <w:t>ociālā sistēma un nodarbinātība</w:t>
      </w:r>
      <w:r w:rsidR="00C740F1">
        <w:rPr>
          <w:rFonts w:ascii="Times New Roman" w:hAnsi="Times New Roman"/>
          <w:sz w:val="24"/>
          <w:szCs w:val="24"/>
          <w:lang w:val="lv-LV"/>
        </w:rPr>
        <w:t>;</w:t>
      </w:r>
    </w:p>
    <w:p w:rsidR="006677FA" w:rsidRPr="006677FA" w:rsidRDefault="00C740F1" w:rsidP="002D62B9">
      <w:pPr>
        <w:pStyle w:val="ListParagraph"/>
        <w:numPr>
          <w:ilvl w:val="0"/>
          <w:numId w:val="27"/>
        </w:numPr>
        <w:spacing w:after="120" w:line="240" w:lineRule="auto"/>
        <w:jc w:val="both"/>
        <w:rPr>
          <w:rFonts w:ascii="Times New Roman" w:hAnsi="Times New Roman"/>
          <w:sz w:val="24"/>
          <w:szCs w:val="24"/>
        </w:rPr>
      </w:pPr>
      <w:r>
        <w:rPr>
          <w:rFonts w:ascii="Times New Roman" w:hAnsi="Times New Roman"/>
          <w:sz w:val="24"/>
          <w:szCs w:val="24"/>
        </w:rPr>
        <w:t>Veselības aprūpe;</w:t>
      </w:r>
    </w:p>
    <w:p w:rsidR="006677FA" w:rsidRPr="006677FA" w:rsidRDefault="00C740F1" w:rsidP="002D62B9">
      <w:pPr>
        <w:pStyle w:val="ListParagraph"/>
        <w:numPr>
          <w:ilvl w:val="0"/>
          <w:numId w:val="27"/>
        </w:numPr>
        <w:spacing w:after="120" w:line="240" w:lineRule="auto"/>
        <w:jc w:val="both"/>
        <w:rPr>
          <w:rFonts w:ascii="Times New Roman" w:hAnsi="Times New Roman"/>
          <w:sz w:val="24"/>
          <w:szCs w:val="24"/>
        </w:rPr>
      </w:pPr>
      <w:r>
        <w:rPr>
          <w:rFonts w:ascii="Times New Roman" w:hAnsi="Times New Roman"/>
          <w:sz w:val="24"/>
          <w:szCs w:val="24"/>
        </w:rPr>
        <w:t>Izglītība un zinātne</w:t>
      </w:r>
      <w:r>
        <w:rPr>
          <w:rFonts w:ascii="Times New Roman" w:hAnsi="Times New Roman"/>
          <w:sz w:val="24"/>
          <w:szCs w:val="24"/>
          <w:lang w:val="lv-LV"/>
        </w:rPr>
        <w:t>.</w:t>
      </w:r>
    </w:p>
    <w:p w:rsidR="006677FA" w:rsidRPr="005E45EB" w:rsidRDefault="006677FA" w:rsidP="002D62B9">
      <w:pPr>
        <w:rPr>
          <w:szCs w:val="24"/>
        </w:rPr>
      </w:pPr>
      <w:r w:rsidRPr="0046152E">
        <w:rPr>
          <w:szCs w:val="24"/>
        </w:rPr>
        <w:t>Konverģences programmā iekļautajām strukturālajām reformām būs tieša ietekme uz Latvijas tautsaimniecības attīstību un valsts finansēm. Konverģences programmā iekļautās reformas</w:t>
      </w:r>
      <w:r w:rsidRPr="005E45EB">
        <w:rPr>
          <w:szCs w:val="24"/>
        </w:rPr>
        <w:t xml:space="preserve"> ir vērstas gan uz izaugsmes veicināšanu, gan budžeta līdzekļu efektīvāku izmantošanu, nodrošinot budžeta deficīta samazināšanu. Tomēr, ņemot vērā, ka izvirzītie reformu virzieni tikai daļēji paredz konkrētu pasākumu īstenošanu, šobrīd nav iespējams aprēķināt pilnīgu un precīzu visu reformu ietekmi uz ekonomiku un valsts finansēm. Jāatzīmē, ka reformu īstenošanā liela nozīme ir pieejamajam ES fondu finansējumam.</w:t>
      </w:r>
    </w:p>
    <w:p w:rsidR="006677FA" w:rsidRPr="006677FA" w:rsidRDefault="006677FA" w:rsidP="002D62B9">
      <w:pPr>
        <w:rPr>
          <w:szCs w:val="24"/>
        </w:rPr>
      </w:pPr>
      <w:r w:rsidRPr="005E45EB">
        <w:rPr>
          <w:szCs w:val="24"/>
        </w:rPr>
        <w:t>Plašāk strukturālo reformu virzieni, kā arī plānotie pasākumi 2012.</w:t>
      </w:r>
      <w:r w:rsidR="00D82C46">
        <w:rPr>
          <w:szCs w:val="24"/>
        </w:rPr>
        <w:t xml:space="preserve"> </w:t>
      </w:r>
      <w:r w:rsidR="0035776A">
        <w:rPr>
          <w:szCs w:val="24"/>
        </w:rPr>
        <w:t>–</w:t>
      </w:r>
      <w:r w:rsidR="00D82C46">
        <w:rPr>
          <w:szCs w:val="24"/>
        </w:rPr>
        <w:t xml:space="preserve"> </w:t>
      </w:r>
      <w:r w:rsidRPr="005E45EB">
        <w:rPr>
          <w:szCs w:val="24"/>
        </w:rPr>
        <w:t>2013. gadam, ir</w:t>
      </w:r>
      <w:r w:rsidRPr="0046152E">
        <w:rPr>
          <w:szCs w:val="24"/>
        </w:rPr>
        <w:t xml:space="preserve"> aprakstīti </w:t>
      </w:r>
      <w:r w:rsidR="00F54936" w:rsidRPr="005E45EB">
        <w:rPr>
          <w:szCs w:val="24"/>
        </w:rPr>
        <w:t>NRP</w:t>
      </w:r>
      <w:r w:rsidRPr="005E45EB">
        <w:rPr>
          <w:szCs w:val="24"/>
        </w:rPr>
        <w:t>.</w:t>
      </w:r>
    </w:p>
    <w:p w:rsidR="006677FA" w:rsidRPr="006677FA" w:rsidRDefault="006677FA" w:rsidP="002D62B9">
      <w:pPr>
        <w:rPr>
          <w:szCs w:val="24"/>
        </w:rPr>
      </w:pPr>
      <w:r w:rsidRPr="006677FA">
        <w:rPr>
          <w:szCs w:val="24"/>
        </w:rPr>
        <w:t xml:space="preserve">Sadaļa ir sagatavota, izmantojot Valsts kancelejas un nozaru ministriju informāciju. </w:t>
      </w:r>
    </w:p>
    <w:p w:rsidR="006677FA" w:rsidRPr="00633F49" w:rsidRDefault="006677FA" w:rsidP="002D62B9">
      <w:pPr>
        <w:pStyle w:val="H3"/>
        <w:rPr>
          <w:rFonts w:ascii="Times New Roman" w:hAnsi="Times New Roman"/>
          <w:sz w:val="32"/>
          <w:szCs w:val="32"/>
        </w:rPr>
      </w:pPr>
      <w:bookmarkStart w:id="24" w:name="_Toc323120279"/>
      <w:bookmarkStart w:id="25" w:name="_Toc291075981"/>
      <w:r w:rsidRPr="00633F49">
        <w:rPr>
          <w:rFonts w:ascii="Times New Roman" w:hAnsi="Times New Roman"/>
          <w:sz w:val="32"/>
          <w:szCs w:val="32"/>
        </w:rPr>
        <w:t>3.1. Finanšu stabilitāte</w:t>
      </w:r>
      <w:bookmarkEnd w:id="24"/>
    </w:p>
    <w:p w:rsidR="006677FA" w:rsidRPr="00EE10B7" w:rsidRDefault="006677FA" w:rsidP="00FD7E85">
      <w:pPr>
        <w:pStyle w:val="ListParagraph"/>
        <w:spacing w:before="120" w:after="120" w:line="240" w:lineRule="auto"/>
        <w:ind w:left="0"/>
        <w:contextualSpacing w:val="0"/>
        <w:jc w:val="both"/>
        <w:rPr>
          <w:rFonts w:ascii="Times New Roman" w:hAnsi="Times New Roman"/>
          <w:sz w:val="24"/>
          <w:szCs w:val="24"/>
          <w:lang w:val="lv-LV"/>
        </w:rPr>
      </w:pPr>
      <w:r w:rsidRPr="006677FA">
        <w:rPr>
          <w:rFonts w:ascii="Times New Roman" w:hAnsi="Times New Roman"/>
          <w:noProof/>
          <w:sz w:val="24"/>
          <w:szCs w:val="24"/>
          <w:u w:val="single"/>
        </w:rPr>
        <w:t>Fiskālās disciplīnas stiprināšana</w:t>
      </w:r>
      <w:r w:rsidRPr="006677FA">
        <w:rPr>
          <w:rFonts w:ascii="Times New Roman" w:hAnsi="Times New Roman"/>
          <w:noProof/>
          <w:sz w:val="24"/>
          <w:szCs w:val="24"/>
        </w:rPr>
        <w:t xml:space="preserve">. </w:t>
      </w:r>
      <w:r w:rsidRPr="006677FA">
        <w:rPr>
          <w:rFonts w:ascii="Times New Roman" w:hAnsi="Times New Roman"/>
          <w:sz w:val="24"/>
          <w:szCs w:val="24"/>
        </w:rPr>
        <w:t xml:space="preserve">Pasākuma mērķis ir nacionālā tiesiskā regulējuma stiprināšana, lai nodrošinātu ilgtspējīgas, pretcikliskas fiskālās politikas veidošanu, stiprinot vidēja termiņa budžeta plānošanu, kā arī paredzot skaidrus nosacījumus fiskālo mērķu definēšanai. </w:t>
      </w:r>
      <w:r w:rsidRPr="006677FA">
        <w:rPr>
          <w:rFonts w:ascii="Times New Roman" w:hAnsi="Times New Roman"/>
          <w:noProof/>
          <w:sz w:val="24"/>
          <w:szCs w:val="24"/>
        </w:rPr>
        <w:t xml:space="preserve">Līdz 2013. gadam paredzēts pilnībā izstrādāt un papildināt tiesību aktus fiskālās disciplīnas jomā. Uz šo brīdi jau ir veikti grozījumi Likumā par budžetu un finanšu vadību, nosakot, ka sākot ar 2012. gadu tiks izstrādāts vidējā termiņa budžeta ietvara likums. Tāpat, turpinās darbs pie fiskālās disciplīnas likuma izstrādes. FDL un likumprojekts „Grozījumi Latvijas Republikas Satversmē” ir apstiprināti 2011. gada 29. novembra Ministru kabineta sēdē un 2011. gada 6. decembrī iesniegti Saeimā. FDL 2012. gada 12. janvārī tika apstiprināts Saeimā pirmajā lasījumā un ir beidzies priekšlikumu iesniegšanas periods likumprojekta izskatīšanai 2. lasījumam. Uz 2. lasījumu Saeimā FDL </w:t>
      </w:r>
      <w:r w:rsidR="00AF399D">
        <w:rPr>
          <w:rFonts w:ascii="Times New Roman" w:hAnsi="Times New Roman"/>
          <w:noProof/>
          <w:sz w:val="24"/>
          <w:szCs w:val="24"/>
        </w:rPr>
        <w:t>ir</w:t>
      </w:r>
      <w:r w:rsidRPr="006677FA">
        <w:rPr>
          <w:rFonts w:ascii="Times New Roman" w:hAnsi="Times New Roman"/>
          <w:noProof/>
          <w:sz w:val="24"/>
          <w:szCs w:val="24"/>
        </w:rPr>
        <w:t xml:space="preserve"> iestrādātas arī jaunā </w:t>
      </w:r>
      <w:r w:rsidRPr="00905DA5">
        <w:rPr>
          <w:rFonts w:ascii="Times New Roman" w:hAnsi="Times New Roman"/>
          <w:i/>
          <w:noProof/>
          <w:sz w:val="24"/>
          <w:szCs w:val="24"/>
        </w:rPr>
        <w:t>Līguma par stabilitāti, koordināciju un pārvaldību ekonomikas un monetārajā savienībā</w:t>
      </w:r>
      <w:r w:rsidRPr="006677FA">
        <w:rPr>
          <w:rFonts w:ascii="Times New Roman" w:hAnsi="Times New Roman"/>
          <w:noProof/>
          <w:sz w:val="24"/>
          <w:szCs w:val="24"/>
        </w:rPr>
        <w:t xml:space="preserve"> </w:t>
      </w:r>
      <w:r w:rsidR="00D9028A">
        <w:rPr>
          <w:rFonts w:ascii="Times New Roman" w:hAnsi="Times New Roman"/>
          <w:noProof/>
          <w:sz w:val="24"/>
          <w:szCs w:val="24"/>
        </w:rPr>
        <w:t xml:space="preserve">(turpmāk – fiskālais līgums) </w:t>
      </w:r>
      <w:r w:rsidRPr="006677FA">
        <w:rPr>
          <w:rFonts w:ascii="Times New Roman" w:hAnsi="Times New Roman"/>
          <w:noProof/>
          <w:sz w:val="24"/>
          <w:szCs w:val="24"/>
        </w:rPr>
        <w:t xml:space="preserve">prasības, tādējādi nodrošinot arī pilnīgāku atbilstību ES līmeņa prasībām. Grozījumus Satversmē turpina skatīt Saeimas komisijās. Pasākuma rezultātā tiks nodrošināta valsts finanšu stabilitāte ilgtermiņā un sekmēta </w:t>
      </w:r>
      <w:r w:rsidR="002B225F">
        <w:rPr>
          <w:rFonts w:ascii="Times New Roman" w:hAnsi="Times New Roman"/>
          <w:noProof/>
          <w:sz w:val="24"/>
          <w:szCs w:val="24"/>
        </w:rPr>
        <w:t xml:space="preserve">vispārējās valdības </w:t>
      </w:r>
      <w:r w:rsidRPr="006677FA">
        <w:rPr>
          <w:rFonts w:ascii="Times New Roman" w:hAnsi="Times New Roman"/>
          <w:noProof/>
          <w:sz w:val="24"/>
          <w:szCs w:val="24"/>
        </w:rPr>
        <w:t>budžeta deficīta un valsts parāda apmēra atbilstība Māstrihtas kritērijiem un Stabilitātes un izaugsmes pakta nosacījumiem</w:t>
      </w:r>
      <w:r w:rsidR="004E730D">
        <w:rPr>
          <w:rFonts w:ascii="Times New Roman" w:hAnsi="Times New Roman"/>
          <w:noProof/>
          <w:sz w:val="24"/>
          <w:szCs w:val="24"/>
        </w:rPr>
        <w:t xml:space="preserve"> (sīkāk skatīt 9.3.</w:t>
      </w:r>
      <w:r w:rsidR="00D82C46">
        <w:rPr>
          <w:rFonts w:ascii="Times New Roman" w:hAnsi="Times New Roman"/>
          <w:noProof/>
          <w:sz w:val="24"/>
          <w:szCs w:val="24"/>
          <w:lang w:val="lv-LV"/>
        </w:rPr>
        <w:t> </w:t>
      </w:r>
      <w:r w:rsidR="002B225F">
        <w:rPr>
          <w:rFonts w:ascii="Times New Roman" w:hAnsi="Times New Roman"/>
          <w:noProof/>
          <w:sz w:val="24"/>
          <w:szCs w:val="24"/>
        </w:rPr>
        <w:t>apakšsadaļā</w:t>
      </w:r>
      <w:r w:rsidR="004E730D">
        <w:rPr>
          <w:rFonts w:ascii="Times New Roman" w:hAnsi="Times New Roman"/>
          <w:noProof/>
          <w:sz w:val="24"/>
          <w:szCs w:val="24"/>
        </w:rPr>
        <w:t>)</w:t>
      </w:r>
      <w:r w:rsidR="00EE10B7">
        <w:rPr>
          <w:rFonts w:ascii="Times New Roman" w:hAnsi="Times New Roman"/>
          <w:noProof/>
          <w:sz w:val="24"/>
          <w:szCs w:val="24"/>
        </w:rPr>
        <w:t>.</w:t>
      </w:r>
    </w:p>
    <w:p w:rsidR="006677FA" w:rsidRPr="006677FA" w:rsidRDefault="006677FA" w:rsidP="00FD7E85">
      <w:pPr>
        <w:pStyle w:val="ListParagraph"/>
        <w:spacing w:before="120" w:after="120" w:line="240" w:lineRule="auto"/>
        <w:ind w:left="0"/>
        <w:contextualSpacing w:val="0"/>
        <w:jc w:val="both"/>
        <w:rPr>
          <w:rFonts w:ascii="Times New Roman" w:hAnsi="Times New Roman"/>
          <w:sz w:val="24"/>
          <w:szCs w:val="24"/>
          <w:u w:val="single"/>
        </w:rPr>
      </w:pPr>
      <w:r w:rsidRPr="006677FA">
        <w:rPr>
          <w:rFonts w:ascii="Times New Roman" w:hAnsi="Times New Roman"/>
          <w:sz w:val="24"/>
          <w:szCs w:val="24"/>
          <w:u w:val="single"/>
        </w:rPr>
        <w:t>Sociālās apdrošināšanas sistēmas ilgtspēja</w:t>
      </w:r>
      <w:r w:rsidRPr="006677FA">
        <w:rPr>
          <w:rFonts w:ascii="Times New Roman" w:hAnsi="Times New Roman"/>
          <w:sz w:val="24"/>
          <w:szCs w:val="24"/>
        </w:rPr>
        <w:t>. Pasākuma mērķis ir nodrošināt  sociālās apdrošināšanas sistēmas stabilitāti vidējā un ilgtermiņā. Pasākums paredz sociālās apdrošināšanas sistēmas izdevumu pārstrukturēšanu, lai pielāgotos demogrāfiskajām tendencēm un nodrošinātu sistēmas ilgtspēju. Tiek plānotas šādas nozīmīgākās izmaiņas:</w:t>
      </w:r>
    </w:p>
    <w:p w:rsidR="006677FA" w:rsidRPr="006677FA" w:rsidRDefault="00AF399D" w:rsidP="00FD7E85">
      <w:pPr>
        <w:pStyle w:val="ListParagraph"/>
        <w:numPr>
          <w:ilvl w:val="0"/>
          <w:numId w:val="2"/>
        </w:numPr>
        <w:spacing w:before="120" w:after="120" w:line="240" w:lineRule="auto"/>
        <w:ind w:left="993"/>
        <w:contextualSpacing w:val="0"/>
        <w:jc w:val="both"/>
        <w:rPr>
          <w:rFonts w:ascii="Times New Roman" w:hAnsi="Times New Roman"/>
          <w:sz w:val="24"/>
          <w:szCs w:val="24"/>
        </w:rPr>
      </w:pPr>
      <w:r>
        <w:rPr>
          <w:rFonts w:ascii="Times New Roman" w:hAnsi="Times New Roman"/>
          <w:sz w:val="24"/>
          <w:szCs w:val="24"/>
        </w:rPr>
        <w:lastRenderedPageBreak/>
        <w:t xml:space="preserve">    </w:t>
      </w:r>
      <w:r w:rsidR="006677FA" w:rsidRPr="006677FA">
        <w:rPr>
          <w:rFonts w:ascii="Times New Roman" w:hAnsi="Times New Roman"/>
          <w:sz w:val="24"/>
          <w:szCs w:val="24"/>
        </w:rPr>
        <w:t>Pensionēšanās vecuma pakāpeniska paaugstināšana līdz 65 gadiem: ar 2014. gada 1. janvāri un 2015. gada 1. janvāri palielinājums par 3 mēnešiem; ar 2016. gada 1. janvāri katru gadu līdz 2020. gadam palielinājums par 6 mēnešiem. Fiskālā ietekme: ietaupījums 2014. gadā 7,9 milj. latu (11,3 milj. eiro) un 2015. gadā 17,0 milj. latu (24,2 milj. eiro)</w:t>
      </w:r>
      <w:r w:rsidR="00D82C46">
        <w:rPr>
          <w:rFonts w:ascii="Times New Roman" w:hAnsi="Times New Roman"/>
          <w:sz w:val="24"/>
          <w:szCs w:val="24"/>
          <w:lang w:val="lv-LV"/>
        </w:rPr>
        <w:t>;</w:t>
      </w:r>
    </w:p>
    <w:p w:rsidR="006677FA" w:rsidRPr="006677FA" w:rsidRDefault="00AF399D" w:rsidP="00FD7E85">
      <w:pPr>
        <w:pStyle w:val="ListParagraph"/>
        <w:numPr>
          <w:ilvl w:val="0"/>
          <w:numId w:val="2"/>
        </w:numPr>
        <w:spacing w:before="120" w:after="120" w:line="240" w:lineRule="auto"/>
        <w:ind w:left="993" w:hanging="426"/>
        <w:contextualSpacing w:val="0"/>
        <w:jc w:val="both"/>
        <w:rPr>
          <w:rFonts w:ascii="Times New Roman" w:hAnsi="Times New Roman"/>
          <w:sz w:val="24"/>
          <w:szCs w:val="24"/>
        </w:rPr>
      </w:pPr>
      <w:r>
        <w:rPr>
          <w:rFonts w:ascii="Times New Roman" w:hAnsi="Times New Roman"/>
          <w:sz w:val="24"/>
          <w:szCs w:val="24"/>
        </w:rPr>
        <w:t xml:space="preserve">    </w:t>
      </w:r>
      <w:r w:rsidR="006677FA" w:rsidRPr="006677FA">
        <w:rPr>
          <w:rFonts w:ascii="Times New Roman" w:hAnsi="Times New Roman"/>
          <w:sz w:val="24"/>
          <w:szCs w:val="24"/>
        </w:rPr>
        <w:t>Vienlaicīgi ar pensionēšanās vecuma paaugstināšanu, priekšlaicīgās pensionēšanās vecuma paaugstināšana sākot ar 2014. gadu. Fiskālā ietekme: ietaupījums 2014. gadā 1,3 milj. latu (1,8 milj. eiro) un 2015. gadā 2,7 milj. latu (3,8 milj. eiro)</w:t>
      </w:r>
      <w:r w:rsidR="00D82C46">
        <w:rPr>
          <w:rFonts w:ascii="Times New Roman" w:hAnsi="Times New Roman"/>
          <w:sz w:val="24"/>
          <w:szCs w:val="24"/>
          <w:lang w:val="lv-LV"/>
        </w:rPr>
        <w:t>;</w:t>
      </w:r>
    </w:p>
    <w:p w:rsidR="006677FA" w:rsidRPr="006677FA" w:rsidRDefault="00AF399D" w:rsidP="00FD7E85">
      <w:pPr>
        <w:pStyle w:val="ListParagraph"/>
        <w:numPr>
          <w:ilvl w:val="0"/>
          <w:numId w:val="2"/>
        </w:numPr>
        <w:spacing w:before="120" w:after="120" w:line="240" w:lineRule="auto"/>
        <w:ind w:left="993" w:hanging="426"/>
        <w:contextualSpacing w:val="0"/>
        <w:jc w:val="both"/>
        <w:rPr>
          <w:rFonts w:ascii="Times New Roman" w:hAnsi="Times New Roman"/>
          <w:sz w:val="24"/>
          <w:szCs w:val="24"/>
        </w:rPr>
      </w:pPr>
      <w:r>
        <w:rPr>
          <w:rFonts w:ascii="Times New Roman" w:hAnsi="Times New Roman"/>
          <w:sz w:val="24"/>
          <w:szCs w:val="24"/>
        </w:rPr>
        <w:t xml:space="preserve">    </w:t>
      </w:r>
      <w:r w:rsidR="006677FA" w:rsidRPr="006677FA">
        <w:rPr>
          <w:rFonts w:ascii="Times New Roman" w:hAnsi="Times New Roman"/>
          <w:sz w:val="24"/>
          <w:szCs w:val="24"/>
        </w:rPr>
        <w:t>Minimālā apdrošināšanas stāža palielināšana tiesībām uz valsts vecuma pensiju līdz 15 gadiem, sākot ar 2014. gadu, un līdz 20 gadiem, sākot ar 2020. gadu. Fiskālā ietekme: ietaupījums 2014. gadā 0,1 milj. latu (0,1 milj. eiro) un 2015. gadā 0,3 milj. latu (0,4 milj. eiro)</w:t>
      </w:r>
      <w:r w:rsidR="00D82C46">
        <w:rPr>
          <w:rFonts w:ascii="Times New Roman" w:hAnsi="Times New Roman"/>
          <w:sz w:val="24"/>
          <w:szCs w:val="24"/>
          <w:lang w:val="lv-LV"/>
        </w:rPr>
        <w:t>;</w:t>
      </w:r>
    </w:p>
    <w:p w:rsidR="006677FA" w:rsidRPr="006677FA" w:rsidRDefault="00AF399D" w:rsidP="00FD7E85">
      <w:pPr>
        <w:pStyle w:val="ListParagraph"/>
        <w:numPr>
          <w:ilvl w:val="0"/>
          <w:numId w:val="2"/>
        </w:numPr>
        <w:spacing w:before="120" w:after="120" w:line="240" w:lineRule="auto"/>
        <w:ind w:left="993" w:hanging="426"/>
        <w:contextualSpacing w:val="0"/>
        <w:jc w:val="both"/>
        <w:rPr>
          <w:rFonts w:ascii="Times New Roman" w:hAnsi="Times New Roman"/>
          <w:sz w:val="24"/>
          <w:szCs w:val="24"/>
        </w:rPr>
      </w:pPr>
      <w:r>
        <w:rPr>
          <w:rFonts w:ascii="Times New Roman" w:hAnsi="Times New Roman"/>
          <w:sz w:val="24"/>
          <w:szCs w:val="24"/>
        </w:rPr>
        <w:t xml:space="preserve">    </w:t>
      </w:r>
      <w:r w:rsidR="006677FA" w:rsidRPr="006677FA">
        <w:rPr>
          <w:rFonts w:ascii="Times New Roman" w:hAnsi="Times New Roman"/>
          <w:sz w:val="24"/>
          <w:szCs w:val="24"/>
        </w:rPr>
        <w:t>Sociālās apdrošināšanas speciālā budžeta atslogošana no tam neraksturīgām (ar sociālās apdrošināšanas iemaksām nesegtām) izmaksām – piemaksas pie vecuma un invaliditātes pensijām, to izmaksu pārvirzot uz valsts pamatbudžetu, sākot ar 2014. gadu.</w:t>
      </w:r>
    </w:p>
    <w:p w:rsidR="006677FA" w:rsidRPr="006677FA" w:rsidRDefault="006677FA" w:rsidP="00FD7E85">
      <w:pPr>
        <w:spacing w:before="120"/>
        <w:rPr>
          <w:szCs w:val="24"/>
        </w:rPr>
      </w:pPr>
      <w:r w:rsidRPr="006677FA">
        <w:rPr>
          <w:szCs w:val="24"/>
        </w:rPr>
        <w:t>2012. gada 27. martā grozījumi likumā „Par valsts pensijām”, kuri paredz augstāk minētos pasākumus, tika apstiprināti valdībā</w:t>
      </w:r>
      <w:r w:rsidR="00B0436A">
        <w:rPr>
          <w:szCs w:val="24"/>
        </w:rPr>
        <w:t xml:space="preserve"> un 2012.</w:t>
      </w:r>
      <w:r w:rsidR="00EE10B7">
        <w:rPr>
          <w:szCs w:val="24"/>
        </w:rPr>
        <w:t> </w:t>
      </w:r>
      <w:r w:rsidR="00B0436A">
        <w:rPr>
          <w:szCs w:val="24"/>
        </w:rPr>
        <w:t>gada 19.</w:t>
      </w:r>
      <w:r w:rsidR="00D82C46">
        <w:rPr>
          <w:szCs w:val="24"/>
        </w:rPr>
        <w:t> </w:t>
      </w:r>
      <w:r w:rsidR="00B0436A">
        <w:rPr>
          <w:szCs w:val="24"/>
        </w:rPr>
        <w:t>aprīlī atbalstīti Saeimā 1.</w:t>
      </w:r>
      <w:r w:rsidR="00D82C46">
        <w:rPr>
          <w:szCs w:val="24"/>
        </w:rPr>
        <w:t> </w:t>
      </w:r>
      <w:r w:rsidR="00B0436A">
        <w:rPr>
          <w:szCs w:val="24"/>
        </w:rPr>
        <w:t>lasījumā.</w:t>
      </w:r>
      <w:r w:rsidR="00EE10B7">
        <w:rPr>
          <w:szCs w:val="24"/>
        </w:rPr>
        <w:t xml:space="preserve"> </w:t>
      </w:r>
      <w:r w:rsidRPr="006677FA">
        <w:rPr>
          <w:szCs w:val="24"/>
        </w:rPr>
        <w:t xml:space="preserve">Šo izmaiņu rezultātā tiks uzlabota situācija valsts sociālās apdrošināšanas budžetā, pieaugs personu līdzdalība darba tirgū, kā arī samazināsies sociālās apdrošināšanas sistēmas noslodze. </w:t>
      </w:r>
    </w:p>
    <w:p w:rsidR="006677FA" w:rsidRPr="00633F49" w:rsidRDefault="006677FA" w:rsidP="002D62B9">
      <w:pPr>
        <w:pStyle w:val="H3"/>
        <w:rPr>
          <w:rFonts w:ascii="Times New Roman" w:hAnsi="Times New Roman"/>
          <w:sz w:val="32"/>
          <w:szCs w:val="32"/>
        </w:rPr>
      </w:pPr>
      <w:bookmarkStart w:id="26" w:name="_Toc323120280"/>
      <w:r w:rsidRPr="00633F49">
        <w:rPr>
          <w:rFonts w:ascii="Times New Roman" w:hAnsi="Times New Roman"/>
          <w:sz w:val="32"/>
          <w:szCs w:val="32"/>
        </w:rPr>
        <w:t>3.2. Konkurētspējas veicināšana</w:t>
      </w:r>
      <w:bookmarkEnd w:id="25"/>
      <w:bookmarkEnd w:id="26"/>
      <w:r w:rsidRPr="00633F49">
        <w:rPr>
          <w:rFonts w:ascii="Times New Roman" w:hAnsi="Times New Roman"/>
          <w:sz w:val="32"/>
          <w:szCs w:val="32"/>
        </w:rPr>
        <w:t xml:space="preserve"> </w:t>
      </w:r>
    </w:p>
    <w:p w:rsidR="006677FA" w:rsidRPr="00633F49" w:rsidRDefault="006677FA" w:rsidP="002D62B9">
      <w:pPr>
        <w:spacing w:before="120"/>
        <w:rPr>
          <w:b/>
          <w:i/>
          <w:sz w:val="28"/>
          <w:szCs w:val="28"/>
        </w:rPr>
      </w:pPr>
      <w:r w:rsidRPr="00633F49">
        <w:rPr>
          <w:b/>
          <w:i/>
          <w:sz w:val="28"/>
          <w:szCs w:val="28"/>
        </w:rPr>
        <w:t>3.2.1. Uzņēmējdarbības vide, t.sk. valsts pārvaldes modernizācija</w:t>
      </w:r>
    </w:p>
    <w:p w:rsidR="006677FA" w:rsidRPr="006677FA" w:rsidRDefault="006677FA" w:rsidP="00FD7E85">
      <w:pPr>
        <w:pStyle w:val="ListParagraph"/>
        <w:spacing w:before="120" w:after="120" w:line="240" w:lineRule="auto"/>
        <w:ind w:left="0"/>
        <w:contextualSpacing w:val="0"/>
        <w:jc w:val="both"/>
        <w:rPr>
          <w:rFonts w:ascii="Times New Roman" w:hAnsi="Times New Roman"/>
          <w:sz w:val="24"/>
          <w:szCs w:val="24"/>
        </w:rPr>
      </w:pPr>
      <w:r w:rsidRPr="006677FA">
        <w:rPr>
          <w:rFonts w:ascii="Times New Roman" w:hAnsi="Times New Roman"/>
          <w:sz w:val="24"/>
          <w:szCs w:val="24"/>
          <w:u w:val="single"/>
        </w:rPr>
        <w:t>Administratīvo šķēršļu mazināšana.</w:t>
      </w:r>
      <w:r w:rsidRPr="006677FA">
        <w:rPr>
          <w:rFonts w:ascii="Times New Roman" w:hAnsi="Times New Roman"/>
          <w:sz w:val="24"/>
          <w:szCs w:val="24"/>
        </w:rPr>
        <w:t xml:space="preserve"> Galvenais pasākuma mērķis ir radīt izcilu uzņēmējdarbības vidi, kurai jābūt vērstai uz investīciju piesaisti un inovācijām. 2011. gadā</w:t>
      </w:r>
      <w:r w:rsidRPr="006677FA">
        <w:rPr>
          <w:rFonts w:ascii="Times New Roman" w:hAnsi="Times New Roman"/>
          <w:b/>
          <w:sz w:val="24"/>
          <w:szCs w:val="24"/>
        </w:rPr>
        <w:t xml:space="preserve"> </w:t>
      </w:r>
      <w:r w:rsidRPr="006677FA">
        <w:rPr>
          <w:rFonts w:ascii="Times New Roman" w:hAnsi="Times New Roman"/>
          <w:sz w:val="24"/>
          <w:szCs w:val="24"/>
        </w:rPr>
        <w:t xml:space="preserve">nozīmīgākie paveiktie pasākumi – saīsināts uzņēmējdarbības uzsākšanai nepieciešamais laiks, izstrādāts likumprojekts, kas paredz samazināt būvniecības administratīvā procesa </w:t>
      </w:r>
      <w:r w:rsidRPr="006677FA">
        <w:rPr>
          <w:rFonts w:ascii="Times New Roman" w:hAnsi="Times New Roman"/>
          <w:color w:val="000000"/>
          <w:sz w:val="24"/>
          <w:szCs w:val="24"/>
        </w:rPr>
        <w:t xml:space="preserve">ilgumu, kā arī izstrādāti grozījumi attiecīgajos likumos, kas paredz nostiprināt investoru tiesības, atvieglots atsevišķu nodokļu nomaksas process. </w:t>
      </w:r>
      <w:r w:rsidRPr="006677FA">
        <w:rPr>
          <w:rFonts w:ascii="Times New Roman" w:hAnsi="Times New Roman"/>
          <w:sz w:val="24"/>
          <w:szCs w:val="24"/>
        </w:rPr>
        <w:t>2012. gadā sadarbībā ar uzņēmējiem tiek turpināts darbs pie uzņēmējdarbības vides regulējošo normatīvo aktu bāzes sakārtošanas, jaunu e-pakalpojumu nodrošināšanas, kā arī vienas pieturas aģentūras principa ieviešanas īpašuma datu reģistrēšanā.</w:t>
      </w:r>
    </w:p>
    <w:p w:rsidR="006677FA" w:rsidRPr="00EE10B7" w:rsidRDefault="006677FA" w:rsidP="00FD7E85">
      <w:pPr>
        <w:pStyle w:val="ListParagraph"/>
        <w:spacing w:before="120" w:after="120" w:line="240" w:lineRule="auto"/>
        <w:ind w:left="0"/>
        <w:contextualSpacing w:val="0"/>
        <w:jc w:val="both"/>
        <w:rPr>
          <w:rFonts w:ascii="Times New Roman" w:hAnsi="Times New Roman"/>
          <w:sz w:val="24"/>
          <w:szCs w:val="24"/>
          <w:lang w:val="lv-LV"/>
        </w:rPr>
      </w:pPr>
      <w:r w:rsidRPr="006677FA">
        <w:rPr>
          <w:rFonts w:ascii="Times New Roman" w:hAnsi="Times New Roman"/>
          <w:bCs/>
          <w:sz w:val="24"/>
          <w:szCs w:val="24"/>
          <w:u w:val="single"/>
        </w:rPr>
        <w:t>Darbaspēka nodokļu mazināšana</w:t>
      </w:r>
      <w:r w:rsidRPr="006677FA">
        <w:rPr>
          <w:rFonts w:ascii="Times New Roman" w:hAnsi="Times New Roman"/>
          <w:bCs/>
          <w:sz w:val="24"/>
          <w:szCs w:val="24"/>
        </w:rPr>
        <w:t xml:space="preserve">. Pasākuma mērķis ir paaugstināt Latvijas uzņēmēju konkurētspēju, samazinot darbaspēka nodokļu slogu līdz pārējo Baltijas valstu līmenim. 2012. gadā tiks izstrādāts grafiks darbaspēka nodokļu </w:t>
      </w:r>
      <w:r w:rsidRPr="00905DA5">
        <w:rPr>
          <w:rFonts w:ascii="Times New Roman" w:hAnsi="Times New Roman"/>
          <w:bCs/>
          <w:sz w:val="24"/>
          <w:szCs w:val="24"/>
        </w:rPr>
        <w:t xml:space="preserve">samazināšanai nākamo 3 gadu laika periodam, fiskāli </w:t>
      </w:r>
      <w:r w:rsidR="004F21FA" w:rsidRPr="00905DA5">
        <w:rPr>
          <w:rFonts w:ascii="Times New Roman" w:hAnsi="Times New Roman"/>
          <w:bCs/>
          <w:sz w:val="24"/>
          <w:szCs w:val="24"/>
        </w:rPr>
        <w:t xml:space="preserve">atbildīgā </w:t>
      </w:r>
      <w:r w:rsidRPr="00905DA5">
        <w:rPr>
          <w:rFonts w:ascii="Times New Roman" w:hAnsi="Times New Roman"/>
          <w:bCs/>
          <w:sz w:val="24"/>
          <w:szCs w:val="24"/>
        </w:rPr>
        <w:t>veidā</w:t>
      </w:r>
      <w:r w:rsidR="00166699" w:rsidRPr="00905DA5">
        <w:rPr>
          <w:rFonts w:ascii="Times New Roman" w:hAnsi="Times New Roman"/>
          <w:bCs/>
          <w:sz w:val="24"/>
          <w:szCs w:val="24"/>
        </w:rPr>
        <w:t>,</w:t>
      </w:r>
      <w:r w:rsidRPr="00905DA5">
        <w:rPr>
          <w:rFonts w:ascii="Times New Roman" w:hAnsi="Times New Roman"/>
          <w:bCs/>
          <w:sz w:val="24"/>
          <w:szCs w:val="24"/>
        </w:rPr>
        <w:t xml:space="preserve"> veicinot ekonomisko aktivitāti un nodarbinātību.</w:t>
      </w:r>
    </w:p>
    <w:p w:rsidR="00FD7E85" w:rsidRPr="009856BE" w:rsidRDefault="006677FA" w:rsidP="009856BE">
      <w:pPr>
        <w:pStyle w:val="ListParagraph"/>
        <w:spacing w:before="120" w:after="120" w:line="240" w:lineRule="auto"/>
        <w:ind w:left="0"/>
        <w:contextualSpacing w:val="0"/>
        <w:jc w:val="both"/>
        <w:rPr>
          <w:rFonts w:ascii="Times New Roman" w:hAnsi="Times New Roman"/>
          <w:bCs/>
          <w:sz w:val="24"/>
          <w:szCs w:val="24"/>
          <w:lang w:val="lv-LV"/>
        </w:rPr>
      </w:pPr>
      <w:r w:rsidRPr="006677FA">
        <w:rPr>
          <w:rFonts w:ascii="Times New Roman" w:hAnsi="Times New Roman"/>
          <w:bCs/>
          <w:sz w:val="24"/>
          <w:szCs w:val="24"/>
          <w:u w:val="single"/>
        </w:rPr>
        <w:t>Ēnu ekonomikas apkarošana.</w:t>
      </w:r>
      <w:r w:rsidRPr="006677FA">
        <w:rPr>
          <w:rFonts w:ascii="Times New Roman" w:hAnsi="Times New Roman"/>
          <w:sz w:val="24"/>
          <w:szCs w:val="24"/>
        </w:rPr>
        <w:t xml:space="preserve"> Pasākuma mērķis ir ēnu ekonomikas apjoma samazināšana un godīgas konkurences nodrošināšana, īstenojot atbilstošos pasākumus 2010.</w:t>
      </w:r>
      <w:r w:rsidR="00D82C46">
        <w:rPr>
          <w:rFonts w:ascii="Times New Roman" w:hAnsi="Times New Roman"/>
          <w:sz w:val="24"/>
          <w:szCs w:val="24"/>
          <w:lang w:val="lv-LV"/>
        </w:rPr>
        <w:t xml:space="preserve"> </w:t>
      </w:r>
      <w:r w:rsidR="0035776A">
        <w:rPr>
          <w:rFonts w:ascii="Times New Roman" w:hAnsi="Times New Roman"/>
          <w:sz w:val="24"/>
          <w:szCs w:val="24"/>
        </w:rPr>
        <w:t>–</w:t>
      </w:r>
      <w:r w:rsidR="00D82C46">
        <w:rPr>
          <w:rFonts w:ascii="Times New Roman" w:hAnsi="Times New Roman"/>
          <w:sz w:val="24"/>
          <w:szCs w:val="24"/>
          <w:lang w:val="lv-LV"/>
        </w:rPr>
        <w:t xml:space="preserve"> </w:t>
      </w:r>
      <w:r w:rsidRPr="006677FA">
        <w:rPr>
          <w:rFonts w:ascii="Times New Roman" w:hAnsi="Times New Roman"/>
          <w:sz w:val="24"/>
          <w:szCs w:val="24"/>
        </w:rPr>
        <w:t>2013. gadā. Ir noteikti galvenie virzieni ēnu ekonomikas apkarošanai – administratīvā sloga mazināšana, nodrošināta efektīvāka kontrolējošo iestāžu darbība, sankciju piemērošana, sadarbība ar sociālajiem partneriem, atbalsts godīgajiem uzņēmējiem, veicināta uzņēmējdarbības pāreja no nereģistrētās uz reģistrēto ekonomiku u.c. 2010. gadā tika sagatavots „Pasākumu plāns ēnu ekonomikas apkarošanai un godīgas konkurences nodrošināšanai 2010.</w:t>
      </w:r>
      <w:r w:rsidR="00D82C46">
        <w:rPr>
          <w:rFonts w:ascii="Times New Roman" w:hAnsi="Times New Roman"/>
          <w:sz w:val="24"/>
          <w:szCs w:val="24"/>
          <w:lang w:val="lv-LV"/>
        </w:rPr>
        <w:t xml:space="preserve"> </w:t>
      </w:r>
      <w:r w:rsidR="0035776A">
        <w:rPr>
          <w:rFonts w:ascii="Times New Roman" w:hAnsi="Times New Roman"/>
          <w:sz w:val="24"/>
          <w:szCs w:val="24"/>
        </w:rPr>
        <w:t>–</w:t>
      </w:r>
      <w:r w:rsidR="00D82C46">
        <w:rPr>
          <w:rFonts w:ascii="Times New Roman" w:hAnsi="Times New Roman"/>
          <w:sz w:val="24"/>
          <w:szCs w:val="24"/>
          <w:lang w:val="lv-LV"/>
        </w:rPr>
        <w:t xml:space="preserve"> </w:t>
      </w:r>
      <w:r w:rsidRPr="006677FA">
        <w:rPr>
          <w:rFonts w:ascii="Times New Roman" w:hAnsi="Times New Roman"/>
          <w:sz w:val="24"/>
          <w:szCs w:val="24"/>
        </w:rPr>
        <w:t>2013. gadam”</w:t>
      </w:r>
      <w:r w:rsidRPr="006677FA">
        <w:rPr>
          <w:rFonts w:ascii="Times New Roman" w:hAnsi="Times New Roman"/>
          <w:i/>
          <w:sz w:val="24"/>
          <w:szCs w:val="24"/>
        </w:rPr>
        <w:t xml:space="preserve">. </w:t>
      </w:r>
      <w:r w:rsidRPr="006677FA">
        <w:rPr>
          <w:rFonts w:ascii="Times New Roman" w:hAnsi="Times New Roman"/>
          <w:sz w:val="24"/>
          <w:szCs w:val="24"/>
        </w:rPr>
        <w:t xml:space="preserve">Kopā plānā šobrīd ir iekļauti 66 pasākumi, no kuriem uz 2012. gada 1. janvāri 47 pasākumi ir </w:t>
      </w:r>
      <w:r w:rsidRPr="006677FA">
        <w:rPr>
          <w:rFonts w:ascii="Times New Roman" w:hAnsi="Times New Roman"/>
          <w:sz w:val="24"/>
          <w:szCs w:val="24"/>
        </w:rPr>
        <w:lastRenderedPageBreak/>
        <w:t xml:space="preserve">izpildīti pilnībā (5 pasākumi jāpilda pastāvīgi) un pārējo pasākumu izpilde turpinās (12 pasākumi ir saskaņošanas procesā). </w:t>
      </w:r>
    </w:p>
    <w:p w:rsidR="006677FA" w:rsidRPr="006677FA" w:rsidRDefault="006677FA" w:rsidP="00FD7E85">
      <w:pPr>
        <w:spacing w:before="120"/>
        <w:ind w:firstLine="0"/>
        <w:rPr>
          <w:bCs/>
          <w:szCs w:val="24"/>
        </w:rPr>
      </w:pPr>
      <w:r w:rsidRPr="006677FA">
        <w:rPr>
          <w:szCs w:val="24"/>
        </w:rPr>
        <w:t>2011. gadā, cita starpā, tika ieviesti šādi pasākumi:</w:t>
      </w:r>
    </w:p>
    <w:p w:rsidR="006677FA" w:rsidRPr="006677FA" w:rsidRDefault="006677FA" w:rsidP="006F69AF">
      <w:pPr>
        <w:pStyle w:val="ListParagraph"/>
        <w:numPr>
          <w:ilvl w:val="2"/>
          <w:numId w:val="23"/>
        </w:numPr>
        <w:spacing w:after="0" w:line="240" w:lineRule="auto"/>
        <w:ind w:left="426"/>
        <w:jc w:val="both"/>
        <w:rPr>
          <w:rFonts w:ascii="Times New Roman" w:hAnsi="Times New Roman"/>
          <w:sz w:val="24"/>
          <w:szCs w:val="24"/>
        </w:rPr>
      </w:pPr>
      <w:r w:rsidRPr="006677FA">
        <w:rPr>
          <w:rFonts w:ascii="Times New Roman" w:hAnsi="Times New Roman"/>
          <w:sz w:val="24"/>
          <w:szCs w:val="24"/>
        </w:rPr>
        <w:t>ar 2011. gada 1. jūliju nodokļu maksātājiem vairumtirdzniecībā atļauts veikt tikai bezskaidras naudas norēķinus;</w:t>
      </w:r>
    </w:p>
    <w:p w:rsidR="006677FA" w:rsidRPr="006677FA" w:rsidRDefault="006677FA" w:rsidP="006F69AF">
      <w:pPr>
        <w:pStyle w:val="ListParagraph"/>
        <w:numPr>
          <w:ilvl w:val="2"/>
          <w:numId w:val="23"/>
        </w:numPr>
        <w:spacing w:after="0" w:line="240" w:lineRule="auto"/>
        <w:ind w:left="426"/>
        <w:jc w:val="both"/>
        <w:rPr>
          <w:rFonts w:ascii="Times New Roman" w:hAnsi="Times New Roman"/>
          <w:sz w:val="24"/>
          <w:szCs w:val="24"/>
        </w:rPr>
      </w:pPr>
      <w:r w:rsidRPr="006677FA">
        <w:rPr>
          <w:rFonts w:ascii="Times New Roman" w:hAnsi="Times New Roman"/>
          <w:sz w:val="24"/>
          <w:szCs w:val="24"/>
        </w:rPr>
        <w:t>ar 2011. gada 1. jūliju uzlabota uzņēmumu un amatpersonu reģistrācijas kārtība;</w:t>
      </w:r>
    </w:p>
    <w:p w:rsidR="006677FA" w:rsidRPr="006677FA" w:rsidRDefault="006677FA" w:rsidP="006F69AF">
      <w:pPr>
        <w:pStyle w:val="ListParagraph"/>
        <w:numPr>
          <w:ilvl w:val="2"/>
          <w:numId w:val="23"/>
        </w:numPr>
        <w:spacing w:after="0" w:line="240" w:lineRule="auto"/>
        <w:ind w:left="426"/>
        <w:jc w:val="both"/>
        <w:rPr>
          <w:rFonts w:ascii="Times New Roman" w:hAnsi="Times New Roman"/>
          <w:sz w:val="24"/>
          <w:szCs w:val="24"/>
        </w:rPr>
      </w:pPr>
      <w:r w:rsidRPr="006677FA">
        <w:rPr>
          <w:rFonts w:ascii="Times New Roman" w:hAnsi="Times New Roman"/>
          <w:sz w:val="24"/>
          <w:szCs w:val="24"/>
        </w:rPr>
        <w:t>ar 2011. gada 1. oktobri ir ieviesta reversā pievienotās vērtības nodokļa piemērošanas kārtība metāllūžņu savākšanai un pārstrādei, kā arī ar 2012. gada 1. janvāri visos gadījumos fiziskām personām, nododot metāllūžņus, ienākuma izmaksātājs ietur iedzīvotāju ienākuma nodokli pēc 10% likmes;</w:t>
      </w:r>
    </w:p>
    <w:p w:rsidR="006677FA" w:rsidRPr="006677FA" w:rsidRDefault="006677FA" w:rsidP="006F69AF">
      <w:pPr>
        <w:pStyle w:val="ListParagraph"/>
        <w:numPr>
          <w:ilvl w:val="2"/>
          <w:numId w:val="23"/>
        </w:numPr>
        <w:spacing w:after="0" w:line="240" w:lineRule="auto"/>
        <w:ind w:left="426"/>
        <w:jc w:val="both"/>
        <w:rPr>
          <w:rFonts w:ascii="Times New Roman" w:hAnsi="Times New Roman"/>
          <w:sz w:val="24"/>
          <w:szCs w:val="24"/>
        </w:rPr>
      </w:pPr>
      <w:r w:rsidRPr="006677FA">
        <w:rPr>
          <w:rFonts w:ascii="Times New Roman" w:hAnsi="Times New Roman"/>
          <w:sz w:val="24"/>
          <w:szCs w:val="24"/>
        </w:rPr>
        <w:t>ar 2012. gada 1. janvāri ir stājušās spēkā tiesību normas, kas novērš mikrouzņēmumu nodokļa režīma izmantošanu nodokļu plānošanai;</w:t>
      </w:r>
    </w:p>
    <w:p w:rsidR="006677FA" w:rsidRPr="006677FA" w:rsidRDefault="006677FA" w:rsidP="006F69AF">
      <w:pPr>
        <w:pStyle w:val="ListParagraph"/>
        <w:numPr>
          <w:ilvl w:val="2"/>
          <w:numId w:val="23"/>
        </w:numPr>
        <w:spacing w:after="120" w:line="240" w:lineRule="auto"/>
        <w:ind w:left="426"/>
        <w:contextualSpacing w:val="0"/>
        <w:jc w:val="both"/>
        <w:rPr>
          <w:rFonts w:ascii="Times New Roman" w:hAnsi="Times New Roman"/>
          <w:sz w:val="24"/>
          <w:szCs w:val="24"/>
        </w:rPr>
      </w:pPr>
      <w:r w:rsidRPr="006677FA">
        <w:rPr>
          <w:rFonts w:ascii="Times New Roman" w:hAnsi="Times New Roman"/>
          <w:sz w:val="24"/>
          <w:szCs w:val="24"/>
        </w:rPr>
        <w:t>2011. gada 15. decembrī ir stājies spēkā Fizisko personu mantiskā stāvokļa un nedeklarēto ienākumu deklarēšanas likums, kas paredz no 2012. gada 1. marta līdz 2012. gada 1. jūnija fiziskām personām, iesniegt mantiskā stāvokļa deklarāciju.</w:t>
      </w:r>
    </w:p>
    <w:p w:rsidR="006677FA" w:rsidRPr="006677FA" w:rsidRDefault="006677FA" w:rsidP="00FD7E85">
      <w:pPr>
        <w:spacing w:before="120"/>
        <w:ind w:firstLine="0"/>
        <w:contextualSpacing/>
        <w:rPr>
          <w:szCs w:val="24"/>
        </w:rPr>
      </w:pPr>
      <w:r w:rsidRPr="006677FA">
        <w:rPr>
          <w:szCs w:val="24"/>
        </w:rPr>
        <w:t>2012. gadā</w:t>
      </w:r>
      <w:r w:rsidRPr="006677FA">
        <w:rPr>
          <w:b/>
          <w:szCs w:val="24"/>
        </w:rPr>
        <w:t xml:space="preserve"> </w:t>
      </w:r>
      <w:r w:rsidRPr="006677FA">
        <w:rPr>
          <w:szCs w:val="24"/>
        </w:rPr>
        <w:t>tiek plānots veikt un ieviest vairākus svarīgus pasākumus:</w:t>
      </w:r>
    </w:p>
    <w:p w:rsidR="006677FA" w:rsidRPr="006677FA" w:rsidRDefault="006677FA" w:rsidP="006F69AF">
      <w:pPr>
        <w:pStyle w:val="ListParagraph"/>
        <w:numPr>
          <w:ilvl w:val="2"/>
          <w:numId w:val="23"/>
        </w:numPr>
        <w:spacing w:before="120" w:after="120" w:line="240" w:lineRule="auto"/>
        <w:ind w:left="426"/>
        <w:jc w:val="both"/>
        <w:rPr>
          <w:rFonts w:ascii="Times New Roman" w:hAnsi="Times New Roman"/>
          <w:sz w:val="24"/>
          <w:szCs w:val="24"/>
        </w:rPr>
      </w:pPr>
      <w:r w:rsidRPr="006677FA">
        <w:rPr>
          <w:rFonts w:ascii="Times New Roman" w:hAnsi="Times New Roman"/>
          <w:sz w:val="24"/>
          <w:szCs w:val="24"/>
        </w:rPr>
        <w:t>pastiprināt cīņu pret nodokļu un citu maksājumu reģistrēšanas elektronisko ierīču un iekārtu neuzstādīšanu un neizmantošanu vai to lietošanas kārtības neievērošanu. Saeimā iesniegti priekšlikumi, kas paredz pastiprināt atbildību par iepriekš minēto. Tādējādi plānots novērst Latvijā pastāvošo situāciju attiecībā uz pretlikumīgu iejaukšanos kases aparātu un kases sistēmu programmatūrās, ar mērķi slēpt vai samazināt ar nodokli apliekamos ienākumus;</w:t>
      </w:r>
    </w:p>
    <w:p w:rsidR="006677FA" w:rsidRPr="006677FA" w:rsidRDefault="006677FA" w:rsidP="006F69AF">
      <w:pPr>
        <w:pStyle w:val="ListParagraph"/>
        <w:numPr>
          <w:ilvl w:val="2"/>
          <w:numId w:val="23"/>
        </w:numPr>
        <w:spacing w:after="0" w:line="240" w:lineRule="auto"/>
        <w:ind w:left="426"/>
        <w:jc w:val="both"/>
        <w:rPr>
          <w:rFonts w:ascii="Times New Roman" w:hAnsi="Times New Roman"/>
          <w:sz w:val="24"/>
          <w:szCs w:val="24"/>
        </w:rPr>
      </w:pPr>
      <w:r w:rsidRPr="006677FA">
        <w:rPr>
          <w:rFonts w:ascii="Times New Roman" w:hAnsi="Times New Roman"/>
          <w:sz w:val="24"/>
          <w:szCs w:val="24"/>
        </w:rPr>
        <w:t>pieņemt normatīvos aktus, kas ieviesīs nodokļu atbalsta pasākumu. Nodokļu atbalsta pasākums būs vienreiz veicams pasākums nokavējuma naudas un daļējas soda naudas dzēšanai tiem nodokļu maksātājiem, kas līdz noteiktam brīdim samaksās nodokļu pamatparādu;</w:t>
      </w:r>
    </w:p>
    <w:p w:rsidR="006677FA" w:rsidRPr="006677FA" w:rsidRDefault="006677FA" w:rsidP="006F69AF">
      <w:pPr>
        <w:pStyle w:val="ListParagraph"/>
        <w:numPr>
          <w:ilvl w:val="2"/>
          <w:numId w:val="23"/>
        </w:numPr>
        <w:spacing w:after="0" w:line="240" w:lineRule="auto"/>
        <w:ind w:left="426"/>
        <w:jc w:val="both"/>
        <w:rPr>
          <w:rFonts w:ascii="Times New Roman" w:hAnsi="Times New Roman"/>
          <w:sz w:val="24"/>
          <w:szCs w:val="24"/>
        </w:rPr>
      </w:pPr>
      <w:r w:rsidRPr="006677FA">
        <w:rPr>
          <w:rFonts w:ascii="Times New Roman" w:hAnsi="Times New Roman"/>
          <w:sz w:val="24"/>
          <w:szCs w:val="24"/>
        </w:rPr>
        <w:t>pārskatīt nodokļu režīmus mazajiem uzņēmējiem, lai paaugstinātu labprātīgas nodokļu nomaksas līmeni mazo uzņēmēju grupā, vienkāršotu un padarītu saprotamu mazajiem uzņēmējiem piemērojamo nodokļu sistēmu;</w:t>
      </w:r>
    </w:p>
    <w:p w:rsidR="006677FA" w:rsidRPr="006677FA" w:rsidRDefault="006677FA" w:rsidP="006F69AF">
      <w:pPr>
        <w:pStyle w:val="ListParagraph"/>
        <w:numPr>
          <w:ilvl w:val="2"/>
          <w:numId w:val="23"/>
        </w:numPr>
        <w:spacing w:after="0" w:line="240" w:lineRule="auto"/>
        <w:ind w:left="426"/>
        <w:jc w:val="both"/>
        <w:rPr>
          <w:rFonts w:ascii="Times New Roman" w:hAnsi="Times New Roman"/>
          <w:sz w:val="24"/>
          <w:szCs w:val="24"/>
        </w:rPr>
      </w:pPr>
      <w:r w:rsidRPr="006677FA">
        <w:rPr>
          <w:rFonts w:ascii="Times New Roman" w:hAnsi="Times New Roman"/>
          <w:sz w:val="24"/>
          <w:szCs w:val="24"/>
        </w:rPr>
        <w:t>ierobežot mākslīgu darījumu, kuru juridiskā forma neatbilst tā ekonomiskajai būtībai, atzīšanu nodokļu vajadzībām. Nodokļu normatīvajos aktos tiks iekļautas pretizvairīšanās normas, proti, turpmāk darījumi tiks vērtēti kopumā, neskatoties uz to, ka katrs atsevišķs darījums neliecina par izvairīšanos no nodokļa nomaksas;</w:t>
      </w:r>
    </w:p>
    <w:p w:rsidR="006677FA" w:rsidRPr="006677FA" w:rsidRDefault="006677FA" w:rsidP="006F69AF">
      <w:pPr>
        <w:pStyle w:val="ListParagraph"/>
        <w:numPr>
          <w:ilvl w:val="2"/>
          <w:numId w:val="23"/>
        </w:numPr>
        <w:spacing w:after="120" w:line="240" w:lineRule="auto"/>
        <w:ind w:left="426"/>
        <w:contextualSpacing w:val="0"/>
        <w:jc w:val="both"/>
        <w:rPr>
          <w:rFonts w:ascii="Times New Roman" w:hAnsi="Times New Roman"/>
          <w:sz w:val="24"/>
          <w:szCs w:val="24"/>
        </w:rPr>
      </w:pPr>
      <w:r w:rsidRPr="006677FA">
        <w:rPr>
          <w:rFonts w:ascii="Times New Roman" w:hAnsi="Times New Roman"/>
          <w:sz w:val="24"/>
          <w:szCs w:val="24"/>
        </w:rPr>
        <w:t>izvērtēt iespēju nodokļu nomaksu sasaistīt ar valsts pakalpojumu saņemšanas nosacījumiem, piemēram, veselības aprūpes pakalpojumiem, lai personas motivētu maksāt nodokļus.</w:t>
      </w:r>
    </w:p>
    <w:p w:rsidR="006677FA" w:rsidRPr="006677FA" w:rsidRDefault="006677FA" w:rsidP="00FD7E85">
      <w:pPr>
        <w:spacing w:after="0"/>
        <w:contextualSpacing/>
        <w:rPr>
          <w:szCs w:val="24"/>
        </w:rPr>
      </w:pPr>
      <w:r w:rsidRPr="006677FA">
        <w:rPr>
          <w:szCs w:val="24"/>
        </w:rPr>
        <w:t>Pasākumu rezultātā samazināsies ēnu ekonomikas apjoms, tiks nodrošināta vienlīdzīga uzņēmēju konk</w:t>
      </w:r>
      <w:r w:rsidR="00EE10B7">
        <w:rPr>
          <w:szCs w:val="24"/>
        </w:rPr>
        <w:t>urence vienas nozares ietvaros.</w:t>
      </w:r>
    </w:p>
    <w:p w:rsidR="006677FA" w:rsidRPr="006677FA" w:rsidRDefault="006677FA" w:rsidP="00FD7E85">
      <w:pPr>
        <w:pStyle w:val="ListParagraph"/>
        <w:spacing w:before="120" w:after="120" w:line="240" w:lineRule="auto"/>
        <w:ind w:left="0"/>
        <w:contextualSpacing w:val="0"/>
        <w:jc w:val="both"/>
        <w:rPr>
          <w:rFonts w:ascii="Times New Roman" w:hAnsi="Times New Roman"/>
          <w:sz w:val="24"/>
          <w:szCs w:val="24"/>
        </w:rPr>
      </w:pPr>
      <w:r w:rsidRPr="006677FA">
        <w:rPr>
          <w:rFonts w:ascii="Times New Roman" w:hAnsi="Times New Roman"/>
          <w:sz w:val="24"/>
          <w:szCs w:val="24"/>
          <w:u w:val="single"/>
        </w:rPr>
        <w:t>Valsts pārvaldes iestāžu funkciju tālākā optimizācija</w:t>
      </w:r>
      <w:r w:rsidRPr="006677FA">
        <w:rPr>
          <w:rFonts w:ascii="Times New Roman" w:hAnsi="Times New Roman"/>
          <w:sz w:val="24"/>
          <w:szCs w:val="24"/>
        </w:rPr>
        <w:t>, kā arī cilvēkresursu attīstības koncepcijas izstrāde. Pasākumu mērķis ir turpināt veidot nelielu, efektīvu, motivētu un uz rezultātu orientētu valsts pārvaldi, kas nodrošina iedzīvotājus un uzņēmējus ar kvalitatīviem un pieejamiem publiskās pārvaldes pakalpojumiem, kā arī plānveidīgi samazina administratīvos šķēršļus un  slogu. Kā piemēru var minēt 2009. gadā uzsākto veselības sektora administrācijas reformu, kad konsolidācijas rezultātā tika reorganizētas desmit Veselības ministrijas padotības iestādes (t.</w:t>
      </w:r>
      <w:r w:rsidR="00166699">
        <w:rPr>
          <w:rFonts w:ascii="Times New Roman" w:hAnsi="Times New Roman"/>
          <w:sz w:val="24"/>
          <w:szCs w:val="24"/>
        </w:rPr>
        <w:t>s</w:t>
      </w:r>
      <w:r w:rsidRPr="006677FA">
        <w:rPr>
          <w:rFonts w:ascii="Times New Roman" w:hAnsi="Times New Roman"/>
          <w:sz w:val="24"/>
          <w:szCs w:val="24"/>
        </w:rPr>
        <w:t xml:space="preserve">k. sešas Veselības ministrijas padotības iestādes likvidētas) un uz tā pamata tika izveidotas četras Veselības ministrijas padotības iestādes. Savukārt, 2011. gada beigās tika reorganizētas divas Veselības ministrijas padotības iestādes un uz reorganizācijas bāzes tika izveidota jauna Veselības ministrijas padotības iestāde. Lai </w:t>
      </w:r>
      <w:r w:rsidRPr="006677FA">
        <w:rPr>
          <w:rFonts w:ascii="Times New Roman" w:hAnsi="Times New Roman"/>
          <w:sz w:val="24"/>
          <w:szCs w:val="24"/>
        </w:rPr>
        <w:lastRenderedPageBreak/>
        <w:t>nodrošinātu efektīvāku un caurspīdīgāku resursu izmantošanu valsts pārvaldē, tiks veikti funkciju auditi dažādās nozarēs. Notiks atteikšanās no publiskajam sektoram neraksturīgām funkcijām, daļu funkciju deleģējot privātajam sektoram un nevalstiskām organizācijām. Tiks atjaunota valsts pārvaldē strādājošo apmācības sistēma.</w:t>
      </w:r>
    </w:p>
    <w:p w:rsidR="006677FA" w:rsidRPr="006677FA" w:rsidRDefault="006677FA" w:rsidP="00FD7E85">
      <w:pPr>
        <w:pStyle w:val="ListParagraph"/>
        <w:spacing w:before="120" w:after="0" w:line="240" w:lineRule="auto"/>
        <w:ind w:left="0"/>
        <w:jc w:val="both"/>
        <w:rPr>
          <w:rFonts w:ascii="Times New Roman" w:hAnsi="Times New Roman"/>
          <w:sz w:val="24"/>
          <w:szCs w:val="24"/>
        </w:rPr>
      </w:pPr>
      <w:r w:rsidRPr="006677FA">
        <w:rPr>
          <w:rFonts w:ascii="Times New Roman" w:hAnsi="Times New Roman"/>
          <w:sz w:val="24"/>
          <w:szCs w:val="24"/>
          <w:u w:val="single"/>
        </w:rPr>
        <w:t>E-pārvaldes un e-pakalpojumu attīstība</w:t>
      </w:r>
      <w:r w:rsidRPr="006677FA">
        <w:rPr>
          <w:rFonts w:ascii="Times New Roman" w:hAnsi="Times New Roman"/>
          <w:sz w:val="24"/>
          <w:szCs w:val="24"/>
        </w:rPr>
        <w:t>. Pasākumu mērķis ir padarīt efektīvākus valsts pārvaldes procesus, nodrošinot pieejamākus valsts pakalpojumus iedzīvotājiem un komersantiem. 2011. gadā ir apstiprināts „Elektroniskās pārvaldes attīstības plāns 2011.</w:t>
      </w:r>
      <w:r w:rsidR="00D82C46">
        <w:rPr>
          <w:rFonts w:ascii="Times New Roman" w:hAnsi="Times New Roman"/>
          <w:sz w:val="24"/>
          <w:szCs w:val="24"/>
          <w:lang w:val="lv-LV"/>
        </w:rPr>
        <w:t xml:space="preserve"> </w:t>
      </w:r>
      <w:r w:rsidR="0035776A">
        <w:rPr>
          <w:rFonts w:ascii="Times New Roman" w:hAnsi="Times New Roman"/>
          <w:sz w:val="24"/>
          <w:szCs w:val="24"/>
        </w:rPr>
        <w:t>–</w:t>
      </w:r>
      <w:r w:rsidRPr="006677FA">
        <w:rPr>
          <w:rFonts w:ascii="Times New Roman" w:hAnsi="Times New Roman"/>
          <w:sz w:val="24"/>
          <w:szCs w:val="24"/>
        </w:rPr>
        <w:t xml:space="preserve">2013. gadam”, kā arī ir uzsākts darbs valsts informācijas sistēmu darbības un pieejamības pilnveidošanā. Laika periodā no 2012. līdz 2014. gadam paredzēta pilnīgāka elektroniskās informācijas un dokumentu aprite starp iestādēm, valsts informācijas tehnoloģiju standarta pakalpojumu konsolidācija un centralizācija, valsts informāciju sistēmu sadarbspējas attīstīšana. Paredzēta atteikšanās no reģistrācijas apliecību, darbības atļauju un licenču izsniegšanas papīra formā, kā arī centralizētas elektronisko iepirkumu sistēmas izmantošanas un attīstības nodrošināšana. Pasākumu rezultātā valsts pārvaldes pakalpojumu saņemšana uzņēmējiem un iedzīvotājiem kļūs vienkāršotāka, ātrāka, attālināta, palielināsies iedzīvotāju un komersantu īpatsvars, kas izmanto internetu sadarbībai ar valsts un pašvaldību iestādēm, samazināsies izmaksas un tiks panākta lielāka caurskatāmība valsts pārvaldes iepirkuma procesos. </w:t>
      </w:r>
    </w:p>
    <w:p w:rsidR="006677FA" w:rsidRPr="006677FA" w:rsidRDefault="006677FA" w:rsidP="00FD7E85">
      <w:pPr>
        <w:pStyle w:val="ListParagraph"/>
        <w:spacing w:before="120" w:after="120" w:line="240" w:lineRule="auto"/>
        <w:ind w:left="0"/>
        <w:contextualSpacing w:val="0"/>
        <w:jc w:val="both"/>
        <w:rPr>
          <w:rFonts w:ascii="Times New Roman" w:hAnsi="Times New Roman"/>
          <w:sz w:val="24"/>
          <w:szCs w:val="24"/>
        </w:rPr>
      </w:pPr>
      <w:r w:rsidRPr="006677FA">
        <w:rPr>
          <w:rFonts w:ascii="Times New Roman" w:hAnsi="Times New Roman"/>
          <w:sz w:val="24"/>
          <w:szCs w:val="24"/>
          <w:u w:val="single"/>
        </w:rPr>
        <w:t>„Vienas pieturas aģentūras” principa ieviešana valsts un pašvaldību pakalpojumu sniegšanā</w:t>
      </w:r>
      <w:r w:rsidRPr="006677FA">
        <w:rPr>
          <w:rFonts w:ascii="Times New Roman" w:hAnsi="Times New Roman"/>
          <w:sz w:val="24"/>
          <w:szCs w:val="24"/>
        </w:rPr>
        <w:t xml:space="preserve">. Pasākumu mērķis ir valsts un pašvaldību pakalpojumu piegādes pilnveidošana, attīstot pakalpojumu piekļuves punktus klātienē un elektroniski, attīstot vienotu, </w:t>
      </w:r>
      <w:r w:rsidRPr="006677FA">
        <w:rPr>
          <w:rFonts w:ascii="Times New Roman" w:hAnsi="Times New Roman"/>
          <w:color w:val="000000"/>
          <w:sz w:val="24"/>
          <w:szCs w:val="24"/>
        </w:rPr>
        <w:t xml:space="preserve">uz personu vērstu </w:t>
      </w:r>
      <w:r w:rsidRPr="006677FA">
        <w:rPr>
          <w:rFonts w:ascii="Times New Roman" w:hAnsi="Times New Roman"/>
          <w:sz w:val="24"/>
          <w:szCs w:val="24"/>
        </w:rPr>
        <w:t>pakalpojumu sniegšanas kultūru, kas ļauj apmierināt personu vajadzības vienuviet arī tad, ja tā sniegšanā ir iesaistītas vairākas institūcijas. Darbs pie vienas pieturas aģentūras principa ieviešanas</w:t>
      </w:r>
      <w:r w:rsidRPr="006677FA">
        <w:rPr>
          <w:rFonts w:ascii="Times New Roman" w:hAnsi="Times New Roman"/>
          <w:iCs/>
          <w:sz w:val="24"/>
          <w:szCs w:val="24"/>
        </w:rPr>
        <w:t xml:space="preserve"> </w:t>
      </w:r>
      <w:r w:rsidRPr="006677FA">
        <w:rPr>
          <w:rFonts w:ascii="Times New Roman" w:hAnsi="Times New Roman"/>
          <w:sz w:val="24"/>
          <w:szCs w:val="24"/>
        </w:rPr>
        <w:t>tika uzsākts 2009. gadā un tā īstenošana paredzēta līdz 2014. gadam. 2011. gadā ir sagatavota „Koncepcija par vienas pieturas aģentūras principa ieviešanu valsts un pašvaldību pakalpojumu pieejamībā”. 2012. ga</w:t>
      </w:r>
      <w:r w:rsidR="00EE10B7">
        <w:rPr>
          <w:rFonts w:ascii="Times New Roman" w:hAnsi="Times New Roman"/>
          <w:sz w:val="24"/>
          <w:szCs w:val="24"/>
        </w:rPr>
        <w:t xml:space="preserve">dā ir plānots uzsākt darbu pie </w:t>
      </w:r>
      <w:r w:rsidRPr="006677FA">
        <w:rPr>
          <w:rFonts w:ascii="Times New Roman" w:hAnsi="Times New Roman"/>
          <w:sz w:val="24"/>
          <w:szCs w:val="24"/>
        </w:rPr>
        <w:t>Pub</w:t>
      </w:r>
      <w:r w:rsidR="00EE10B7">
        <w:rPr>
          <w:rFonts w:ascii="Times New Roman" w:hAnsi="Times New Roman"/>
          <w:sz w:val="24"/>
          <w:szCs w:val="24"/>
        </w:rPr>
        <w:t>lisko pakalpojumu likumprojekta</w:t>
      </w:r>
      <w:r w:rsidRPr="006677FA">
        <w:rPr>
          <w:rFonts w:ascii="Times New Roman" w:hAnsi="Times New Roman"/>
          <w:sz w:val="24"/>
          <w:szCs w:val="24"/>
        </w:rPr>
        <w:t xml:space="preserve">. Pasākuma rezultātā tiks samazināts administratīvais slogs, veicinot labu pārvaldību un valsts un pašvaldību sniegto pakalpojumu pieejamību komersantiem un iedzīvotājiem. Izveidojot vienotus klientu apkalpošanas centrus, kur vienuviet tiks sniegti gan valsts, gan pašvaldību pakalpojumi, tiks novērsta izmaksu dublēšanās. </w:t>
      </w:r>
    </w:p>
    <w:p w:rsidR="006677FA" w:rsidRPr="006677FA" w:rsidRDefault="006677FA" w:rsidP="00FD7E85">
      <w:pPr>
        <w:pStyle w:val="ListParagraph"/>
        <w:spacing w:before="120" w:after="120" w:line="240" w:lineRule="auto"/>
        <w:ind w:left="0"/>
        <w:contextualSpacing w:val="0"/>
        <w:jc w:val="both"/>
        <w:rPr>
          <w:rFonts w:ascii="Times New Roman" w:hAnsi="Times New Roman"/>
          <w:sz w:val="24"/>
          <w:szCs w:val="24"/>
        </w:rPr>
      </w:pPr>
      <w:r w:rsidRPr="006677FA">
        <w:rPr>
          <w:rFonts w:ascii="Times New Roman" w:eastAsia="Calibri" w:hAnsi="Times New Roman"/>
          <w:sz w:val="24"/>
          <w:szCs w:val="24"/>
          <w:u w:val="single"/>
        </w:rPr>
        <w:t>Valsts kapitāla daļu pārvaldības un publisko personu komercdarbības reforma</w:t>
      </w:r>
      <w:r w:rsidRPr="006677FA">
        <w:rPr>
          <w:rFonts w:ascii="Times New Roman" w:eastAsia="Calibri" w:hAnsi="Times New Roman"/>
          <w:sz w:val="24"/>
          <w:szCs w:val="24"/>
        </w:rPr>
        <w:t xml:space="preserve">. Pasākuma mērķis </w:t>
      </w:r>
      <w:r w:rsidRPr="006677FA">
        <w:rPr>
          <w:rFonts w:ascii="Times New Roman" w:hAnsi="Times New Roman"/>
          <w:sz w:val="24"/>
          <w:szCs w:val="24"/>
        </w:rPr>
        <w:t xml:space="preserve">ir nodrošināt efektīvāku valsts kapitāla daļu pārvaldi, kā arī izvērtēt nepieciešamību publiskām personām turpmāk darboties kā komersantiem. Pasākuma rezultātā tiek plānots izveidot centralizētu pārvaldības institūciju Ministru kabineta pārraudzībā, kuras funkcijas būtu kapitāla daļu pārvaldība un atsavināšana, korporatīvās pārvaldības principu ieviešana, uzņēmumu finanšu mērķu noteikšanas uzraudzība, valdības konsultēšana, informācijas atklātības nodrošināšana par uzņēmumu darbības un valsts aktīvu izmantošanas </w:t>
      </w:r>
      <w:r w:rsidRPr="005F6A39">
        <w:rPr>
          <w:rFonts w:ascii="Times New Roman" w:hAnsi="Times New Roman"/>
          <w:sz w:val="24"/>
          <w:szCs w:val="24"/>
        </w:rPr>
        <w:t xml:space="preserve">efektivitāti, kā arī izvirzīto mērķu sasniegšanas izvērtēšana. </w:t>
      </w:r>
      <w:r w:rsidR="005F6A39" w:rsidRPr="005F6A39">
        <w:rPr>
          <w:rFonts w:ascii="Times New Roman" w:hAnsi="Times New Roman"/>
          <w:sz w:val="24"/>
          <w:szCs w:val="24"/>
        </w:rPr>
        <w:t xml:space="preserve">Tāpat plānots noteikt jaunus publisko personu komercdarbības principus un izvērtēt valsts līdzdalības kapitālsabiedrībās atbilstību šiem principiem. </w:t>
      </w:r>
      <w:r w:rsidRPr="005F6A39">
        <w:rPr>
          <w:rFonts w:ascii="Times New Roman" w:hAnsi="Times New Roman"/>
          <w:sz w:val="24"/>
          <w:szCs w:val="24"/>
        </w:rPr>
        <w:t xml:space="preserve">2011. gadā, lai izveidotu jaunu valsts </w:t>
      </w:r>
      <w:r w:rsidRPr="00D212AE">
        <w:rPr>
          <w:rFonts w:ascii="Times New Roman" w:hAnsi="Times New Roman"/>
          <w:sz w:val="24"/>
          <w:szCs w:val="24"/>
        </w:rPr>
        <w:t>kapitālsabiedrību pārvaldības modeli</w:t>
      </w:r>
      <w:r w:rsidRPr="006677FA">
        <w:rPr>
          <w:rFonts w:ascii="Times New Roman" w:hAnsi="Times New Roman"/>
          <w:sz w:val="24"/>
          <w:szCs w:val="24"/>
        </w:rPr>
        <w:t>, tika sagatavot</w:t>
      </w:r>
      <w:r w:rsidR="005F6A39">
        <w:rPr>
          <w:rFonts w:ascii="Times New Roman" w:hAnsi="Times New Roman"/>
          <w:sz w:val="24"/>
          <w:szCs w:val="24"/>
        </w:rPr>
        <w:t>s</w:t>
      </w:r>
      <w:r w:rsidRPr="006677FA">
        <w:rPr>
          <w:rFonts w:ascii="Times New Roman" w:hAnsi="Times New Roman"/>
          <w:sz w:val="24"/>
          <w:szCs w:val="24"/>
        </w:rPr>
        <w:t xml:space="preserve"> Valsts kapitāla daļu pārvaldības koncepcijas </w:t>
      </w:r>
      <w:r w:rsidRPr="005F6A39">
        <w:rPr>
          <w:rFonts w:ascii="Times New Roman" w:hAnsi="Times New Roman"/>
          <w:sz w:val="24"/>
          <w:szCs w:val="24"/>
        </w:rPr>
        <w:t>projekts</w:t>
      </w:r>
      <w:r w:rsidR="005F6A39" w:rsidRPr="005F6A39">
        <w:rPr>
          <w:rFonts w:ascii="Times New Roman" w:hAnsi="Times New Roman"/>
          <w:sz w:val="24"/>
          <w:szCs w:val="24"/>
        </w:rPr>
        <w:t xml:space="preserve">, kā arī, lai pārvērtētu publisko personu komercdarbības institūtu, tika izstrādāts </w:t>
      </w:r>
      <w:r w:rsidRPr="00D212AE">
        <w:rPr>
          <w:rFonts w:ascii="Times New Roman" w:hAnsi="Times New Roman"/>
          <w:sz w:val="24"/>
          <w:szCs w:val="24"/>
        </w:rPr>
        <w:t>Publisko personu komercdarbības koncepcijas projekts. 2012. gada 5. aprīlī Reformu vadības grupas sēdē vienojās</w:t>
      </w:r>
      <w:r w:rsidRPr="006677FA">
        <w:rPr>
          <w:rFonts w:ascii="Times New Roman" w:hAnsi="Times New Roman"/>
          <w:sz w:val="24"/>
          <w:szCs w:val="24"/>
        </w:rPr>
        <w:t>, ka jautājums par val</w:t>
      </w:r>
      <w:r w:rsidRPr="00D212AE">
        <w:rPr>
          <w:rFonts w:ascii="Times New Roman" w:hAnsi="Times New Roman"/>
          <w:sz w:val="24"/>
          <w:szCs w:val="24"/>
        </w:rPr>
        <w:t xml:space="preserve">sts </w:t>
      </w:r>
      <w:r w:rsidR="00D212AE" w:rsidRPr="00D212AE">
        <w:rPr>
          <w:rFonts w:ascii="Times New Roman" w:hAnsi="Times New Roman"/>
          <w:sz w:val="24"/>
          <w:szCs w:val="24"/>
        </w:rPr>
        <w:t>kapitāla daļu</w:t>
      </w:r>
      <w:r w:rsidRPr="006677FA">
        <w:rPr>
          <w:rFonts w:ascii="Times New Roman" w:hAnsi="Times New Roman"/>
          <w:sz w:val="24"/>
          <w:szCs w:val="24"/>
        </w:rPr>
        <w:t xml:space="preserve"> pārvaldības reformu tiks virzīts izskatīšanai Ministru kabinetā. Pēc jautājuma izskatīšanas Ministru kabinetā nozaru ministrijām tiks dots uzdevums izvērtēt to pārvaldībā esošo kapitālsabiedrību statusu un mērķus. Plānots, ka centralizētā pārvaldības institūcija darbu varētu uzsākt 2013. gada 1. janvārī.</w:t>
      </w:r>
    </w:p>
    <w:p w:rsidR="006677FA" w:rsidRPr="00633F49" w:rsidRDefault="006677FA" w:rsidP="002D62B9">
      <w:pPr>
        <w:spacing w:before="120"/>
        <w:ind w:left="709" w:firstLine="0"/>
        <w:rPr>
          <w:sz w:val="28"/>
          <w:szCs w:val="28"/>
        </w:rPr>
      </w:pPr>
    </w:p>
    <w:p w:rsidR="006677FA" w:rsidRPr="00633F49" w:rsidRDefault="006677FA" w:rsidP="002D62B9">
      <w:pPr>
        <w:spacing w:before="120"/>
        <w:ind w:left="567" w:firstLine="0"/>
        <w:rPr>
          <w:sz w:val="28"/>
          <w:szCs w:val="28"/>
        </w:rPr>
      </w:pPr>
      <w:r w:rsidRPr="00633F49">
        <w:rPr>
          <w:b/>
          <w:i/>
          <w:sz w:val="28"/>
          <w:szCs w:val="28"/>
        </w:rPr>
        <w:lastRenderedPageBreak/>
        <w:t>3.2.2. Produktīvo investīciju un eksporta veicināšana</w:t>
      </w:r>
    </w:p>
    <w:p w:rsidR="006677FA" w:rsidRPr="006677FA" w:rsidRDefault="006677FA" w:rsidP="00FD7E85">
      <w:pPr>
        <w:pStyle w:val="ListParagraph"/>
        <w:spacing w:before="120" w:after="120" w:line="240" w:lineRule="auto"/>
        <w:ind w:left="0"/>
        <w:contextualSpacing w:val="0"/>
        <w:jc w:val="both"/>
        <w:rPr>
          <w:rFonts w:ascii="Times New Roman" w:hAnsi="Times New Roman"/>
          <w:sz w:val="24"/>
          <w:szCs w:val="24"/>
        </w:rPr>
      </w:pPr>
      <w:r w:rsidRPr="006677FA">
        <w:rPr>
          <w:rFonts w:ascii="Times New Roman" w:hAnsi="Times New Roman"/>
          <w:sz w:val="24"/>
          <w:szCs w:val="24"/>
          <w:u w:val="single"/>
        </w:rPr>
        <w:t>Uzņēmumu pieeja finanšu resursiem.</w:t>
      </w:r>
      <w:r w:rsidRPr="006677FA">
        <w:rPr>
          <w:rFonts w:ascii="Times New Roman" w:hAnsi="Times New Roman"/>
          <w:sz w:val="24"/>
          <w:szCs w:val="24"/>
        </w:rPr>
        <w:t xml:space="preserve"> Pasākuma mērķis ir nodrošināt finanšu resursus komercdarbības uzsākšanai un attīstībai. 2011. gadā uzņēmējiem tika piedāvāts plašs finanšu instrumentu klāsts, tajā skaitā aizdevumi un individuālās garantijas. 2012. gadā uzņēmumiem tiek nodrošināta piekļuve finanšu resursiem, sniedzot atbalstu uzņēmējiem, lai uzlabotu to konkurētspēju un veicinātu izaugsmi. Pasākuma rezultātā palielināsies piekļuve finansējumam, tiks veicināta jaunu uzņēmumu rašanās, biznesa iemaņu iegūšana, biznesa vides attīstība, kā arī tiks sekmēta jaunu tirgu apgūšana un uzņēmumu nostiprināšanās esošajos tirgos.</w:t>
      </w:r>
    </w:p>
    <w:p w:rsidR="006677FA" w:rsidRPr="006677FA" w:rsidRDefault="006677FA" w:rsidP="00FD7E85">
      <w:pPr>
        <w:pStyle w:val="ListParagraph"/>
        <w:spacing w:before="120" w:after="120" w:line="240" w:lineRule="auto"/>
        <w:ind w:left="0"/>
        <w:contextualSpacing w:val="0"/>
        <w:jc w:val="both"/>
        <w:rPr>
          <w:rFonts w:ascii="Times New Roman" w:hAnsi="Times New Roman"/>
          <w:sz w:val="24"/>
          <w:szCs w:val="24"/>
        </w:rPr>
      </w:pPr>
      <w:r w:rsidRPr="006677FA">
        <w:rPr>
          <w:rFonts w:ascii="Times New Roman" w:hAnsi="Times New Roman"/>
          <w:sz w:val="24"/>
          <w:szCs w:val="24"/>
          <w:u w:val="single"/>
        </w:rPr>
        <w:t>Atbalsts ārējo tirgu apguvei</w:t>
      </w:r>
      <w:r w:rsidRPr="006677FA">
        <w:rPr>
          <w:rFonts w:ascii="Times New Roman" w:hAnsi="Times New Roman"/>
          <w:sz w:val="24"/>
          <w:szCs w:val="24"/>
        </w:rPr>
        <w:t>. Pasākuma mērķis ir palielināt Latvijas eksporta apjomus un diversificēt eksporta tirgus, sniedzot tiešos eksporta atbalsta pakalpojumus komersantiem (apmācības, konsultācijas, semināri par ārvalstu tirgiem un sadarbības iespējām, atbalsts dalībai izstādēs u.c.).</w:t>
      </w:r>
      <w:r w:rsidRPr="006677FA">
        <w:rPr>
          <w:rFonts w:ascii="Times New Roman" w:hAnsi="Times New Roman"/>
          <w:noProof/>
          <w:sz w:val="24"/>
          <w:szCs w:val="24"/>
        </w:rPr>
        <w:t xml:space="preserve"> </w:t>
      </w:r>
      <w:r w:rsidRPr="006677FA">
        <w:rPr>
          <w:rFonts w:ascii="Times New Roman" w:hAnsi="Times New Roman"/>
          <w:sz w:val="24"/>
          <w:szCs w:val="24"/>
        </w:rPr>
        <w:t xml:space="preserve">Pasākumiem ir paredzēts ES fondu līdzfinansējums. 2011. gadā, atbilstoši plānotajam, tika īstenoti tiešie eksporta atbalsta pakalpojumi komersantiem, kā arī tika </w:t>
      </w:r>
      <w:r w:rsidRPr="006677FA">
        <w:rPr>
          <w:rFonts w:ascii="Times New Roman" w:hAnsi="Times New Roman"/>
          <w:noProof/>
          <w:sz w:val="24"/>
          <w:szCs w:val="24"/>
        </w:rPr>
        <w:t xml:space="preserve">paplašināts ārējo ekonomisko </w:t>
      </w:r>
      <w:r w:rsidRPr="006677FA">
        <w:rPr>
          <w:rFonts w:ascii="Times New Roman" w:hAnsi="Times New Roman"/>
          <w:sz w:val="24"/>
          <w:szCs w:val="24"/>
        </w:rPr>
        <w:t>pārstāvniecību tīkls (Lietuvā un Ukrainā). 2012. gadā tiek turpināta atbalsta sniegšana komersantiem ārējo tirgu apguvei.</w:t>
      </w:r>
    </w:p>
    <w:p w:rsidR="006677FA" w:rsidRPr="006677FA" w:rsidRDefault="006677FA" w:rsidP="00FD7E85">
      <w:pPr>
        <w:pStyle w:val="ListParagraph"/>
        <w:spacing w:before="120" w:after="120" w:line="240" w:lineRule="auto"/>
        <w:ind w:left="0"/>
        <w:contextualSpacing w:val="0"/>
        <w:jc w:val="both"/>
        <w:rPr>
          <w:rFonts w:ascii="Times New Roman" w:hAnsi="Times New Roman"/>
          <w:sz w:val="24"/>
          <w:szCs w:val="24"/>
        </w:rPr>
      </w:pPr>
      <w:r w:rsidRPr="006677FA">
        <w:rPr>
          <w:rFonts w:ascii="Times New Roman" w:hAnsi="Times New Roman"/>
          <w:sz w:val="24"/>
          <w:szCs w:val="24"/>
          <w:u w:val="single"/>
        </w:rPr>
        <w:t>Atbalsts mazajiem un vidējiem uzņēmumiem</w:t>
      </w:r>
      <w:r w:rsidRPr="006677FA">
        <w:rPr>
          <w:rFonts w:ascii="Times New Roman" w:hAnsi="Times New Roman"/>
          <w:sz w:val="24"/>
          <w:szCs w:val="24"/>
        </w:rPr>
        <w:t>.</w:t>
      </w:r>
      <w:r w:rsidRPr="006677FA">
        <w:rPr>
          <w:rFonts w:ascii="Times New Roman" w:hAnsi="Times New Roman"/>
          <w:bCs/>
          <w:sz w:val="24"/>
          <w:szCs w:val="24"/>
          <w:lang w:eastAsia="lv-LV"/>
        </w:rPr>
        <w:t xml:space="preserve"> Pasākuma mērķis ir sniegt atbalstu mazajiem un vidējiem uzņēmumiem caur mikrokreditēšanas programmām. „Latvijas mazo un vidējo komersantu mikrokreditēšanas programmas” ietvaros kopš 2009. gada februāra līdz 2011. gada septembrim tika piešķirti 395 aizdevumi. </w:t>
      </w:r>
      <w:r w:rsidRPr="006677FA">
        <w:rPr>
          <w:rFonts w:ascii="Times New Roman" w:hAnsi="Times New Roman"/>
          <w:bCs/>
          <w:sz w:val="24"/>
          <w:szCs w:val="24"/>
        </w:rPr>
        <w:t>Kopš 2011. gada oktobra „</w:t>
      </w:r>
      <w:r w:rsidRPr="006677FA">
        <w:rPr>
          <w:rFonts w:ascii="Times New Roman" w:hAnsi="Times New Roman"/>
          <w:bCs/>
          <w:sz w:val="24"/>
          <w:szCs w:val="24"/>
          <w:lang w:eastAsia="lv-LV"/>
        </w:rPr>
        <w:t xml:space="preserve">Latvijas mazo un vidējo komersantu mikrokreditēšanas programmu” </w:t>
      </w:r>
      <w:r w:rsidRPr="006677FA">
        <w:rPr>
          <w:rFonts w:ascii="Times New Roman" w:hAnsi="Times New Roman"/>
          <w:bCs/>
          <w:sz w:val="24"/>
          <w:szCs w:val="24"/>
        </w:rPr>
        <w:t>aizstāj jauna programma – „Latvijas un Šveices mikrokreditēšanas programma”. Programma darbosies līdz 2015. gada jūnijam.</w:t>
      </w:r>
    </w:p>
    <w:p w:rsidR="006677FA" w:rsidRPr="006677FA" w:rsidRDefault="006677FA" w:rsidP="002D62B9">
      <w:pPr>
        <w:spacing w:before="120"/>
        <w:ind w:left="709" w:firstLine="0"/>
        <w:rPr>
          <w:szCs w:val="24"/>
        </w:rPr>
      </w:pPr>
    </w:p>
    <w:p w:rsidR="006677FA" w:rsidRPr="00633F49" w:rsidRDefault="006677FA" w:rsidP="002D62B9">
      <w:pPr>
        <w:spacing w:before="120"/>
        <w:ind w:left="567" w:firstLine="0"/>
        <w:rPr>
          <w:sz w:val="28"/>
          <w:szCs w:val="28"/>
        </w:rPr>
      </w:pPr>
      <w:r w:rsidRPr="00633F49">
        <w:rPr>
          <w:b/>
          <w:i/>
          <w:sz w:val="28"/>
          <w:szCs w:val="28"/>
        </w:rPr>
        <w:t>3.2.3. Inovācijas, pētniecība un attīstība</w:t>
      </w:r>
    </w:p>
    <w:p w:rsidR="006677FA" w:rsidRPr="006677FA" w:rsidRDefault="006677FA" w:rsidP="00FD7E85">
      <w:pPr>
        <w:pStyle w:val="ListParagraph"/>
        <w:spacing w:before="120" w:after="0" w:line="240" w:lineRule="auto"/>
        <w:ind w:left="0"/>
        <w:contextualSpacing w:val="0"/>
        <w:jc w:val="both"/>
        <w:rPr>
          <w:rFonts w:ascii="Times New Roman" w:hAnsi="Times New Roman"/>
          <w:sz w:val="24"/>
          <w:szCs w:val="24"/>
        </w:rPr>
      </w:pPr>
      <w:r w:rsidRPr="006677FA">
        <w:rPr>
          <w:rFonts w:ascii="Times New Roman" w:hAnsi="Times New Roman"/>
          <w:bCs/>
          <w:sz w:val="24"/>
          <w:szCs w:val="24"/>
          <w:u w:val="single"/>
        </w:rPr>
        <w:t>Uzņēmumu un zinātnieku ilgtermiņa sadarbības platformas izveide</w:t>
      </w:r>
      <w:r w:rsidRPr="006677FA">
        <w:rPr>
          <w:rFonts w:ascii="Times New Roman" w:hAnsi="Times New Roman"/>
          <w:sz w:val="24"/>
          <w:szCs w:val="24"/>
          <w:u w:val="single"/>
        </w:rPr>
        <w:t>.</w:t>
      </w:r>
      <w:r w:rsidRPr="006677FA">
        <w:rPr>
          <w:rFonts w:ascii="Times New Roman" w:hAnsi="Times New Roman"/>
          <w:sz w:val="24"/>
          <w:szCs w:val="24"/>
        </w:rPr>
        <w:t xml:space="preserve"> Pasākuma mērķis ir izveidot ietvaru zinātnieku un uzņēmēju efektīvākai sadarbībai, vienlaicīgi pilnveidojot pētniecības infrastruktūru un atbalstot kopīgu pētījumu veikšanu. 2011. gadā tika noslēgti līgumi par 6 kompetences centru darbību, tika atbalstīta 8 tehnoloģiju pārneses kontaktpunktu darbība. No 2012. gada līdz 2015. gadam</w:t>
      </w:r>
      <w:r w:rsidRPr="006677FA">
        <w:rPr>
          <w:rFonts w:ascii="Times New Roman" w:hAnsi="Times New Roman"/>
          <w:b/>
          <w:sz w:val="24"/>
          <w:szCs w:val="24"/>
        </w:rPr>
        <w:t xml:space="preserve"> </w:t>
      </w:r>
      <w:r w:rsidRPr="006677FA">
        <w:rPr>
          <w:rFonts w:ascii="Times New Roman" w:hAnsi="Times New Roman"/>
          <w:sz w:val="24"/>
          <w:szCs w:val="24"/>
        </w:rPr>
        <w:t xml:space="preserve">tiks īstenota no ES struktūrfondiem līdzfinansēta „Klasteru programma”, kuras darbības rezultātā tiks izveidoti vismaz 8 klasteri. Pasākuma rezultātā palielināsies privātā sektora ieguldījumi pētniecībā un attīstībā, kā arī atbalstīto komersantu apgrozījums un nodarbināto skaits. </w:t>
      </w:r>
    </w:p>
    <w:p w:rsidR="006677FA" w:rsidRPr="006677FA" w:rsidRDefault="006677FA" w:rsidP="00FD7E85">
      <w:pPr>
        <w:pStyle w:val="ListParagraph"/>
        <w:spacing w:before="120" w:after="120" w:line="240" w:lineRule="auto"/>
        <w:ind w:left="0"/>
        <w:contextualSpacing w:val="0"/>
        <w:jc w:val="both"/>
        <w:rPr>
          <w:rFonts w:ascii="Times New Roman" w:hAnsi="Times New Roman"/>
          <w:sz w:val="24"/>
          <w:szCs w:val="24"/>
        </w:rPr>
      </w:pPr>
      <w:r w:rsidRPr="006677FA">
        <w:rPr>
          <w:rFonts w:ascii="Times New Roman" w:hAnsi="Times New Roman"/>
          <w:sz w:val="24"/>
          <w:szCs w:val="24"/>
          <w:u w:val="single"/>
        </w:rPr>
        <w:t>Atbalsts inovatīvu komersantu attīstībai</w:t>
      </w:r>
      <w:r w:rsidRPr="006677FA">
        <w:rPr>
          <w:rFonts w:ascii="Times New Roman" w:hAnsi="Times New Roman"/>
          <w:sz w:val="24"/>
          <w:szCs w:val="24"/>
        </w:rPr>
        <w:t>. Pasākuma mērķis ir palielināt inovatīvo uzņēmumu skaitu. 2012. gadā plānots izstrādāt nosacījumus jaunai atbalsta programmai „Tehnoloģiju ink</w:t>
      </w:r>
      <w:r w:rsidRPr="006677FA">
        <w:rPr>
          <w:rFonts w:ascii="Times New Roman" w:hAnsi="Times New Roman"/>
          <w:bCs/>
          <w:sz w:val="24"/>
          <w:szCs w:val="24"/>
          <w:lang w:eastAsia="lv-LV"/>
        </w:rPr>
        <w:t>ubators” un uzsākt tās īstenošanu, kā arī uzsākt „Mikro, mazo un vidējo komersantu jaunu produktu un tehnoloģiju attīstības programmas” īstenošanu. Pasākumu rezultātā palielināsies apstrādes rūpniecības, augsto tehnoloģiju pakalpojumu nozares izlaid</w:t>
      </w:r>
      <w:r w:rsidRPr="006677FA">
        <w:rPr>
          <w:rFonts w:ascii="Times New Roman" w:hAnsi="Times New Roman"/>
          <w:sz w:val="24"/>
          <w:szCs w:val="24"/>
        </w:rPr>
        <w:t xml:space="preserve">es un eksporta apjomi, palielināsies privātā sektora ieguldījumi pētniecībā un attīstībā, kā arī atbalstīto komersantu apgrozījums un nodarbināto skaits. Pasākuma īstenošanai plānots piesaistīt privāto finansējumu, kā arī ES </w:t>
      </w:r>
      <w:r w:rsidRPr="006677FA">
        <w:rPr>
          <w:rFonts w:ascii="Times New Roman" w:hAnsi="Times New Roman"/>
          <w:bCs/>
          <w:sz w:val="24"/>
          <w:szCs w:val="24"/>
        </w:rPr>
        <w:t>struktūrfondu un Norvēģijas instrumenta finansējumu.</w:t>
      </w:r>
      <w:r w:rsidRPr="006677FA">
        <w:rPr>
          <w:rFonts w:ascii="Times New Roman" w:hAnsi="Times New Roman"/>
          <w:sz w:val="24"/>
          <w:szCs w:val="24"/>
        </w:rPr>
        <w:t xml:space="preserve"> 2010.</w:t>
      </w:r>
      <w:r w:rsidR="006F69AF">
        <w:rPr>
          <w:rFonts w:ascii="Times New Roman" w:hAnsi="Times New Roman"/>
          <w:sz w:val="24"/>
          <w:szCs w:val="24"/>
        </w:rPr>
        <w:t xml:space="preserve"> </w:t>
      </w:r>
      <w:r w:rsidR="0035776A">
        <w:rPr>
          <w:rFonts w:ascii="Times New Roman" w:hAnsi="Times New Roman"/>
          <w:sz w:val="24"/>
          <w:szCs w:val="24"/>
        </w:rPr>
        <w:t>–</w:t>
      </w:r>
      <w:r w:rsidR="006F69AF">
        <w:rPr>
          <w:rFonts w:ascii="Times New Roman" w:hAnsi="Times New Roman"/>
          <w:sz w:val="24"/>
          <w:szCs w:val="24"/>
        </w:rPr>
        <w:t xml:space="preserve"> </w:t>
      </w:r>
      <w:r w:rsidRPr="006677FA">
        <w:rPr>
          <w:rFonts w:ascii="Times New Roman" w:hAnsi="Times New Roman"/>
          <w:sz w:val="24"/>
          <w:szCs w:val="24"/>
        </w:rPr>
        <w:t>2015. gadā tiek turpināts sniegt atbalstu komersantiem jaunu produktu un tehnoloģiju izstrādei, kā arī projektiem jaunu produktu un tehnoloģiju ieviešanai ražošanā.</w:t>
      </w:r>
    </w:p>
    <w:p w:rsidR="006677FA" w:rsidRPr="006677FA" w:rsidRDefault="006677FA" w:rsidP="002D62B9">
      <w:pPr>
        <w:spacing w:before="120"/>
        <w:ind w:left="709" w:firstLine="0"/>
        <w:rPr>
          <w:szCs w:val="24"/>
        </w:rPr>
      </w:pPr>
    </w:p>
    <w:p w:rsidR="006677FA" w:rsidRPr="00633F49" w:rsidRDefault="006677FA" w:rsidP="002D62B9">
      <w:pPr>
        <w:spacing w:before="120"/>
        <w:ind w:left="567" w:firstLine="0"/>
        <w:rPr>
          <w:sz w:val="28"/>
          <w:szCs w:val="28"/>
        </w:rPr>
      </w:pPr>
      <w:r w:rsidRPr="00633F49">
        <w:rPr>
          <w:b/>
          <w:i/>
          <w:sz w:val="28"/>
          <w:szCs w:val="28"/>
        </w:rPr>
        <w:t>3.2.4. Transports un enerģētika</w:t>
      </w:r>
    </w:p>
    <w:p w:rsidR="006677FA" w:rsidRPr="006677FA" w:rsidRDefault="006677FA" w:rsidP="00FD7E85">
      <w:pPr>
        <w:pStyle w:val="ListParagraph"/>
        <w:spacing w:before="120" w:after="120" w:line="240" w:lineRule="auto"/>
        <w:ind w:left="0"/>
        <w:contextualSpacing w:val="0"/>
        <w:jc w:val="both"/>
        <w:rPr>
          <w:rFonts w:ascii="Times New Roman" w:hAnsi="Times New Roman"/>
          <w:sz w:val="24"/>
          <w:szCs w:val="24"/>
        </w:rPr>
      </w:pPr>
      <w:r w:rsidRPr="006677FA">
        <w:rPr>
          <w:rFonts w:ascii="Times New Roman" w:hAnsi="Times New Roman"/>
          <w:bCs/>
          <w:sz w:val="24"/>
          <w:szCs w:val="24"/>
          <w:u w:val="single"/>
        </w:rPr>
        <w:t>Transports un infrastruktūra.</w:t>
      </w:r>
      <w:r w:rsidRPr="006677FA">
        <w:rPr>
          <w:rFonts w:ascii="Times New Roman" w:hAnsi="Times New Roman"/>
          <w:sz w:val="24"/>
          <w:szCs w:val="24"/>
        </w:rPr>
        <w:t xml:space="preserve"> Pasākuma mērķis ir loģistikas pakalpojumu konkurētspējas paaugstināšana un ES ārējās robežas caurlaides spējas nodrošināšana atbilstoši potenciālai </w:t>
      </w:r>
      <w:r w:rsidRPr="006677FA">
        <w:rPr>
          <w:rFonts w:ascii="Times New Roman" w:hAnsi="Times New Roman"/>
          <w:sz w:val="24"/>
          <w:szCs w:val="24"/>
        </w:rPr>
        <w:lastRenderedPageBreak/>
        <w:t>kravas un pasažieru transporta plūsmai. Galvenie darbības virzieni 2011.</w:t>
      </w:r>
      <w:r w:rsidR="006F69AF">
        <w:rPr>
          <w:rFonts w:ascii="Times New Roman" w:hAnsi="Times New Roman"/>
          <w:sz w:val="24"/>
          <w:szCs w:val="24"/>
        </w:rPr>
        <w:t xml:space="preserve"> </w:t>
      </w:r>
      <w:r w:rsidR="0035776A">
        <w:rPr>
          <w:rFonts w:ascii="Times New Roman" w:hAnsi="Times New Roman"/>
          <w:sz w:val="24"/>
          <w:szCs w:val="24"/>
        </w:rPr>
        <w:t>–</w:t>
      </w:r>
      <w:r w:rsidR="006F69AF">
        <w:rPr>
          <w:rFonts w:ascii="Times New Roman" w:hAnsi="Times New Roman"/>
          <w:sz w:val="24"/>
          <w:szCs w:val="24"/>
        </w:rPr>
        <w:t xml:space="preserve"> </w:t>
      </w:r>
      <w:r w:rsidRPr="006677FA">
        <w:rPr>
          <w:rFonts w:ascii="Times New Roman" w:hAnsi="Times New Roman"/>
          <w:sz w:val="24"/>
          <w:szCs w:val="24"/>
        </w:rPr>
        <w:t xml:space="preserve">2013. gadā ir dzelzceļa, autoceļu, ostu un gaisa transporta infrastruktūras rekonstrukcija un uzlabošana, kā arī </w:t>
      </w:r>
      <w:r w:rsidRPr="006677FA">
        <w:rPr>
          <w:rFonts w:ascii="Times New Roman" w:hAnsi="Times New Roman"/>
          <w:color w:val="000000"/>
          <w:sz w:val="24"/>
          <w:szCs w:val="24"/>
          <w:lang w:eastAsia="lv-LV"/>
        </w:rPr>
        <w:t>Starptautiskās kravu loģistikas un ostu informācijas sistēmas</w:t>
      </w:r>
      <w:r w:rsidRPr="006677FA">
        <w:rPr>
          <w:rFonts w:ascii="Times New Roman" w:hAnsi="Times New Roman"/>
          <w:sz w:val="24"/>
          <w:szCs w:val="24"/>
        </w:rPr>
        <w:t xml:space="preserve"> izveide.</w:t>
      </w:r>
    </w:p>
    <w:p w:rsidR="006677FA" w:rsidRPr="006677FA" w:rsidRDefault="006677FA" w:rsidP="00FD7E85">
      <w:pPr>
        <w:pStyle w:val="ListParagraph"/>
        <w:spacing w:before="120" w:after="120" w:line="240" w:lineRule="auto"/>
        <w:ind w:left="0"/>
        <w:contextualSpacing w:val="0"/>
        <w:jc w:val="both"/>
        <w:rPr>
          <w:rFonts w:ascii="Times New Roman" w:hAnsi="Times New Roman"/>
          <w:sz w:val="24"/>
          <w:szCs w:val="24"/>
        </w:rPr>
      </w:pPr>
      <w:r w:rsidRPr="006677FA">
        <w:rPr>
          <w:rFonts w:ascii="Times New Roman" w:hAnsi="Times New Roman"/>
          <w:bCs/>
          <w:sz w:val="24"/>
          <w:szCs w:val="24"/>
          <w:u w:val="single"/>
        </w:rPr>
        <w:t>Enerģētika un klimata pārmaiņas</w:t>
      </w:r>
      <w:r w:rsidRPr="006677FA">
        <w:rPr>
          <w:rFonts w:ascii="Times New Roman" w:hAnsi="Times New Roman"/>
          <w:sz w:val="24"/>
          <w:szCs w:val="24"/>
          <w:u w:val="single"/>
        </w:rPr>
        <w:t>.</w:t>
      </w:r>
      <w:r w:rsidRPr="006677FA">
        <w:rPr>
          <w:rFonts w:ascii="Times New Roman" w:hAnsi="Times New Roman"/>
          <w:sz w:val="24"/>
          <w:szCs w:val="24"/>
        </w:rPr>
        <w:t xml:space="preserve"> Pašlaik notiek darbs pie „Enerģētikas stratēģijas 2030” izstrādes. Šis dokuments noteiks darbības virzienus ilgtermiņā energoapgādes drošībā, konkurētspējā, energoefektivitātē un arī atjaunojamās enerģijas izmantošanā. Tāpat plānots pārskatīt valsts atbalsta mehānismus </w:t>
      </w:r>
      <w:r w:rsidRPr="006677FA">
        <w:rPr>
          <w:rFonts w:ascii="Times New Roman" w:hAnsi="Times New Roman"/>
          <w:bCs/>
          <w:sz w:val="24"/>
          <w:szCs w:val="24"/>
        </w:rPr>
        <w:t xml:space="preserve">enerģijas ražošanai </w:t>
      </w:r>
      <w:r w:rsidRPr="006677FA">
        <w:rPr>
          <w:rFonts w:ascii="Times New Roman" w:hAnsi="Times New Roman"/>
          <w:sz w:val="24"/>
          <w:szCs w:val="24"/>
        </w:rPr>
        <w:t>no atjaunojamajiem energoresursiem.</w:t>
      </w:r>
    </w:p>
    <w:p w:rsidR="006677FA" w:rsidRPr="006677FA" w:rsidRDefault="006677FA" w:rsidP="00FD7E85">
      <w:pPr>
        <w:pStyle w:val="ListParagraph"/>
        <w:spacing w:before="120" w:after="120" w:line="240" w:lineRule="auto"/>
        <w:ind w:left="0"/>
        <w:contextualSpacing w:val="0"/>
        <w:jc w:val="both"/>
        <w:rPr>
          <w:rFonts w:ascii="Times New Roman" w:hAnsi="Times New Roman"/>
          <w:sz w:val="24"/>
          <w:szCs w:val="24"/>
        </w:rPr>
      </w:pPr>
      <w:r w:rsidRPr="006677FA">
        <w:rPr>
          <w:rFonts w:ascii="Times New Roman" w:hAnsi="Times New Roman"/>
          <w:bCs/>
          <w:sz w:val="24"/>
          <w:szCs w:val="24"/>
          <w:u w:val="single"/>
        </w:rPr>
        <w:t>Energoefektivitātes paaugstināšana.</w:t>
      </w:r>
      <w:r w:rsidRPr="006677FA">
        <w:rPr>
          <w:rFonts w:ascii="Times New Roman" w:hAnsi="Times New Roman"/>
          <w:bCs/>
          <w:sz w:val="24"/>
          <w:szCs w:val="24"/>
        </w:rPr>
        <w:t xml:space="preserve"> </w:t>
      </w:r>
      <w:r w:rsidRPr="006677FA">
        <w:rPr>
          <w:rFonts w:ascii="Times New Roman" w:hAnsi="Times New Roman"/>
          <w:sz w:val="24"/>
          <w:szCs w:val="24"/>
        </w:rPr>
        <w:t>Mērķis ir nodrošināt lielāku enerģijas ietaupījumu ēkās un transporta sektorā, kā arī būtiski paaugstināt siltumenerģijas ražošanas efektivitāti, samazināt siltumenerģijas zudumus pārvades un sadales sistēmās un sekmēt fosilo kurināmo veidu aizvietošanu ar atjaunojamajiem vai cita veida kurināmajiem. 2009.</w:t>
      </w:r>
      <w:r w:rsidR="006F69AF">
        <w:rPr>
          <w:rFonts w:ascii="Times New Roman" w:hAnsi="Times New Roman"/>
          <w:sz w:val="24"/>
          <w:szCs w:val="24"/>
        </w:rPr>
        <w:t xml:space="preserve"> </w:t>
      </w:r>
      <w:r w:rsidR="0035776A">
        <w:rPr>
          <w:rFonts w:ascii="Times New Roman" w:hAnsi="Times New Roman"/>
          <w:sz w:val="24"/>
          <w:szCs w:val="24"/>
        </w:rPr>
        <w:t>–</w:t>
      </w:r>
      <w:r w:rsidR="006F69AF">
        <w:rPr>
          <w:rFonts w:ascii="Times New Roman" w:hAnsi="Times New Roman"/>
          <w:sz w:val="24"/>
          <w:szCs w:val="24"/>
        </w:rPr>
        <w:t xml:space="preserve"> </w:t>
      </w:r>
      <w:r w:rsidRPr="006677FA">
        <w:rPr>
          <w:rFonts w:ascii="Times New Roman" w:hAnsi="Times New Roman"/>
          <w:sz w:val="24"/>
          <w:szCs w:val="24"/>
        </w:rPr>
        <w:t xml:space="preserve">2013. gadā kopējais pieejamais ES finansējums daudzdzīvokļu māju siltumnoturības uzlabošanai ir 47,8 milj. latu (68,0 milj. eiro). Aktivitātes popularizēšanai ir veikta apjomīga informatīvā kampaņa, mudinot dzīvokļu īpašniekus iesaistīties mājokļu kopīpašuma apsaimniekošanā un ēku energoefektivitātes uzlabošanā. Lai īstenotu energoefektivitātes paaugstināšanas pasākumus, turpinās siltumapgādes sistēmu modernizācijas programmas ar ES struktūrfondu un Kohēzijas fonda atbalstu, kā arī ar Klimata pārmaiņu finanšu instrumenta finanšu </w:t>
      </w:r>
      <w:r w:rsidRPr="006677FA">
        <w:rPr>
          <w:rFonts w:ascii="Times New Roman" w:hAnsi="Times New Roman"/>
          <w:bCs/>
          <w:sz w:val="24"/>
          <w:szCs w:val="24"/>
        </w:rPr>
        <w:t>līdzekļu piesaistīšanu.</w:t>
      </w:r>
    </w:p>
    <w:p w:rsidR="006677FA" w:rsidRPr="00633F49" w:rsidRDefault="006677FA" w:rsidP="002D62B9">
      <w:pPr>
        <w:pStyle w:val="H3"/>
        <w:ind w:left="567" w:firstLine="0"/>
        <w:rPr>
          <w:rFonts w:ascii="Times New Roman" w:hAnsi="Times New Roman"/>
          <w:sz w:val="32"/>
          <w:szCs w:val="32"/>
        </w:rPr>
      </w:pPr>
      <w:bookmarkStart w:id="27" w:name="_Toc291075983"/>
      <w:bookmarkStart w:id="28" w:name="_Toc323120281"/>
      <w:r w:rsidRPr="00633F49">
        <w:rPr>
          <w:rFonts w:ascii="Times New Roman" w:hAnsi="Times New Roman"/>
          <w:sz w:val="32"/>
          <w:szCs w:val="32"/>
        </w:rPr>
        <w:t>3.3. Sabalansēta sociālā sistēma</w:t>
      </w:r>
      <w:bookmarkEnd w:id="27"/>
      <w:r w:rsidRPr="00633F49">
        <w:rPr>
          <w:rFonts w:ascii="Times New Roman" w:hAnsi="Times New Roman"/>
          <w:sz w:val="32"/>
          <w:szCs w:val="32"/>
        </w:rPr>
        <w:t xml:space="preserve"> un nodarbinātība</w:t>
      </w:r>
      <w:bookmarkEnd w:id="28"/>
    </w:p>
    <w:p w:rsidR="006677FA" w:rsidRPr="006677FA" w:rsidRDefault="006677FA" w:rsidP="00FD7E85">
      <w:pPr>
        <w:pStyle w:val="ListParagraph"/>
        <w:spacing w:before="120" w:after="120" w:line="240" w:lineRule="auto"/>
        <w:ind w:left="0"/>
        <w:contextualSpacing w:val="0"/>
        <w:jc w:val="both"/>
        <w:rPr>
          <w:rFonts w:ascii="Times New Roman" w:hAnsi="Times New Roman"/>
          <w:sz w:val="24"/>
          <w:szCs w:val="24"/>
        </w:rPr>
      </w:pPr>
      <w:r w:rsidRPr="006677FA">
        <w:rPr>
          <w:rFonts w:ascii="Times New Roman" w:hAnsi="Times New Roman"/>
          <w:sz w:val="24"/>
          <w:szCs w:val="24"/>
          <w:u w:val="single"/>
        </w:rPr>
        <w:t>Sociālās palīdzības pabalstu sistēmas reforma</w:t>
      </w:r>
      <w:r w:rsidRPr="006677FA">
        <w:rPr>
          <w:rFonts w:ascii="Times New Roman" w:hAnsi="Times New Roman"/>
          <w:sz w:val="24"/>
          <w:szCs w:val="24"/>
        </w:rPr>
        <w:t>. Tiks vērtēta izmaiņu nepieciešamība pašvaldību sociālās palīdzības pabalstu sistēmā. 2012. gadā tiek plānots izstrādāt priekšlikumus sociālās palīdzības sistēmas reformai. Izstrādājot priekšlikumus tiks ņemts vērā, ka sociālās palīdzības sistēmai ir jābūt mērķētai, pietiekoši elastīgai un sabalansētai, lai sniegtā palīdzība atbilstu personas vajadzībām, bet vienlaikus motivētu atgriezties darba tirgū.</w:t>
      </w:r>
    </w:p>
    <w:p w:rsidR="006677FA" w:rsidRPr="006677FA" w:rsidRDefault="006677FA" w:rsidP="00FD7E85">
      <w:pPr>
        <w:pStyle w:val="ListParagraph"/>
        <w:spacing w:before="120" w:after="120" w:line="240" w:lineRule="auto"/>
        <w:ind w:left="0"/>
        <w:contextualSpacing w:val="0"/>
        <w:jc w:val="both"/>
        <w:rPr>
          <w:rFonts w:ascii="Times New Roman" w:hAnsi="Times New Roman"/>
          <w:sz w:val="24"/>
          <w:szCs w:val="24"/>
        </w:rPr>
      </w:pPr>
      <w:r w:rsidRPr="006677FA">
        <w:rPr>
          <w:rFonts w:ascii="Times New Roman" w:hAnsi="Times New Roman"/>
          <w:sz w:val="24"/>
          <w:szCs w:val="24"/>
          <w:u w:val="single"/>
        </w:rPr>
        <w:t>Aktīvās darba tirgus politikas pasākumu pilnveidošana.</w:t>
      </w:r>
      <w:r w:rsidRPr="006677FA">
        <w:rPr>
          <w:rFonts w:ascii="Times New Roman" w:hAnsi="Times New Roman"/>
          <w:sz w:val="24"/>
          <w:szCs w:val="24"/>
        </w:rPr>
        <w:t xml:space="preserve"> Pasākuma mērķis ir </w:t>
      </w:r>
      <w:r w:rsidRPr="006677FA">
        <w:rPr>
          <w:rFonts w:ascii="Times New Roman" w:hAnsi="Times New Roman"/>
          <w:color w:val="000000"/>
          <w:sz w:val="24"/>
          <w:szCs w:val="24"/>
          <w:lang w:eastAsia="lv-LV" w:bidi="lo-LA"/>
        </w:rPr>
        <w:t xml:space="preserve">augsta strukturālā bezdarba riska mazināšana, kā arī nodarbinātības un ekonomiskās aktivitātes līmeņa paaugstināšana. 2012. gadā </w:t>
      </w:r>
      <w:r w:rsidRPr="006677FA">
        <w:rPr>
          <w:rFonts w:ascii="Times New Roman" w:hAnsi="Times New Roman"/>
          <w:sz w:val="24"/>
          <w:szCs w:val="24"/>
          <w:lang w:eastAsia="lv-LV" w:bidi="lo-LA"/>
        </w:rPr>
        <w:t xml:space="preserve">paredzēta nodarbinātības pasākumu efektivitātes izvērtēšana un turpmāka pasākumu pilnveidošana. Tāpat, plānota </w:t>
      </w:r>
      <w:r w:rsidRPr="006677FA">
        <w:rPr>
          <w:rFonts w:ascii="Times New Roman" w:hAnsi="Times New Roman"/>
          <w:color w:val="000000"/>
          <w:sz w:val="24"/>
          <w:szCs w:val="24"/>
          <w:lang w:eastAsia="lv-LV" w:bidi="lo-LA"/>
        </w:rPr>
        <w:t xml:space="preserve">algoto pagaidu sabiedrisko darbu īstenošanas uzsākšana, kā arī atbalsta pasākumu jauniešu bezdarba mazināšanai īstenošana. Nodrošinot bezdarbniekiem pilnvērtīgāku atbalstu un motivāciju darba meklējumiem, tiks pilnveidotas Nodarbinātības valsts aģentūras darbības metodes, uzlabojot bezdarbnieku profilēšanu un vakanču optimālu salāgošanu. Lai uzlabotu nodarbinātības politikas plānošanas procesu, </w:t>
      </w:r>
      <w:r w:rsidRPr="006677FA">
        <w:rPr>
          <w:rFonts w:ascii="Times New Roman" w:hAnsi="Times New Roman"/>
          <w:sz w:val="24"/>
          <w:szCs w:val="24"/>
        </w:rPr>
        <w:t>tiks izveidota augsta līmeņa nodarbinātības politikas koordinācijas padome ar nozaru ministriju dalību.</w:t>
      </w:r>
    </w:p>
    <w:p w:rsidR="006677FA" w:rsidRPr="006677FA" w:rsidRDefault="006677FA" w:rsidP="00FD7E85">
      <w:pPr>
        <w:pStyle w:val="ListParagraph"/>
        <w:spacing w:before="120" w:after="120" w:line="240" w:lineRule="auto"/>
        <w:ind w:left="0"/>
        <w:contextualSpacing w:val="0"/>
        <w:jc w:val="both"/>
        <w:rPr>
          <w:rFonts w:ascii="Times New Roman" w:hAnsi="Times New Roman"/>
          <w:sz w:val="24"/>
          <w:szCs w:val="24"/>
        </w:rPr>
      </w:pPr>
      <w:r w:rsidRPr="006677FA">
        <w:rPr>
          <w:rFonts w:ascii="Times New Roman" w:hAnsi="Times New Roman"/>
          <w:sz w:val="24"/>
          <w:szCs w:val="24"/>
          <w:u w:val="single"/>
        </w:rPr>
        <w:t>Atbalsts mikro uzņēmumiem</w:t>
      </w:r>
      <w:r w:rsidRPr="006677FA">
        <w:rPr>
          <w:rFonts w:ascii="Times New Roman" w:hAnsi="Times New Roman"/>
          <w:sz w:val="24"/>
          <w:szCs w:val="24"/>
        </w:rPr>
        <w:t xml:space="preserve">. Pasākuma mērķis ir veicināt jaunu konkurētspējīgu </w:t>
      </w:r>
      <w:r w:rsidRPr="006677FA">
        <w:rPr>
          <w:rFonts w:ascii="Times New Roman" w:hAnsi="Times New Roman"/>
          <w:noProof/>
          <w:sz w:val="24"/>
          <w:szCs w:val="24"/>
        </w:rPr>
        <w:t>mikro</w:t>
      </w:r>
      <w:r w:rsidRPr="006677FA">
        <w:rPr>
          <w:rFonts w:ascii="Times New Roman" w:hAnsi="Times New Roman"/>
          <w:sz w:val="24"/>
          <w:szCs w:val="24"/>
        </w:rPr>
        <w:t xml:space="preserve">, mazo un vidējo komersantu veidošanos un attīstību, tādējādi atbalstot jaunu darba vietu radīšanu. Latvijas Hipotēku un zemes bankas </w:t>
      </w:r>
      <w:r w:rsidRPr="00C41C14">
        <w:rPr>
          <w:rFonts w:ascii="Times New Roman" w:hAnsi="Times New Roman"/>
          <w:i/>
          <w:sz w:val="24"/>
          <w:szCs w:val="24"/>
        </w:rPr>
        <w:t>„</w:t>
      </w:r>
      <w:r w:rsidRPr="00C41C14">
        <w:rPr>
          <w:rStyle w:val="Emphasis"/>
          <w:rFonts w:ascii="Times New Roman" w:hAnsi="Times New Roman"/>
          <w:i w:val="0"/>
          <w:sz w:val="24"/>
          <w:szCs w:val="24"/>
        </w:rPr>
        <w:t>Starta programmas” ietvaros tiek piešķirti aizdevumi un</w:t>
      </w:r>
      <w:r w:rsidRPr="006677FA">
        <w:rPr>
          <w:rStyle w:val="Emphasis"/>
          <w:rFonts w:ascii="Times New Roman" w:hAnsi="Times New Roman"/>
          <w:sz w:val="24"/>
          <w:szCs w:val="24"/>
        </w:rPr>
        <w:t xml:space="preserve"> </w:t>
      </w:r>
      <w:r w:rsidRPr="00C41C14">
        <w:rPr>
          <w:rStyle w:val="Strong"/>
          <w:rFonts w:ascii="Times New Roman" w:hAnsi="Times New Roman"/>
          <w:b w:val="0"/>
          <w:sz w:val="24"/>
          <w:szCs w:val="24"/>
        </w:rPr>
        <w:t>sniegts komplekss atbalsts biznesa uzsācējiem (tajā skaitā konsultācijas, apmācības).</w:t>
      </w:r>
      <w:r w:rsidRPr="006677FA">
        <w:rPr>
          <w:rStyle w:val="Strong"/>
          <w:rFonts w:ascii="Times New Roman" w:hAnsi="Times New Roman"/>
          <w:sz w:val="24"/>
          <w:szCs w:val="24"/>
        </w:rPr>
        <w:t xml:space="preserve"> </w:t>
      </w:r>
      <w:r w:rsidRPr="006677FA">
        <w:rPr>
          <w:rFonts w:ascii="Times New Roman" w:hAnsi="Times New Roman"/>
          <w:bCs/>
          <w:sz w:val="24"/>
          <w:szCs w:val="24"/>
          <w:lang w:eastAsia="lv-LV"/>
        </w:rPr>
        <w:t>Kopš programmas uzsākšanas ar aizdevumu ir atbalstīti 575 biznesa uzsācēju projekti un l</w:t>
      </w:r>
      <w:r w:rsidRPr="006677FA">
        <w:rPr>
          <w:rFonts w:ascii="Times New Roman" w:hAnsi="Times New Roman"/>
          <w:color w:val="000000"/>
          <w:sz w:val="24"/>
          <w:szCs w:val="24"/>
        </w:rPr>
        <w:t>īdz 2011. gada beigām apmācīti 1145 programmas dalībnieki, kā arī saņemti 1096 biznesa plāni</w:t>
      </w:r>
      <w:r w:rsidRPr="006677FA">
        <w:rPr>
          <w:rFonts w:ascii="Times New Roman" w:hAnsi="Times New Roman"/>
          <w:bCs/>
          <w:sz w:val="24"/>
          <w:szCs w:val="24"/>
          <w:lang w:eastAsia="lv-LV"/>
        </w:rPr>
        <w:t>.</w:t>
      </w:r>
      <w:r w:rsidRPr="006677FA">
        <w:rPr>
          <w:rFonts w:ascii="Times New Roman" w:hAnsi="Times New Roman"/>
          <w:noProof/>
          <w:sz w:val="24"/>
          <w:szCs w:val="24"/>
        </w:rPr>
        <w:t xml:space="preserve"> Savukārt,</w:t>
      </w:r>
      <w:r w:rsidRPr="006677FA">
        <w:rPr>
          <w:rFonts w:ascii="Times New Roman" w:hAnsi="Times New Roman"/>
          <w:sz w:val="24"/>
          <w:szCs w:val="24"/>
        </w:rPr>
        <w:t xml:space="preserve"> 10 biznesa inkubatoros inkubācijas pakalpojumus saņēmuši 421 mikro, mazais un vidējais komersants, kuros tiek nodrošinātas (saglabātas) 1198 darba vietas.</w:t>
      </w:r>
    </w:p>
    <w:p w:rsidR="006677FA" w:rsidRPr="00633F49" w:rsidRDefault="006677FA" w:rsidP="002D62B9">
      <w:pPr>
        <w:pStyle w:val="H3"/>
        <w:ind w:left="567" w:firstLine="0"/>
        <w:rPr>
          <w:rFonts w:ascii="Times New Roman" w:hAnsi="Times New Roman"/>
          <w:sz w:val="32"/>
          <w:szCs w:val="32"/>
        </w:rPr>
      </w:pPr>
      <w:bookmarkStart w:id="29" w:name="_Toc323120282"/>
      <w:r w:rsidRPr="00633F49">
        <w:rPr>
          <w:rFonts w:ascii="Times New Roman" w:hAnsi="Times New Roman"/>
          <w:sz w:val="32"/>
          <w:szCs w:val="32"/>
        </w:rPr>
        <w:lastRenderedPageBreak/>
        <w:t>3.4. Veselības aprūpe</w:t>
      </w:r>
      <w:bookmarkEnd w:id="29"/>
    </w:p>
    <w:p w:rsidR="006677FA" w:rsidRPr="006677FA" w:rsidRDefault="006677FA" w:rsidP="002D62B9">
      <w:pPr>
        <w:spacing w:before="120"/>
        <w:rPr>
          <w:szCs w:val="24"/>
        </w:rPr>
      </w:pPr>
      <w:r w:rsidRPr="006677FA">
        <w:rPr>
          <w:szCs w:val="24"/>
        </w:rPr>
        <w:t>Veselības aprūpes sistēmas reformas ietvaros laika posmā no 2012.</w:t>
      </w:r>
      <w:r w:rsidR="006F69AF">
        <w:rPr>
          <w:szCs w:val="24"/>
        </w:rPr>
        <w:t xml:space="preserve"> līdz </w:t>
      </w:r>
      <w:r w:rsidRPr="006677FA">
        <w:rPr>
          <w:szCs w:val="24"/>
        </w:rPr>
        <w:t>2015. gadam tiek plānoti šādi pasākumi:</w:t>
      </w:r>
    </w:p>
    <w:p w:rsidR="006677FA" w:rsidRPr="006677FA" w:rsidRDefault="006677FA" w:rsidP="00247851">
      <w:pPr>
        <w:pStyle w:val="ListParagraph"/>
        <w:spacing w:before="120" w:after="120" w:line="240" w:lineRule="auto"/>
        <w:ind w:left="0"/>
        <w:contextualSpacing w:val="0"/>
        <w:jc w:val="both"/>
        <w:rPr>
          <w:rFonts w:ascii="Times New Roman" w:hAnsi="Times New Roman"/>
          <w:sz w:val="24"/>
          <w:szCs w:val="24"/>
        </w:rPr>
      </w:pPr>
      <w:r w:rsidRPr="006677FA">
        <w:rPr>
          <w:rFonts w:ascii="Times New Roman" w:hAnsi="Times New Roman"/>
          <w:sz w:val="24"/>
          <w:szCs w:val="24"/>
          <w:u w:val="single"/>
        </w:rPr>
        <w:t>Veselības apdrošināšanas sistēmas reforma.</w:t>
      </w:r>
      <w:r w:rsidRPr="006677FA">
        <w:rPr>
          <w:rFonts w:ascii="Times New Roman" w:hAnsi="Times New Roman"/>
          <w:sz w:val="24"/>
          <w:szCs w:val="24"/>
        </w:rPr>
        <w:t xml:space="preserve"> Pasākuma mērķis ir piesaistīt papildus līdzekļus veselības aprūpes sistēmai un saistītu personificēto nodokļu maksāšanu valsts budžetā ar plānveida veselības aprūpes pakalpojumu saņemšanu. 2012.</w:t>
      </w:r>
      <w:r w:rsidR="00D82C46">
        <w:rPr>
          <w:rFonts w:ascii="Times New Roman" w:hAnsi="Times New Roman"/>
          <w:sz w:val="24"/>
          <w:szCs w:val="24"/>
          <w:lang w:val="lv-LV"/>
        </w:rPr>
        <w:t xml:space="preserve"> </w:t>
      </w:r>
      <w:r w:rsidR="0035776A">
        <w:rPr>
          <w:rFonts w:ascii="Times New Roman" w:hAnsi="Times New Roman"/>
          <w:sz w:val="24"/>
          <w:szCs w:val="24"/>
        </w:rPr>
        <w:t>–</w:t>
      </w:r>
      <w:r w:rsidR="00D82C46">
        <w:rPr>
          <w:rFonts w:ascii="Times New Roman" w:hAnsi="Times New Roman"/>
          <w:sz w:val="24"/>
          <w:szCs w:val="24"/>
          <w:lang w:val="lv-LV"/>
        </w:rPr>
        <w:t xml:space="preserve"> </w:t>
      </w:r>
      <w:r w:rsidRPr="006677FA">
        <w:rPr>
          <w:rFonts w:ascii="Times New Roman" w:hAnsi="Times New Roman"/>
          <w:sz w:val="24"/>
          <w:szCs w:val="24"/>
        </w:rPr>
        <w:t>2015. gadā tiek plānots izstrādāt Veselības apdrošināšanas sistēmas koncepciju. Rezultātā tiks nodrošināta noteiktu valsts apmaksātu veselības aprūpes pakalpojumu pieejamība sociāli mazaizsargāto sabiedrības grupu locekļiem un tiem iedzīvotājiem, kuri maksā nodokļus.</w:t>
      </w:r>
    </w:p>
    <w:p w:rsidR="006677FA" w:rsidRPr="006677FA" w:rsidRDefault="006677FA" w:rsidP="00247851">
      <w:pPr>
        <w:pStyle w:val="ListParagraph"/>
        <w:spacing w:before="120" w:after="120" w:line="240" w:lineRule="auto"/>
        <w:ind w:left="0"/>
        <w:contextualSpacing w:val="0"/>
        <w:jc w:val="both"/>
        <w:rPr>
          <w:rFonts w:ascii="Times New Roman" w:hAnsi="Times New Roman"/>
          <w:sz w:val="24"/>
          <w:szCs w:val="24"/>
        </w:rPr>
      </w:pPr>
      <w:r w:rsidRPr="006677FA">
        <w:rPr>
          <w:rFonts w:ascii="Times New Roman" w:hAnsi="Times New Roman"/>
          <w:sz w:val="24"/>
          <w:szCs w:val="24"/>
          <w:u w:val="single"/>
        </w:rPr>
        <w:t>Primārās veselības aprūpes stiprināšana.</w:t>
      </w:r>
      <w:r w:rsidRPr="006677FA">
        <w:rPr>
          <w:rFonts w:ascii="Times New Roman" w:hAnsi="Times New Roman"/>
          <w:sz w:val="24"/>
          <w:szCs w:val="24"/>
        </w:rPr>
        <w:t xml:space="preserve"> Pasākumu mērķis ir uzlabot kopējos iedzīvotāju veselības rādītājus, tajā skaitā samazināt saslimšanu ar hroniskām slimībām, kas dos pozitīvu ieguldījumu valsts ekonomikas izaugsmē, piemēram, samazināsies kopējais darba nespējas laiks un invaliditātes risks. Tāpat, palielināsies darba vietu skaits veselības aprūpē. </w:t>
      </w:r>
    </w:p>
    <w:p w:rsidR="006677FA" w:rsidRPr="006677FA" w:rsidRDefault="006677FA" w:rsidP="00247851">
      <w:pPr>
        <w:pStyle w:val="ListParagraph"/>
        <w:numPr>
          <w:ilvl w:val="0"/>
          <w:numId w:val="42"/>
        </w:numPr>
        <w:spacing w:before="120" w:after="120" w:line="240" w:lineRule="auto"/>
        <w:contextualSpacing w:val="0"/>
        <w:jc w:val="both"/>
        <w:rPr>
          <w:rFonts w:ascii="Times New Roman" w:hAnsi="Times New Roman"/>
          <w:sz w:val="24"/>
          <w:szCs w:val="24"/>
        </w:rPr>
      </w:pPr>
      <w:r w:rsidRPr="006677FA">
        <w:rPr>
          <w:rFonts w:ascii="Times New Roman" w:hAnsi="Times New Roman"/>
          <w:sz w:val="24"/>
          <w:szCs w:val="24"/>
        </w:rPr>
        <w:t>Otras māsas iesaiste ģimenes ārsta praksē, nodrošinot, ka māsa patstāvīgi pieņem pacientus. Pasākuma mērķis ir uzlabot hronisko pacientu aprūpi un veicināt pacienta ierašanos uz profilaktiskajām apskatēm. 2011. gadā otrā māsa tika piesaistīta 465 ģimenes ārstu praksēm. Fiskālā ietekme: 2011. gadā 2,6 milj. latu (3,7 milj. eiro), 2012. gadā 4,1 milj. latu (5,8 milj. eiro), 2013., 2014. un 2015. gadā 4,8 milj. latu (6,8 milj. eiro).</w:t>
      </w:r>
    </w:p>
    <w:p w:rsidR="006677FA" w:rsidRPr="006677FA" w:rsidRDefault="006677FA" w:rsidP="00247851">
      <w:pPr>
        <w:pStyle w:val="ListParagraph"/>
        <w:numPr>
          <w:ilvl w:val="0"/>
          <w:numId w:val="42"/>
        </w:numPr>
        <w:spacing w:before="120" w:after="120" w:line="240" w:lineRule="auto"/>
        <w:contextualSpacing w:val="0"/>
        <w:jc w:val="both"/>
        <w:rPr>
          <w:rFonts w:ascii="Times New Roman" w:hAnsi="Times New Roman"/>
          <w:sz w:val="24"/>
          <w:szCs w:val="24"/>
        </w:rPr>
      </w:pPr>
      <w:r w:rsidRPr="006677FA">
        <w:rPr>
          <w:rFonts w:ascii="Times New Roman" w:hAnsi="Times New Roman"/>
          <w:sz w:val="24"/>
          <w:szCs w:val="24"/>
        </w:rPr>
        <w:t>Ģimenes ārstu konsultatīvā tālruņa ieviešana un uzturēšana. Pasākuma mērķis ir nodrošināt, ka pacienti pēc ģimenes ārsta darba laika beigām un brīvdienās var saņemt telefonisku konsultāciju akūtu saslimšanu vai hronisku slimību paasinājuma gadījumos. Pakalpojums ģimenes ārstu konsultatīvais tālrunis tika ieviests ar 2011. gada 1. maiju. Fiskālā ietekme: 2011. gadā 0,1 milj. latu (0,1 milj. eiro), no 2012. gada līdz 2015. gadam katru gadu 0,2 milj. latu (0,3 milj. eiro).</w:t>
      </w:r>
    </w:p>
    <w:p w:rsidR="006677FA" w:rsidRPr="006677FA" w:rsidRDefault="006677FA" w:rsidP="00247851">
      <w:pPr>
        <w:pStyle w:val="ListParagraph"/>
        <w:numPr>
          <w:ilvl w:val="0"/>
          <w:numId w:val="42"/>
        </w:numPr>
        <w:spacing w:before="120" w:after="120" w:line="240" w:lineRule="auto"/>
        <w:contextualSpacing w:val="0"/>
        <w:jc w:val="both"/>
        <w:rPr>
          <w:rFonts w:ascii="Times New Roman" w:hAnsi="Times New Roman"/>
          <w:sz w:val="24"/>
          <w:szCs w:val="24"/>
        </w:rPr>
      </w:pPr>
      <w:r w:rsidRPr="006677FA">
        <w:rPr>
          <w:rFonts w:ascii="Times New Roman" w:hAnsi="Times New Roman"/>
          <w:sz w:val="24"/>
          <w:szCs w:val="24"/>
        </w:rPr>
        <w:t>Ģimenes ārstu darba kvalitātes kritēriju ieviešana. Pasākuma mērķis ir uzlabot primārās veselības aprūpes pakalpojumu sniegšanas rezultātus, kā arī uzlabot ģimenes ārstu pakalpojumu pieejamību. Fiskālā ietekme: 2011. gadā 0,2 milj. latu (0,3 milj. eiro), 2012. gadā 0,4 milj. latu (0,6 milj. eiro), no 2013. gada līdz 2015. gadam pasākums tiks nodrošināts budžeta ietvaros.</w:t>
      </w:r>
    </w:p>
    <w:p w:rsidR="006677FA" w:rsidRPr="006677FA" w:rsidRDefault="006677FA" w:rsidP="00247851">
      <w:pPr>
        <w:pStyle w:val="ListParagraph"/>
        <w:spacing w:before="120" w:after="120" w:line="240" w:lineRule="auto"/>
        <w:ind w:left="0"/>
        <w:contextualSpacing w:val="0"/>
        <w:jc w:val="both"/>
        <w:rPr>
          <w:rFonts w:ascii="Times New Roman" w:hAnsi="Times New Roman"/>
          <w:sz w:val="24"/>
          <w:szCs w:val="24"/>
        </w:rPr>
      </w:pPr>
      <w:r w:rsidRPr="006677FA">
        <w:rPr>
          <w:rFonts w:ascii="Times New Roman" w:hAnsi="Times New Roman"/>
          <w:sz w:val="24"/>
          <w:szCs w:val="24"/>
          <w:u w:val="single"/>
        </w:rPr>
        <w:t>Dienas stacionāru darbības un sniegto pakalpojumu izmaksu efektivitātes palielināšana.</w:t>
      </w:r>
      <w:r w:rsidRPr="006677FA">
        <w:rPr>
          <w:rFonts w:ascii="Times New Roman" w:hAnsi="Times New Roman"/>
          <w:sz w:val="24"/>
          <w:szCs w:val="24"/>
        </w:rPr>
        <w:t xml:space="preserve"> Pasākuma mērķis ir attīstīt izmaksu efektīvākus veselības aprūpes pakalpojumus, nosakot dienas stacionārā sniedzamo veselības aprūpes pakalpojumu klāstu, nosakot precīzas klīniskās indikācijas ārstēšanai dienas stacionārā un ārstēšanas ilguma ierobežojumus. Rezultātā tiks samazināts ārstēšanās laiks stacionārā, kā arī pacienta darba nespējas laiks. Attīstot dienas stacionāru pakalpojumus, tiks attīstīta ambulatorā veselības aprūpe, kas ir izmaksu efektīvāks veselības aprūpes pakalpojumu sniegšanas veids. Tāpat, dienas stacionāru pakalpojumus ir iespējams nodrošināt tuvāk pacienta dzīves vietai, līdz ar to šis pakalpojums ir pieejamāks pacientam. 2011. gada pirmajā pusē, salīdzinot ar 2010. gada pirmo pusi, unikālo pacientu skaits, kuriem palīdzība sniegta dienas stacionārā, ir palielinājies par 26,5</w:t>
      </w:r>
      <w:r w:rsidR="00D82C46">
        <w:rPr>
          <w:rFonts w:ascii="Times New Roman" w:hAnsi="Times New Roman"/>
          <w:sz w:val="24"/>
          <w:szCs w:val="24"/>
          <w:lang w:val="lv-LV"/>
        </w:rPr>
        <w:t xml:space="preserve"> </w:t>
      </w:r>
      <w:r w:rsidRPr="006677FA">
        <w:rPr>
          <w:rFonts w:ascii="Times New Roman" w:hAnsi="Times New Roman"/>
          <w:sz w:val="24"/>
          <w:szCs w:val="24"/>
        </w:rPr>
        <w:t xml:space="preserve">%. Fiskālā ietekme: pasākums tiek nodrošināts ikgadējā budžeta ietvaros. </w:t>
      </w:r>
    </w:p>
    <w:p w:rsidR="006677FA" w:rsidRPr="006677FA" w:rsidRDefault="006677FA" w:rsidP="00247851">
      <w:pPr>
        <w:pStyle w:val="ListParagraph"/>
        <w:spacing w:before="120" w:after="0" w:line="240" w:lineRule="auto"/>
        <w:ind w:left="0"/>
        <w:contextualSpacing w:val="0"/>
        <w:jc w:val="both"/>
        <w:rPr>
          <w:rFonts w:ascii="Times New Roman" w:hAnsi="Times New Roman"/>
          <w:b/>
          <w:sz w:val="24"/>
          <w:szCs w:val="24"/>
        </w:rPr>
      </w:pPr>
      <w:r w:rsidRPr="006677FA">
        <w:rPr>
          <w:rFonts w:ascii="Times New Roman" w:hAnsi="Times New Roman"/>
          <w:sz w:val="24"/>
          <w:szCs w:val="24"/>
          <w:u w:val="single"/>
        </w:rPr>
        <w:t>Slimnīcu finansēšanas mehānisma izveide.</w:t>
      </w:r>
      <w:r w:rsidRPr="006677FA">
        <w:rPr>
          <w:rFonts w:ascii="Times New Roman" w:hAnsi="Times New Roman"/>
          <w:sz w:val="24"/>
          <w:szCs w:val="24"/>
        </w:rPr>
        <w:t xml:space="preserve"> Pasākuma mērķis ir izstrādāt prasības slimnīcām, nosakot diennaktī strādājošo speciālistu skaitu un dalījumu specialitātēs pa slimnīcu līmeņiem, uzņemšanas nodaļas darbības principus, pacienta aprūpes posmus un noteikta veida pakalpojumu sniegšana reģionālajā slimnīcās. Rezultātā tiks panākts veselības aprūpes līdzekļu efektīvs izlietojums, attīstot pacientiem finansiāli un teritoriāli pieejamākos veselības aprūpes pakalpojumus. Tāpat, tiks nodrošināta visiem Latvijas iedzīvotājiem vienlīdzīga </w:t>
      </w:r>
      <w:r w:rsidRPr="006677FA">
        <w:rPr>
          <w:rFonts w:ascii="Times New Roman" w:hAnsi="Times New Roman"/>
          <w:sz w:val="24"/>
          <w:szCs w:val="24"/>
        </w:rPr>
        <w:lastRenderedPageBreak/>
        <w:t xml:space="preserve">pieeja no valsts budžeta līdzekļiem apmaksātajiem veselības aprūpes pakalpojumiem un tiks racionālāk izmantots veselības aprūpes darbaspēks un medicīniskās ierīces. </w:t>
      </w:r>
    </w:p>
    <w:p w:rsidR="006677FA" w:rsidRPr="00633F49" w:rsidRDefault="006677FA" w:rsidP="002D62B9">
      <w:pPr>
        <w:pStyle w:val="H3"/>
        <w:ind w:left="567" w:firstLine="0"/>
        <w:rPr>
          <w:rFonts w:ascii="Times New Roman" w:hAnsi="Times New Roman"/>
          <w:sz w:val="32"/>
          <w:szCs w:val="32"/>
        </w:rPr>
      </w:pPr>
      <w:bookmarkStart w:id="30" w:name="_Toc323120283"/>
      <w:r w:rsidRPr="00633F49">
        <w:rPr>
          <w:rFonts w:ascii="Times New Roman" w:hAnsi="Times New Roman"/>
          <w:sz w:val="32"/>
          <w:szCs w:val="32"/>
        </w:rPr>
        <w:t>3.5. Izglītība un zinātne</w:t>
      </w:r>
      <w:bookmarkEnd w:id="30"/>
    </w:p>
    <w:p w:rsidR="006677FA" w:rsidRPr="006677FA" w:rsidRDefault="006677FA" w:rsidP="00247851">
      <w:pPr>
        <w:pStyle w:val="ListParagraph"/>
        <w:spacing w:before="120" w:after="120" w:line="240" w:lineRule="auto"/>
        <w:ind w:left="0"/>
        <w:contextualSpacing w:val="0"/>
        <w:jc w:val="both"/>
        <w:rPr>
          <w:rFonts w:ascii="Times New Roman" w:hAnsi="Times New Roman"/>
          <w:sz w:val="24"/>
          <w:szCs w:val="24"/>
        </w:rPr>
      </w:pPr>
      <w:r w:rsidRPr="006677FA">
        <w:rPr>
          <w:rFonts w:ascii="Times New Roman" w:hAnsi="Times New Roman"/>
          <w:sz w:val="24"/>
          <w:szCs w:val="24"/>
          <w:u w:val="single"/>
        </w:rPr>
        <w:t>Pamata un vidējās izglītības pieejamības nodrošināšana</w:t>
      </w:r>
      <w:r w:rsidRPr="006677FA">
        <w:rPr>
          <w:rFonts w:ascii="Times New Roman" w:hAnsi="Times New Roman"/>
          <w:sz w:val="24"/>
          <w:szCs w:val="24"/>
        </w:rPr>
        <w:t xml:space="preserve">. Kopš 2011. gada februāra valstī ir noteikta vienota kārtība, kādā izglītības iestāde informē izglītojamo vecākus, pašvaldības vai valsts iestādes, ja izglītojamais bez attaisnojoša iemesla neapmeklē </w:t>
      </w:r>
      <w:r w:rsidRPr="006677FA">
        <w:rPr>
          <w:rFonts w:ascii="Times New Roman" w:eastAsia="Calibri" w:hAnsi="Times New Roman"/>
          <w:sz w:val="24"/>
          <w:szCs w:val="24"/>
        </w:rPr>
        <w:t xml:space="preserve">izglītības iestādi. </w:t>
      </w:r>
      <w:r w:rsidRPr="006677FA">
        <w:rPr>
          <w:rFonts w:ascii="Times New Roman" w:hAnsi="Times New Roman"/>
          <w:sz w:val="24"/>
          <w:szCs w:val="24"/>
        </w:rPr>
        <w:t xml:space="preserve">2012. gadā tiek turpināta normatīvā regulējuma pilnveide. 2012. gada februārī stājās spēkā kārtība, kādā izglītojamie tiek uzņemti vispārējās izglītības iestādēs un atskaitīti no tām (izņemot internātskolas un speciālās izglītības iestādes). Kārtība nosaka </w:t>
      </w:r>
      <w:r w:rsidRPr="006677FA">
        <w:rPr>
          <w:rFonts w:ascii="Times New Roman" w:hAnsi="Times New Roman"/>
          <w:bCs/>
          <w:sz w:val="24"/>
          <w:szCs w:val="24"/>
        </w:rPr>
        <w:t>obligātus atbalsta pasākumus skolēniem, kuriem ir grūtības mācībās, lai skolēnu atstāšana uz otru gadu notiktu tikai īpašos gadījumos.</w:t>
      </w:r>
      <w:r w:rsidRPr="006677FA">
        <w:rPr>
          <w:rFonts w:ascii="Times New Roman" w:hAnsi="Times New Roman"/>
          <w:sz w:val="24"/>
          <w:szCs w:val="24"/>
        </w:rPr>
        <w:t xml:space="preserve"> 2011./2012. mācību gadā otrgadnieku īpatsvars dienas skolās ir samazinājies no 2,5</w:t>
      </w:r>
      <w:r w:rsidR="00D82C46">
        <w:rPr>
          <w:rFonts w:ascii="Times New Roman" w:hAnsi="Times New Roman"/>
          <w:sz w:val="24"/>
          <w:szCs w:val="24"/>
          <w:lang w:val="lv-LV"/>
        </w:rPr>
        <w:t xml:space="preserve"> </w:t>
      </w:r>
      <w:r w:rsidRPr="006677FA">
        <w:rPr>
          <w:rFonts w:ascii="Times New Roman" w:hAnsi="Times New Roman"/>
          <w:sz w:val="24"/>
          <w:szCs w:val="24"/>
        </w:rPr>
        <w:t>% līdz 1,7</w:t>
      </w:r>
      <w:r w:rsidR="00D82C46">
        <w:rPr>
          <w:rFonts w:ascii="Times New Roman" w:hAnsi="Times New Roman"/>
          <w:sz w:val="24"/>
          <w:szCs w:val="24"/>
          <w:lang w:val="lv-LV"/>
        </w:rPr>
        <w:t xml:space="preserve"> </w:t>
      </w:r>
      <w:r w:rsidRPr="006677FA">
        <w:rPr>
          <w:rFonts w:ascii="Times New Roman" w:hAnsi="Times New Roman"/>
          <w:sz w:val="24"/>
          <w:szCs w:val="24"/>
        </w:rPr>
        <w:t>%, salīdzinot ar iepriekšējo mācību gadu.</w:t>
      </w:r>
    </w:p>
    <w:p w:rsidR="006677FA" w:rsidRPr="006677FA" w:rsidRDefault="006677FA" w:rsidP="00247851">
      <w:pPr>
        <w:pStyle w:val="ListParagraph"/>
        <w:tabs>
          <w:tab w:val="left" w:pos="709"/>
          <w:tab w:val="left" w:pos="1276"/>
        </w:tabs>
        <w:spacing w:before="240" w:after="0" w:line="240" w:lineRule="auto"/>
        <w:ind w:left="0"/>
        <w:contextualSpacing w:val="0"/>
        <w:jc w:val="both"/>
        <w:rPr>
          <w:rFonts w:ascii="Times New Roman" w:hAnsi="Times New Roman"/>
          <w:color w:val="000000"/>
          <w:sz w:val="24"/>
          <w:szCs w:val="24"/>
        </w:rPr>
      </w:pPr>
      <w:r w:rsidRPr="006677FA">
        <w:rPr>
          <w:rFonts w:ascii="Times New Roman" w:hAnsi="Times New Roman"/>
          <w:sz w:val="24"/>
          <w:szCs w:val="24"/>
          <w:u w:val="single"/>
        </w:rPr>
        <w:t>Strukturālās izmaiņas profesionālajā izglītībā</w:t>
      </w:r>
      <w:r w:rsidRPr="006677FA">
        <w:rPr>
          <w:rFonts w:ascii="Times New Roman" w:hAnsi="Times New Roman"/>
          <w:sz w:val="24"/>
          <w:szCs w:val="24"/>
        </w:rPr>
        <w:t xml:space="preserve">. Mērķis ir paaugstināt profesionālās izglītības kvalitāti, nodrošinot tās atbilstību darba tirgus prasībām, kā arī sekmēt pieejamo resursu efektīvāku izmantošanu. Tiek plānots optimizēt un diferencēt profesionālās izglītības iestāžu skaitu un izvietojumu reģionos no 56 iestādēm 2010. gadā līdz 29 iestādēm 2015. gadā. Tāpat, plānots nodrošināt profesionālo izglītības iestāžu mācību aprīkojuma modernizāciju un infrastruktūras uzlabošanu. Pasākums galvenokārt tiek īstenots ar </w:t>
      </w:r>
      <w:r w:rsidRPr="006677FA">
        <w:rPr>
          <w:rFonts w:ascii="Times New Roman" w:hAnsi="Times New Roman"/>
          <w:color w:val="000000"/>
          <w:sz w:val="24"/>
          <w:szCs w:val="24"/>
        </w:rPr>
        <w:t xml:space="preserve">Eiropas Reģionālās attīstības fonda (turpmāk - ERAF)  atbalstu. </w:t>
      </w:r>
      <w:r w:rsidR="00D212AE" w:rsidRPr="00D22825">
        <w:rPr>
          <w:rFonts w:ascii="Times New Roman" w:hAnsi="Times New Roman"/>
          <w:sz w:val="24"/>
          <w:szCs w:val="24"/>
        </w:rPr>
        <w:t xml:space="preserve">Profesionālajā izglītībā darbojas finansēšanas modelis „nauda seko skolēnam” – finansējums profesionālās izglītības programmas īstenošanai tiek aprēķināts atbilstoši audzēkņu skaitam un īstenotajai izglītības programmai. Lai ES fondu ieguldījuma rezultātā nodrošinātu pilnīgu profesionālās izglītības iestāžu infrastruktūras sakārtošanu, izveidojot pilnībā modernizētas, mūsdienīgas izglītības iestādes, IZM ir atsākusi darbību ERAF fondu aktivitātes </w:t>
      </w:r>
      <w:r w:rsidR="00D212AE" w:rsidRPr="00D22825">
        <w:rPr>
          <w:rFonts w:ascii="Times New Roman" w:hAnsi="Times New Roman"/>
          <w:iCs/>
          <w:sz w:val="24"/>
          <w:szCs w:val="24"/>
        </w:rPr>
        <w:t xml:space="preserve">„Mācību aprīkojuma modernizācija un infrastruktūras uzlabošana profesionālās izglītības programmu īstenošanai” </w:t>
      </w:r>
      <w:r w:rsidR="00D212AE" w:rsidRPr="00D22825">
        <w:rPr>
          <w:rFonts w:ascii="Times New Roman" w:hAnsi="Times New Roman"/>
          <w:sz w:val="24"/>
          <w:szCs w:val="24"/>
        </w:rPr>
        <w:t>īstenošanu, novēršot iespējamus zaudējumus valsts budžetam un neturpinot projektus, kuru pilnīgai īstenošanai nepietiek projekta līdzekļu. IZM ir apņēmusies koncentrēt pieejamos ERAF resursus, tāpēc ir izstrādāti jauni profesionālās izglītības iestāžu vērtēšanas principi pretendentu atlasei ES fondu aktivitātes „</w:t>
      </w:r>
      <w:r w:rsidR="00D212AE" w:rsidRPr="00D22825">
        <w:rPr>
          <w:rFonts w:ascii="Times New Roman" w:hAnsi="Times New Roman"/>
          <w:iCs/>
          <w:sz w:val="24"/>
          <w:szCs w:val="24"/>
        </w:rPr>
        <w:t>Mācību aprīkojuma modernizācija un infrastruktūras uzlabošana profesionālās izglītības programmu īstenošanai</w:t>
      </w:r>
      <w:r w:rsidR="00D212AE" w:rsidRPr="00D22825">
        <w:rPr>
          <w:rFonts w:ascii="Times New Roman" w:hAnsi="Times New Roman"/>
          <w:sz w:val="24"/>
          <w:szCs w:val="24"/>
        </w:rPr>
        <w:t>” otrās projektu iesniegumu atlases kārtas ietvaros.</w:t>
      </w:r>
      <w:r w:rsidRPr="006677FA">
        <w:rPr>
          <w:rFonts w:ascii="Times New Roman" w:hAnsi="Times New Roman"/>
          <w:sz w:val="24"/>
          <w:szCs w:val="24"/>
        </w:rPr>
        <w:t xml:space="preserve">    </w:t>
      </w:r>
    </w:p>
    <w:p w:rsidR="006677FA" w:rsidRPr="006677FA" w:rsidRDefault="006677FA" w:rsidP="00247851">
      <w:pPr>
        <w:pStyle w:val="ListParagraph"/>
        <w:spacing w:before="120" w:after="120" w:line="240" w:lineRule="auto"/>
        <w:ind w:left="0"/>
        <w:contextualSpacing w:val="0"/>
        <w:jc w:val="both"/>
        <w:rPr>
          <w:rFonts w:ascii="Times New Roman" w:hAnsi="Times New Roman"/>
          <w:sz w:val="24"/>
          <w:szCs w:val="24"/>
        </w:rPr>
      </w:pPr>
      <w:r w:rsidRPr="006677FA">
        <w:rPr>
          <w:rFonts w:ascii="Times New Roman" w:hAnsi="Times New Roman"/>
          <w:sz w:val="24"/>
          <w:szCs w:val="24"/>
          <w:u w:val="single"/>
        </w:rPr>
        <w:t>Augstākās izglītības modernizācija</w:t>
      </w:r>
      <w:r w:rsidRPr="006677FA">
        <w:rPr>
          <w:rFonts w:ascii="Times New Roman" w:hAnsi="Times New Roman"/>
          <w:sz w:val="24"/>
          <w:szCs w:val="24"/>
        </w:rPr>
        <w:t>. Pasākuma mērķis ir nodrošināt augstākās izglītības un zinātnes resursu konsolidāciju un to efektīvu izmantošanu, saglabājot augstākās izglītības pieejamību, kā arī uzlabot studiju programmu konkurētspēju. 2011. gadā ir uzsākts studiju programmu starptautiskās izvērtēšanas process augstākās izglītības iestādēs visā Latvijā. Tiek plānots izvērtēt vismaz 550 akreditētās studiju programmas no kvalitātes, resursu pietiekamības un ilgtspējas aspekta, kā arī nodrošināt jaunu inovatīvu un starpdisciplināru studiju programmu izstrādi. Reformas īstenošanas laikā plānots pilnveidot augstākās izglītības finansēšanas mehānismu, ieviešot uz rezultatīvajiem rādītājiem orientētu finansēšanas modeli. Pasākuma rezultātā tiks sagatavoti priekšlikumi studiju programmu uzlabošanai, konsolidācijai, slēgšanai. Tāpat, tiks paaugstināta studiju un pētniecības efektivitāte un kvalitāte, kā arī tiks nodrošināta iegūto kvalifikāciju un prasmju pilnīgāka atbilstība darba tirgus prasībām.</w:t>
      </w:r>
    </w:p>
    <w:p w:rsidR="006677FA" w:rsidRPr="006677FA" w:rsidRDefault="006677FA" w:rsidP="00247851">
      <w:pPr>
        <w:pStyle w:val="ListParagraph"/>
        <w:spacing w:before="120" w:after="120" w:line="240" w:lineRule="auto"/>
        <w:ind w:left="0"/>
        <w:contextualSpacing w:val="0"/>
        <w:jc w:val="both"/>
        <w:rPr>
          <w:rFonts w:ascii="Times New Roman" w:hAnsi="Times New Roman"/>
          <w:sz w:val="24"/>
          <w:szCs w:val="24"/>
        </w:rPr>
      </w:pPr>
      <w:r w:rsidRPr="006677FA">
        <w:rPr>
          <w:rFonts w:ascii="Times New Roman" w:hAnsi="Times New Roman"/>
          <w:sz w:val="24"/>
          <w:szCs w:val="24"/>
          <w:u w:val="single"/>
        </w:rPr>
        <w:t>Augstāko izglītību ieguvušo īpatsvara palielināšana</w:t>
      </w:r>
      <w:r w:rsidRPr="006677FA">
        <w:rPr>
          <w:rFonts w:ascii="Times New Roman" w:hAnsi="Times New Roman"/>
          <w:sz w:val="24"/>
          <w:szCs w:val="24"/>
        </w:rPr>
        <w:t>. Pasākuma mērķis ir pilnveidot studiju programmu kvalitāti, sekmēt augstas kvalitātes maģistru un zinātņu doktoru sagatavošanu, kā arī materiāli tehniskās bāzes modernizēšana, lai palielinātu personu ar funkcionāliem traucējumiem skaitu, kas var iegūt augstāko izglītību. Pasākums tiek īstenots 2009.</w:t>
      </w:r>
      <w:r w:rsidR="0035776A">
        <w:rPr>
          <w:rFonts w:ascii="Times New Roman" w:hAnsi="Times New Roman"/>
          <w:sz w:val="24"/>
          <w:szCs w:val="24"/>
        </w:rPr>
        <w:t>–</w:t>
      </w:r>
      <w:r w:rsidRPr="006677FA">
        <w:rPr>
          <w:rFonts w:ascii="Times New Roman" w:hAnsi="Times New Roman"/>
          <w:sz w:val="24"/>
          <w:szCs w:val="24"/>
        </w:rPr>
        <w:lastRenderedPageBreak/>
        <w:t>2013. gadā un ir vērsts uz augsti kvalificētu maģistra grādu ieguvušo speciālistu skaita palielināšanu, īpaši dabaszinātņu, matemātikas, informācijas tehnoloģiju, inženierzinātņu, veselības aprūpes, vides zinātņu un radošo industriju jomā, kā arī augstākās kvalifikācijas doktora grādu ieguvušo speciālistu skaita palielināšanu. Radīt un ieviest ražošanā augstas tehnoloģijas produktus, produktus un pakalpojumus ar augstu pievienoto vērtību, veicinot tautsaimniecības attīstību uz inovāciju pamata. Pasākuma rezultātā tiks veicināta akadēmiskā un zinātniskā personāla atjaunošana un paplašināšana, kā arī pieaugs personu skaits, kas iegūs augstāko izglītību.</w:t>
      </w:r>
    </w:p>
    <w:p w:rsidR="006677FA" w:rsidRPr="006677FA" w:rsidRDefault="006677FA" w:rsidP="00247851">
      <w:pPr>
        <w:pStyle w:val="ListParagraph"/>
        <w:spacing w:before="120" w:after="120" w:line="240" w:lineRule="auto"/>
        <w:ind w:left="0"/>
        <w:contextualSpacing w:val="0"/>
        <w:jc w:val="both"/>
        <w:rPr>
          <w:rFonts w:ascii="Times New Roman" w:hAnsi="Times New Roman"/>
          <w:sz w:val="24"/>
          <w:szCs w:val="24"/>
        </w:rPr>
      </w:pPr>
      <w:r w:rsidRPr="006677FA">
        <w:rPr>
          <w:rFonts w:ascii="Times New Roman" w:hAnsi="Times New Roman"/>
          <w:sz w:val="24"/>
          <w:szCs w:val="24"/>
          <w:u w:val="single"/>
        </w:rPr>
        <w:t>Ārvalstu studentu piesaistīšana</w:t>
      </w:r>
      <w:r w:rsidRPr="006677FA">
        <w:rPr>
          <w:rFonts w:ascii="Times New Roman" w:hAnsi="Times New Roman"/>
          <w:sz w:val="24"/>
          <w:szCs w:val="24"/>
        </w:rPr>
        <w:t>. 2011. gadā ir veikti pasākumi, kas atvieglo augstskolu iespējas piesaistīt ārvalstu studentus, piemēram, augstskolām ir likumdošanā noteiktas tiesības veidot un īstenot kopīgas studiju programmas ar citu valstu augstskolām un izsniegt kopīgus diplomus, kā arī piedāvāt valsts budžeta stipendijas ārzemnieku studijām. Akadēmiskās informācijas centrā ir izveidota Augstākās izglītības eksportspējas veicināšanas nodaļa, kas sniedz informatīvu un konsultatīvu atbalstu augstskolām, kā arī koordinē augstskolu dalību ārvalstu un starptautiskās izglītības izstādēs. Ir sagatavots Latvijas augstākās izglītības institūciju piedāvāto studiju programmu svešvalodās elektroniskais katalogs. 2012. gada janvārī apstiprināti noteikumi „Stipendiju piešķiršanas kārtība ārzemniekiem”, kas paredz stipendiju piešķiršanu ārvalstu studentiem, līdz ar to Latvija turpmāk varēs pildīt noslēgto starptautisko līgumu noteikumus, kas veicina studējošo mobilitāti. Tiek prognozēts, ka iepriekš minēto pasākumu īstenošanas rezultātā ārvalstu studentu īpatsvars Latvijā 2013. gadā būs pieaudzis līdz 3% no kopējā studentu skaita.</w:t>
      </w:r>
    </w:p>
    <w:p w:rsidR="00C33BAD" w:rsidRDefault="006677FA" w:rsidP="00B1559E">
      <w:pPr>
        <w:pStyle w:val="ListParagraph"/>
        <w:spacing w:before="120" w:after="120" w:line="240" w:lineRule="auto"/>
        <w:ind w:left="0"/>
        <w:contextualSpacing w:val="0"/>
        <w:jc w:val="both"/>
        <w:rPr>
          <w:rFonts w:ascii="Times New Roman" w:hAnsi="Times New Roman"/>
          <w:sz w:val="24"/>
          <w:szCs w:val="24"/>
        </w:rPr>
      </w:pPr>
      <w:r w:rsidRPr="006677FA">
        <w:rPr>
          <w:rFonts w:ascii="Times New Roman" w:hAnsi="Times New Roman"/>
          <w:sz w:val="24"/>
          <w:szCs w:val="24"/>
          <w:u w:val="single"/>
        </w:rPr>
        <w:t>Valsts zinātnisko institūciju konsolidācija</w:t>
      </w:r>
      <w:r w:rsidRPr="006677FA">
        <w:rPr>
          <w:rFonts w:ascii="Times New Roman" w:hAnsi="Times New Roman"/>
          <w:sz w:val="24"/>
          <w:szCs w:val="24"/>
        </w:rPr>
        <w:t>. Pasākuma mērķis ir veikt valsts zinātnisko institūciju konsolidāciju, koncentrējot resursus konkurētspējīgās valsts zinātniskajās institūcijās un veidojot trīs līmeņu zinātniskās institūcijas, t.i. reģionālā, valsts nozīmes un Eiropas līmeņa. 2010.</w:t>
      </w:r>
      <w:r w:rsidR="006F69AF">
        <w:rPr>
          <w:rFonts w:ascii="Times New Roman" w:hAnsi="Times New Roman"/>
          <w:sz w:val="24"/>
          <w:szCs w:val="24"/>
        </w:rPr>
        <w:t xml:space="preserve"> </w:t>
      </w:r>
      <w:r w:rsidR="0035776A">
        <w:rPr>
          <w:rFonts w:ascii="Times New Roman" w:hAnsi="Times New Roman"/>
          <w:sz w:val="24"/>
          <w:szCs w:val="24"/>
        </w:rPr>
        <w:t>–</w:t>
      </w:r>
      <w:r w:rsidR="006F69AF">
        <w:rPr>
          <w:rFonts w:ascii="Times New Roman" w:hAnsi="Times New Roman"/>
          <w:sz w:val="24"/>
          <w:szCs w:val="24"/>
        </w:rPr>
        <w:t xml:space="preserve"> </w:t>
      </w:r>
      <w:r w:rsidRPr="006677FA">
        <w:rPr>
          <w:rFonts w:ascii="Times New Roman" w:hAnsi="Times New Roman"/>
          <w:sz w:val="24"/>
          <w:szCs w:val="24"/>
        </w:rPr>
        <w:t>2011. gadā, lai veiktu zinātnisko institūciju konsolidāciju, tika izstrādāta metodoloģija un vērtēšanas kritēriji, kā arī noteikti 9 valsts nozīmes pētniecības centri. Pasākuma rezultātā tiks efektīvāk izmantoti valsts budžeta līdzekļi, kā arī sekmēta inovatīvu uzņēmumu tālāka attīstība, jaunu tehnoloģiski orientētu produktu izstrāde, ārvalstu investīciju piesaiste pētniecībai un attīstībai.</w:t>
      </w:r>
      <w:bookmarkEnd w:id="23"/>
    </w:p>
    <w:p w:rsidR="0088146B" w:rsidRPr="009C61B1" w:rsidRDefault="0088146B" w:rsidP="0088146B">
      <w:pPr>
        <w:pStyle w:val="PIRMAIS"/>
        <w:ind w:left="0" w:firstLine="0"/>
      </w:pPr>
      <w:bookmarkStart w:id="31" w:name="_Toc291159205"/>
      <w:bookmarkStart w:id="32" w:name="_Toc323120284"/>
      <w:bookmarkStart w:id="33" w:name="_Toc120504686"/>
      <w:bookmarkStart w:id="34" w:name="_Toc284924052"/>
      <w:r>
        <w:lastRenderedPageBreak/>
        <w:t>4</w:t>
      </w:r>
      <w:r w:rsidRPr="009C61B1">
        <w:t>.</w:t>
      </w:r>
      <w:r w:rsidRPr="009C61B1">
        <w:tab/>
        <w:t>Vispārējās valdības budžeta bilance</w:t>
      </w:r>
      <w:r w:rsidRPr="009C61B1">
        <w:br/>
        <w:t>un parāds</w:t>
      </w:r>
      <w:bookmarkStart w:id="35" w:name="_Toc72311172"/>
      <w:bookmarkStart w:id="36" w:name="_Toc92091183"/>
      <w:bookmarkStart w:id="37" w:name="_Toc120504681"/>
      <w:bookmarkStart w:id="38" w:name="_Toc284924049"/>
      <w:bookmarkEnd w:id="31"/>
      <w:bookmarkEnd w:id="32"/>
    </w:p>
    <w:p w:rsidR="0088146B" w:rsidRPr="001946E0" w:rsidRDefault="0088146B" w:rsidP="0088146B">
      <w:pPr>
        <w:pStyle w:val="otrais"/>
        <w:rPr>
          <w:color w:val="000000"/>
        </w:rPr>
      </w:pPr>
      <w:bookmarkStart w:id="39" w:name="_Toc322591299"/>
      <w:bookmarkStart w:id="40" w:name="_Toc323120285"/>
      <w:bookmarkEnd w:id="35"/>
      <w:bookmarkEnd w:id="36"/>
      <w:bookmarkEnd w:id="37"/>
      <w:bookmarkEnd w:id="38"/>
      <w:r w:rsidRPr="001946E0">
        <w:rPr>
          <w:color w:val="000000"/>
        </w:rPr>
        <w:t>4.1. Pašreizējā fiskālā situācija</w:t>
      </w:r>
      <w:bookmarkEnd w:id="39"/>
      <w:bookmarkEnd w:id="40"/>
    </w:p>
    <w:p w:rsidR="0088146B" w:rsidRPr="001946E0" w:rsidRDefault="0088146B" w:rsidP="0088146B">
      <w:pPr>
        <w:pStyle w:val="teksts"/>
        <w:ind w:firstLine="720"/>
        <w:rPr>
          <w:rFonts w:ascii="Times New Roman" w:eastAsia="Calibri" w:hAnsi="Times New Roman"/>
          <w:color w:val="000000"/>
          <w:szCs w:val="24"/>
        </w:rPr>
      </w:pPr>
      <w:r w:rsidRPr="001946E0">
        <w:rPr>
          <w:rFonts w:ascii="Times New Roman" w:eastAsia="Calibri" w:hAnsi="Times New Roman"/>
          <w:color w:val="000000"/>
          <w:szCs w:val="24"/>
        </w:rPr>
        <w:t xml:space="preserve">Pasaules finanšu krīze smagi ietekmēja Latvijas tautsaimniecību. </w:t>
      </w:r>
      <w:r w:rsidR="00FA09C0" w:rsidRPr="001946E0">
        <w:rPr>
          <w:rFonts w:ascii="Times New Roman" w:eastAsia="Calibri" w:hAnsi="Times New Roman"/>
          <w:color w:val="000000"/>
          <w:szCs w:val="24"/>
        </w:rPr>
        <w:t>Vis</w:t>
      </w:r>
      <w:r w:rsidR="00FA09C0">
        <w:rPr>
          <w:rFonts w:ascii="Times New Roman" w:eastAsia="Calibri" w:hAnsi="Times New Roman"/>
          <w:color w:val="000000"/>
          <w:szCs w:val="24"/>
        </w:rPr>
        <w:t xml:space="preserve">sarežģītākais </w:t>
      </w:r>
      <w:r w:rsidRPr="001946E0">
        <w:rPr>
          <w:rFonts w:ascii="Times New Roman" w:eastAsia="Calibri" w:hAnsi="Times New Roman"/>
          <w:color w:val="000000"/>
          <w:szCs w:val="24"/>
        </w:rPr>
        <w:t>periods Latvijas ekonomikai bija 2008. gada beigās, kad finanšu sektorā un valsts budžetā izveidojās kritiska situācija un bija jālūdz starptautisko organizāciju finanšu palīdzība. Valdības rīcība nepieļāva, ka situācija finanšu sektorā kļūst nekontrolējama un 2008. gada decembrī Saeima pieņēma Latvijas ekonomikas stabilizācijas un izaugsmes atjaunošanas programmu, kurā tika noteikti galvenie ekonomiskās krīzes pārvarēšanas virzieni</w:t>
      </w:r>
      <w:r>
        <w:rPr>
          <w:rFonts w:ascii="Times New Roman" w:eastAsia="Calibri" w:hAnsi="Times New Roman"/>
          <w:color w:val="000000"/>
          <w:szCs w:val="24"/>
        </w:rPr>
        <w:t xml:space="preserve"> un uzsāka Programmu, kuras ietvaros Latvija ar ES noslēdza</w:t>
      </w:r>
      <w:r w:rsidRPr="001946E0">
        <w:rPr>
          <w:rFonts w:ascii="Times New Roman" w:eastAsia="Calibri" w:hAnsi="Times New Roman"/>
          <w:color w:val="000000"/>
          <w:szCs w:val="24"/>
        </w:rPr>
        <w:t xml:space="preserve"> Saprašanās memorand</w:t>
      </w:r>
      <w:r>
        <w:rPr>
          <w:rFonts w:ascii="Times New Roman" w:eastAsia="Calibri" w:hAnsi="Times New Roman"/>
          <w:color w:val="000000"/>
          <w:szCs w:val="24"/>
        </w:rPr>
        <w:t>u,</w:t>
      </w:r>
      <w:r w:rsidRPr="001946E0">
        <w:rPr>
          <w:rFonts w:ascii="Times New Roman" w:eastAsia="Calibri" w:hAnsi="Times New Roman"/>
          <w:color w:val="000000"/>
          <w:szCs w:val="24"/>
        </w:rPr>
        <w:t xml:space="preserve"> kur</w:t>
      </w:r>
      <w:r>
        <w:rPr>
          <w:rFonts w:ascii="Times New Roman" w:eastAsia="Calibri" w:hAnsi="Times New Roman"/>
          <w:color w:val="000000"/>
          <w:szCs w:val="24"/>
        </w:rPr>
        <w:t>ā</w:t>
      </w:r>
      <w:r w:rsidRPr="001946E0">
        <w:rPr>
          <w:rFonts w:ascii="Times New Roman" w:eastAsia="Calibri" w:hAnsi="Times New Roman"/>
          <w:color w:val="000000"/>
          <w:szCs w:val="24"/>
        </w:rPr>
        <w:t xml:space="preserve"> tika noteikti galvenie pasākumi tūlītējai un ilglaicīgai fiskālai konsolidācijai, visaptverošai banku jautājumu risināšanas stratēģijai, uzraudzī</w:t>
      </w:r>
      <w:r>
        <w:rPr>
          <w:rFonts w:ascii="Times New Roman" w:eastAsia="Calibri" w:hAnsi="Times New Roman"/>
          <w:color w:val="000000"/>
          <w:szCs w:val="24"/>
        </w:rPr>
        <w:t>b</w:t>
      </w:r>
      <w:r w:rsidRPr="001946E0">
        <w:rPr>
          <w:rFonts w:ascii="Times New Roman" w:eastAsia="Calibri" w:hAnsi="Times New Roman"/>
          <w:color w:val="000000"/>
          <w:szCs w:val="24"/>
        </w:rPr>
        <w:t xml:space="preserve">as iestāžu krīzes vadības spējas uzlabošanai, visaptverošu strukturālo reformu īstenošanai, kā arī citu svarīgu pasākumu veikšanai. </w:t>
      </w:r>
      <w:r>
        <w:rPr>
          <w:rFonts w:ascii="Times New Roman" w:eastAsia="Calibri" w:hAnsi="Times New Roman"/>
          <w:color w:val="000000"/>
          <w:szCs w:val="24"/>
        </w:rPr>
        <w:t xml:space="preserve">Saprašanās memorands regulāri tika pārskatīts noslēdzot Saprašanās memoranda </w:t>
      </w:r>
      <w:r w:rsidRPr="001946E0">
        <w:rPr>
          <w:rFonts w:ascii="Times New Roman" w:eastAsia="Calibri" w:hAnsi="Times New Roman"/>
          <w:color w:val="000000"/>
          <w:szCs w:val="24"/>
        </w:rPr>
        <w:t>papildinājum</w:t>
      </w:r>
      <w:r>
        <w:rPr>
          <w:rFonts w:ascii="Times New Roman" w:eastAsia="Calibri" w:hAnsi="Times New Roman"/>
          <w:color w:val="000000"/>
          <w:szCs w:val="24"/>
        </w:rPr>
        <w:t>us.</w:t>
      </w:r>
    </w:p>
    <w:p w:rsidR="0088146B" w:rsidRPr="001946E0" w:rsidRDefault="00DE6E4F" w:rsidP="0088146B">
      <w:pPr>
        <w:ind w:firstLine="720"/>
        <w:rPr>
          <w:color w:val="000000"/>
          <w:szCs w:val="24"/>
        </w:rPr>
      </w:pPr>
      <w:r>
        <w:rPr>
          <w:color w:val="000000"/>
          <w:szCs w:val="24"/>
        </w:rPr>
        <w:t>Līdz ar to k</w:t>
      </w:r>
      <w:r w:rsidR="0088146B" w:rsidRPr="001946E0">
        <w:rPr>
          <w:color w:val="000000"/>
          <w:szCs w:val="24"/>
        </w:rPr>
        <w:t xml:space="preserve">opš 2008. gada Latvija īsteno pasākumus </w:t>
      </w:r>
      <w:r w:rsidR="0088146B">
        <w:rPr>
          <w:color w:val="000000"/>
          <w:szCs w:val="24"/>
        </w:rPr>
        <w:t xml:space="preserve">Programmas un </w:t>
      </w:r>
      <w:r w:rsidR="0088146B" w:rsidRPr="00DF7DE6">
        <w:rPr>
          <w:rFonts w:eastAsia="Calibri"/>
          <w:color w:val="000000"/>
          <w:szCs w:val="24"/>
        </w:rPr>
        <w:t xml:space="preserve">Latvijas ekonomikas stabilizācijas un </w:t>
      </w:r>
      <w:r w:rsidR="0088146B">
        <w:rPr>
          <w:rFonts w:eastAsia="Calibri"/>
          <w:color w:val="000000"/>
          <w:szCs w:val="24"/>
        </w:rPr>
        <w:t xml:space="preserve">izaugsmes atjaunošanas programmas rīcības plānā (kopš 2010. gada aprīļa </w:t>
      </w:r>
      <w:r w:rsidR="0088146B" w:rsidRPr="004D464D">
        <w:rPr>
          <w:rFonts w:eastAsia="Calibri"/>
          <w:color w:val="000000"/>
          <w:szCs w:val="24"/>
        </w:rPr>
        <w:t>Latvij</w:t>
      </w:r>
      <w:r w:rsidR="0088146B">
        <w:rPr>
          <w:rFonts w:eastAsia="Calibri"/>
          <w:color w:val="000000"/>
          <w:szCs w:val="24"/>
        </w:rPr>
        <w:t>as Stratēģiskās attīstības plāna</w:t>
      </w:r>
      <w:r w:rsidR="0088146B" w:rsidRPr="004D464D">
        <w:rPr>
          <w:rFonts w:eastAsia="Calibri"/>
          <w:color w:val="000000"/>
          <w:szCs w:val="24"/>
        </w:rPr>
        <w:t xml:space="preserve"> 2010.</w:t>
      </w:r>
      <w:r w:rsidR="00B928D5">
        <w:rPr>
          <w:rFonts w:eastAsia="Calibri"/>
          <w:color w:val="000000"/>
          <w:szCs w:val="24"/>
        </w:rPr>
        <w:t xml:space="preserve"> </w:t>
      </w:r>
      <w:r w:rsidR="0088146B" w:rsidRPr="004D464D">
        <w:rPr>
          <w:rFonts w:eastAsia="Calibri"/>
          <w:color w:val="000000"/>
          <w:szCs w:val="24"/>
        </w:rPr>
        <w:t>–</w:t>
      </w:r>
      <w:r w:rsidR="00B928D5">
        <w:rPr>
          <w:rFonts w:eastAsia="Calibri"/>
          <w:color w:val="000000"/>
          <w:szCs w:val="24"/>
        </w:rPr>
        <w:t xml:space="preserve"> </w:t>
      </w:r>
      <w:r w:rsidR="0088146B" w:rsidRPr="004D464D">
        <w:rPr>
          <w:rFonts w:eastAsia="Calibri"/>
          <w:color w:val="000000"/>
          <w:szCs w:val="24"/>
        </w:rPr>
        <w:t>2013.</w:t>
      </w:r>
      <w:r w:rsidR="00B928D5">
        <w:rPr>
          <w:rFonts w:eastAsia="Calibri"/>
          <w:color w:val="000000"/>
          <w:szCs w:val="24"/>
        </w:rPr>
        <w:t> </w:t>
      </w:r>
      <w:r w:rsidR="0088146B" w:rsidRPr="004D464D">
        <w:rPr>
          <w:rFonts w:eastAsia="Calibri"/>
          <w:color w:val="000000"/>
          <w:szCs w:val="24"/>
        </w:rPr>
        <w:t>gadam</w:t>
      </w:r>
      <w:r w:rsidR="0088146B">
        <w:rPr>
          <w:rFonts w:eastAsia="Calibri"/>
          <w:color w:val="000000"/>
          <w:szCs w:val="24"/>
        </w:rPr>
        <w:t xml:space="preserve"> ietvaros) </w:t>
      </w:r>
      <w:r w:rsidR="0088146B" w:rsidRPr="001946E0">
        <w:rPr>
          <w:color w:val="000000"/>
        </w:rPr>
        <w:t>noteikto prioritāšu ietvaros</w:t>
      </w:r>
      <w:r w:rsidR="0088146B">
        <w:rPr>
          <w:color w:val="000000"/>
        </w:rPr>
        <w:t xml:space="preserve"> </w:t>
      </w:r>
      <w:r w:rsidR="0088146B" w:rsidRPr="001946E0">
        <w:rPr>
          <w:color w:val="000000"/>
        </w:rPr>
        <w:t>- ekonomikas izaugsme, sociālā drošība un publiskās pārvaldes reformas</w:t>
      </w:r>
      <w:r w:rsidR="0088146B" w:rsidRPr="001946E0">
        <w:rPr>
          <w:color w:val="000000"/>
          <w:szCs w:val="24"/>
        </w:rPr>
        <w:t xml:space="preserve">, tai skaitā </w:t>
      </w:r>
      <w:r w:rsidR="0088146B">
        <w:rPr>
          <w:color w:val="000000"/>
          <w:szCs w:val="24"/>
        </w:rPr>
        <w:t>ievēro vispārējās valdības budžeta bilances mērķus un īsten</w:t>
      </w:r>
      <w:r w:rsidR="0088146B" w:rsidRPr="001946E0">
        <w:rPr>
          <w:color w:val="000000"/>
          <w:szCs w:val="24"/>
        </w:rPr>
        <w:t>o būtiskus fiskālās konsolidācijas pasākumus.</w:t>
      </w:r>
    </w:p>
    <w:p w:rsidR="0088146B" w:rsidRDefault="0088146B" w:rsidP="0088146B">
      <w:pPr>
        <w:pStyle w:val="NoSpacing"/>
        <w:spacing w:after="120"/>
        <w:ind w:firstLine="709"/>
        <w:rPr>
          <w:color w:val="000000"/>
        </w:rPr>
      </w:pPr>
      <w:r>
        <w:rPr>
          <w:color w:val="000000"/>
        </w:rPr>
        <w:t xml:space="preserve">Latvija </w:t>
      </w:r>
      <w:r w:rsidRPr="001946E0">
        <w:rPr>
          <w:color w:val="000000"/>
        </w:rPr>
        <w:t xml:space="preserve">visos </w:t>
      </w:r>
      <w:r>
        <w:rPr>
          <w:color w:val="000000"/>
        </w:rPr>
        <w:t xml:space="preserve">Programmas ieviešanas </w:t>
      </w:r>
      <w:r w:rsidRPr="001946E0">
        <w:rPr>
          <w:color w:val="000000"/>
        </w:rPr>
        <w:t>gados</w:t>
      </w:r>
      <w:r>
        <w:rPr>
          <w:color w:val="000000"/>
        </w:rPr>
        <w:t xml:space="preserve"> ir </w:t>
      </w:r>
      <w:r w:rsidRPr="001946E0">
        <w:rPr>
          <w:color w:val="000000"/>
        </w:rPr>
        <w:t>spēj</w:t>
      </w:r>
      <w:r>
        <w:rPr>
          <w:color w:val="000000"/>
        </w:rPr>
        <w:t>usi</w:t>
      </w:r>
      <w:r w:rsidRPr="001946E0">
        <w:rPr>
          <w:color w:val="000000"/>
        </w:rPr>
        <w:t xml:space="preserve"> </w:t>
      </w:r>
      <w:r>
        <w:rPr>
          <w:color w:val="000000"/>
        </w:rPr>
        <w:t>veiksmīgi</w:t>
      </w:r>
      <w:r w:rsidRPr="001946E0">
        <w:rPr>
          <w:color w:val="000000"/>
        </w:rPr>
        <w:t xml:space="preserve"> ievērot noteiktos vispārējās valdības budžeta bilances mērķus</w:t>
      </w:r>
      <w:r>
        <w:rPr>
          <w:color w:val="000000"/>
        </w:rPr>
        <w:t xml:space="preserve"> un</w:t>
      </w:r>
      <w:r w:rsidRPr="001946E0">
        <w:rPr>
          <w:color w:val="000000"/>
        </w:rPr>
        <w:t xml:space="preserve"> </w:t>
      </w:r>
      <w:r>
        <w:rPr>
          <w:color w:val="000000"/>
        </w:rPr>
        <w:t>īsteno</w:t>
      </w:r>
      <w:r w:rsidRPr="001946E0">
        <w:rPr>
          <w:color w:val="000000"/>
        </w:rPr>
        <w:t xml:space="preserve">t fiskālo politiku </w:t>
      </w:r>
      <w:r>
        <w:rPr>
          <w:color w:val="000000"/>
        </w:rPr>
        <w:t>sekmīgāk</w:t>
      </w:r>
      <w:r w:rsidRPr="001946E0">
        <w:rPr>
          <w:color w:val="000000"/>
        </w:rPr>
        <w:t xml:space="preserve"> nekā iepriekš ticis plānots</w:t>
      </w:r>
      <w:r>
        <w:rPr>
          <w:color w:val="000000"/>
        </w:rPr>
        <w:t>.</w:t>
      </w:r>
      <w:r w:rsidRPr="001946E0">
        <w:rPr>
          <w:color w:val="000000"/>
        </w:rPr>
        <w:t xml:space="preserve"> </w:t>
      </w:r>
      <w:r>
        <w:rPr>
          <w:color w:val="000000"/>
        </w:rPr>
        <w:t>Latvija veica</w:t>
      </w:r>
      <w:r w:rsidRPr="001946E0">
        <w:rPr>
          <w:color w:val="000000"/>
        </w:rPr>
        <w:t xml:space="preserve"> efektīvus un kvalitatīvus fiskālās konsolidācijas pasākumus,</w:t>
      </w:r>
      <w:r>
        <w:rPr>
          <w:color w:val="000000"/>
        </w:rPr>
        <w:t xml:space="preserve"> kā arī, </w:t>
      </w:r>
      <w:r w:rsidRPr="001946E0">
        <w:rPr>
          <w:color w:val="000000"/>
        </w:rPr>
        <w:t xml:space="preserve">lai </w:t>
      </w:r>
      <w:r w:rsidRPr="001946E0">
        <w:rPr>
          <w:rFonts w:eastAsia="Calibri"/>
          <w:color w:val="000000"/>
          <w:szCs w:val="24"/>
        </w:rPr>
        <w:t>pēc iespējas labāk nodrošinātos pret iespējamajiem makroekonomisko procesu izraisītajiem paaugstinātajiem fiskālajiem, ekonomiskajiem un sociālajiem riskiem</w:t>
      </w:r>
      <w:r w:rsidRPr="001946E0">
        <w:rPr>
          <w:color w:val="000000"/>
        </w:rPr>
        <w:t>,</w:t>
      </w:r>
      <w:r>
        <w:rPr>
          <w:color w:val="000000"/>
        </w:rPr>
        <w:t xml:space="preserve"> ekonomisko izaugsmi ir prognozējusi</w:t>
      </w:r>
      <w:r w:rsidR="0066765F">
        <w:rPr>
          <w:color w:val="000000"/>
        </w:rPr>
        <w:t>,</w:t>
      </w:r>
      <w:r>
        <w:rPr>
          <w:color w:val="000000"/>
        </w:rPr>
        <w:t xml:space="preserve"> balstoties uz </w:t>
      </w:r>
      <w:r w:rsidRPr="001946E0">
        <w:rPr>
          <w:color w:val="000000"/>
        </w:rPr>
        <w:t>salīdzinoši konservatīvu makroekonomisko scenāriju</w:t>
      </w:r>
      <w:r>
        <w:rPr>
          <w:color w:val="000000"/>
        </w:rPr>
        <w:t>.</w:t>
      </w:r>
    </w:p>
    <w:p w:rsidR="0088146B" w:rsidRDefault="0088146B" w:rsidP="0088146B">
      <w:pPr>
        <w:ind w:firstLine="720"/>
        <w:rPr>
          <w:color w:val="000000"/>
        </w:rPr>
      </w:pPr>
      <w:r w:rsidRPr="001946E0">
        <w:rPr>
          <w:color w:val="000000"/>
          <w:szCs w:val="24"/>
        </w:rPr>
        <w:t xml:space="preserve">Kopumā laika posmā no 2008. gada līdz 2012. gadam ir veikti </w:t>
      </w:r>
      <w:r>
        <w:rPr>
          <w:color w:val="000000"/>
          <w:szCs w:val="24"/>
        </w:rPr>
        <w:t xml:space="preserve">fiskālās </w:t>
      </w:r>
      <w:r w:rsidRPr="001946E0">
        <w:rPr>
          <w:color w:val="000000"/>
          <w:szCs w:val="24"/>
        </w:rPr>
        <w:t>konsolidācijas pasākumi ar fiskālo ietekmi 17 % apmērā no IKP, no kuriem aptuveni 6,8 % no IKP veido pasākumi, kas veikti ieņēmumu pusē, savukārt, pasākumi izdevu</w:t>
      </w:r>
      <w:r>
        <w:rPr>
          <w:color w:val="000000"/>
          <w:szCs w:val="24"/>
        </w:rPr>
        <w:t>mu pusē kopumā sastāda aptuveni</w:t>
      </w:r>
      <w:r w:rsidRPr="001946E0">
        <w:rPr>
          <w:color w:val="000000"/>
          <w:szCs w:val="24"/>
        </w:rPr>
        <w:t xml:space="preserve"> 10,2 % no IKP (skatīt 4.1. attēlu). </w:t>
      </w:r>
      <w:r>
        <w:rPr>
          <w:color w:val="000000"/>
          <w:szCs w:val="24"/>
        </w:rPr>
        <w:t>V</w:t>
      </w:r>
      <w:r w:rsidRPr="006356A9">
        <w:rPr>
          <w:color w:val="000000"/>
        </w:rPr>
        <w:t>idēji gadā laika posmā no 2008.</w:t>
      </w:r>
      <w:r>
        <w:rPr>
          <w:color w:val="000000"/>
        </w:rPr>
        <w:t> gada līdz</w:t>
      </w:r>
      <w:r w:rsidRPr="006356A9">
        <w:rPr>
          <w:color w:val="000000"/>
        </w:rPr>
        <w:t xml:space="preserve"> 2012. gadam </w:t>
      </w:r>
      <w:r>
        <w:rPr>
          <w:color w:val="000000"/>
        </w:rPr>
        <w:t xml:space="preserve">Latvija </w:t>
      </w:r>
      <w:r w:rsidRPr="006356A9">
        <w:rPr>
          <w:color w:val="000000"/>
        </w:rPr>
        <w:t>ir veikusi fiskālās konsolidācijas pasākumus 3,4% apmērā no IKP</w:t>
      </w:r>
      <w:r>
        <w:rPr>
          <w:color w:val="000000"/>
        </w:rPr>
        <w:t>.</w:t>
      </w:r>
    </w:p>
    <w:p w:rsidR="009A5500" w:rsidRDefault="009A5500" w:rsidP="0088146B">
      <w:pPr>
        <w:autoSpaceDE w:val="0"/>
        <w:autoSpaceDN w:val="0"/>
        <w:adjustRightInd w:val="0"/>
        <w:ind w:firstLine="720"/>
        <w:jc w:val="center"/>
        <w:rPr>
          <w:color w:val="000000"/>
          <w:szCs w:val="24"/>
        </w:rPr>
      </w:pPr>
      <w:r w:rsidRPr="009A5500">
        <w:rPr>
          <w:noProof/>
          <w:lang w:eastAsia="lv-LV"/>
        </w:rPr>
        <w:lastRenderedPageBreak/>
        <w:drawing>
          <wp:inline distT="0" distB="0" distL="0" distR="0" wp14:anchorId="5DFA2B40" wp14:editId="2300816F">
            <wp:extent cx="4181475" cy="2251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85956" cy="2254278"/>
                    </a:xfrm>
                    <a:prstGeom prst="rect">
                      <a:avLst/>
                    </a:prstGeom>
                    <a:noFill/>
                    <a:ln>
                      <a:noFill/>
                    </a:ln>
                  </pic:spPr>
                </pic:pic>
              </a:graphicData>
            </a:graphic>
          </wp:inline>
        </w:drawing>
      </w:r>
    </w:p>
    <w:p w:rsidR="0088146B" w:rsidRPr="001946E0" w:rsidRDefault="0088146B" w:rsidP="0088146B">
      <w:pPr>
        <w:autoSpaceDE w:val="0"/>
        <w:autoSpaceDN w:val="0"/>
        <w:adjustRightInd w:val="0"/>
        <w:ind w:firstLine="720"/>
        <w:jc w:val="center"/>
        <w:rPr>
          <w:color w:val="000000"/>
          <w:szCs w:val="24"/>
        </w:rPr>
      </w:pPr>
      <w:r w:rsidRPr="001946E0">
        <w:rPr>
          <w:color w:val="000000"/>
          <w:szCs w:val="24"/>
        </w:rPr>
        <w:t xml:space="preserve">4.1.att. Fiskālā konsolidācija no 2008. </w:t>
      </w:r>
      <w:r w:rsidR="0035776A">
        <w:rPr>
          <w:color w:val="000000"/>
          <w:szCs w:val="24"/>
        </w:rPr>
        <w:t>–</w:t>
      </w:r>
      <w:r w:rsidRPr="001946E0">
        <w:rPr>
          <w:color w:val="000000"/>
          <w:szCs w:val="24"/>
        </w:rPr>
        <w:t xml:space="preserve"> 2012. gadam, % no IKP</w:t>
      </w:r>
    </w:p>
    <w:p w:rsidR="0088146B" w:rsidRDefault="0088146B" w:rsidP="0088146B">
      <w:pPr>
        <w:pStyle w:val="teksts"/>
        <w:ind w:firstLine="720"/>
        <w:rPr>
          <w:rFonts w:ascii="Times New Roman" w:hAnsi="Times New Roman"/>
          <w:color w:val="000000"/>
        </w:rPr>
      </w:pPr>
      <w:r>
        <w:rPr>
          <w:rFonts w:ascii="Times New Roman" w:hAnsi="Times New Roman"/>
          <w:color w:val="000000"/>
        </w:rPr>
        <w:t>2011. </w:t>
      </w:r>
      <w:r w:rsidRPr="00F1097B">
        <w:rPr>
          <w:rFonts w:ascii="Times New Roman" w:hAnsi="Times New Roman"/>
          <w:color w:val="000000"/>
        </w:rPr>
        <w:t xml:space="preserve">gada </w:t>
      </w:r>
      <w:r>
        <w:rPr>
          <w:rFonts w:ascii="Times New Roman" w:hAnsi="Times New Roman"/>
          <w:color w:val="000000"/>
        </w:rPr>
        <w:t xml:space="preserve">valsts </w:t>
      </w:r>
      <w:r w:rsidRPr="00F1097B">
        <w:rPr>
          <w:rFonts w:ascii="Times New Roman" w:hAnsi="Times New Roman"/>
          <w:color w:val="000000"/>
        </w:rPr>
        <w:t>budžets sākotnēji tika pieņemts</w:t>
      </w:r>
      <w:r w:rsidR="00DE6E4F">
        <w:rPr>
          <w:rFonts w:ascii="Times New Roman" w:hAnsi="Times New Roman"/>
          <w:color w:val="000000"/>
        </w:rPr>
        <w:t>,</w:t>
      </w:r>
      <w:r>
        <w:rPr>
          <w:rFonts w:ascii="Times New Roman" w:hAnsi="Times New Roman"/>
          <w:color w:val="000000"/>
        </w:rPr>
        <w:t xml:space="preserve"> nodrošinot vispārējās valdības </w:t>
      </w:r>
      <w:r w:rsidRPr="00F1097B">
        <w:rPr>
          <w:rFonts w:ascii="Times New Roman" w:hAnsi="Times New Roman"/>
          <w:color w:val="000000"/>
        </w:rPr>
        <w:t>budžeta deficītu 6</w:t>
      </w:r>
      <w:r w:rsidR="00B928D5">
        <w:rPr>
          <w:rFonts w:ascii="Times New Roman" w:hAnsi="Times New Roman"/>
          <w:color w:val="000000"/>
        </w:rPr>
        <w:t> </w:t>
      </w:r>
      <w:r w:rsidRPr="00F1097B">
        <w:rPr>
          <w:rFonts w:ascii="Times New Roman" w:hAnsi="Times New Roman"/>
          <w:color w:val="000000"/>
        </w:rPr>
        <w:t>% apmērā no IKP (saskaņā ar Eiropas kontu sistēmas (turpmāk – EKS) metodoloģij</w:t>
      </w:r>
      <w:r>
        <w:rPr>
          <w:rFonts w:ascii="Times New Roman" w:hAnsi="Times New Roman"/>
          <w:color w:val="000000"/>
        </w:rPr>
        <w:t>u</w:t>
      </w:r>
      <w:r w:rsidRPr="00F1097B">
        <w:rPr>
          <w:rFonts w:ascii="Times New Roman" w:hAnsi="Times New Roman"/>
          <w:color w:val="000000"/>
        </w:rPr>
        <w:t>), tomēr 2011.</w:t>
      </w:r>
      <w:r>
        <w:rPr>
          <w:rFonts w:ascii="Times New Roman" w:hAnsi="Times New Roman"/>
          <w:color w:val="000000"/>
        </w:rPr>
        <w:t> </w:t>
      </w:r>
      <w:r w:rsidRPr="00F1097B">
        <w:rPr>
          <w:rFonts w:ascii="Times New Roman" w:hAnsi="Times New Roman"/>
          <w:color w:val="000000"/>
        </w:rPr>
        <w:t>gada aprīlī</w:t>
      </w:r>
      <w:r>
        <w:rPr>
          <w:rFonts w:ascii="Times New Roman" w:hAnsi="Times New Roman"/>
          <w:color w:val="000000"/>
        </w:rPr>
        <w:t>,</w:t>
      </w:r>
      <w:r w:rsidRPr="00F1097B">
        <w:rPr>
          <w:rFonts w:ascii="Times New Roman" w:hAnsi="Times New Roman"/>
          <w:color w:val="000000"/>
        </w:rPr>
        <w:t xml:space="preserve"> veicot </w:t>
      </w:r>
      <w:r>
        <w:rPr>
          <w:rFonts w:ascii="Times New Roman" w:hAnsi="Times New Roman"/>
          <w:color w:val="000000"/>
        </w:rPr>
        <w:t xml:space="preserve">valsts </w:t>
      </w:r>
      <w:r w:rsidRPr="00F1097B">
        <w:rPr>
          <w:rFonts w:ascii="Times New Roman" w:hAnsi="Times New Roman"/>
          <w:color w:val="000000"/>
        </w:rPr>
        <w:t>budžeta grozījumus</w:t>
      </w:r>
      <w:r>
        <w:rPr>
          <w:rFonts w:ascii="Times New Roman" w:hAnsi="Times New Roman"/>
          <w:color w:val="000000"/>
        </w:rPr>
        <w:t xml:space="preserve">, ar ko tika veikti papildus fiskālās konsolidācijas pasākumi, vispārējās valdības budžeta </w:t>
      </w:r>
      <w:r w:rsidRPr="00F1097B">
        <w:rPr>
          <w:rFonts w:ascii="Times New Roman" w:hAnsi="Times New Roman"/>
          <w:color w:val="000000"/>
        </w:rPr>
        <w:t>deficīta mērķis tika pārskatīts un noteikts 4</w:t>
      </w:r>
      <w:r>
        <w:rPr>
          <w:rFonts w:ascii="Times New Roman" w:hAnsi="Times New Roman"/>
          <w:color w:val="000000"/>
        </w:rPr>
        <w:t>,</w:t>
      </w:r>
      <w:r w:rsidRPr="00F1097B">
        <w:rPr>
          <w:rFonts w:ascii="Times New Roman" w:hAnsi="Times New Roman"/>
          <w:color w:val="000000"/>
        </w:rPr>
        <w:t>5</w:t>
      </w:r>
      <w:r>
        <w:rPr>
          <w:rFonts w:ascii="Times New Roman" w:hAnsi="Times New Roman"/>
          <w:color w:val="000000"/>
        </w:rPr>
        <w:t> % apmērā no IKP.</w:t>
      </w:r>
    </w:p>
    <w:p w:rsidR="0088146B" w:rsidRPr="000F7E13" w:rsidRDefault="0088146B" w:rsidP="0088146B">
      <w:pPr>
        <w:pStyle w:val="teksts"/>
        <w:ind w:firstLine="720"/>
        <w:rPr>
          <w:rFonts w:ascii="Times New Roman" w:hAnsi="Times New Roman"/>
          <w:color w:val="000000"/>
        </w:rPr>
      </w:pPr>
      <w:r w:rsidRPr="00F1097B">
        <w:rPr>
          <w:rFonts w:ascii="Times New Roman" w:eastAsia="Calibri" w:hAnsi="Times New Roman"/>
          <w:color w:val="000000"/>
          <w:szCs w:val="24"/>
        </w:rPr>
        <w:t>Atbilstoši 2012. gada aprīļa vispārējās valdības budžeta deficīta un parāda notifikācijai vispārējās valdības deficīts 2011. gadā veidoja 494,1 milj. latu jeb 3,5</w:t>
      </w:r>
      <w:r>
        <w:rPr>
          <w:rFonts w:ascii="Times New Roman" w:eastAsia="Calibri" w:hAnsi="Times New Roman"/>
          <w:color w:val="000000"/>
          <w:szCs w:val="24"/>
        </w:rPr>
        <w:t> </w:t>
      </w:r>
      <w:r w:rsidRPr="00F1097B">
        <w:rPr>
          <w:rFonts w:ascii="Times New Roman" w:eastAsia="Calibri" w:hAnsi="Times New Roman"/>
          <w:color w:val="000000"/>
          <w:szCs w:val="24"/>
        </w:rPr>
        <w:t>% no IKP</w:t>
      </w:r>
      <w:r>
        <w:rPr>
          <w:rFonts w:ascii="Times New Roman" w:eastAsia="Calibri" w:hAnsi="Times New Roman"/>
          <w:color w:val="000000"/>
          <w:szCs w:val="24"/>
        </w:rPr>
        <w:t xml:space="preserve"> (skatīt 4.2.</w:t>
      </w:r>
      <w:r w:rsidR="006D6C1C">
        <w:rPr>
          <w:rFonts w:ascii="Times New Roman" w:eastAsia="Calibri" w:hAnsi="Times New Roman"/>
          <w:color w:val="000000"/>
          <w:szCs w:val="24"/>
        </w:rPr>
        <w:t> </w:t>
      </w:r>
      <w:r>
        <w:rPr>
          <w:rFonts w:ascii="Times New Roman" w:eastAsia="Calibri" w:hAnsi="Times New Roman"/>
          <w:color w:val="000000"/>
          <w:szCs w:val="24"/>
        </w:rPr>
        <w:t>attēlu),</w:t>
      </w:r>
      <w:r w:rsidRPr="00F1097B">
        <w:rPr>
          <w:rFonts w:ascii="Times New Roman" w:hAnsi="Times New Roman"/>
          <w:color w:val="000000"/>
          <w:szCs w:val="24"/>
        </w:rPr>
        <w:t xml:space="preserve"> </w:t>
      </w:r>
      <w:r w:rsidRPr="00F1097B">
        <w:rPr>
          <w:rFonts w:ascii="Times New Roman" w:hAnsi="Times New Roman"/>
          <w:color w:val="000000"/>
        </w:rPr>
        <w:t xml:space="preserve">kas </w:t>
      </w:r>
      <w:r>
        <w:rPr>
          <w:rFonts w:ascii="Times New Roman" w:hAnsi="Times New Roman"/>
          <w:color w:val="000000"/>
        </w:rPr>
        <w:t>ir par 4,7 % mazāk nekā 2010. gadā un ir būtiski mazāks nekā</w:t>
      </w:r>
      <w:r w:rsidRPr="00F1097B">
        <w:rPr>
          <w:rFonts w:ascii="Times New Roman" w:hAnsi="Times New Roman"/>
          <w:color w:val="000000"/>
        </w:rPr>
        <w:t xml:space="preserve"> </w:t>
      </w:r>
      <w:r>
        <w:rPr>
          <w:rFonts w:ascii="Times New Roman" w:hAnsi="Times New Roman"/>
          <w:color w:val="000000"/>
        </w:rPr>
        <w:t xml:space="preserve">iepriekš noteiktais </w:t>
      </w:r>
      <w:r w:rsidRPr="00F1097B">
        <w:rPr>
          <w:rFonts w:ascii="Times New Roman" w:hAnsi="Times New Roman"/>
          <w:color w:val="000000"/>
        </w:rPr>
        <w:t>mērķi</w:t>
      </w:r>
      <w:r>
        <w:rPr>
          <w:rFonts w:ascii="Times New Roman" w:hAnsi="Times New Roman"/>
          <w:color w:val="000000"/>
        </w:rPr>
        <w:t>s.</w:t>
      </w:r>
      <w:r w:rsidRPr="00F1097B">
        <w:rPr>
          <w:rFonts w:ascii="Times New Roman" w:hAnsi="Times New Roman"/>
          <w:color w:val="000000"/>
        </w:rPr>
        <w:t xml:space="preserve"> </w:t>
      </w:r>
      <w:r w:rsidRPr="00F1097B">
        <w:rPr>
          <w:rFonts w:ascii="Times New Roman" w:eastAsia="Calibri" w:hAnsi="Times New Roman"/>
          <w:color w:val="000000"/>
          <w:szCs w:val="24"/>
        </w:rPr>
        <w:t xml:space="preserve">Vispārējās vadības budžeta bilances uzlabojumu galvenokārt noteica situācijas uzlabošanās centrālās valdības un sociālās apdrošināšanas budžetā. Labāku fiskālo situāciju sekmēja vispārējās valdības budžeta ieņēmumu pieaugums, paaugstinoties ekonomiskajai aktivitātei un uzlabojoties nodokļu administrēšanas pasākumiem. Savukārt, sociālās apdrošināšanas budžetā, salīdzinot gan ar 2010. gadu, gan iepriekš prognozēto 2011. gadam, būtiski saruka izdevumi, kas saistīti ar </w:t>
      </w:r>
      <w:r w:rsidRPr="006356A9">
        <w:rPr>
          <w:rFonts w:ascii="Times New Roman" w:eastAsia="Calibri" w:hAnsi="Times New Roman"/>
          <w:color w:val="000000"/>
          <w:szCs w:val="24"/>
        </w:rPr>
        <w:t>bezdarbnieku pabalstu izmaksu, ņemot vērā bezdarba līmeņa samazināšanos.</w:t>
      </w:r>
    </w:p>
    <w:p w:rsidR="0088146B" w:rsidRDefault="00BD6F38" w:rsidP="0088146B">
      <w:pPr>
        <w:ind w:firstLine="709"/>
        <w:rPr>
          <w:rFonts w:eastAsia="Calibri"/>
          <w:noProof/>
          <w:color w:val="000000"/>
          <w:szCs w:val="24"/>
          <w:lang w:eastAsia="lv-LV"/>
        </w:rPr>
      </w:pPr>
      <w:r>
        <w:rPr>
          <w:rFonts w:eastAsia="Calibri"/>
          <w:noProof/>
          <w:color w:val="000000"/>
          <w:szCs w:val="24"/>
          <w:lang w:eastAsia="lv-LV"/>
        </w:rPr>
        <w:pict>
          <v:shape id="_x0000_i1032" type="#_x0000_t75" style="width:391.3pt;height:188.45pt;visibility:visible">
            <v:imagedata r:id="rId24" o:title="" croptop="18257f" cropbottom="973f" cropleft="649f" cropright="2167f"/>
          </v:shape>
        </w:pict>
      </w:r>
    </w:p>
    <w:p w:rsidR="0088146B" w:rsidRPr="001749D7" w:rsidRDefault="0088146B" w:rsidP="0088146B">
      <w:pPr>
        <w:pStyle w:val="teksts"/>
        <w:ind w:firstLine="720"/>
        <w:jc w:val="center"/>
        <w:rPr>
          <w:rFonts w:ascii="Times New Roman" w:eastAsia="Calibri" w:hAnsi="Times New Roman"/>
          <w:color w:val="000000"/>
          <w:szCs w:val="24"/>
        </w:rPr>
      </w:pPr>
      <w:r w:rsidRPr="001946E0">
        <w:rPr>
          <w:rFonts w:ascii="Times New Roman" w:eastAsia="Calibri" w:hAnsi="Times New Roman"/>
          <w:color w:val="000000"/>
          <w:szCs w:val="24"/>
        </w:rPr>
        <w:t>4.</w:t>
      </w:r>
      <w:r>
        <w:rPr>
          <w:rFonts w:ascii="Times New Roman" w:eastAsia="Calibri" w:hAnsi="Times New Roman"/>
          <w:color w:val="000000"/>
          <w:szCs w:val="24"/>
        </w:rPr>
        <w:t>2</w:t>
      </w:r>
      <w:r w:rsidRPr="001946E0">
        <w:rPr>
          <w:rFonts w:ascii="Times New Roman" w:eastAsia="Calibri" w:hAnsi="Times New Roman"/>
          <w:color w:val="000000"/>
          <w:szCs w:val="24"/>
        </w:rPr>
        <w:t>. att. Vispārējās valdības budžeta bilance (atbilstoši EKS metodoloģijai) un kopbudžeta bilance (atbilstoši naudas plūsmas metodoloģijai) 2007.</w:t>
      </w:r>
      <w:r w:rsidR="006D6C1C">
        <w:rPr>
          <w:rFonts w:ascii="Times New Roman" w:eastAsia="Calibri" w:hAnsi="Times New Roman"/>
          <w:color w:val="000000"/>
          <w:szCs w:val="24"/>
        </w:rPr>
        <w:t xml:space="preserve"> </w:t>
      </w:r>
      <w:r w:rsidR="0035776A">
        <w:rPr>
          <w:rFonts w:ascii="Times New Roman" w:eastAsia="Calibri" w:hAnsi="Times New Roman"/>
          <w:color w:val="000000"/>
          <w:szCs w:val="24"/>
        </w:rPr>
        <w:t>–</w:t>
      </w:r>
      <w:r w:rsidR="006D6C1C">
        <w:rPr>
          <w:rFonts w:ascii="Times New Roman" w:eastAsia="Calibri" w:hAnsi="Times New Roman"/>
          <w:color w:val="000000"/>
          <w:szCs w:val="24"/>
        </w:rPr>
        <w:t xml:space="preserve"> </w:t>
      </w:r>
      <w:r w:rsidRPr="001946E0">
        <w:rPr>
          <w:rFonts w:ascii="Times New Roman" w:eastAsia="Calibri" w:hAnsi="Times New Roman"/>
          <w:color w:val="000000"/>
          <w:szCs w:val="24"/>
        </w:rPr>
        <w:t>2015. gadā, % no IKP</w:t>
      </w:r>
      <w:r w:rsidRPr="001946E0">
        <w:rPr>
          <w:rStyle w:val="FootnoteReference"/>
          <w:rFonts w:ascii="Times New Roman" w:eastAsia="Calibri" w:hAnsi="Times New Roman"/>
          <w:color w:val="000000"/>
          <w:sz w:val="24"/>
          <w:szCs w:val="24"/>
        </w:rPr>
        <w:footnoteReference w:id="2"/>
      </w:r>
      <w:r>
        <w:rPr>
          <w:rFonts w:ascii="Times New Roman" w:eastAsia="Calibri" w:hAnsi="Times New Roman"/>
          <w:color w:val="000000"/>
          <w:szCs w:val="24"/>
        </w:rPr>
        <w:t>.</w:t>
      </w:r>
    </w:p>
    <w:p w:rsidR="0088146B" w:rsidRPr="001946E0" w:rsidRDefault="0088146B" w:rsidP="0088146B">
      <w:pPr>
        <w:pStyle w:val="teksts"/>
        <w:ind w:firstLine="720"/>
        <w:rPr>
          <w:rFonts w:ascii="Times New Roman" w:eastAsia="Calibri" w:hAnsi="Times New Roman"/>
          <w:color w:val="000000"/>
          <w:szCs w:val="24"/>
        </w:rPr>
      </w:pPr>
      <w:r>
        <w:rPr>
          <w:rFonts w:ascii="Times New Roman" w:eastAsia="Calibri" w:hAnsi="Times New Roman"/>
          <w:color w:val="000000"/>
          <w:szCs w:val="24"/>
        </w:rPr>
        <w:lastRenderedPageBreak/>
        <w:t>Jāatzīmē, ka v</w:t>
      </w:r>
      <w:r w:rsidRPr="001946E0">
        <w:rPr>
          <w:rFonts w:ascii="Times New Roman" w:eastAsia="Calibri" w:hAnsi="Times New Roman"/>
          <w:color w:val="000000"/>
          <w:szCs w:val="24"/>
        </w:rPr>
        <w:t xml:space="preserve">ispārējās valdības budžeta deficītu atbilstoši EKS metodoloģijai salīdzinājumā ar kopbudžeta deficītu atbilstoši nacionālajai (naudas plūsmas) metodoloģijai iepriekšējos gados </w:t>
      </w:r>
      <w:r>
        <w:rPr>
          <w:rFonts w:ascii="Times New Roman" w:eastAsia="Calibri" w:hAnsi="Times New Roman"/>
          <w:color w:val="000000"/>
          <w:szCs w:val="24"/>
        </w:rPr>
        <w:t xml:space="preserve">ir </w:t>
      </w:r>
      <w:r w:rsidRPr="001946E0">
        <w:rPr>
          <w:rFonts w:ascii="Times New Roman" w:eastAsia="Calibri" w:hAnsi="Times New Roman"/>
          <w:color w:val="000000"/>
          <w:szCs w:val="24"/>
        </w:rPr>
        <w:t>ietekmēj</w:t>
      </w:r>
      <w:r>
        <w:rPr>
          <w:rFonts w:ascii="Times New Roman" w:eastAsia="Calibri" w:hAnsi="Times New Roman"/>
          <w:color w:val="000000"/>
          <w:szCs w:val="24"/>
        </w:rPr>
        <w:t>ušas</w:t>
      </w:r>
      <w:r w:rsidRPr="001946E0">
        <w:rPr>
          <w:rFonts w:ascii="Times New Roman" w:eastAsia="Calibri" w:hAnsi="Times New Roman"/>
          <w:color w:val="000000"/>
          <w:szCs w:val="24"/>
        </w:rPr>
        <w:t xml:space="preserve"> negatīvās korekcijas pēc EKS metodoloģijas. Sevišķi būtiskas korekcijas </w:t>
      </w:r>
      <w:r>
        <w:rPr>
          <w:rFonts w:ascii="Times New Roman" w:eastAsia="Calibri" w:hAnsi="Times New Roman"/>
          <w:color w:val="000000"/>
          <w:szCs w:val="24"/>
        </w:rPr>
        <w:t>tika veiktas</w:t>
      </w:r>
      <w:r w:rsidRPr="001946E0">
        <w:rPr>
          <w:rFonts w:ascii="Times New Roman" w:eastAsia="Calibri" w:hAnsi="Times New Roman"/>
          <w:color w:val="000000"/>
          <w:szCs w:val="24"/>
        </w:rPr>
        <w:t xml:space="preserve"> 2009. un 2010. gadā un tās centrālās valdības sektorā pamatā noteica valdības ieguldījumi finanšu institūcijās ekonomiskās krīzes ietekmē (AS Parex banka, VAS Latvijas Hipotēku un zemes banka), savukārt, vietējās valdības sektorā – nozīmīgu infrastruktūras objektu celtniecība (Dienvidu tilts). Arī 2011. gadā EKS korekciju negatīvi ietekmēja valdības veiktie ieguldījumi uzņēmumos un finanšu institūcijās, lai gan to apjoms bija būtiski zemāks nekā iepriekšējos gados.</w:t>
      </w:r>
    </w:p>
    <w:p w:rsidR="0088146B" w:rsidRPr="001946E0" w:rsidRDefault="0088146B" w:rsidP="0088146B">
      <w:pPr>
        <w:pStyle w:val="otrais"/>
        <w:rPr>
          <w:color w:val="000000"/>
        </w:rPr>
      </w:pPr>
      <w:bookmarkStart w:id="41" w:name="_Toc322591300"/>
      <w:bookmarkStart w:id="42" w:name="_Toc323120286"/>
      <w:r w:rsidRPr="001946E0">
        <w:rPr>
          <w:color w:val="000000"/>
        </w:rPr>
        <w:t>4.2. Fiskālās attīstības scenārijs</w:t>
      </w:r>
      <w:bookmarkEnd w:id="41"/>
      <w:bookmarkEnd w:id="42"/>
    </w:p>
    <w:p w:rsidR="0088146B" w:rsidRPr="001946E0" w:rsidRDefault="0088146B" w:rsidP="0088146B">
      <w:pPr>
        <w:pStyle w:val="teksts"/>
        <w:ind w:firstLine="720"/>
        <w:rPr>
          <w:rFonts w:ascii="Times New Roman" w:eastAsia="Calibri" w:hAnsi="Times New Roman"/>
          <w:color w:val="000000"/>
          <w:szCs w:val="24"/>
        </w:rPr>
      </w:pPr>
      <w:r w:rsidRPr="001946E0">
        <w:rPr>
          <w:rFonts w:ascii="Times New Roman" w:eastAsia="Calibri" w:hAnsi="Times New Roman"/>
          <w:color w:val="000000"/>
          <w:szCs w:val="24"/>
        </w:rPr>
        <w:t>Latvijas tuvāko gadu fiskālās politikas galvenais mērķis ir turpināt realizēt ekonomikas atjaunošanas un izaugsmes veicināšanas pasākumus un veicināt atbildīgu un ilgtspējīgu fiskālo politiku, ievērojot stingru fiskālo disciplīnu turpmākajos gados.</w:t>
      </w:r>
    </w:p>
    <w:p w:rsidR="0088146B" w:rsidRPr="001946E0" w:rsidRDefault="0088146B" w:rsidP="0088146B">
      <w:pPr>
        <w:pStyle w:val="teksts"/>
        <w:ind w:firstLine="720"/>
        <w:rPr>
          <w:rFonts w:ascii="Times New Roman" w:eastAsia="Calibri" w:hAnsi="Times New Roman"/>
          <w:color w:val="000000"/>
          <w:szCs w:val="24"/>
        </w:rPr>
      </w:pPr>
      <w:r w:rsidRPr="001946E0">
        <w:rPr>
          <w:rFonts w:ascii="Times New Roman" w:eastAsia="Calibri" w:hAnsi="Times New Roman"/>
          <w:color w:val="000000"/>
          <w:szCs w:val="24"/>
        </w:rPr>
        <w:t xml:space="preserve">Ņemot vērā minēto Latvija turpinās ieviest Saprašanās memorandā </w:t>
      </w:r>
      <w:r w:rsidRPr="008D09DE">
        <w:rPr>
          <w:rFonts w:ascii="Times New Roman" w:eastAsia="Calibri" w:hAnsi="Times New Roman"/>
          <w:color w:val="000000"/>
          <w:szCs w:val="24"/>
        </w:rPr>
        <w:t>noteiktās apņemšanās</w:t>
      </w:r>
      <w:r w:rsidRPr="001946E0">
        <w:rPr>
          <w:rFonts w:ascii="Times New Roman" w:eastAsia="Calibri" w:hAnsi="Times New Roman"/>
          <w:color w:val="000000"/>
          <w:szCs w:val="24"/>
        </w:rPr>
        <w:t xml:space="preserve">, </w:t>
      </w:r>
      <w:r w:rsidRPr="00946C9E">
        <w:rPr>
          <w:rFonts w:ascii="Times New Roman" w:eastAsia="Calibri" w:hAnsi="Times New Roman"/>
          <w:color w:val="000000"/>
          <w:szCs w:val="24"/>
        </w:rPr>
        <w:t xml:space="preserve">īstenot </w:t>
      </w:r>
      <w:r>
        <w:rPr>
          <w:rFonts w:ascii="Times New Roman" w:eastAsia="Calibri" w:hAnsi="Times New Roman"/>
          <w:color w:val="000000"/>
          <w:szCs w:val="24"/>
        </w:rPr>
        <w:t>LSAP</w:t>
      </w:r>
      <w:r w:rsidRPr="001946E0">
        <w:rPr>
          <w:rFonts w:ascii="Times New Roman" w:eastAsia="Calibri" w:hAnsi="Times New Roman"/>
          <w:color w:val="000000"/>
          <w:szCs w:val="24"/>
        </w:rPr>
        <w:t xml:space="preserve"> noteiktos virzienus </w:t>
      </w:r>
      <w:r>
        <w:rPr>
          <w:rFonts w:ascii="Times New Roman" w:eastAsia="Calibri" w:hAnsi="Times New Roman"/>
          <w:color w:val="000000"/>
          <w:szCs w:val="24"/>
        </w:rPr>
        <w:t>nosprausto</w:t>
      </w:r>
      <w:r w:rsidRPr="001946E0">
        <w:rPr>
          <w:rFonts w:ascii="Times New Roman" w:eastAsia="Calibri" w:hAnsi="Times New Roman"/>
          <w:color w:val="000000"/>
          <w:szCs w:val="24"/>
        </w:rPr>
        <w:t xml:space="preserve"> prioritāšu ietvaros</w:t>
      </w:r>
      <w:r>
        <w:rPr>
          <w:rFonts w:ascii="Times New Roman" w:eastAsia="Calibri" w:hAnsi="Times New Roman"/>
          <w:color w:val="000000"/>
          <w:szCs w:val="24"/>
        </w:rPr>
        <w:t xml:space="preserve"> </w:t>
      </w:r>
      <w:r w:rsidRPr="001946E0">
        <w:rPr>
          <w:rFonts w:ascii="Times New Roman" w:eastAsia="Calibri" w:hAnsi="Times New Roman"/>
          <w:color w:val="000000"/>
          <w:szCs w:val="24"/>
        </w:rPr>
        <w:t xml:space="preserve">- ekonomikas izaugsme, sociālā drošība un publiskās pārvaldes </w:t>
      </w:r>
      <w:r w:rsidR="00DE6E4F">
        <w:rPr>
          <w:rFonts w:ascii="Times New Roman" w:eastAsia="Calibri" w:hAnsi="Times New Roman"/>
          <w:color w:val="000000"/>
          <w:szCs w:val="24"/>
        </w:rPr>
        <w:t>reformas, kas atbilst Ikgadējā i</w:t>
      </w:r>
      <w:r w:rsidRPr="001946E0">
        <w:rPr>
          <w:rFonts w:ascii="Times New Roman" w:eastAsia="Calibri" w:hAnsi="Times New Roman"/>
          <w:color w:val="000000"/>
          <w:szCs w:val="24"/>
        </w:rPr>
        <w:t>zaugsmes ziņojuma prioritātēm un Eiro Plus pakta apņemšanām (skatīt 3.</w:t>
      </w:r>
      <w:r>
        <w:rPr>
          <w:rFonts w:ascii="Times New Roman" w:eastAsia="Calibri" w:hAnsi="Times New Roman"/>
          <w:color w:val="000000"/>
          <w:szCs w:val="24"/>
        </w:rPr>
        <w:t xml:space="preserve"> un</w:t>
      </w:r>
      <w:r w:rsidRPr="001946E0">
        <w:rPr>
          <w:rFonts w:ascii="Times New Roman" w:eastAsia="Calibri" w:hAnsi="Times New Roman"/>
          <w:color w:val="000000"/>
          <w:szCs w:val="24"/>
        </w:rPr>
        <w:t xml:space="preserve"> 6. sadaļu, kā arī </w:t>
      </w:r>
      <w:r w:rsidR="00FA09C0">
        <w:rPr>
          <w:rFonts w:ascii="Times New Roman" w:eastAsia="Calibri" w:hAnsi="Times New Roman"/>
          <w:color w:val="000000"/>
          <w:szCs w:val="24"/>
        </w:rPr>
        <w:t>NRP</w:t>
      </w:r>
      <w:r w:rsidRPr="001946E0">
        <w:rPr>
          <w:rFonts w:ascii="Times New Roman" w:eastAsia="Calibri" w:hAnsi="Times New Roman"/>
          <w:color w:val="000000"/>
          <w:szCs w:val="24"/>
        </w:rPr>
        <w:t>).</w:t>
      </w:r>
    </w:p>
    <w:p w:rsidR="0088146B" w:rsidRDefault="0088146B" w:rsidP="0088146B">
      <w:pPr>
        <w:ind w:firstLine="720"/>
        <w:rPr>
          <w:color w:val="000000"/>
        </w:rPr>
      </w:pPr>
      <w:r w:rsidRPr="001946E0">
        <w:rPr>
          <w:color w:val="000000"/>
        </w:rPr>
        <w:t xml:space="preserve">Atbilstoši fiskālās politikas </w:t>
      </w:r>
      <w:r w:rsidRPr="00757A54">
        <w:rPr>
          <w:color w:val="000000"/>
        </w:rPr>
        <w:t xml:space="preserve">galvenajam mērķim </w:t>
      </w:r>
      <w:r>
        <w:rPr>
          <w:color w:val="000000"/>
        </w:rPr>
        <w:t xml:space="preserve">Latvijas </w:t>
      </w:r>
      <w:r w:rsidRPr="00757A54">
        <w:rPr>
          <w:color w:val="000000"/>
        </w:rPr>
        <w:t>vidēja</w:t>
      </w:r>
      <w:r w:rsidRPr="001946E0">
        <w:rPr>
          <w:color w:val="000000"/>
        </w:rPr>
        <w:t xml:space="preserve"> termiņa budžeta bilances mērķi</w:t>
      </w:r>
      <w:r>
        <w:rPr>
          <w:color w:val="000000"/>
        </w:rPr>
        <w:t>s</w:t>
      </w:r>
      <w:r w:rsidRPr="001946E0">
        <w:rPr>
          <w:color w:val="000000"/>
        </w:rPr>
        <w:t xml:space="preserve"> strukturālajā izteiksmē (</w:t>
      </w:r>
      <w:r>
        <w:rPr>
          <w:color w:val="000000"/>
        </w:rPr>
        <w:t xml:space="preserve">turpmāk </w:t>
      </w:r>
      <w:r w:rsidR="0035776A">
        <w:rPr>
          <w:color w:val="000000"/>
        </w:rPr>
        <w:t>–</w:t>
      </w:r>
      <w:r>
        <w:rPr>
          <w:color w:val="000000"/>
        </w:rPr>
        <w:t xml:space="preserve"> </w:t>
      </w:r>
      <w:r w:rsidRPr="001946E0">
        <w:rPr>
          <w:color w:val="000000"/>
        </w:rPr>
        <w:t xml:space="preserve">MTO) </w:t>
      </w:r>
      <w:r>
        <w:rPr>
          <w:color w:val="000000"/>
        </w:rPr>
        <w:t xml:space="preserve">ir strukturālais deficīts </w:t>
      </w:r>
      <w:r w:rsidRPr="001946E0">
        <w:rPr>
          <w:color w:val="000000"/>
        </w:rPr>
        <w:t>0,5 % no IKP</w:t>
      </w:r>
      <w:r>
        <w:rPr>
          <w:color w:val="000000"/>
        </w:rPr>
        <w:t xml:space="preserve"> apmērā</w:t>
      </w:r>
      <w:r w:rsidR="009A5500">
        <w:rPr>
          <w:color w:val="000000"/>
        </w:rPr>
        <w:t>.</w:t>
      </w:r>
    </w:p>
    <w:p w:rsidR="0088146B" w:rsidRPr="001946E0" w:rsidRDefault="0088146B" w:rsidP="0088146B">
      <w:pPr>
        <w:pStyle w:val="teksts"/>
        <w:ind w:firstLine="720"/>
        <w:rPr>
          <w:rFonts w:ascii="Times New Roman" w:eastAsia="Calibri" w:hAnsi="Times New Roman"/>
          <w:color w:val="000000"/>
          <w:szCs w:val="24"/>
        </w:rPr>
      </w:pPr>
      <w:r w:rsidRPr="001946E0">
        <w:rPr>
          <w:rFonts w:ascii="Times New Roman" w:eastAsia="Calibri" w:hAnsi="Times New Roman"/>
          <w:color w:val="000000"/>
          <w:szCs w:val="24"/>
        </w:rPr>
        <w:t>Tāpat Fiskālās attīstības vidēja termiņa scenārijs paredz turpināt uzlabot vispārējās valdības budžeta bilanci 2013.</w:t>
      </w:r>
      <w:r>
        <w:rPr>
          <w:rFonts w:ascii="Times New Roman" w:eastAsia="Calibri" w:hAnsi="Times New Roman"/>
          <w:color w:val="000000"/>
          <w:szCs w:val="24"/>
        </w:rPr>
        <w:t xml:space="preserve"> </w:t>
      </w:r>
      <w:r w:rsidRPr="001946E0">
        <w:rPr>
          <w:rFonts w:ascii="Times New Roman" w:eastAsia="Calibri" w:hAnsi="Times New Roman"/>
          <w:color w:val="000000"/>
          <w:szCs w:val="24"/>
        </w:rPr>
        <w:t>–</w:t>
      </w:r>
      <w:r>
        <w:rPr>
          <w:rFonts w:ascii="Times New Roman" w:eastAsia="Calibri" w:hAnsi="Times New Roman"/>
          <w:color w:val="000000"/>
          <w:szCs w:val="24"/>
        </w:rPr>
        <w:t xml:space="preserve"> </w:t>
      </w:r>
      <w:r w:rsidRPr="001946E0">
        <w:rPr>
          <w:rFonts w:ascii="Times New Roman" w:eastAsia="Calibri" w:hAnsi="Times New Roman"/>
          <w:color w:val="000000"/>
          <w:szCs w:val="24"/>
        </w:rPr>
        <w:t xml:space="preserve">2015. gadā atbilstoši Stabilitātes un izaugsmes paktā </w:t>
      </w:r>
      <w:r>
        <w:rPr>
          <w:rFonts w:ascii="Times New Roman" w:eastAsia="Calibri" w:hAnsi="Times New Roman"/>
          <w:color w:val="000000"/>
          <w:szCs w:val="24"/>
        </w:rPr>
        <w:t xml:space="preserve">un ES padomes regulā Nr. 1175/2011 </w:t>
      </w:r>
      <w:r w:rsidRPr="001946E0">
        <w:rPr>
          <w:rFonts w:ascii="Times New Roman" w:eastAsia="Calibri" w:hAnsi="Times New Roman"/>
          <w:color w:val="000000"/>
          <w:szCs w:val="24"/>
        </w:rPr>
        <w:t>noteiktajam uzlabojuma solim 0,5</w:t>
      </w:r>
      <w:r>
        <w:rPr>
          <w:rFonts w:ascii="Times New Roman" w:eastAsia="Calibri" w:hAnsi="Times New Roman"/>
          <w:color w:val="000000"/>
          <w:szCs w:val="24"/>
        </w:rPr>
        <w:t> </w:t>
      </w:r>
      <w:r w:rsidRPr="001946E0">
        <w:rPr>
          <w:rFonts w:ascii="Times New Roman" w:eastAsia="Calibri" w:hAnsi="Times New Roman"/>
          <w:color w:val="000000"/>
          <w:szCs w:val="24"/>
        </w:rPr>
        <w:t>% no IKP apmērā strukturālā izteiksmē līdz tiek sasniegts vidēja termiņa mērķis (skat. tabulu Cikliskā attīstība).</w:t>
      </w:r>
    </w:p>
    <w:p w:rsidR="0088146B" w:rsidRDefault="002F56D0" w:rsidP="002F56D0">
      <w:pPr>
        <w:pStyle w:val="teksts"/>
        <w:jc w:val="center"/>
        <w:rPr>
          <w:rFonts w:ascii="Times New Roman" w:eastAsia="Calibri" w:hAnsi="Times New Roman"/>
          <w:color w:val="000000"/>
          <w:szCs w:val="24"/>
        </w:rPr>
      </w:pPr>
      <w:r w:rsidRPr="002F56D0">
        <w:rPr>
          <w:rFonts w:eastAsia="Calibri"/>
          <w:noProof/>
          <w:lang w:eastAsia="lv-LV"/>
        </w:rPr>
        <w:drawing>
          <wp:inline distT="0" distB="0" distL="0" distR="0" wp14:anchorId="5C4F7750" wp14:editId="4AFF1E6D">
            <wp:extent cx="4850018" cy="2572322"/>
            <wp:effectExtent l="57150" t="0" r="65405" b="1143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78656" cy="2587511"/>
                    </a:xfrm>
                    <a:prstGeom prst="rect">
                      <a:avLst/>
                    </a:prstGeom>
                    <a:noFill/>
                    <a:ln>
                      <a:noFill/>
                    </a:ln>
                    <a:effectLst>
                      <a:outerShdw blurRad="50800" dist="50800" dir="5400000" algn="ctr" rotWithShape="0">
                        <a:schemeClr val="bg1"/>
                      </a:outerShdw>
                    </a:effectLst>
                  </pic:spPr>
                </pic:pic>
              </a:graphicData>
            </a:graphic>
          </wp:inline>
        </w:drawing>
      </w:r>
    </w:p>
    <w:p w:rsidR="0088146B" w:rsidRPr="001946E0" w:rsidRDefault="0088146B" w:rsidP="0088146B">
      <w:pPr>
        <w:pStyle w:val="teksts"/>
        <w:jc w:val="center"/>
        <w:rPr>
          <w:rFonts w:ascii="Times New Roman" w:eastAsia="Calibri" w:hAnsi="Times New Roman"/>
          <w:color w:val="000000"/>
          <w:szCs w:val="24"/>
        </w:rPr>
      </w:pPr>
      <w:r w:rsidRPr="001946E0">
        <w:rPr>
          <w:rFonts w:ascii="Times New Roman" w:eastAsia="Calibri" w:hAnsi="Times New Roman"/>
          <w:color w:val="000000"/>
          <w:szCs w:val="24"/>
        </w:rPr>
        <w:t>4.</w:t>
      </w:r>
      <w:r>
        <w:rPr>
          <w:rFonts w:ascii="Times New Roman" w:eastAsia="Calibri" w:hAnsi="Times New Roman"/>
          <w:color w:val="000000"/>
          <w:szCs w:val="24"/>
        </w:rPr>
        <w:t>3</w:t>
      </w:r>
      <w:r w:rsidRPr="001946E0">
        <w:rPr>
          <w:rFonts w:ascii="Times New Roman" w:eastAsia="Calibri" w:hAnsi="Times New Roman"/>
          <w:color w:val="000000"/>
          <w:szCs w:val="24"/>
        </w:rPr>
        <w:t>. att. Vispārējās valdības budžeta bilance, tās mērķis (atbilstoši EKS metodoloģijai) un strukturālā bilance 2011.</w:t>
      </w:r>
      <w:r w:rsidR="0035776A">
        <w:rPr>
          <w:rFonts w:ascii="Times New Roman" w:eastAsia="Calibri" w:hAnsi="Times New Roman"/>
          <w:color w:val="000000"/>
          <w:szCs w:val="24"/>
        </w:rPr>
        <w:t>–</w:t>
      </w:r>
      <w:r w:rsidRPr="001946E0">
        <w:rPr>
          <w:rFonts w:ascii="Times New Roman" w:eastAsia="Calibri" w:hAnsi="Times New Roman"/>
          <w:color w:val="000000"/>
          <w:szCs w:val="24"/>
        </w:rPr>
        <w:t xml:space="preserve">2015. gadā, </w:t>
      </w:r>
      <w:r w:rsidRPr="001946E0">
        <w:rPr>
          <w:rFonts w:ascii="Times New Roman" w:eastAsia="Calibri" w:hAnsi="Times New Roman"/>
          <w:noProof/>
          <w:color w:val="000000"/>
          <w:szCs w:val="24"/>
        </w:rPr>
        <w:t>% no IKP</w:t>
      </w:r>
      <w:r w:rsidRPr="001946E0">
        <w:rPr>
          <w:rStyle w:val="FootnoteReference"/>
          <w:rFonts w:ascii="Times New Roman" w:eastAsia="Calibri" w:hAnsi="Times New Roman"/>
          <w:noProof/>
          <w:color w:val="000000"/>
          <w:sz w:val="24"/>
          <w:szCs w:val="24"/>
        </w:rPr>
        <w:footnoteReference w:id="3"/>
      </w:r>
    </w:p>
    <w:p w:rsidR="0088146B" w:rsidRPr="001946E0" w:rsidRDefault="0088146B" w:rsidP="0088146B">
      <w:pPr>
        <w:pStyle w:val="teksts"/>
        <w:ind w:firstLine="720"/>
        <w:rPr>
          <w:rFonts w:ascii="Times New Roman" w:eastAsia="Calibri" w:hAnsi="Times New Roman"/>
          <w:color w:val="000000"/>
          <w:szCs w:val="24"/>
        </w:rPr>
      </w:pPr>
    </w:p>
    <w:p w:rsidR="0088146B" w:rsidRDefault="0088146B" w:rsidP="0088146B">
      <w:pPr>
        <w:pStyle w:val="teksts"/>
        <w:ind w:firstLine="720"/>
        <w:rPr>
          <w:rFonts w:ascii="Times New Roman" w:eastAsia="Calibri" w:hAnsi="Times New Roman"/>
          <w:color w:val="000000"/>
          <w:szCs w:val="24"/>
        </w:rPr>
      </w:pPr>
      <w:r w:rsidRPr="008B3313">
        <w:rPr>
          <w:rFonts w:ascii="Times New Roman" w:hAnsi="Times New Roman"/>
        </w:rPr>
        <w:lastRenderedPageBreak/>
        <w:t xml:space="preserve">Līdz ar to </w:t>
      </w:r>
      <w:r>
        <w:rPr>
          <w:rFonts w:ascii="Times New Roman" w:hAnsi="Times New Roman"/>
        </w:rPr>
        <w:t>atbilstoši iepriekš</w:t>
      </w:r>
      <w:r w:rsidR="0066765F">
        <w:rPr>
          <w:rFonts w:ascii="Times New Roman" w:hAnsi="Times New Roman"/>
        </w:rPr>
        <w:t xml:space="preserve"> </w:t>
      </w:r>
      <w:r>
        <w:rPr>
          <w:rFonts w:ascii="Times New Roman" w:hAnsi="Times New Roman"/>
        </w:rPr>
        <w:t>minētajiem</w:t>
      </w:r>
      <w:r w:rsidR="00B440F5">
        <w:rPr>
          <w:rFonts w:ascii="Times New Roman" w:hAnsi="Times New Roman"/>
        </w:rPr>
        <w:t xml:space="preserve"> </w:t>
      </w:r>
      <w:r w:rsidR="00002315">
        <w:rPr>
          <w:rFonts w:ascii="Times New Roman" w:hAnsi="Times New Roman"/>
        </w:rPr>
        <w:t>nosacījumiem</w:t>
      </w:r>
      <w:r>
        <w:rPr>
          <w:rFonts w:ascii="Times New Roman" w:hAnsi="Times New Roman"/>
        </w:rPr>
        <w:t xml:space="preserve"> vispārējās valdības budžeta deficīta </w:t>
      </w:r>
      <w:r w:rsidR="00726ADD">
        <w:rPr>
          <w:rFonts w:ascii="Times New Roman" w:hAnsi="Times New Roman"/>
        </w:rPr>
        <w:t>mērķi ir sekojoši</w:t>
      </w:r>
      <w:r>
        <w:rPr>
          <w:rFonts w:ascii="Times New Roman" w:hAnsi="Times New Roman"/>
        </w:rPr>
        <w:t>: 2013. </w:t>
      </w:r>
      <w:r w:rsidRPr="008B3313">
        <w:rPr>
          <w:rFonts w:ascii="Times New Roman" w:hAnsi="Times New Roman"/>
        </w:rPr>
        <w:t>gadā 1</w:t>
      </w:r>
      <w:r>
        <w:rPr>
          <w:rFonts w:ascii="Times New Roman" w:hAnsi="Times New Roman"/>
        </w:rPr>
        <w:t>,</w:t>
      </w:r>
      <w:r w:rsidRPr="008B3313">
        <w:rPr>
          <w:rFonts w:ascii="Times New Roman" w:hAnsi="Times New Roman"/>
        </w:rPr>
        <w:t>4</w:t>
      </w:r>
      <w:r>
        <w:rPr>
          <w:rFonts w:ascii="Times New Roman" w:hAnsi="Times New Roman"/>
        </w:rPr>
        <w:t> </w:t>
      </w:r>
      <w:r w:rsidRPr="008B3313">
        <w:rPr>
          <w:rFonts w:ascii="Times New Roman" w:hAnsi="Times New Roman"/>
        </w:rPr>
        <w:t>% no IKP</w:t>
      </w:r>
      <w:r>
        <w:rPr>
          <w:rFonts w:ascii="Times New Roman" w:hAnsi="Times New Roman"/>
        </w:rPr>
        <w:t xml:space="preserve">, </w:t>
      </w:r>
      <w:r w:rsidRPr="008B3313">
        <w:rPr>
          <w:rFonts w:ascii="Times New Roman" w:hAnsi="Times New Roman"/>
        </w:rPr>
        <w:t>2014.</w:t>
      </w:r>
      <w:r>
        <w:rPr>
          <w:rFonts w:ascii="Times New Roman" w:hAnsi="Times New Roman"/>
        </w:rPr>
        <w:t> g</w:t>
      </w:r>
      <w:r w:rsidRPr="008B3313">
        <w:rPr>
          <w:rFonts w:ascii="Times New Roman" w:hAnsi="Times New Roman"/>
        </w:rPr>
        <w:t>adā 0,8</w:t>
      </w:r>
      <w:r>
        <w:rPr>
          <w:rFonts w:ascii="Times New Roman" w:hAnsi="Times New Roman"/>
        </w:rPr>
        <w:t> </w:t>
      </w:r>
      <w:r w:rsidRPr="008B3313">
        <w:rPr>
          <w:rFonts w:ascii="Times New Roman" w:hAnsi="Times New Roman"/>
        </w:rPr>
        <w:t>% no IKP</w:t>
      </w:r>
      <w:r>
        <w:rPr>
          <w:rFonts w:ascii="Times New Roman" w:hAnsi="Times New Roman"/>
        </w:rPr>
        <w:t>, savukārt</w:t>
      </w:r>
      <w:r w:rsidRPr="008B3313">
        <w:rPr>
          <w:rFonts w:ascii="Times New Roman" w:hAnsi="Times New Roman"/>
        </w:rPr>
        <w:t xml:space="preserve"> 2015.</w:t>
      </w:r>
      <w:r>
        <w:rPr>
          <w:rFonts w:ascii="Times New Roman" w:hAnsi="Times New Roman"/>
        </w:rPr>
        <w:t xml:space="preserve"> g</w:t>
      </w:r>
      <w:r w:rsidRPr="008B3313">
        <w:rPr>
          <w:rFonts w:ascii="Times New Roman" w:hAnsi="Times New Roman"/>
        </w:rPr>
        <w:t>adā</w:t>
      </w:r>
      <w:r>
        <w:rPr>
          <w:rFonts w:ascii="Times New Roman" w:hAnsi="Times New Roman"/>
        </w:rPr>
        <w:t xml:space="preserve"> jau</w:t>
      </w:r>
      <w:r w:rsidRPr="008B3313">
        <w:rPr>
          <w:rFonts w:ascii="Times New Roman" w:hAnsi="Times New Roman"/>
        </w:rPr>
        <w:t xml:space="preserve"> 0,3 % no IKP</w:t>
      </w:r>
      <w:r>
        <w:rPr>
          <w:rFonts w:ascii="Times New Roman" w:hAnsi="Times New Roman"/>
        </w:rPr>
        <w:t>. Kā redzams</w:t>
      </w:r>
      <w:r w:rsidR="0066765F">
        <w:rPr>
          <w:rFonts w:ascii="Times New Roman" w:hAnsi="Times New Roman"/>
        </w:rPr>
        <w:t>,</w:t>
      </w:r>
      <w:r>
        <w:rPr>
          <w:rFonts w:ascii="Times New Roman" w:hAnsi="Times New Roman"/>
        </w:rPr>
        <w:t xml:space="preserve"> Latvijas sekmīgāk īstenotā fiskālā politika iepriekšējos gados ļauj tuvināties MTO ātrāk par iepriekšējās Latvijas Konverģences programmā plānoto (skatīt 4.3. attēlu).</w:t>
      </w:r>
    </w:p>
    <w:p w:rsidR="0088146B" w:rsidRDefault="0088146B" w:rsidP="0088146B">
      <w:pPr>
        <w:ind w:firstLine="709"/>
        <w:rPr>
          <w:color w:val="000000"/>
        </w:rPr>
      </w:pPr>
      <w:r w:rsidRPr="00946C9E">
        <w:rPr>
          <w:color w:val="000000"/>
        </w:rPr>
        <w:t xml:space="preserve">Lai sekmīgi turpinātu iesākto virzienu </w:t>
      </w:r>
      <w:r w:rsidR="0035776A">
        <w:rPr>
          <w:color w:val="000000"/>
        </w:rPr>
        <w:t>–</w:t>
      </w:r>
      <w:r w:rsidRPr="00946C9E">
        <w:rPr>
          <w:color w:val="000000"/>
        </w:rPr>
        <w:t xml:space="preserve"> stabilas fiskālās politikas īstenošan</w:t>
      </w:r>
      <w:r>
        <w:rPr>
          <w:color w:val="000000"/>
        </w:rPr>
        <w:t xml:space="preserve">u, arī 2012. gada budžeta sagatavošanas procesā tika turpināta fiskālā konsolidācija, kā rezultātā 2012. gada valsts budžets tika pieņemts ar vispārējās valdības budžeta deficītu 2,1 % apmērā no IKP atbilstoši EKS metodoloģijai, tādējādi nodrošinot 2011. gada aprīlī nospraustā deficīta mērķa labāku sasniegšanu </w:t>
      </w:r>
      <w:r w:rsidR="00777544">
        <w:rPr>
          <w:color w:val="000000"/>
        </w:rPr>
        <w:t>(</w:t>
      </w:r>
      <w:r w:rsidR="00002315">
        <w:rPr>
          <w:rFonts w:eastAsia="Calibri"/>
          <w:color w:val="000000"/>
          <w:szCs w:val="24"/>
        </w:rPr>
        <w:t>–</w:t>
      </w:r>
      <w:r>
        <w:rPr>
          <w:color w:val="000000"/>
        </w:rPr>
        <w:t xml:space="preserve"> 2,5 </w:t>
      </w:r>
      <w:r w:rsidRPr="00946C9E">
        <w:rPr>
          <w:color w:val="000000"/>
        </w:rPr>
        <w:t xml:space="preserve">% </w:t>
      </w:r>
      <w:r>
        <w:rPr>
          <w:color w:val="000000"/>
        </w:rPr>
        <w:t xml:space="preserve">apmērā </w:t>
      </w:r>
      <w:r w:rsidRPr="00946C9E">
        <w:rPr>
          <w:color w:val="000000"/>
        </w:rPr>
        <w:t xml:space="preserve">no IKP </w:t>
      </w:r>
      <w:r>
        <w:rPr>
          <w:color w:val="000000"/>
        </w:rPr>
        <w:t>atbilstoši EKS metodoloģijai</w:t>
      </w:r>
      <w:r w:rsidR="00777544">
        <w:rPr>
          <w:color w:val="000000"/>
        </w:rPr>
        <w:t>)</w:t>
      </w:r>
      <w:r w:rsidR="00DE6E4F">
        <w:rPr>
          <w:color w:val="000000"/>
        </w:rPr>
        <w:t>,</w:t>
      </w:r>
      <w:r>
        <w:rPr>
          <w:color w:val="000000"/>
        </w:rPr>
        <w:t xml:space="preserve"> un </w:t>
      </w:r>
      <w:r w:rsidRPr="00946C9E">
        <w:rPr>
          <w:rFonts w:eastAsia="Calibri"/>
          <w:color w:val="000000"/>
          <w:szCs w:val="24"/>
        </w:rPr>
        <w:t>kas ir krietni zem Māstrihtas līguma kritērija</w:t>
      </w:r>
      <w:r>
        <w:rPr>
          <w:rFonts w:eastAsia="Calibri"/>
          <w:color w:val="000000"/>
          <w:szCs w:val="24"/>
        </w:rPr>
        <w:t xml:space="preserve"> –</w:t>
      </w:r>
      <w:r w:rsidRPr="00946C9E">
        <w:rPr>
          <w:rFonts w:eastAsia="Calibri"/>
          <w:color w:val="000000"/>
          <w:szCs w:val="24"/>
        </w:rPr>
        <w:t xml:space="preserve"> 3</w:t>
      </w:r>
      <w:r>
        <w:rPr>
          <w:rFonts w:eastAsia="Calibri"/>
          <w:color w:val="000000"/>
          <w:szCs w:val="24"/>
        </w:rPr>
        <w:t> </w:t>
      </w:r>
      <w:r w:rsidRPr="00946C9E">
        <w:rPr>
          <w:rFonts w:eastAsia="Calibri"/>
          <w:color w:val="000000"/>
          <w:szCs w:val="24"/>
        </w:rPr>
        <w:t>% no IKP.</w:t>
      </w:r>
    </w:p>
    <w:p w:rsidR="0088146B" w:rsidRPr="00946C9E" w:rsidRDefault="0088146B" w:rsidP="0088146B">
      <w:pPr>
        <w:ind w:firstLine="709"/>
        <w:rPr>
          <w:color w:val="000000"/>
        </w:rPr>
      </w:pPr>
      <w:r>
        <w:rPr>
          <w:color w:val="000000"/>
        </w:rPr>
        <w:t>Darbs pie 2012. </w:t>
      </w:r>
      <w:r w:rsidRPr="00946C9E">
        <w:rPr>
          <w:color w:val="000000"/>
        </w:rPr>
        <w:t>gada budžeta deficīta samazinošu pasākumu identificēšanas un analizēšanas tika uzsākts jau 2011.</w:t>
      </w:r>
      <w:r>
        <w:rPr>
          <w:color w:val="000000"/>
        </w:rPr>
        <w:t> </w:t>
      </w:r>
      <w:r w:rsidRPr="00946C9E">
        <w:rPr>
          <w:color w:val="000000"/>
        </w:rPr>
        <w:t xml:space="preserve">gada </w:t>
      </w:r>
      <w:r>
        <w:rPr>
          <w:color w:val="000000"/>
        </w:rPr>
        <w:t>pavasarī</w:t>
      </w:r>
      <w:r w:rsidRPr="00946C9E">
        <w:rPr>
          <w:color w:val="000000"/>
        </w:rPr>
        <w:t xml:space="preserve">, kad </w:t>
      </w:r>
      <w:r>
        <w:rPr>
          <w:color w:val="000000"/>
        </w:rPr>
        <w:t>MK</w:t>
      </w:r>
      <w:r w:rsidRPr="00946C9E">
        <w:rPr>
          <w:color w:val="000000"/>
        </w:rPr>
        <w:t xml:space="preserve"> apstiprinā</w:t>
      </w:r>
      <w:r>
        <w:rPr>
          <w:color w:val="000000"/>
        </w:rPr>
        <w:t>ja indikatīvo</w:t>
      </w:r>
      <w:r w:rsidRPr="00946C9E">
        <w:rPr>
          <w:color w:val="000000"/>
        </w:rPr>
        <w:t xml:space="preserve"> fiskālās </w:t>
      </w:r>
      <w:r>
        <w:rPr>
          <w:color w:val="000000"/>
        </w:rPr>
        <w:t>konsolidācijas pasākumu sarakstu</w:t>
      </w:r>
      <w:r w:rsidRPr="00946C9E">
        <w:rPr>
          <w:color w:val="000000"/>
        </w:rPr>
        <w:t xml:space="preserve">, kas tika izklāstīts </w:t>
      </w:r>
      <w:r>
        <w:rPr>
          <w:color w:val="000000"/>
        </w:rPr>
        <w:t>iepriekšējā Konverģences programmā</w:t>
      </w:r>
      <w:r w:rsidRPr="00946C9E">
        <w:rPr>
          <w:color w:val="000000"/>
        </w:rPr>
        <w:t>.</w:t>
      </w:r>
    </w:p>
    <w:p w:rsidR="0088146B" w:rsidRPr="00F440B3" w:rsidRDefault="0088146B" w:rsidP="0088146B">
      <w:pPr>
        <w:pStyle w:val="NoSpacing"/>
        <w:spacing w:after="120"/>
        <w:ind w:firstLine="709"/>
        <w:rPr>
          <w:color w:val="000000"/>
        </w:rPr>
      </w:pPr>
      <w:r>
        <w:rPr>
          <w:color w:val="000000"/>
        </w:rPr>
        <w:t>Jāatzīmē</w:t>
      </w:r>
      <w:r w:rsidRPr="00F70344">
        <w:rPr>
          <w:color w:val="000000"/>
        </w:rPr>
        <w:t>, ka lēmumi par konkrētiem fiskālās konsolidācijas pasākumiem bija smagi un nepopulāri, taču tie bija absolūti nepieciešami, lai novērstu pārmērīga</w:t>
      </w:r>
      <w:r w:rsidRPr="001946E0">
        <w:rPr>
          <w:color w:val="000000"/>
        </w:rPr>
        <w:t xml:space="preserve"> budžeta deficīta esamību un ilgtermiņā radītu nosacījumus stabilas fiskālās politikas ievērošanai, banku sistēmas stabilitātei, valsts ekonomikas izaugsmei, kā arī valsts uzticamības atja</w:t>
      </w:r>
      <w:r w:rsidR="00002315">
        <w:rPr>
          <w:color w:val="000000"/>
        </w:rPr>
        <w:t>unošanai starptautiskajā vidē.</w:t>
      </w:r>
    </w:p>
    <w:p w:rsidR="0088146B" w:rsidRPr="00946C9E" w:rsidRDefault="0088146B" w:rsidP="000B7045">
      <w:pPr>
        <w:ind w:firstLine="709"/>
        <w:rPr>
          <w:color w:val="000000"/>
        </w:rPr>
      </w:pPr>
      <w:r w:rsidRPr="00946C9E">
        <w:rPr>
          <w:color w:val="000000"/>
        </w:rPr>
        <w:t>2012.</w:t>
      </w:r>
      <w:r>
        <w:rPr>
          <w:color w:val="000000"/>
        </w:rPr>
        <w:t> </w:t>
      </w:r>
      <w:r w:rsidRPr="00946C9E">
        <w:rPr>
          <w:color w:val="000000"/>
        </w:rPr>
        <w:t>gadam fiskālais konsolidācijas pasākumu saraksts i</w:t>
      </w:r>
      <w:r>
        <w:rPr>
          <w:color w:val="000000"/>
        </w:rPr>
        <w:t xml:space="preserve">ekļauj optimālākos risinājumus. </w:t>
      </w:r>
      <w:r w:rsidRPr="00946C9E">
        <w:rPr>
          <w:color w:val="000000"/>
        </w:rPr>
        <w:t xml:space="preserve">Fiskālā konsolidācijas struktūra prioritāri balstīta uz izdevumu pārskatīšanu nevis ieņēmumu palielināšanu, neskaitot nodokļu administrēšanas uzlabošanas pasākumus, tādējādi neradot papildu spiedienu uz inflācijas palielināšanos, bet konsekventi turpinot cīņu ar ēnu ekonomikas apkarošanu. </w:t>
      </w:r>
    </w:p>
    <w:p w:rsidR="0088146B" w:rsidRPr="00946C9E" w:rsidRDefault="0088146B" w:rsidP="000B7045">
      <w:pPr>
        <w:ind w:firstLine="709"/>
        <w:rPr>
          <w:color w:val="000000"/>
        </w:rPr>
      </w:pPr>
      <w:r w:rsidRPr="00946C9E">
        <w:rPr>
          <w:color w:val="000000"/>
        </w:rPr>
        <w:t>Galvenie fiskālās konsolidācijas pasākumi 2012.</w:t>
      </w:r>
      <w:r>
        <w:rPr>
          <w:color w:val="000000"/>
        </w:rPr>
        <w:t xml:space="preserve"> </w:t>
      </w:r>
      <w:r w:rsidRPr="00946C9E">
        <w:rPr>
          <w:color w:val="000000"/>
        </w:rPr>
        <w:t>gadam ir šādi:</w:t>
      </w:r>
    </w:p>
    <w:p w:rsidR="0088146B" w:rsidRPr="00785274" w:rsidRDefault="0088146B" w:rsidP="000B7045">
      <w:pPr>
        <w:pStyle w:val="ListParagraph"/>
        <w:numPr>
          <w:ilvl w:val="0"/>
          <w:numId w:val="34"/>
        </w:numPr>
        <w:spacing w:after="120" w:line="240" w:lineRule="auto"/>
        <w:ind w:left="1418" w:hanging="426"/>
        <w:jc w:val="both"/>
        <w:rPr>
          <w:rFonts w:ascii="Times New Roman" w:hAnsi="Times New Roman"/>
          <w:color w:val="000000"/>
          <w:sz w:val="24"/>
          <w:szCs w:val="24"/>
          <w:lang w:eastAsia="lv-LV"/>
        </w:rPr>
      </w:pPr>
      <w:r w:rsidRPr="00785274">
        <w:rPr>
          <w:rFonts w:ascii="Times New Roman" w:hAnsi="Times New Roman"/>
          <w:color w:val="000000"/>
          <w:sz w:val="24"/>
          <w:szCs w:val="24"/>
        </w:rPr>
        <w:t xml:space="preserve">Iesaldēti </w:t>
      </w:r>
      <w:r>
        <w:rPr>
          <w:rFonts w:ascii="Times New Roman" w:hAnsi="Times New Roman"/>
          <w:color w:val="000000"/>
          <w:sz w:val="24"/>
          <w:szCs w:val="24"/>
        </w:rPr>
        <w:t xml:space="preserve">kopējie </w:t>
      </w:r>
      <w:r w:rsidRPr="00785274">
        <w:rPr>
          <w:rFonts w:ascii="Times New Roman" w:hAnsi="Times New Roman"/>
          <w:color w:val="000000"/>
          <w:sz w:val="24"/>
          <w:szCs w:val="24"/>
        </w:rPr>
        <w:t>sabiedriskā sektora algu izdevumi 2011.</w:t>
      </w:r>
      <w:r w:rsidR="000B7045">
        <w:rPr>
          <w:rFonts w:ascii="Times New Roman" w:hAnsi="Times New Roman"/>
          <w:color w:val="000000"/>
          <w:sz w:val="24"/>
          <w:szCs w:val="24"/>
        </w:rPr>
        <w:t> </w:t>
      </w:r>
      <w:r w:rsidRPr="00785274">
        <w:rPr>
          <w:rFonts w:ascii="Times New Roman" w:hAnsi="Times New Roman"/>
          <w:color w:val="000000"/>
          <w:sz w:val="24"/>
          <w:szCs w:val="24"/>
        </w:rPr>
        <w:t>gada līmenī, ierobežojot atvaļinājumu pabalstus valsts un pašvaldību darbiniekiem 25</w:t>
      </w:r>
      <w:r w:rsidR="000B7045">
        <w:rPr>
          <w:rFonts w:ascii="Times New Roman" w:hAnsi="Times New Roman"/>
          <w:color w:val="000000"/>
          <w:sz w:val="24"/>
          <w:szCs w:val="24"/>
        </w:rPr>
        <w:t> </w:t>
      </w:r>
      <w:r w:rsidRPr="00785274">
        <w:rPr>
          <w:rFonts w:ascii="Times New Roman" w:hAnsi="Times New Roman"/>
          <w:color w:val="000000"/>
          <w:sz w:val="24"/>
          <w:szCs w:val="24"/>
        </w:rPr>
        <w:t>% apmērā no algas līdz 2013.</w:t>
      </w:r>
      <w:r w:rsidR="000B7045">
        <w:rPr>
          <w:rFonts w:ascii="Times New Roman" w:hAnsi="Times New Roman"/>
          <w:color w:val="000000"/>
          <w:sz w:val="24"/>
          <w:szCs w:val="24"/>
        </w:rPr>
        <w:t> </w:t>
      </w:r>
      <w:r w:rsidRPr="00785274">
        <w:rPr>
          <w:rFonts w:ascii="Times New Roman" w:hAnsi="Times New Roman"/>
          <w:color w:val="000000"/>
          <w:sz w:val="24"/>
          <w:szCs w:val="24"/>
        </w:rPr>
        <w:t>gadam, turpinot ierobežot uzturdevas kompensācijas Aizsardzības ministrijas, Tieslietu ministrijas un Iekšlietu ministrijas darbiniekiem 2011.</w:t>
      </w:r>
      <w:r w:rsidR="000B7045">
        <w:rPr>
          <w:rFonts w:ascii="Times New Roman" w:hAnsi="Times New Roman"/>
          <w:color w:val="000000"/>
          <w:sz w:val="24"/>
          <w:szCs w:val="24"/>
        </w:rPr>
        <w:t> </w:t>
      </w:r>
      <w:r w:rsidRPr="00785274">
        <w:rPr>
          <w:rFonts w:ascii="Times New Roman" w:hAnsi="Times New Roman"/>
          <w:color w:val="000000"/>
          <w:sz w:val="24"/>
          <w:szCs w:val="24"/>
        </w:rPr>
        <w:t xml:space="preserve">gada līmenī. Tāpat tiek gatavota jauna valsts pārvaldes stratēģija, tai skaitā sakārtojot strādājošo sadalījumu vienotās atalgojuma sistēmas ietvaros, kuras pamatā ir efektīva zināšanu un prasmju novērtēšana, ieviešot centralizētu kontroli jaunu amatu veidošanai. Tiek gatavoti priekšlikumi atalgojuma sistēmas reformai, padarot to </w:t>
      </w:r>
      <w:r>
        <w:rPr>
          <w:rFonts w:ascii="Times New Roman" w:hAnsi="Times New Roman"/>
          <w:color w:val="000000"/>
          <w:sz w:val="24"/>
          <w:szCs w:val="24"/>
        </w:rPr>
        <w:t>efektīvāku</w:t>
      </w:r>
      <w:r w:rsidRPr="00785274">
        <w:rPr>
          <w:rFonts w:ascii="Times New Roman" w:hAnsi="Times New Roman"/>
          <w:color w:val="000000"/>
          <w:sz w:val="24"/>
          <w:szCs w:val="24"/>
        </w:rPr>
        <w:t xml:space="preserve"> zemāk atalgotajiem strādājošajiem, apbalvojot par labāko darba pienākumu veikšanu un piesaistot augsti kvalificētus darbiniekus, kā arī sagatavojot priekšlikumus motivācijas sistēmai, lai apbalvotu sabiedriskā </w:t>
      </w:r>
      <w:r w:rsidRPr="00785274">
        <w:rPr>
          <w:rFonts w:ascii="Times New Roman" w:hAnsi="Times New Roman"/>
          <w:color w:val="000000"/>
          <w:sz w:val="24"/>
          <w:szCs w:val="24"/>
          <w:lang w:eastAsia="lv-LV"/>
        </w:rPr>
        <w:t>sektora strādājošos par labu un izcilu d</w:t>
      </w:r>
      <w:r w:rsidR="00340C17">
        <w:rPr>
          <w:rFonts w:ascii="Times New Roman" w:hAnsi="Times New Roman"/>
          <w:color w:val="000000"/>
          <w:sz w:val="24"/>
          <w:szCs w:val="24"/>
          <w:lang w:eastAsia="lv-LV"/>
        </w:rPr>
        <w:t>arba pienākumu veikšanu</w:t>
      </w:r>
      <w:r w:rsidR="00340C17">
        <w:rPr>
          <w:rFonts w:ascii="Times New Roman" w:hAnsi="Times New Roman"/>
          <w:color w:val="000000"/>
          <w:sz w:val="24"/>
          <w:szCs w:val="24"/>
          <w:lang w:val="lv-LV" w:eastAsia="lv-LV"/>
        </w:rPr>
        <w:t>;</w:t>
      </w:r>
    </w:p>
    <w:p w:rsidR="0088146B" w:rsidRPr="00785274" w:rsidRDefault="0088146B" w:rsidP="000B7045">
      <w:pPr>
        <w:pStyle w:val="ListParagraph"/>
        <w:numPr>
          <w:ilvl w:val="0"/>
          <w:numId w:val="34"/>
        </w:numPr>
        <w:spacing w:after="120" w:line="240" w:lineRule="auto"/>
        <w:ind w:left="1418" w:hanging="426"/>
        <w:jc w:val="both"/>
        <w:rPr>
          <w:rFonts w:ascii="Times New Roman" w:hAnsi="Times New Roman"/>
          <w:color w:val="000000"/>
          <w:sz w:val="24"/>
          <w:szCs w:val="24"/>
        </w:rPr>
      </w:pPr>
      <w:r w:rsidRPr="00785274">
        <w:rPr>
          <w:rFonts w:ascii="Times New Roman" w:hAnsi="Times New Roman"/>
          <w:color w:val="000000"/>
          <w:sz w:val="24"/>
          <w:szCs w:val="24"/>
          <w:lang w:eastAsia="lv-LV"/>
        </w:rPr>
        <w:t>Stimulēt pašvaldības samazināt izdevumus, vienlaikus nodrošinot sociālās drošības tīklu un ieguldījumus, nosakot stingrākus ierobežojumus pašvaldību aizņemšanās limitiem, vienlaikus paplašinot aizņemšanās iespējas investīciju projektiem, kas nav līdzfinansēti no ES fondiem, samazinot iedzīvotāju ienākuma nodokļa proporciju pašvaldībām no 82% līdz 80</w:t>
      </w:r>
      <w:r>
        <w:rPr>
          <w:rFonts w:ascii="Times New Roman" w:hAnsi="Times New Roman"/>
          <w:color w:val="000000"/>
          <w:sz w:val="24"/>
          <w:szCs w:val="24"/>
          <w:lang w:eastAsia="lv-LV"/>
        </w:rPr>
        <w:t> </w:t>
      </w:r>
      <w:r w:rsidRPr="00785274">
        <w:rPr>
          <w:rFonts w:ascii="Times New Roman" w:hAnsi="Times New Roman"/>
          <w:color w:val="000000"/>
          <w:sz w:val="24"/>
          <w:szCs w:val="24"/>
          <w:lang w:eastAsia="lv-LV"/>
        </w:rPr>
        <w:t>%, tajā pašā laikā nodrošinot maksājumus pašvaldībām ar zemāku ienākumu līmeni un līdzfinansējot 50</w:t>
      </w:r>
      <w:r>
        <w:rPr>
          <w:rFonts w:ascii="Times New Roman" w:hAnsi="Times New Roman"/>
          <w:color w:val="000000"/>
          <w:sz w:val="24"/>
          <w:szCs w:val="24"/>
          <w:lang w:eastAsia="lv-LV"/>
        </w:rPr>
        <w:t> </w:t>
      </w:r>
      <w:r w:rsidRPr="00785274">
        <w:rPr>
          <w:rFonts w:ascii="Times New Roman" w:hAnsi="Times New Roman"/>
          <w:color w:val="000000"/>
          <w:sz w:val="24"/>
          <w:szCs w:val="24"/>
          <w:lang w:eastAsia="lv-LV"/>
        </w:rPr>
        <w:t>%</w:t>
      </w:r>
      <w:r>
        <w:rPr>
          <w:rFonts w:ascii="Times New Roman" w:hAnsi="Times New Roman"/>
          <w:color w:val="000000"/>
          <w:sz w:val="24"/>
          <w:szCs w:val="24"/>
          <w:lang w:eastAsia="lv-LV"/>
        </w:rPr>
        <w:t xml:space="preserve"> </w:t>
      </w:r>
      <w:r w:rsidR="00AB3854">
        <w:rPr>
          <w:rFonts w:ascii="Times New Roman" w:hAnsi="Times New Roman"/>
          <w:color w:val="000000"/>
          <w:sz w:val="24"/>
          <w:szCs w:val="24"/>
          <w:lang w:val="lv-LV" w:eastAsia="lv-LV"/>
        </w:rPr>
        <w:t xml:space="preserve">apmērā </w:t>
      </w:r>
      <w:r>
        <w:rPr>
          <w:rFonts w:ascii="Times New Roman" w:hAnsi="Times New Roman"/>
          <w:color w:val="000000"/>
          <w:sz w:val="24"/>
          <w:szCs w:val="24"/>
          <w:lang w:eastAsia="lv-LV"/>
        </w:rPr>
        <w:t>pabalstus garantētā minimālā ienākumu</w:t>
      </w:r>
      <w:r w:rsidRPr="00BC2341">
        <w:rPr>
          <w:rFonts w:ascii="Times New Roman" w:hAnsi="Times New Roman"/>
          <w:color w:val="000000"/>
          <w:sz w:val="24"/>
          <w:szCs w:val="24"/>
          <w:lang w:eastAsia="lv-LV"/>
        </w:rPr>
        <w:t xml:space="preserve"> </w:t>
      </w:r>
      <w:r>
        <w:rPr>
          <w:rFonts w:ascii="Times New Roman" w:hAnsi="Times New Roman"/>
          <w:color w:val="000000"/>
          <w:sz w:val="24"/>
          <w:szCs w:val="24"/>
          <w:lang w:eastAsia="lv-LV"/>
        </w:rPr>
        <w:t>(</w:t>
      </w:r>
      <w:r w:rsidRPr="00785274">
        <w:rPr>
          <w:rFonts w:ascii="Times New Roman" w:hAnsi="Times New Roman"/>
          <w:color w:val="000000"/>
          <w:sz w:val="24"/>
          <w:szCs w:val="24"/>
          <w:lang w:eastAsia="lv-LV"/>
        </w:rPr>
        <w:t>GMI</w:t>
      </w:r>
      <w:r>
        <w:rPr>
          <w:rFonts w:ascii="Times New Roman" w:hAnsi="Times New Roman"/>
          <w:color w:val="000000"/>
          <w:sz w:val="24"/>
          <w:szCs w:val="24"/>
          <w:lang w:eastAsia="lv-LV"/>
        </w:rPr>
        <w:t>)</w:t>
      </w:r>
      <w:r w:rsidRPr="00785274">
        <w:rPr>
          <w:rFonts w:ascii="Times New Roman" w:hAnsi="Times New Roman"/>
          <w:color w:val="000000"/>
          <w:sz w:val="24"/>
          <w:szCs w:val="24"/>
          <w:lang w:eastAsia="lv-LV"/>
        </w:rPr>
        <w:t xml:space="preserve"> </w:t>
      </w:r>
      <w:r w:rsidRPr="00BC2341">
        <w:rPr>
          <w:rFonts w:ascii="Times New Roman" w:hAnsi="Times New Roman"/>
          <w:color w:val="000000"/>
          <w:sz w:val="24"/>
          <w:szCs w:val="24"/>
          <w:lang w:eastAsia="lv-LV"/>
        </w:rPr>
        <w:t xml:space="preserve">līmeņa nodrošināšanai </w:t>
      </w:r>
      <w:r w:rsidRPr="00785274">
        <w:rPr>
          <w:rFonts w:ascii="Times New Roman" w:hAnsi="Times New Roman"/>
          <w:color w:val="000000"/>
          <w:sz w:val="24"/>
          <w:szCs w:val="24"/>
          <w:lang w:eastAsia="lv-LV"/>
        </w:rPr>
        <w:t>2012.</w:t>
      </w:r>
      <w:r>
        <w:rPr>
          <w:rFonts w:ascii="Times New Roman" w:hAnsi="Times New Roman"/>
          <w:color w:val="000000"/>
          <w:sz w:val="24"/>
          <w:szCs w:val="24"/>
          <w:lang w:eastAsia="lv-LV"/>
        </w:rPr>
        <w:t> </w:t>
      </w:r>
      <w:r w:rsidRPr="00785274">
        <w:rPr>
          <w:rFonts w:ascii="Times New Roman" w:hAnsi="Times New Roman"/>
          <w:color w:val="000000"/>
          <w:sz w:val="24"/>
          <w:szCs w:val="24"/>
          <w:lang w:eastAsia="lv-LV"/>
        </w:rPr>
        <w:t>gadā, un samazinot valsts līdzfinansējumu mājokļu pabalstiem no 20</w:t>
      </w:r>
      <w:r>
        <w:rPr>
          <w:rFonts w:ascii="Times New Roman" w:hAnsi="Times New Roman"/>
          <w:color w:val="000000"/>
          <w:sz w:val="24"/>
          <w:szCs w:val="24"/>
          <w:lang w:eastAsia="lv-LV"/>
        </w:rPr>
        <w:t> </w:t>
      </w:r>
      <w:r w:rsidRPr="00785274">
        <w:rPr>
          <w:rFonts w:ascii="Times New Roman" w:hAnsi="Times New Roman"/>
          <w:color w:val="000000"/>
          <w:sz w:val="24"/>
          <w:szCs w:val="24"/>
          <w:lang w:eastAsia="lv-LV"/>
        </w:rPr>
        <w:t>% līdz 0</w:t>
      </w:r>
      <w:r>
        <w:rPr>
          <w:rFonts w:ascii="Times New Roman" w:hAnsi="Times New Roman"/>
          <w:color w:val="000000"/>
          <w:sz w:val="24"/>
          <w:szCs w:val="24"/>
          <w:lang w:eastAsia="lv-LV"/>
        </w:rPr>
        <w:t> </w:t>
      </w:r>
      <w:r w:rsidRPr="00785274">
        <w:rPr>
          <w:rFonts w:ascii="Times New Roman" w:hAnsi="Times New Roman"/>
          <w:color w:val="000000"/>
          <w:sz w:val="24"/>
          <w:szCs w:val="24"/>
          <w:lang w:eastAsia="lv-LV"/>
        </w:rPr>
        <w:t>% no 2012.</w:t>
      </w:r>
      <w:r>
        <w:rPr>
          <w:rFonts w:ascii="Times New Roman" w:hAnsi="Times New Roman"/>
          <w:color w:val="000000"/>
          <w:sz w:val="24"/>
          <w:szCs w:val="24"/>
          <w:lang w:eastAsia="lv-LV"/>
        </w:rPr>
        <w:t> </w:t>
      </w:r>
      <w:r w:rsidRPr="00785274">
        <w:rPr>
          <w:rFonts w:ascii="Times New Roman" w:hAnsi="Times New Roman"/>
          <w:color w:val="000000"/>
          <w:sz w:val="24"/>
          <w:szCs w:val="24"/>
          <w:lang w:eastAsia="lv-LV"/>
        </w:rPr>
        <w:t>gada</w:t>
      </w:r>
      <w:r w:rsidR="00340C17">
        <w:rPr>
          <w:rFonts w:ascii="Times New Roman" w:hAnsi="Times New Roman"/>
          <w:color w:val="000000"/>
          <w:sz w:val="24"/>
          <w:szCs w:val="24"/>
        </w:rPr>
        <w:t xml:space="preserve"> aprīļa beigām</w:t>
      </w:r>
      <w:r w:rsidR="00340C17">
        <w:rPr>
          <w:rFonts w:ascii="Times New Roman" w:hAnsi="Times New Roman"/>
          <w:color w:val="000000"/>
          <w:sz w:val="24"/>
          <w:szCs w:val="24"/>
          <w:lang w:val="lv-LV"/>
        </w:rPr>
        <w:t>;</w:t>
      </w:r>
    </w:p>
    <w:p w:rsidR="0088146B" w:rsidRPr="00E55827" w:rsidRDefault="0088146B" w:rsidP="000B7045">
      <w:pPr>
        <w:pStyle w:val="ListParagraph"/>
        <w:numPr>
          <w:ilvl w:val="0"/>
          <w:numId w:val="34"/>
        </w:numPr>
        <w:spacing w:after="120" w:line="240" w:lineRule="auto"/>
        <w:ind w:left="1418" w:hanging="426"/>
        <w:jc w:val="both"/>
        <w:rPr>
          <w:rFonts w:ascii="Times New Roman" w:hAnsi="Times New Roman"/>
          <w:color w:val="000000"/>
          <w:sz w:val="24"/>
          <w:szCs w:val="24"/>
          <w:lang w:eastAsia="lv-LV"/>
        </w:rPr>
      </w:pPr>
      <w:r>
        <w:rPr>
          <w:rFonts w:ascii="Times New Roman" w:hAnsi="Times New Roman"/>
          <w:color w:val="000000"/>
          <w:sz w:val="24"/>
          <w:szCs w:val="24"/>
          <w:lang w:eastAsia="lv-LV"/>
        </w:rPr>
        <w:lastRenderedPageBreak/>
        <w:t>I</w:t>
      </w:r>
      <w:r w:rsidRPr="00E55827">
        <w:rPr>
          <w:rFonts w:ascii="Times New Roman" w:hAnsi="Times New Roman"/>
          <w:color w:val="000000"/>
          <w:sz w:val="24"/>
          <w:szCs w:val="24"/>
          <w:lang w:eastAsia="lv-LV"/>
        </w:rPr>
        <w:t xml:space="preserve">esaldēti </w:t>
      </w:r>
      <w:r>
        <w:rPr>
          <w:rFonts w:ascii="Times New Roman" w:hAnsi="Times New Roman"/>
          <w:color w:val="000000"/>
          <w:sz w:val="24"/>
          <w:szCs w:val="24"/>
          <w:lang w:eastAsia="lv-LV"/>
        </w:rPr>
        <w:t>maksājumi</w:t>
      </w:r>
      <w:r w:rsidRPr="00E55827">
        <w:rPr>
          <w:rFonts w:ascii="Times New Roman" w:hAnsi="Times New Roman"/>
          <w:color w:val="000000"/>
          <w:sz w:val="24"/>
          <w:szCs w:val="24"/>
          <w:lang w:eastAsia="lv-LV"/>
        </w:rPr>
        <w:t xml:space="preserve"> zemes īpašniekiem, kas veic dabas aizsardzības pasākumus, 2011.</w:t>
      </w:r>
      <w:r w:rsidR="000B7045">
        <w:rPr>
          <w:rFonts w:ascii="Times New Roman" w:hAnsi="Times New Roman"/>
          <w:color w:val="000000"/>
          <w:sz w:val="24"/>
          <w:szCs w:val="24"/>
          <w:lang w:eastAsia="lv-LV"/>
        </w:rPr>
        <w:t> </w:t>
      </w:r>
      <w:r w:rsidRPr="00E55827">
        <w:rPr>
          <w:rFonts w:ascii="Times New Roman" w:hAnsi="Times New Roman"/>
          <w:color w:val="000000"/>
          <w:sz w:val="24"/>
          <w:szCs w:val="24"/>
          <w:lang w:eastAsia="lv-LV"/>
        </w:rPr>
        <w:t>gada līmenī līdz 2013.</w:t>
      </w:r>
      <w:r w:rsidR="000B7045">
        <w:rPr>
          <w:rFonts w:ascii="Times New Roman" w:hAnsi="Times New Roman"/>
          <w:color w:val="000000"/>
          <w:sz w:val="24"/>
          <w:szCs w:val="24"/>
          <w:lang w:eastAsia="lv-LV"/>
        </w:rPr>
        <w:t> </w:t>
      </w:r>
      <w:r w:rsidR="00AB3854">
        <w:rPr>
          <w:rFonts w:ascii="Times New Roman" w:hAnsi="Times New Roman"/>
          <w:color w:val="000000"/>
          <w:sz w:val="24"/>
          <w:szCs w:val="24"/>
          <w:lang w:val="lv-LV" w:eastAsia="lv-LV"/>
        </w:rPr>
        <w:t>g</w:t>
      </w:r>
      <w:r w:rsidR="00AB3854">
        <w:rPr>
          <w:rFonts w:ascii="Times New Roman" w:hAnsi="Times New Roman"/>
          <w:color w:val="000000"/>
          <w:sz w:val="24"/>
          <w:szCs w:val="24"/>
          <w:lang w:eastAsia="lv-LV"/>
        </w:rPr>
        <w:t>adam</w:t>
      </w:r>
      <w:r w:rsidR="00AB3854">
        <w:rPr>
          <w:rFonts w:ascii="Times New Roman" w:hAnsi="Times New Roman"/>
          <w:color w:val="000000"/>
          <w:sz w:val="24"/>
          <w:szCs w:val="24"/>
          <w:lang w:val="lv-LV" w:eastAsia="lv-LV"/>
        </w:rPr>
        <w:t>;</w:t>
      </w:r>
    </w:p>
    <w:p w:rsidR="0088146B" w:rsidRPr="00E55827" w:rsidRDefault="0088146B" w:rsidP="000B7045">
      <w:pPr>
        <w:pStyle w:val="ListParagraph"/>
        <w:numPr>
          <w:ilvl w:val="0"/>
          <w:numId w:val="34"/>
        </w:numPr>
        <w:spacing w:after="120" w:line="240" w:lineRule="auto"/>
        <w:ind w:left="1418" w:hanging="426"/>
        <w:jc w:val="both"/>
        <w:rPr>
          <w:rFonts w:ascii="Times New Roman" w:hAnsi="Times New Roman"/>
          <w:color w:val="000000"/>
          <w:sz w:val="24"/>
          <w:szCs w:val="24"/>
          <w:lang w:eastAsia="lv-LV"/>
        </w:rPr>
      </w:pPr>
      <w:r w:rsidRPr="00E55827">
        <w:rPr>
          <w:rFonts w:ascii="Times New Roman" w:hAnsi="Times New Roman"/>
          <w:color w:val="000000"/>
          <w:sz w:val="24"/>
          <w:szCs w:val="24"/>
          <w:lang w:eastAsia="lv-LV"/>
        </w:rPr>
        <w:t>Samazi</w:t>
      </w:r>
      <w:r>
        <w:rPr>
          <w:rFonts w:ascii="Times New Roman" w:hAnsi="Times New Roman"/>
          <w:color w:val="000000"/>
          <w:sz w:val="24"/>
          <w:szCs w:val="24"/>
          <w:lang w:eastAsia="lv-LV"/>
        </w:rPr>
        <w:t>nāts finansējums valsts autoceļu</w:t>
      </w:r>
      <w:r w:rsidR="000B7045">
        <w:rPr>
          <w:rFonts w:ascii="Times New Roman" w:hAnsi="Times New Roman"/>
          <w:color w:val="000000"/>
          <w:sz w:val="24"/>
          <w:szCs w:val="24"/>
          <w:lang w:eastAsia="lv-LV"/>
        </w:rPr>
        <w:t xml:space="preserve"> </w:t>
      </w:r>
      <w:r w:rsidRPr="00E55827">
        <w:rPr>
          <w:rFonts w:ascii="Times New Roman" w:hAnsi="Times New Roman"/>
          <w:color w:val="000000"/>
          <w:sz w:val="24"/>
          <w:szCs w:val="24"/>
          <w:lang w:eastAsia="lv-LV"/>
        </w:rPr>
        <w:t>uzturēšanai un subsīdijas zaudējumu segšanai sabied</w:t>
      </w:r>
      <w:r w:rsidR="00AB3854">
        <w:rPr>
          <w:rFonts w:ascii="Times New Roman" w:hAnsi="Times New Roman"/>
          <w:color w:val="000000"/>
          <w:sz w:val="24"/>
          <w:szCs w:val="24"/>
          <w:lang w:eastAsia="lv-LV"/>
        </w:rPr>
        <w:t>riskā  transporta pārvadātājiem</w:t>
      </w:r>
      <w:r w:rsidR="00AB3854">
        <w:rPr>
          <w:rFonts w:ascii="Times New Roman" w:hAnsi="Times New Roman"/>
          <w:color w:val="000000"/>
          <w:sz w:val="24"/>
          <w:szCs w:val="24"/>
          <w:lang w:val="lv-LV" w:eastAsia="lv-LV"/>
        </w:rPr>
        <w:t>;</w:t>
      </w:r>
    </w:p>
    <w:p w:rsidR="0088146B" w:rsidRDefault="0088146B" w:rsidP="000B7045">
      <w:pPr>
        <w:pStyle w:val="ListParagraph"/>
        <w:numPr>
          <w:ilvl w:val="0"/>
          <w:numId w:val="34"/>
        </w:numPr>
        <w:spacing w:after="120" w:line="240" w:lineRule="auto"/>
        <w:ind w:left="1418" w:hanging="426"/>
        <w:jc w:val="both"/>
        <w:rPr>
          <w:rFonts w:ascii="Times New Roman" w:hAnsi="Times New Roman"/>
          <w:color w:val="000000"/>
          <w:sz w:val="24"/>
          <w:szCs w:val="24"/>
          <w:lang w:eastAsia="lv-LV"/>
        </w:rPr>
      </w:pPr>
      <w:r w:rsidRPr="00785274">
        <w:rPr>
          <w:rFonts w:ascii="Times New Roman" w:hAnsi="Times New Roman"/>
          <w:color w:val="000000"/>
          <w:sz w:val="24"/>
          <w:szCs w:val="24"/>
        </w:rPr>
        <w:t xml:space="preserve">Samazinātas </w:t>
      </w:r>
      <w:r w:rsidRPr="00785274">
        <w:rPr>
          <w:rFonts w:ascii="Times New Roman" w:hAnsi="Times New Roman"/>
          <w:color w:val="000000"/>
          <w:sz w:val="24"/>
          <w:szCs w:val="24"/>
          <w:lang w:eastAsia="lv-LV"/>
        </w:rPr>
        <w:t>subsīdijas lauks</w:t>
      </w:r>
      <w:r>
        <w:rPr>
          <w:rFonts w:ascii="Times New Roman" w:hAnsi="Times New Roman"/>
          <w:color w:val="000000"/>
          <w:sz w:val="24"/>
          <w:szCs w:val="24"/>
          <w:lang w:eastAsia="lv-LV"/>
        </w:rPr>
        <w:t>aimniecībai un dotācijas s</w:t>
      </w:r>
      <w:r w:rsidR="00AB3854">
        <w:rPr>
          <w:rFonts w:ascii="Times New Roman" w:hAnsi="Times New Roman"/>
          <w:color w:val="000000"/>
          <w:sz w:val="24"/>
          <w:szCs w:val="24"/>
          <w:lang w:eastAsia="lv-LV"/>
        </w:rPr>
        <w:t>tarptautiskai lidostai „Rīga”</w:t>
      </w:r>
      <w:r w:rsidR="00AB3854">
        <w:rPr>
          <w:rFonts w:ascii="Times New Roman" w:hAnsi="Times New Roman"/>
          <w:color w:val="000000"/>
          <w:sz w:val="24"/>
          <w:szCs w:val="24"/>
          <w:lang w:val="lv-LV" w:eastAsia="lv-LV"/>
        </w:rPr>
        <w:t>;</w:t>
      </w:r>
    </w:p>
    <w:p w:rsidR="0088146B" w:rsidRDefault="0088146B" w:rsidP="000B7045">
      <w:pPr>
        <w:pStyle w:val="ListParagraph"/>
        <w:numPr>
          <w:ilvl w:val="0"/>
          <w:numId w:val="34"/>
        </w:numPr>
        <w:spacing w:after="120" w:line="240" w:lineRule="auto"/>
        <w:ind w:left="1418" w:hanging="426"/>
        <w:jc w:val="both"/>
        <w:rPr>
          <w:rFonts w:ascii="Times New Roman" w:hAnsi="Times New Roman"/>
          <w:color w:val="000000"/>
          <w:sz w:val="24"/>
          <w:szCs w:val="24"/>
          <w:lang w:eastAsia="lv-LV"/>
        </w:rPr>
      </w:pPr>
      <w:r w:rsidRPr="00F81672">
        <w:rPr>
          <w:rFonts w:ascii="Times New Roman" w:hAnsi="Times New Roman"/>
          <w:color w:val="000000"/>
          <w:sz w:val="24"/>
          <w:szCs w:val="24"/>
          <w:lang w:eastAsia="lv-LV"/>
        </w:rPr>
        <w:t>Valsts sociālās apdrošināšanas speciālajā budžetā 2012.</w:t>
      </w:r>
      <w:r>
        <w:rPr>
          <w:rFonts w:ascii="Times New Roman" w:hAnsi="Times New Roman"/>
          <w:color w:val="000000"/>
          <w:sz w:val="24"/>
          <w:szCs w:val="24"/>
          <w:lang w:eastAsia="lv-LV"/>
        </w:rPr>
        <w:t> </w:t>
      </w:r>
      <w:r w:rsidRPr="00F81672">
        <w:rPr>
          <w:rFonts w:ascii="Times New Roman" w:hAnsi="Times New Roman"/>
          <w:color w:val="000000"/>
          <w:sz w:val="24"/>
          <w:szCs w:val="24"/>
          <w:lang w:eastAsia="lv-LV"/>
        </w:rPr>
        <w:t xml:space="preserve">gadā </w:t>
      </w:r>
      <w:r w:rsidRPr="00311A28">
        <w:rPr>
          <w:rFonts w:ascii="Times New Roman" w:hAnsi="Times New Roman"/>
          <w:color w:val="000000"/>
          <w:sz w:val="24"/>
          <w:szCs w:val="24"/>
          <w:lang w:eastAsia="lv-LV"/>
        </w:rPr>
        <w:t>plānots konsolidācijas pasākums, samazinot izdevumus slimības pabalstiem 3</w:t>
      </w:r>
      <w:r w:rsidRPr="00771965">
        <w:rPr>
          <w:rFonts w:ascii="Times New Roman" w:hAnsi="Times New Roman"/>
          <w:color w:val="000000"/>
          <w:sz w:val="24"/>
          <w:szCs w:val="24"/>
          <w:lang w:eastAsia="lv-LV"/>
        </w:rPr>
        <w:t> 000</w:t>
      </w:r>
      <w:r w:rsidRPr="00250743">
        <w:rPr>
          <w:rFonts w:ascii="Times New Roman" w:hAnsi="Times New Roman"/>
          <w:color w:val="000000"/>
          <w:sz w:val="24"/>
          <w:szCs w:val="24"/>
          <w:lang w:eastAsia="lv-LV"/>
        </w:rPr>
        <w:t> </w:t>
      </w:r>
      <w:r w:rsidRPr="0061518A">
        <w:rPr>
          <w:rFonts w:ascii="Times New Roman" w:hAnsi="Times New Roman"/>
          <w:color w:val="000000"/>
          <w:sz w:val="24"/>
          <w:szCs w:val="24"/>
          <w:lang w:eastAsia="lv-LV"/>
        </w:rPr>
        <w:t>000 latu apmērā saistībā ar pārejošas darbnespējas regulē</w:t>
      </w:r>
      <w:r w:rsidRPr="001838E3">
        <w:rPr>
          <w:rFonts w:ascii="Times New Roman" w:hAnsi="Times New Roman"/>
          <w:color w:val="000000"/>
          <w:sz w:val="24"/>
          <w:szCs w:val="24"/>
          <w:lang w:eastAsia="lv-LV"/>
        </w:rPr>
        <w:t>jošo normatīvo aktu un darbnespējas lapu iz</w:t>
      </w:r>
      <w:r w:rsidR="00AB3854">
        <w:rPr>
          <w:rFonts w:ascii="Times New Roman" w:hAnsi="Times New Roman"/>
          <w:color w:val="000000"/>
          <w:sz w:val="24"/>
          <w:szCs w:val="24"/>
          <w:lang w:eastAsia="lv-LV"/>
        </w:rPr>
        <w:t>sniegšanas procesa pārskatīšanu</w:t>
      </w:r>
      <w:r w:rsidR="00AB3854">
        <w:rPr>
          <w:rFonts w:ascii="Times New Roman" w:hAnsi="Times New Roman"/>
          <w:color w:val="000000"/>
          <w:sz w:val="24"/>
          <w:szCs w:val="24"/>
          <w:lang w:val="lv-LV" w:eastAsia="lv-LV"/>
        </w:rPr>
        <w:t>;</w:t>
      </w:r>
    </w:p>
    <w:p w:rsidR="0088146B" w:rsidRPr="00613C1B" w:rsidRDefault="0088146B" w:rsidP="00AB3854">
      <w:pPr>
        <w:pStyle w:val="ListParagraph"/>
        <w:numPr>
          <w:ilvl w:val="0"/>
          <w:numId w:val="34"/>
        </w:numPr>
        <w:spacing w:after="0" w:line="240" w:lineRule="auto"/>
        <w:ind w:left="1418" w:hanging="426"/>
        <w:jc w:val="both"/>
        <w:rPr>
          <w:rFonts w:ascii="Times New Roman" w:hAnsi="Times New Roman"/>
          <w:color w:val="000000"/>
          <w:sz w:val="24"/>
          <w:szCs w:val="24"/>
          <w:lang w:eastAsia="lv-LV"/>
        </w:rPr>
      </w:pPr>
      <w:r w:rsidRPr="00C8315F">
        <w:rPr>
          <w:rFonts w:ascii="Times New Roman" w:hAnsi="Times New Roman"/>
          <w:color w:val="000000"/>
          <w:sz w:val="24"/>
          <w:szCs w:val="24"/>
        </w:rPr>
        <w:t xml:space="preserve">Samazināti </w:t>
      </w:r>
      <w:r w:rsidRPr="00C8315F">
        <w:rPr>
          <w:rFonts w:ascii="Times New Roman" w:hAnsi="Times New Roman"/>
          <w:color w:val="000000"/>
          <w:sz w:val="24"/>
          <w:szCs w:val="24"/>
          <w:lang w:eastAsia="lv-LV"/>
        </w:rPr>
        <w:t>izdevumi Iekšlietu ministrijai un Veselības ministrijai, kā arī samazināti Labklājības ministrijas izdevu</w:t>
      </w:r>
      <w:r w:rsidRPr="00613C1B">
        <w:rPr>
          <w:rFonts w:ascii="Times New Roman" w:hAnsi="Times New Roman"/>
          <w:color w:val="000000"/>
          <w:sz w:val="24"/>
          <w:szCs w:val="24"/>
          <w:lang w:eastAsia="lv-LV"/>
        </w:rPr>
        <w:t>mi, ieviešot kontroles mehānismus slimības atvaļinājuma laika samazināšanai un iesniedzot Saeimā priekšlikumu samazināt ilgtermiņa slimības pabals</w:t>
      </w:r>
      <w:r w:rsidR="00AB3854">
        <w:rPr>
          <w:rFonts w:ascii="Times New Roman" w:hAnsi="Times New Roman"/>
          <w:color w:val="000000"/>
          <w:sz w:val="24"/>
          <w:szCs w:val="24"/>
          <w:lang w:eastAsia="lv-LV"/>
        </w:rPr>
        <w:t>tu kompensācijas likmes</w:t>
      </w:r>
      <w:r w:rsidR="00AB3854">
        <w:rPr>
          <w:rFonts w:ascii="Times New Roman" w:hAnsi="Times New Roman"/>
          <w:color w:val="000000"/>
          <w:sz w:val="24"/>
          <w:szCs w:val="24"/>
          <w:lang w:val="lv-LV" w:eastAsia="lv-LV"/>
        </w:rPr>
        <w:t>;</w:t>
      </w:r>
    </w:p>
    <w:p w:rsidR="0088146B" w:rsidRPr="00EB3E19" w:rsidRDefault="00085372" w:rsidP="00AB3854">
      <w:pPr>
        <w:pStyle w:val="Text1"/>
        <w:numPr>
          <w:ilvl w:val="0"/>
          <w:numId w:val="35"/>
        </w:numPr>
        <w:spacing w:before="0" w:after="0"/>
        <w:ind w:left="1418" w:hanging="425"/>
        <w:rPr>
          <w:noProof/>
          <w:color w:val="000000"/>
          <w:szCs w:val="24"/>
          <w:lang w:val="lv-LV"/>
        </w:rPr>
      </w:pPr>
      <w:r w:rsidRPr="00085372">
        <w:rPr>
          <w:noProof/>
          <w:szCs w:val="24"/>
          <w:lang w:val="lv-LV"/>
        </w:rPr>
        <w:t>Ieviešot nodokļu atbalsta pasākumus</w:t>
      </w:r>
      <w:r w:rsidR="0088146B" w:rsidRPr="00085372">
        <w:rPr>
          <w:noProof/>
          <w:szCs w:val="24"/>
          <w:lang w:val="lv-LV"/>
        </w:rPr>
        <w:t xml:space="preserve">, </w:t>
      </w:r>
      <w:r w:rsidR="0088146B" w:rsidRPr="00EB3E19">
        <w:rPr>
          <w:noProof/>
          <w:color w:val="000000"/>
          <w:szCs w:val="24"/>
          <w:lang w:val="lv-LV"/>
        </w:rPr>
        <w:t>samazinot akcīzes preču beznodokļu kustību uz ne-ES robežas no dienas uz nedēļu, paaugstinot azartspēļu nodokli automātiem un spēļu galdiem par 15 procentiem, uzlabojot interneta azartspēļu nozares likumdošanu un nodrošinot labāku nodokļu iekasēšanu, stiprinot Vals</w:t>
      </w:r>
      <w:r w:rsidR="00AB3854">
        <w:rPr>
          <w:noProof/>
          <w:color w:val="000000"/>
          <w:szCs w:val="24"/>
          <w:lang w:val="lv-LV"/>
        </w:rPr>
        <w:t>ts ieņēmumu dienesta kapacitāti;</w:t>
      </w:r>
    </w:p>
    <w:p w:rsidR="0088146B" w:rsidRPr="00785274" w:rsidRDefault="0088146B" w:rsidP="00AB3854">
      <w:pPr>
        <w:pStyle w:val="ListParagraph"/>
        <w:numPr>
          <w:ilvl w:val="0"/>
          <w:numId w:val="34"/>
        </w:numPr>
        <w:spacing w:after="0" w:line="240" w:lineRule="auto"/>
        <w:ind w:left="1417" w:hanging="425"/>
        <w:contextualSpacing w:val="0"/>
        <w:jc w:val="both"/>
        <w:rPr>
          <w:rFonts w:ascii="Times New Roman" w:hAnsi="Times New Roman"/>
          <w:noProof/>
          <w:color w:val="000000"/>
          <w:sz w:val="24"/>
          <w:szCs w:val="24"/>
        </w:rPr>
      </w:pPr>
      <w:r>
        <w:rPr>
          <w:rFonts w:ascii="Times New Roman" w:hAnsi="Times New Roman"/>
          <w:noProof/>
          <w:color w:val="000000"/>
          <w:sz w:val="24"/>
          <w:szCs w:val="24"/>
        </w:rPr>
        <w:t>P</w:t>
      </w:r>
      <w:r w:rsidRPr="00785274">
        <w:rPr>
          <w:rFonts w:ascii="Times New Roman" w:hAnsi="Times New Roman"/>
          <w:noProof/>
          <w:color w:val="000000"/>
          <w:sz w:val="24"/>
          <w:szCs w:val="24"/>
        </w:rPr>
        <w:t>aplašināta pievienotās vērtības nodokļa bāze, piemērojot apgriezto PVN metāllūžņiem un būvniecības pakalpojumiem, un piemērota 10% iedzīvotāju ienākuma nodokļa ieturēšanu ienā</w:t>
      </w:r>
      <w:r w:rsidR="00AB3854">
        <w:rPr>
          <w:rFonts w:ascii="Times New Roman" w:hAnsi="Times New Roman"/>
          <w:noProof/>
          <w:color w:val="000000"/>
          <w:sz w:val="24"/>
          <w:szCs w:val="24"/>
        </w:rPr>
        <w:t>kumiem no metāllūžņu pārdošanas</w:t>
      </w:r>
      <w:r w:rsidR="00AB3854">
        <w:rPr>
          <w:rFonts w:ascii="Times New Roman" w:hAnsi="Times New Roman"/>
          <w:noProof/>
          <w:color w:val="000000"/>
          <w:sz w:val="24"/>
          <w:szCs w:val="24"/>
          <w:lang w:val="lv-LV"/>
        </w:rPr>
        <w:t>;</w:t>
      </w:r>
    </w:p>
    <w:p w:rsidR="0088146B" w:rsidRPr="00785274" w:rsidRDefault="0088146B" w:rsidP="00AB3854">
      <w:pPr>
        <w:pStyle w:val="Text1"/>
        <w:numPr>
          <w:ilvl w:val="0"/>
          <w:numId w:val="34"/>
        </w:numPr>
        <w:spacing w:before="0" w:after="0"/>
        <w:ind w:left="1417" w:hanging="425"/>
        <w:rPr>
          <w:color w:val="000000"/>
          <w:szCs w:val="24"/>
          <w:lang w:val="lv-LV"/>
        </w:rPr>
      </w:pPr>
      <w:r>
        <w:rPr>
          <w:color w:val="000000"/>
          <w:szCs w:val="24"/>
          <w:lang w:val="lv-LV"/>
        </w:rPr>
        <w:t>P</w:t>
      </w:r>
      <w:r w:rsidRPr="00785274">
        <w:rPr>
          <w:color w:val="000000"/>
          <w:szCs w:val="24"/>
          <w:lang w:val="lv-LV"/>
        </w:rPr>
        <w:t xml:space="preserve">aplašināta nekustamā īpašuma nodokļa bāze, ietverot </w:t>
      </w:r>
      <w:r w:rsidRPr="00EB3E19">
        <w:rPr>
          <w:noProof/>
          <w:color w:val="000000"/>
          <w:szCs w:val="24"/>
          <w:lang w:val="lv-LV"/>
        </w:rPr>
        <w:t>palīgtelpas (kas pārsniedz 25 kvadrātmetru platību), reliģiskajām organizācijām piederošās ēkas un zemi, kas netiek izmantota reliģiskajiem mērķiem, un stāvlaukumus</w:t>
      </w:r>
      <w:r w:rsidRPr="00E25E80">
        <w:rPr>
          <w:noProof/>
          <w:szCs w:val="24"/>
          <w:lang w:val="lv-LV"/>
        </w:rPr>
        <w:t xml:space="preserve">, kā arī atceļot 25 procentu limitu ikgadējam palielinājumam nekustamā īpašuma nodoklim zemei, </w:t>
      </w:r>
      <w:r w:rsidR="00E25E80" w:rsidRPr="00E25E80">
        <w:rPr>
          <w:noProof/>
          <w:szCs w:val="24"/>
          <w:lang w:val="lv-LV"/>
        </w:rPr>
        <w:t>vienlaicīgi</w:t>
      </w:r>
      <w:r w:rsidRPr="00E25E80">
        <w:rPr>
          <w:noProof/>
          <w:szCs w:val="24"/>
          <w:lang w:val="lv-LV"/>
        </w:rPr>
        <w:t xml:space="preserve"> </w:t>
      </w:r>
      <w:r w:rsidRPr="00EB3E19">
        <w:rPr>
          <w:noProof/>
          <w:color w:val="000000"/>
          <w:szCs w:val="24"/>
          <w:lang w:val="lv-LV"/>
        </w:rPr>
        <w:t>dodot pašvaldībām iespēju piemērot nodokļa pieauguma limitu</w:t>
      </w:r>
      <w:r w:rsidR="00AB3854">
        <w:rPr>
          <w:noProof/>
          <w:color w:val="000000"/>
          <w:szCs w:val="24"/>
          <w:lang w:val="lv-LV"/>
        </w:rPr>
        <w:t>;</w:t>
      </w:r>
    </w:p>
    <w:p w:rsidR="0088146B" w:rsidRPr="00785274" w:rsidRDefault="0088146B" w:rsidP="00AB3854">
      <w:pPr>
        <w:pStyle w:val="ListParagraph"/>
        <w:numPr>
          <w:ilvl w:val="0"/>
          <w:numId w:val="34"/>
        </w:numPr>
        <w:spacing w:after="0" w:line="240" w:lineRule="auto"/>
        <w:ind w:left="1417" w:hanging="425"/>
        <w:contextualSpacing w:val="0"/>
        <w:jc w:val="both"/>
        <w:rPr>
          <w:rFonts w:ascii="Times New Roman" w:hAnsi="Times New Roman"/>
          <w:color w:val="000000"/>
          <w:sz w:val="24"/>
          <w:szCs w:val="24"/>
        </w:rPr>
      </w:pPr>
      <w:r w:rsidRPr="00785274">
        <w:rPr>
          <w:rFonts w:ascii="Times New Roman" w:hAnsi="Times New Roman"/>
          <w:noProof/>
          <w:color w:val="000000"/>
          <w:sz w:val="24"/>
          <w:szCs w:val="24"/>
        </w:rPr>
        <w:t>Stiprināt</w:t>
      </w:r>
      <w:r>
        <w:rPr>
          <w:rFonts w:ascii="Times New Roman" w:hAnsi="Times New Roman"/>
          <w:noProof/>
          <w:color w:val="000000"/>
          <w:sz w:val="24"/>
          <w:szCs w:val="24"/>
        </w:rPr>
        <w:t>a</w:t>
      </w:r>
      <w:r w:rsidRPr="00785274">
        <w:rPr>
          <w:rFonts w:ascii="Times New Roman" w:hAnsi="Times New Roman"/>
          <w:noProof/>
          <w:color w:val="000000"/>
          <w:sz w:val="24"/>
          <w:szCs w:val="24"/>
        </w:rPr>
        <w:t xml:space="preserve"> vienkāršotu (prezumptīvo)</w:t>
      </w:r>
      <w:r>
        <w:rPr>
          <w:rFonts w:ascii="Times New Roman" w:hAnsi="Times New Roman"/>
          <w:color w:val="000000"/>
          <w:sz w:val="24"/>
          <w:szCs w:val="24"/>
        </w:rPr>
        <w:t xml:space="preserve"> nodokļu sistēma</w:t>
      </w:r>
      <w:r w:rsidRPr="00785274">
        <w:rPr>
          <w:rFonts w:ascii="Times New Roman" w:hAnsi="Times New Roman"/>
          <w:color w:val="000000"/>
          <w:sz w:val="24"/>
          <w:szCs w:val="24"/>
        </w:rPr>
        <w:t xml:space="preserve"> mazajiem un </w:t>
      </w:r>
      <w:r w:rsidRPr="00785274">
        <w:rPr>
          <w:rFonts w:ascii="Times New Roman" w:hAnsi="Times New Roman"/>
          <w:noProof/>
          <w:color w:val="000000"/>
          <w:sz w:val="24"/>
          <w:szCs w:val="24"/>
        </w:rPr>
        <w:t>mikrouzņēmumiem,</w:t>
      </w:r>
      <w:r w:rsidRPr="00785274">
        <w:rPr>
          <w:rFonts w:ascii="Times New Roman" w:hAnsi="Times New Roman"/>
          <w:color w:val="000000"/>
          <w:sz w:val="24"/>
          <w:szCs w:val="24"/>
        </w:rPr>
        <w:t xml:space="preserve"> nodrošinot, ka vispārējais iedzīvotāju ienākuma nodokļa režīms ir piemērojams attiecībā uz personālu, ko sniedz lielie uzņēmumi, lai mikrouzņēmumi mazinātu savas nodo</w:t>
      </w:r>
      <w:r w:rsidR="00AB3854">
        <w:rPr>
          <w:rFonts w:ascii="Times New Roman" w:hAnsi="Times New Roman"/>
          <w:color w:val="000000"/>
          <w:sz w:val="24"/>
          <w:szCs w:val="24"/>
        </w:rPr>
        <w:t>kļu saistības</w:t>
      </w:r>
      <w:r w:rsidR="00AB3854">
        <w:rPr>
          <w:rFonts w:ascii="Times New Roman" w:hAnsi="Times New Roman"/>
          <w:color w:val="000000"/>
          <w:sz w:val="24"/>
          <w:szCs w:val="24"/>
          <w:lang w:val="lv-LV"/>
        </w:rPr>
        <w:t>;</w:t>
      </w:r>
    </w:p>
    <w:p w:rsidR="0088146B" w:rsidRPr="006E7094" w:rsidRDefault="0088146B" w:rsidP="006E7094">
      <w:pPr>
        <w:pStyle w:val="ListParagraph"/>
        <w:numPr>
          <w:ilvl w:val="0"/>
          <w:numId w:val="34"/>
        </w:numPr>
        <w:spacing w:after="120" w:line="240" w:lineRule="auto"/>
        <w:ind w:left="1417" w:hanging="425"/>
        <w:contextualSpacing w:val="0"/>
        <w:jc w:val="both"/>
        <w:rPr>
          <w:rFonts w:ascii="Times New Roman" w:hAnsi="Times New Roman"/>
          <w:color w:val="000000"/>
          <w:sz w:val="24"/>
          <w:szCs w:val="24"/>
        </w:rPr>
      </w:pPr>
      <w:r w:rsidRPr="00613C1B">
        <w:rPr>
          <w:rFonts w:ascii="Times New Roman" w:hAnsi="Times New Roman"/>
          <w:color w:val="000000"/>
          <w:sz w:val="24"/>
          <w:szCs w:val="24"/>
        </w:rPr>
        <w:t>Dubu</w:t>
      </w:r>
      <w:r w:rsidR="00FC51A7">
        <w:rPr>
          <w:rFonts w:ascii="Times New Roman" w:hAnsi="Times New Roman"/>
          <w:color w:val="000000"/>
          <w:sz w:val="24"/>
          <w:szCs w:val="24"/>
        </w:rPr>
        <w:t>ltot</w:t>
      </w:r>
      <w:r w:rsidR="00AB3854">
        <w:rPr>
          <w:rFonts w:ascii="Times New Roman" w:hAnsi="Times New Roman"/>
          <w:color w:val="000000"/>
          <w:sz w:val="24"/>
          <w:szCs w:val="24"/>
          <w:lang w:val="lv-LV"/>
        </w:rPr>
        <w:t>a</w:t>
      </w:r>
      <w:r w:rsidR="00FC51A7">
        <w:rPr>
          <w:rFonts w:ascii="Times New Roman" w:hAnsi="Times New Roman"/>
          <w:color w:val="000000"/>
          <w:sz w:val="24"/>
          <w:szCs w:val="24"/>
        </w:rPr>
        <w:t xml:space="preserve"> finanšu stabilitātes nodev</w:t>
      </w:r>
      <w:r w:rsidR="00AB3854">
        <w:rPr>
          <w:rFonts w:ascii="Times New Roman" w:hAnsi="Times New Roman"/>
          <w:color w:val="000000"/>
          <w:sz w:val="24"/>
          <w:szCs w:val="24"/>
          <w:lang w:val="lv-LV"/>
        </w:rPr>
        <w:t>a</w:t>
      </w:r>
      <w:r>
        <w:rPr>
          <w:rFonts w:ascii="Times New Roman" w:hAnsi="Times New Roman"/>
          <w:color w:val="000000"/>
          <w:sz w:val="24"/>
          <w:szCs w:val="24"/>
        </w:rPr>
        <w:t>.</w:t>
      </w:r>
    </w:p>
    <w:p w:rsidR="0088146B" w:rsidRPr="00785274" w:rsidRDefault="0088146B" w:rsidP="006E7094">
      <w:pPr>
        <w:rPr>
          <w:color w:val="000000"/>
          <w:szCs w:val="24"/>
          <w:lang w:eastAsia="lv-LV"/>
        </w:rPr>
      </w:pPr>
      <w:r w:rsidRPr="00785274">
        <w:rPr>
          <w:color w:val="000000"/>
          <w:szCs w:val="24"/>
          <w:lang w:eastAsia="lv-LV"/>
        </w:rPr>
        <w:t xml:space="preserve">Tāpat </w:t>
      </w:r>
      <w:r>
        <w:rPr>
          <w:color w:val="000000"/>
          <w:szCs w:val="24"/>
          <w:lang w:eastAsia="lv-LV"/>
        </w:rPr>
        <w:t>MK</w:t>
      </w:r>
      <w:r w:rsidRPr="00785274">
        <w:rPr>
          <w:color w:val="000000"/>
          <w:szCs w:val="24"/>
          <w:lang w:eastAsia="lv-LV"/>
        </w:rPr>
        <w:t xml:space="preserve"> tika apstiprināti fiskālās konsolidācijas pasākumi, kas veicami 2012. gadā ar rezultātiem</w:t>
      </w:r>
      <w:r w:rsidR="000B7045">
        <w:rPr>
          <w:color w:val="000000"/>
          <w:szCs w:val="24"/>
          <w:lang w:eastAsia="lv-LV"/>
        </w:rPr>
        <w:t>,</w:t>
      </w:r>
      <w:r w:rsidRPr="00785274">
        <w:rPr>
          <w:color w:val="000000"/>
          <w:szCs w:val="24"/>
          <w:lang w:eastAsia="lv-LV"/>
        </w:rPr>
        <w:t xml:space="preserve"> sākot no 2013.gada, un tie ir šādi:</w:t>
      </w:r>
    </w:p>
    <w:p w:rsidR="0088146B" w:rsidRPr="00785274" w:rsidRDefault="0088146B" w:rsidP="000B7045">
      <w:pPr>
        <w:pStyle w:val="ListParagraph"/>
        <w:numPr>
          <w:ilvl w:val="0"/>
          <w:numId w:val="34"/>
        </w:numPr>
        <w:spacing w:after="120" w:line="240" w:lineRule="auto"/>
        <w:ind w:left="1418" w:hanging="426"/>
        <w:jc w:val="both"/>
        <w:rPr>
          <w:rFonts w:ascii="Times New Roman" w:hAnsi="Times New Roman"/>
          <w:color w:val="000000"/>
          <w:sz w:val="24"/>
          <w:szCs w:val="24"/>
          <w:lang w:eastAsia="lv-LV"/>
        </w:rPr>
      </w:pPr>
      <w:r w:rsidRPr="00785274">
        <w:rPr>
          <w:rFonts w:ascii="Times New Roman" w:hAnsi="Times New Roman"/>
          <w:color w:val="000000"/>
          <w:sz w:val="24"/>
          <w:szCs w:val="24"/>
          <w:lang w:eastAsia="lv-LV"/>
        </w:rPr>
        <w:t xml:space="preserve">Izvērtēt iespēju samazināt nekustamā īpašuma nodokļa likmju sliekšņus dzīvojamajai platībai, lai nodrošinātu to vienmērīgu sadalījumu starp trim nodokļu </w:t>
      </w:r>
      <w:r w:rsidRPr="008A6828">
        <w:rPr>
          <w:rFonts w:ascii="Times New Roman" w:hAnsi="Times New Roman"/>
          <w:sz w:val="24"/>
          <w:szCs w:val="24"/>
          <w:lang w:eastAsia="lv-LV"/>
        </w:rPr>
        <w:t>intervāliem, atcelt 25% ierobežojumu nekustamā īpašuma nodokļa pieaugumam gadā par zemi</w:t>
      </w:r>
      <w:r w:rsidR="00E25E80" w:rsidRPr="008A6828">
        <w:rPr>
          <w:rFonts w:ascii="Times New Roman" w:hAnsi="Times New Roman"/>
          <w:sz w:val="24"/>
          <w:szCs w:val="24"/>
          <w:lang w:val="lv-LV" w:eastAsia="lv-LV"/>
        </w:rPr>
        <w:t>, atstājot</w:t>
      </w:r>
      <w:r w:rsidR="00E25E80" w:rsidRPr="008A6828">
        <w:rPr>
          <w:rFonts w:ascii="Times New Roman" w:hAnsi="Times New Roman"/>
          <w:noProof/>
          <w:sz w:val="24"/>
          <w:szCs w:val="24"/>
          <w:lang w:val="lv-LV"/>
        </w:rPr>
        <w:t xml:space="preserve"> </w:t>
      </w:r>
      <w:r w:rsidR="00E25E80" w:rsidRPr="00E25E80">
        <w:rPr>
          <w:rFonts w:ascii="Times New Roman" w:hAnsi="Times New Roman"/>
          <w:noProof/>
          <w:color w:val="000000"/>
          <w:sz w:val="24"/>
          <w:szCs w:val="24"/>
          <w:lang w:val="lv-LV"/>
        </w:rPr>
        <w:t>pašvaldībām iespēju piemērot nodokļa pieauguma limitu noteikta koridora robežās</w:t>
      </w:r>
      <w:r w:rsidRPr="00E25E80">
        <w:rPr>
          <w:rFonts w:ascii="Times New Roman" w:hAnsi="Times New Roman"/>
          <w:color w:val="FF0000"/>
          <w:sz w:val="24"/>
          <w:szCs w:val="24"/>
          <w:lang w:eastAsia="lv-LV"/>
        </w:rPr>
        <w:t xml:space="preserve"> </w:t>
      </w:r>
      <w:r w:rsidRPr="00E25E80">
        <w:rPr>
          <w:rFonts w:ascii="Times New Roman" w:hAnsi="Times New Roman"/>
          <w:color w:val="000000"/>
          <w:sz w:val="24"/>
          <w:szCs w:val="24"/>
          <w:lang w:eastAsia="lv-LV"/>
        </w:rPr>
        <w:t>un</w:t>
      </w:r>
      <w:r>
        <w:rPr>
          <w:rFonts w:ascii="Times New Roman" w:hAnsi="Times New Roman"/>
          <w:color w:val="000000"/>
          <w:sz w:val="24"/>
          <w:szCs w:val="24"/>
          <w:lang w:eastAsia="lv-LV"/>
        </w:rPr>
        <w:t xml:space="preserve"> veikt</w:t>
      </w:r>
      <w:r w:rsidRPr="00785274">
        <w:rPr>
          <w:rFonts w:ascii="Times New Roman" w:hAnsi="Times New Roman"/>
          <w:color w:val="000000"/>
          <w:sz w:val="24"/>
          <w:szCs w:val="24"/>
          <w:lang w:eastAsia="lv-LV"/>
        </w:rPr>
        <w:t xml:space="preserve"> kadastrālo reformu, lai pareizi apspoguļotu dzīvojamo ēku amortizācijas </w:t>
      </w:r>
      <w:r w:rsidR="006E7094">
        <w:rPr>
          <w:rFonts w:ascii="Times New Roman" w:hAnsi="Times New Roman"/>
          <w:color w:val="000000"/>
          <w:sz w:val="24"/>
          <w:szCs w:val="24"/>
          <w:lang w:eastAsia="lv-LV"/>
        </w:rPr>
        <w:t>un tirgus vērtību</w:t>
      </w:r>
      <w:r w:rsidR="006E7094">
        <w:rPr>
          <w:rFonts w:ascii="Times New Roman" w:hAnsi="Times New Roman"/>
          <w:color w:val="000000"/>
          <w:sz w:val="24"/>
          <w:szCs w:val="24"/>
          <w:lang w:val="lv-LV" w:eastAsia="lv-LV"/>
        </w:rPr>
        <w:t>;</w:t>
      </w:r>
    </w:p>
    <w:p w:rsidR="0088146B" w:rsidRPr="00785274" w:rsidRDefault="0088146B" w:rsidP="000B7045">
      <w:pPr>
        <w:pStyle w:val="ListParagraph"/>
        <w:numPr>
          <w:ilvl w:val="0"/>
          <w:numId w:val="34"/>
        </w:numPr>
        <w:spacing w:after="120" w:line="240" w:lineRule="auto"/>
        <w:ind w:left="1418" w:hanging="426"/>
        <w:jc w:val="both"/>
        <w:rPr>
          <w:rFonts w:ascii="Times New Roman" w:hAnsi="Times New Roman"/>
          <w:color w:val="000000"/>
          <w:sz w:val="24"/>
          <w:szCs w:val="24"/>
          <w:lang w:eastAsia="lv-LV"/>
        </w:rPr>
      </w:pPr>
      <w:r w:rsidRPr="00785274">
        <w:rPr>
          <w:rFonts w:ascii="Times New Roman" w:hAnsi="Times New Roman"/>
          <w:color w:val="000000"/>
          <w:sz w:val="24"/>
          <w:szCs w:val="24"/>
          <w:lang w:eastAsia="lv-LV"/>
        </w:rPr>
        <w:t>Līdz 2012. gada septembrim plānots pieņemt visaptverošu ģimenes valstu pabalsta un sociālās palīdzības reformu ar mērķi uzlabot nabadzīgāko ģim</w:t>
      </w:r>
      <w:r>
        <w:rPr>
          <w:rFonts w:ascii="Times New Roman" w:hAnsi="Times New Roman"/>
          <w:color w:val="000000"/>
          <w:sz w:val="24"/>
          <w:szCs w:val="24"/>
          <w:lang w:eastAsia="lv-LV"/>
        </w:rPr>
        <w:t>eņu finanšu situāciju un apsvērt</w:t>
      </w:r>
      <w:r w:rsidRPr="00785274">
        <w:rPr>
          <w:rFonts w:ascii="Times New Roman" w:hAnsi="Times New Roman"/>
          <w:color w:val="000000"/>
          <w:sz w:val="24"/>
          <w:szCs w:val="24"/>
          <w:lang w:eastAsia="lv-LV"/>
        </w:rPr>
        <w:t xml:space="preserve"> nodokļu atvieglojumu pārskatīšanu par bērniem</w:t>
      </w:r>
      <w:r w:rsidR="006E7094">
        <w:rPr>
          <w:rFonts w:ascii="Times New Roman" w:hAnsi="Times New Roman"/>
          <w:color w:val="000000"/>
          <w:sz w:val="24"/>
          <w:szCs w:val="24"/>
          <w:lang w:val="lv-LV" w:eastAsia="lv-LV"/>
        </w:rPr>
        <w:t>;</w:t>
      </w:r>
    </w:p>
    <w:p w:rsidR="0088146B" w:rsidRPr="00785274" w:rsidRDefault="0088146B" w:rsidP="000B7045">
      <w:pPr>
        <w:pStyle w:val="ListParagraph"/>
        <w:numPr>
          <w:ilvl w:val="0"/>
          <w:numId w:val="34"/>
        </w:numPr>
        <w:spacing w:after="120" w:line="240" w:lineRule="auto"/>
        <w:ind w:left="1418" w:hanging="426"/>
        <w:jc w:val="both"/>
        <w:rPr>
          <w:rFonts w:ascii="Times New Roman" w:hAnsi="Times New Roman"/>
          <w:color w:val="000000"/>
          <w:sz w:val="24"/>
          <w:szCs w:val="24"/>
          <w:lang w:eastAsia="lv-LV"/>
        </w:rPr>
      </w:pPr>
      <w:r w:rsidRPr="00785274">
        <w:rPr>
          <w:rFonts w:ascii="Times New Roman" w:hAnsi="Times New Roman"/>
          <w:color w:val="000000"/>
          <w:sz w:val="24"/>
          <w:szCs w:val="24"/>
          <w:lang w:eastAsia="lv-LV"/>
        </w:rPr>
        <w:t>Reformēt sociālā drošības tīkla sistēmu, lai uzlabotu stimulus un</w:t>
      </w:r>
      <w:r w:rsidR="006E7094">
        <w:rPr>
          <w:rFonts w:ascii="Times New Roman" w:hAnsi="Times New Roman"/>
          <w:color w:val="000000"/>
          <w:sz w:val="24"/>
          <w:szCs w:val="24"/>
          <w:lang w:eastAsia="lv-LV"/>
        </w:rPr>
        <w:t xml:space="preserve"> samazinātu nabadzības slieksni</w:t>
      </w:r>
      <w:r w:rsidR="006E7094">
        <w:rPr>
          <w:rFonts w:ascii="Times New Roman" w:hAnsi="Times New Roman"/>
          <w:color w:val="000000"/>
          <w:sz w:val="24"/>
          <w:szCs w:val="24"/>
          <w:lang w:val="lv-LV" w:eastAsia="lv-LV"/>
        </w:rPr>
        <w:t>;</w:t>
      </w:r>
    </w:p>
    <w:p w:rsidR="0088146B" w:rsidRPr="00785274" w:rsidRDefault="0088146B" w:rsidP="000B7045">
      <w:pPr>
        <w:pStyle w:val="ListParagraph"/>
        <w:numPr>
          <w:ilvl w:val="0"/>
          <w:numId w:val="34"/>
        </w:numPr>
        <w:spacing w:after="120" w:line="240" w:lineRule="auto"/>
        <w:ind w:left="1417" w:hanging="425"/>
        <w:jc w:val="both"/>
        <w:rPr>
          <w:rFonts w:ascii="Times New Roman" w:hAnsi="Times New Roman"/>
          <w:color w:val="000000"/>
          <w:sz w:val="24"/>
          <w:szCs w:val="24"/>
          <w:lang w:eastAsia="lv-LV"/>
        </w:rPr>
      </w:pPr>
      <w:r w:rsidRPr="00785274">
        <w:rPr>
          <w:rFonts w:ascii="Times New Roman" w:hAnsi="Times New Roman"/>
          <w:color w:val="000000"/>
          <w:sz w:val="24"/>
          <w:szCs w:val="24"/>
          <w:lang w:eastAsia="lv-LV"/>
        </w:rPr>
        <w:t xml:space="preserve">Turpināt ierobežot maksimālo </w:t>
      </w:r>
      <w:r w:rsidRPr="000061A5">
        <w:rPr>
          <w:rFonts w:ascii="Times New Roman" w:hAnsi="Times New Roman"/>
          <w:sz w:val="24"/>
          <w:szCs w:val="24"/>
          <w:lang w:eastAsia="lv-LV"/>
        </w:rPr>
        <w:t>maternitātes, paternitātes, vecāku un slimības pabalstu apmēru līdz 2014.</w:t>
      </w:r>
      <w:r w:rsidR="000B7045" w:rsidRPr="000061A5">
        <w:rPr>
          <w:rFonts w:ascii="Times New Roman" w:hAnsi="Times New Roman"/>
          <w:sz w:val="24"/>
          <w:szCs w:val="24"/>
          <w:lang w:eastAsia="lv-LV"/>
        </w:rPr>
        <w:t> </w:t>
      </w:r>
      <w:r w:rsidRPr="000061A5">
        <w:rPr>
          <w:rFonts w:ascii="Times New Roman" w:hAnsi="Times New Roman"/>
          <w:sz w:val="24"/>
          <w:szCs w:val="24"/>
          <w:lang w:eastAsia="lv-LV"/>
        </w:rPr>
        <w:t xml:space="preserve">gadam, </w:t>
      </w:r>
      <w:r w:rsidR="000061A5" w:rsidRPr="000061A5">
        <w:rPr>
          <w:rFonts w:ascii="Times New Roman" w:hAnsi="Times New Roman"/>
          <w:sz w:val="24"/>
          <w:szCs w:val="24"/>
          <w:lang w:val="lv-LV" w:eastAsia="lv-LV"/>
        </w:rPr>
        <w:t>lemt</w:t>
      </w:r>
      <w:r w:rsidRPr="000061A5">
        <w:rPr>
          <w:rFonts w:ascii="Times New Roman" w:hAnsi="Times New Roman"/>
          <w:sz w:val="24"/>
          <w:szCs w:val="24"/>
          <w:lang w:eastAsia="lv-LV"/>
        </w:rPr>
        <w:t xml:space="preserve"> ierobežot maternitātes un paternitātes pabalstu aizstāšanas likmi 80 procentu apmērā sākot no 2013. gadu, kā arī </w:t>
      </w:r>
      <w:r w:rsidRPr="00785274">
        <w:rPr>
          <w:rFonts w:ascii="Times New Roman" w:hAnsi="Times New Roman"/>
          <w:color w:val="000000"/>
          <w:sz w:val="24"/>
          <w:szCs w:val="24"/>
          <w:lang w:eastAsia="lv-LV"/>
        </w:rPr>
        <w:lastRenderedPageBreak/>
        <w:t>atjaunot sociālo pabalstu grie</w:t>
      </w:r>
      <w:r>
        <w:rPr>
          <w:rFonts w:ascii="Times New Roman" w:hAnsi="Times New Roman"/>
          <w:color w:val="000000"/>
          <w:sz w:val="24"/>
          <w:szCs w:val="24"/>
          <w:lang w:eastAsia="lv-LV"/>
        </w:rPr>
        <w:t>stus</w:t>
      </w:r>
      <w:r w:rsidRPr="00785274">
        <w:rPr>
          <w:rFonts w:ascii="Times New Roman" w:hAnsi="Times New Roman"/>
          <w:color w:val="000000"/>
          <w:sz w:val="24"/>
          <w:szCs w:val="24"/>
          <w:lang w:eastAsia="lv-LV"/>
        </w:rPr>
        <w:t xml:space="preserve"> cilvēkiem ar augstiem ienākumiem pēc 2014. gada, tādējādi samazinot sociālās apdrošināšanas apmēru, ko viņi var saņemt.</w:t>
      </w:r>
    </w:p>
    <w:p w:rsidR="0088146B" w:rsidRPr="00D95A7B" w:rsidRDefault="0088146B" w:rsidP="0088146B">
      <w:pPr>
        <w:pStyle w:val="teksts"/>
        <w:ind w:firstLine="720"/>
        <w:rPr>
          <w:rFonts w:ascii="Times New Roman" w:eastAsia="Calibri" w:hAnsi="Times New Roman"/>
          <w:color w:val="000000"/>
          <w:szCs w:val="24"/>
        </w:rPr>
      </w:pPr>
      <w:r w:rsidRPr="00D95A7B">
        <w:rPr>
          <w:rFonts w:ascii="Times New Roman" w:eastAsia="Calibri" w:hAnsi="Times New Roman"/>
          <w:color w:val="000000"/>
          <w:szCs w:val="24"/>
        </w:rPr>
        <w:t xml:space="preserve">Noteiktos fiskālās politikas mērķus Latvija spēs sasniegt </w:t>
      </w:r>
      <w:r w:rsidR="00B00335">
        <w:rPr>
          <w:rFonts w:ascii="Times New Roman" w:eastAsia="Calibri" w:hAnsi="Times New Roman"/>
          <w:color w:val="000000"/>
          <w:szCs w:val="24"/>
        </w:rPr>
        <w:t>neveicot</w:t>
      </w:r>
      <w:r w:rsidR="00B00335" w:rsidRPr="00D95A7B">
        <w:rPr>
          <w:rFonts w:ascii="Times New Roman" w:eastAsia="Calibri" w:hAnsi="Times New Roman"/>
          <w:color w:val="000000"/>
          <w:szCs w:val="24"/>
        </w:rPr>
        <w:t xml:space="preserve"> t</w:t>
      </w:r>
      <w:r w:rsidR="00B00335">
        <w:rPr>
          <w:rFonts w:ascii="Times New Roman" w:eastAsia="Calibri" w:hAnsi="Times New Roman"/>
          <w:color w:val="000000"/>
          <w:szCs w:val="24"/>
        </w:rPr>
        <w:t>urpmāku</w:t>
      </w:r>
      <w:r w:rsidR="00B00335" w:rsidRPr="00D95A7B">
        <w:rPr>
          <w:rFonts w:ascii="Times New Roman" w:eastAsia="Calibri" w:hAnsi="Times New Roman"/>
          <w:color w:val="000000"/>
          <w:szCs w:val="24"/>
        </w:rPr>
        <w:t xml:space="preserve"> fiskāl</w:t>
      </w:r>
      <w:r w:rsidR="00B00335">
        <w:rPr>
          <w:rFonts w:ascii="Times New Roman" w:eastAsia="Calibri" w:hAnsi="Times New Roman"/>
          <w:color w:val="000000"/>
          <w:szCs w:val="24"/>
        </w:rPr>
        <w:t>o</w:t>
      </w:r>
      <w:r w:rsidR="00871351">
        <w:rPr>
          <w:rFonts w:ascii="Times New Roman" w:eastAsia="Calibri" w:hAnsi="Times New Roman"/>
          <w:color w:val="000000"/>
          <w:szCs w:val="24"/>
        </w:rPr>
        <w:t xml:space="preserve"> </w:t>
      </w:r>
      <w:r w:rsidR="00B00335" w:rsidRPr="00D95A7B">
        <w:rPr>
          <w:rFonts w:ascii="Times New Roman" w:eastAsia="Calibri" w:hAnsi="Times New Roman"/>
          <w:color w:val="000000"/>
          <w:szCs w:val="24"/>
        </w:rPr>
        <w:t>konsolidācij</w:t>
      </w:r>
      <w:r w:rsidR="00B00335">
        <w:rPr>
          <w:rFonts w:ascii="Times New Roman" w:eastAsia="Calibri" w:hAnsi="Times New Roman"/>
          <w:color w:val="000000"/>
          <w:szCs w:val="24"/>
        </w:rPr>
        <w:t>u</w:t>
      </w:r>
      <w:r w:rsidRPr="00D95A7B">
        <w:rPr>
          <w:rFonts w:ascii="Times New Roman" w:eastAsia="Calibri" w:hAnsi="Times New Roman"/>
          <w:color w:val="000000"/>
          <w:szCs w:val="24"/>
        </w:rPr>
        <w:t xml:space="preserve">, jo </w:t>
      </w:r>
      <w:r w:rsidR="00FA2FB9">
        <w:rPr>
          <w:rFonts w:ascii="Times New Roman" w:eastAsia="Calibri" w:hAnsi="Times New Roman"/>
          <w:color w:val="000000"/>
          <w:szCs w:val="24"/>
        </w:rPr>
        <w:t>pastāv</w:t>
      </w:r>
      <w:r w:rsidR="00FA2FB9" w:rsidRPr="00D95A7B">
        <w:rPr>
          <w:rFonts w:ascii="Times New Roman" w:eastAsia="Calibri" w:hAnsi="Times New Roman"/>
          <w:color w:val="000000"/>
          <w:szCs w:val="24"/>
        </w:rPr>
        <w:t xml:space="preserve"> </w:t>
      </w:r>
      <w:r w:rsidRPr="00D95A7B">
        <w:rPr>
          <w:rFonts w:ascii="Times New Roman" w:eastAsia="Calibri" w:hAnsi="Times New Roman"/>
          <w:color w:val="000000"/>
          <w:szCs w:val="24"/>
        </w:rPr>
        <w:t>būtiska ietekme no iepriekšējos gados realizēto vispārējās valdības budžeta deficīta samazinošo pasākumu ietekmes</w:t>
      </w:r>
      <w:r w:rsidR="00353A2C">
        <w:rPr>
          <w:rFonts w:ascii="Times New Roman" w:eastAsia="Calibri" w:hAnsi="Times New Roman"/>
          <w:color w:val="000000"/>
          <w:szCs w:val="24"/>
        </w:rPr>
        <w:t xml:space="preserve"> un</w:t>
      </w:r>
      <w:r w:rsidRPr="00D95A7B">
        <w:rPr>
          <w:rFonts w:ascii="Times New Roman" w:eastAsia="Calibri" w:hAnsi="Times New Roman"/>
          <w:color w:val="000000"/>
          <w:szCs w:val="24"/>
        </w:rPr>
        <w:t xml:space="preserve"> </w:t>
      </w:r>
      <w:r w:rsidR="00353A2C" w:rsidRPr="00D95A7B">
        <w:rPr>
          <w:rFonts w:ascii="Times New Roman" w:eastAsia="Calibri" w:hAnsi="Times New Roman"/>
          <w:color w:val="000000"/>
          <w:szCs w:val="24"/>
        </w:rPr>
        <w:t>veikt</w:t>
      </w:r>
      <w:r w:rsidR="00353A2C">
        <w:rPr>
          <w:rFonts w:ascii="Times New Roman" w:eastAsia="Calibri" w:hAnsi="Times New Roman"/>
          <w:color w:val="000000"/>
          <w:szCs w:val="24"/>
        </w:rPr>
        <w:t>ajām</w:t>
      </w:r>
      <w:r w:rsidR="00353A2C" w:rsidRPr="00D95A7B">
        <w:rPr>
          <w:rFonts w:ascii="Times New Roman" w:eastAsia="Calibri" w:hAnsi="Times New Roman"/>
          <w:color w:val="000000"/>
          <w:szCs w:val="24"/>
        </w:rPr>
        <w:t xml:space="preserve"> </w:t>
      </w:r>
      <w:r w:rsidR="00353A2C">
        <w:rPr>
          <w:rFonts w:ascii="Times New Roman" w:eastAsia="Calibri" w:hAnsi="Times New Roman"/>
          <w:color w:val="000000"/>
          <w:szCs w:val="24"/>
        </w:rPr>
        <w:t xml:space="preserve">strukturālajām </w:t>
      </w:r>
      <w:r w:rsidRPr="00D95A7B">
        <w:rPr>
          <w:rFonts w:ascii="Times New Roman" w:eastAsia="Calibri" w:hAnsi="Times New Roman"/>
          <w:color w:val="000000"/>
          <w:szCs w:val="24"/>
        </w:rPr>
        <w:t>reform</w:t>
      </w:r>
      <w:r w:rsidR="00353A2C">
        <w:rPr>
          <w:rFonts w:ascii="Times New Roman" w:eastAsia="Calibri" w:hAnsi="Times New Roman"/>
          <w:color w:val="000000"/>
          <w:szCs w:val="24"/>
        </w:rPr>
        <w:t>ām</w:t>
      </w:r>
      <w:r w:rsidRPr="00D95A7B">
        <w:rPr>
          <w:rFonts w:ascii="Times New Roman" w:eastAsia="Calibri" w:hAnsi="Times New Roman"/>
          <w:color w:val="000000"/>
          <w:szCs w:val="24"/>
        </w:rPr>
        <w:t xml:space="preserve">, kas rada ietekmi </w:t>
      </w:r>
      <w:r w:rsidR="00EE140F">
        <w:rPr>
          <w:rFonts w:ascii="Times New Roman" w:eastAsia="Calibri" w:hAnsi="Times New Roman"/>
          <w:color w:val="000000"/>
          <w:szCs w:val="24"/>
        </w:rPr>
        <w:t xml:space="preserve">uz ekonomikas izaugsmi un </w:t>
      </w:r>
      <w:r w:rsidRPr="00D95A7B">
        <w:rPr>
          <w:rFonts w:ascii="Times New Roman" w:eastAsia="Calibri" w:hAnsi="Times New Roman"/>
          <w:color w:val="000000"/>
          <w:szCs w:val="24"/>
        </w:rPr>
        <w:t>uz izaugsmei draudzīgas izdevumu politikas veidošanu.</w:t>
      </w:r>
    </w:p>
    <w:p w:rsidR="009C610B" w:rsidRDefault="0088146B" w:rsidP="00002315">
      <w:pPr>
        <w:pStyle w:val="teksts"/>
        <w:ind w:firstLine="709"/>
        <w:rPr>
          <w:rFonts w:ascii="Times New Roman" w:eastAsia="Calibri" w:hAnsi="Times New Roman"/>
          <w:color w:val="000000"/>
          <w:szCs w:val="24"/>
        </w:rPr>
      </w:pPr>
      <w:r w:rsidRPr="00D95A7B">
        <w:rPr>
          <w:rFonts w:ascii="Times New Roman" w:eastAsia="Calibri" w:hAnsi="Times New Roman"/>
          <w:color w:val="000000"/>
          <w:szCs w:val="24"/>
        </w:rPr>
        <w:t>Jāatzīmē, ka</w:t>
      </w:r>
      <w:r w:rsidR="00002315">
        <w:rPr>
          <w:rFonts w:ascii="Times New Roman" w:eastAsia="Calibri" w:hAnsi="Times New Roman"/>
          <w:color w:val="000000"/>
          <w:szCs w:val="24"/>
        </w:rPr>
        <w:t>,</w:t>
      </w:r>
      <w:r w:rsidRPr="00D95A7B">
        <w:rPr>
          <w:rFonts w:ascii="Times New Roman" w:eastAsia="Calibri" w:hAnsi="Times New Roman"/>
          <w:color w:val="000000"/>
          <w:szCs w:val="24"/>
        </w:rPr>
        <w:t xml:space="preserve"> Latvijai ievērojot stingru fiskālo disciplīnu, tiek rūpīgi izvērtēti pasākumi</w:t>
      </w:r>
      <w:r w:rsidRPr="001946E0">
        <w:rPr>
          <w:rFonts w:ascii="Times New Roman" w:eastAsia="Calibri" w:hAnsi="Times New Roman"/>
          <w:color w:val="000000"/>
          <w:szCs w:val="24"/>
        </w:rPr>
        <w:t xml:space="preserve"> un noteikti fiskālie ierobežojumi, kā piemēram, netiek </w:t>
      </w:r>
      <w:r>
        <w:rPr>
          <w:rFonts w:ascii="Times New Roman" w:eastAsia="Calibri" w:hAnsi="Times New Roman"/>
          <w:color w:val="000000"/>
          <w:szCs w:val="24"/>
        </w:rPr>
        <w:t>iniciēta</w:t>
      </w:r>
      <w:r w:rsidRPr="001946E0">
        <w:rPr>
          <w:rFonts w:ascii="Times New Roman" w:eastAsia="Calibri" w:hAnsi="Times New Roman"/>
          <w:color w:val="000000"/>
          <w:szCs w:val="24"/>
        </w:rPr>
        <w:t xml:space="preserve"> jaunu amata vietu izveide, pasākumi tādu normatīvajos aktos noteikto normu izpildei, kuru piemērošana normatīvajos aktos nav noteikta kā obligāta, kā arī netiek atbalstīta datortehnikas u.c. pamatlīdzekļu iegāde, izņemot valstiski s</w:t>
      </w:r>
      <w:r>
        <w:rPr>
          <w:rFonts w:ascii="Times New Roman" w:eastAsia="Calibri" w:hAnsi="Times New Roman"/>
          <w:color w:val="000000"/>
          <w:szCs w:val="24"/>
        </w:rPr>
        <w:t xml:space="preserve">varīgu funkciju nodrošināšanai, </w:t>
      </w:r>
      <w:r w:rsidRPr="00B65D89">
        <w:rPr>
          <w:rFonts w:ascii="Times New Roman" w:eastAsia="Calibri" w:hAnsi="Times New Roman"/>
          <w:color w:val="000000"/>
          <w:szCs w:val="24"/>
        </w:rPr>
        <w:t>kā arī netiek atbalstīta darba samaksas fonda palielin</w:t>
      </w:r>
      <w:r>
        <w:rPr>
          <w:rFonts w:ascii="Times New Roman" w:eastAsia="Calibri" w:hAnsi="Times New Roman"/>
          <w:color w:val="000000"/>
          <w:szCs w:val="24"/>
        </w:rPr>
        <w:t>ā</w:t>
      </w:r>
      <w:r w:rsidRPr="00B65D89">
        <w:rPr>
          <w:rFonts w:ascii="Times New Roman" w:eastAsia="Calibri" w:hAnsi="Times New Roman"/>
          <w:color w:val="000000"/>
          <w:szCs w:val="24"/>
        </w:rPr>
        <w:t>š</w:t>
      </w:r>
      <w:r>
        <w:rPr>
          <w:rFonts w:ascii="Times New Roman" w:eastAsia="Calibri" w:hAnsi="Times New Roman"/>
          <w:color w:val="000000"/>
          <w:szCs w:val="24"/>
        </w:rPr>
        <w:t>a</w:t>
      </w:r>
      <w:r w:rsidRPr="00B65D89">
        <w:rPr>
          <w:rFonts w:ascii="Times New Roman" w:eastAsia="Calibri" w:hAnsi="Times New Roman"/>
          <w:color w:val="000000"/>
          <w:szCs w:val="24"/>
        </w:rPr>
        <w:t>na, komunālo maksājumu, degvielas un nomas maksas sadārdzinājuma segšana valsts budžeta iestādēm.</w:t>
      </w:r>
      <w:r>
        <w:rPr>
          <w:rFonts w:ascii="Times New Roman" w:eastAsia="Calibri" w:hAnsi="Times New Roman"/>
          <w:color w:val="000000"/>
          <w:szCs w:val="24"/>
        </w:rPr>
        <w:t xml:space="preserve"> </w:t>
      </w:r>
    </w:p>
    <w:p w:rsidR="00D84D32" w:rsidRDefault="0088146B" w:rsidP="00002315">
      <w:pPr>
        <w:pStyle w:val="teksts"/>
        <w:ind w:firstLine="709"/>
        <w:rPr>
          <w:rFonts w:ascii="Times New Roman" w:eastAsia="Calibri" w:hAnsi="Times New Roman"/>
          <w:color w:val="000000"/>
          <w:szCs w:val="24"/>
        </w:rPr>
      </w:pPr>
      <w:r w:rsidRPr="001946E0">
        <w:rPr>
          <w:rFonts w:ascii="Times New Roman" w:eastAsia="Calibri" w:hAnsi="Times New Roman"/>
          <w:color w:val="000000"/>
          <w:szCs w:val="24"/>
        </w:rPr>
        <w:t xml:space="preserve">Fiskālo ierobežojumu kontekstā ir jāatzīmē, ka </w:t>
      </w:r>
      <w:r w:rsidR="00FA2FB9">
        <w:rPr>
          <w:rFonts w:ascii="Times New Roman" w:eastAsia="Calibri" w:hAnsi="Times New Roman"/>
          <w:color w:val="000000"/>
          <w:szCs w:val="24"/>
        </w:rPr>
        <w:t>ES</w:t>
      </w:r>
      <w:r w:rsidRPr="001946E0">
        <w:rPr>
          <w:rFonts w:ascii="Times New Roman" w:eastAsia="Calibri" w:hAnsi="Times New Roman"/>
          <w:color w:val="000000"/>
          <w:szCs w:val="24"/>
        </w:rPr>
        <w:t xml:space="preserve"> fondu un Kohēzijas fonda finansējums ir uzskatāms kā nozīmīgs finanšu resursu avots ek</w:t>
      </w:r>
      <w:r w:rsidR="009C610B">
        <w:rPr>
          <w:rFonts w:ascii="Times New Roman" w:eastAsia="Calibri" w:hAnsi="Times New Roman"/>
          <w:color w:val="000000"/>
          <w:szCs w:val="24"/>
        </w:rPr>
        <w:t xml:space="preserve">onomikas izaugsmes veicināšanai </w:t>
      </w:r>
      <w:r w:rsidR="009C610B" w:rsidRPr="008F6419">
        <w:rPr>
          <w:rFonts w:ascii="Times New Roman" w:eastAsia="Calibri" w:hAnsi="Times New Roman"/>
          <w:color w:val="000000"/>
          <w:szCs w:val="24"/>
        </w:rPr>
        <w:t>un arī turpmāk tiek plānots nodrošināt adekvātu finansējumu veiksmīgai ES fondu apguvei.</w:t>
      </w:r>
    </w:p>
    <w:p w:rsidR="001E7F5F" w:rsidRPr="001E6AFE" w:rsidRDefault="00702D82" w:rsidP="00676C5C">
      <w:pPr>
        <w:pStyle w:val="teksts"/>
        <w:ind w:firstLine="709"/>
        <w:rPr>
          <w:rFonts w:ascii="Times New Roman" w:eastAsia="Calibri" w:hAnsi="Times New Roman"/>
          <w:color w:val="000000"/>
          <w:szCs w:val="24"/>
        </w:rPr>
      </w:pPr>
      <w:r w:rsidRPr="001946E0">
        <w:rPr>
          <w:rFonts w:ascii="Times New Roman" w:eastAsia="Calibri" w:hAnsi="Times New Roman"/>
          <w:color w:val="000000"/>
          <w:szCs w:val="24"/>
        </w:rPr>
        <w:t xml:space="preserve">Vienlaikus, </w:t>
      </w:r>
      <w:r w:rsidRPr="000B7045">
        <w:rPr>
          <w:rFonts w:ascii="Times New Roman" w:eastAsia="Calibri" w:hAnsi="Times New Roman"/>
          <w:color w:val="000000"/>
          <w:szCs w:val="24"/>
        </w:rPr>
        <w:t>palielinoties ekonomikas izaugsmei</w:t>
      </w:r>
      <w:r>
        <w:rPr>
          <w:rFonts w:ascii="Times New Roman" w:eastAsia="Calibri" w:hAnsi="Times New Roman"/>
          <w:color w:val="000000"/>
          <w:szCs w:val="24"/>
        </w:rPr>
        <w:t xml:space="preserve"> un palielinoties arī </w:t>
      </w:r>
      <w:r w:rsidRPr="000B7045">
        <w:rPr>
          <w:rFonts w:ascii="Times New Roman" w:eastAsia="Calibri" w:hAnsi="Times New Roman"/>
          <w:color w:val="000000"/>
          <w:szCs w:val="24"/>
        </w:rPr>
        <w:t>ieņēmumiem,</w:t>
      </w:r>
      <w:r w:rsidRPr="001946E0">
        <w:rPr>
          <w:rFonts w:ascii="Times New Roman" w:eastAsia="Calibri" w:hAnsi="Times New Roman"/>
          <w:color w:val="000000"/>
          <w:szCs w:val="24"/>
        </w:rPr>
        <w:t xml:space="preserve"> </w:t>
      </w:r>
      <w:r>
        <w:rPr>
          <w:rFonts w:ascii="Times New Roman" w:eastAsia="Calibri" w:hAnsi="Times New Roman"/>
          <w:color w:val="000000"/>
          <w:szCs w:val="24"/>
        </w:rPr>
        <w:t xml:space="preserve">valdība izskatīs iespēju atbalstīt </w:t>
      </w:r>
      <w:r w:rsidRPr="00684D6E">
        <w:rPr>
          <w:rFonts w:ascii="Times New Roman" w:eastAsia="Calibri" w:hAnsi="Times New Roman"/>
          <w:color w:val="000000"/>
          <w:szCs w:val="24"/>
        </w:rPr>
        <w:t>izaugsmi un nodarbinātību veicinošas nodokļu sloga struktūras izmaiņas</w:t>
      </w:r>
      <w:r>
        <w:rPr>
          <w:rFonts w:ascii="Times New Roman" w:eastAsia="Calibri" w:hAnsi="Times New Roman"/>
          <w:color w:val="000000"/>
          <w:szCs w:val="24"/>
        </w:rPr>
        <w:t xml:space="preserve">, kā arī jaunu prioritāro pasākumu </w:t>
      </w:r>
      <w:r w:rsidR="003156ED">
        <w:rPr>
          <w:rFonts w:ascii="Times New Roman" w:eastAsia="Calibri" w:hAnsi="Times New Roman"/>
          <w:color w:val="000000"/>
          <w:szCs w:val="24"/>
        </w:rPr>
        <w:t>finansēšanu</w:t>
      </w:r>
      <w:r w:rsidRPr="00702D82">
        <w:rPr>
          <w:rFonts w:ascii="Times New Roman" w:eastAsia="Calibri" w:hAnsi="Times New Roman"/>
          <w:color w:val="000000"/>
          <w:szCs w:val="24"/>
        </w:rPr>
        <w:t xml:space="preserve">, vērtējot to atbilstību pret esošām apņemšanām un saistībās izvirzītajām prioritātēm, </w:t>
      </w:r>
      <w:r w:rsidR="00D84D32">
        <w:rPr>
          <w:rFonts w:ascii="Times New Roman" w:eastAsia="Calibri" w:hAnsi="Times New Roman"/>
          <w:color w:val="000000"/>
          <w:szCs w:val="24"/>
        </w:rPr>
        <w:t xml:space="preserve">to </w:t>
      </w:r>
      <w:r w:rsidRPr="00702D82">
        <w:rPr>
          <w:rFonts w:ascii="Times New Roman" w:eastAsia="Calibri" w:hAnsi="Times New Roman"/>
          <w:color w:val="000000"/>
          <w:szCs w:val="24"/>
        </w:rPr>
        <w:t>būtiskumu</w:t>
      </w:r>
      <w:r w:rsidR="004B7F3A">
        <w:rPr>
          <w:rFonts w:ascii="Times New Roman" w:eastAsia="Calibri" w:hAnsi="Times New Roman"/>
          <w:color w:val="000000"/>
          <w:szCs w:val="24"/>
        </w:rPr>
        <w:t xml:space="preserve"> </w:t>
      </w:r>
      <w:r w:rsidR="00B32E99" w:rsidRPr="004B7F3A">
        <w:rPr>
          <w:rFonts w:ascii="Times New Roman" w:eastAsia="Calibri" w:hAnsi="Times New Roman"/>
          <w:color w:val="000000"/>
          <w:szCs w:val="24"/>
        </w:rPr>
        <w:t xml:space="preserve">ar uzsvaru uz </w:t>
      </w:r>
      <w:r w:rsidR="004B7F3A">
        <w:rPr>
          <w:rFonts w:ascii="Times New Roman" w:eastAsia="Calibri" w:hAnsi="Times New Roman"/>
          <w:color w:val="000000"/>
          <w:szCs w:val="24"/>
        </w:rPr>
        <w:t>izaugsmi veicinošiem pasākumiem</w:t>
      </w:r>
      <w:r w:rsidR="00F65D3B">
        <w:rPr>
          <w:rFonts w:ascii="Times New Roman" w:eastAsia="Calibri" w:hAnsi="Times New Roman"/>
          <w:color w:val="000000"/>
          <w:szCs w:val="24"/>
        </w:rPr>
        <w:t xml:space="preserve"> un tādiem, kas sekmē nodokļu ieņēmumu pieaugumu</w:t>
      </w:r>
      <w:r w:rsidR="004B7F3A">
        <w:rPr>
          <w:rFonts w:ascii="Times New Roman" w:eastAsia="Calibri" w:hAnsi="Times New Roman"/>
          <w:color w:val="000000"/>
          <w:szCs w:val="24"/>
        </w:rPr>
        <w:t xml:space="preserve">, tai skaitā investīcijām, </w:t>
      </w:r>
      <w:r w:rsidRPr="00702D82">
        <w:rPr>
          <w:rFonts w:ascii="Times New Roman" w:eastAsia="Calibri" w:hAnsi="Times New Roman"/>
          <w:color w:val="000000"/>
          <w:szCs w:val="24"/>
        </w:rPr>
        <w:t xml:space="preserve">kā arī </w:t>
      </w:r>
      <w:r w:rsidR="004B7F3A">
        <w:rPr>
          <w:rFonts w:ascii="Times New Roman" w:eastAsia="Calibri" w:hAnsi="Times New Roman"/>
          <w:color w:val="000000"/>
          <w:szCs w:val="24"/>
        </w:rPr>
        <w:t xml:space="preserve">vērtējot </w:t>
      </w:r>
      <w:r w:rsidRPr="00702D82">
        <w:rPr>
          <w:rFonts w:ascii="Times New Roman" w:eastAsia="Calibri" w:hAnsi="Times New Roman"/>
          <w:color w:val="000000"/>
          <w:szCs w:val="24"/>
        </w:rPr>
        <w:t>izaugsmei draudzīgas izdevumu politikas p</w:t>
      </w:r>
      <w:r w:rsidR="003156ED">
        <w:rPr>
          <w:rFonts w:ascii="Times New Roman" w:eastAsia="Calibri" w:hAnsi="Times New Roman"/>
          <w:color w:val="000000"/>
          <w:szCs w:val="24"/>
        </w:rPr>
        <w:t>rincipu</w:t>
      </w:r>
      <w:r w:rsidR="004B7F3A" w:rsidRPr="00EF1E01">
        <w:rPr>
          <w:rFonts w:ascii="Times New Roman" w:eastAsia="Calibri" w:hAnsi="Times New Roman"/>
          <w:color w:val="000000"/>
          <w:szCs w:val="24"/>
        </w:rPr>
        <w:t>.</w:t>
      </w:r>
      <w:r w:rsidR="00676C5C" w:rsidRPr="00EF1E01">
        <w:rPr>
          <w:rFonts w:ascii="Times New Roman" w:eastAsia="Calibri" w:hAnsi="Times New Roman"/>
          <w:color w:val="000000"/>
          <w:szCs w:val="24"/>
        </w:rPr>
        <w:t xml:space="preserve"> </w:t>
      </w:r>
      <w:r w:rsidR="00867953" w:rsidRPr="00EF1E01">
        <w:rPr>
          <w:rFonts w:ascii="Times New Roman" w:eastAsia="Calibri" w:hAnsi="Times New Roman"/>
          <w:szCs w:val="24"/>
        </w:rPr>
        <w:t>Lai</w:t>
      </w:r>
      <w:r w:rsidR="00CD6E41" w:rsidRPr="00EF1E01">
        <w:rPr>
          <w:rFonts w:ascii="Times New Roman" w:eastAsia="Calibri" w:hAnsi="Times New Roman"/>
          <w:szCs w:val="24"/>
        </w:rPr>
        <w:t xml:space="preserve"> nodrošin</w:t>
      </w:r>
      <w:r w:rsidR="00867953" w:rsidRPr="00EF1E01">
        <w:rPr>
          <w:rFonts w:ascii="Times New Roman" w:eastAsia="Calibri" w:hAnsi="Times New Roman"/>
          <w:szCs w:val="24"/>
        </w:rPr>
        <w:t>ātu</w:t>
      </w:r>
      <w:r w:rsidR="00CD6E41" w:rsidRPr="00EF1E01">
        <w:rPr>
          <w:rFonts w:ascii="Times New Roman" w:eastAsia="Calibri" w:hAnsi="Times New Roman"/>
          <w:szCs w:val="24"/>
        </w:rPr>
        <w:t xml:space="preserve"> sabalansēta un ekonomisko izaugsmi veicinoša budžeta izveidi, </w:t>
      </w:r>
      <w:r w:rsidR="00C06862" w:rsidRPr="00EF1E01">
        <w:rPr>
          <w:rFonts w:ascii="Times New Roman" w:eastAsia="Calibri" w:hAnsi="Times New Roman"/>
          <w:szCs w:val="24"/>
        </w:rPr>
        <w:t>budžeta veidošanas proces</w:t>
      </w:r>
      <w:r w:rsidR="00231542" w:rsidRPr="00EF1E01">
        <w:rPr>
          <w:rFonts w:ascii="Times New Roman" w:eastAsia="Calibri" w:hAnsi="Times New Roman"/>
          <w:szCs w:val="24"/>
        </w:rPr>
        <w:t>ā</w:t>
      </w:r>
      <w:r w:rsidR="00C06862" w:rsidRPr="00EF1E01">
        <w:rPr>
          <w:rFonts w:ascii="Times New Roman" w:eastAsia="Calibri" w:hAnsi="Times New Roman"/>
          <w:szCs w:val="24"/>
        </w:rPr>
        <w:t xml:space="preserve"> </w:t>
      </w:r>
      <w:r w:rsidR="00867953" w:rsidRPr="00EF1E01">
        <w:rPr>
          <w:rFonts w:ascii="Times New Roman" w:eastAsia="Calibri" w:hAnsi="Times New Roman"/>
          <w:szCs w:val="24"/>
        </w:rPr>
        <w:t>tiks vērtēti</w:t>
      </w:r>
      <w:r w:rsidR="00C06862" w:rsidRPr="00EF1E01">
        <w:rPr>
          <w:rFonts w:ascii="Times New Roman" w:eastAsia="Calibri" w:hAnsi="Times New Roman"/>
          <w:szCs w:val="24"/>
        </w:rPr>
        <w:t xml:space="preserve"> </w:t>
      </w:r>
      <w:r w:rsidR="00867953" w:rsidRPr="00EF1E01">
        <w:rPr>
          <w:rFonts w:ascii="Times New Roman" w:eastAsia="Calibri" w:hAnsi="Times New Roman"/>
          <w:szCs w:val="24"/>
        </w:rPr>
        <w:t xml:space="preserve">arī </w:t>
      </w:r>
      <w:r w:rsidR="00C06862" w:rsidRPr="00EF1E01">
        <w:rPr>
          <w:rFonts w:ascii="Times New Roman" w:eastAsia="Calibri" w:hAnsi="Times New Roman"/>
          <w:szCs w:val="24"/>
        </w:rPr>
        <w:t xml:space="preserve">budžeta ilgtspēju ietekmējoši </w:t>
      </w:r>
      <w:r w:rsidR="002E357B" w:rsidRPr="00EF1E01">
        <w:rPr>
          <w:rFonts w:ascii="Times New Roman" w:eastAsia="Calibri" w:hAnsi="Times New Roman"/>
          <w:szCs w:val="24"/>
        </w:rPr>
        <w:t>pasākum</w:t>
      </w:r>
      <w:r w:rsidR="00C06862" w:rsidRPr="00EF1E01">
        <w:rPr>
          <w:rFonts w:ascii="Times New Roman" w:eastAsia="Calibri" w:hAnsi="Times New Roman"/>
          <w:szCs w:val="24"/>
        </w:rPr>
        <w:t>i</w:t>
      </w:r>
      <w:r w:rsidR="0034003C" w:rsidRPr="00EF1E01">
        <w:rPr>
          <w:rFonts w:ascii="Times New Roman" w:eastAsia="Calibri" w:hAnsi="Times New Roman"/>
          <w:szCs w:val="24"/>
        </w:rPr>
        <w:t>, tai skaitā sociālā apdrošināšanas budžeta ilgtspējas nodrošināšana</w:t>
      </w:r>
      <w:r w:rsidR="00867953" w:rsidRPr="00EF1E01">
        <w:rPr>
          <w:rFonts w:ascii="Times New Roman" w:eastAsia="Calibri" w:hAnsi="Times New Roman"/>
          <w:szCs w:val="24"/>
        </w:rPr>
        <w:t>.</w:t>
      </w:r>
      <w:r w:rsidR="00867953" w:rsidRPr="0081255B">
        <w:rPr>
          <w:rFonts w:ascii="Times New Roman" w:eastAsia="Calibri" w:hAnsi="Times New Roman"/>
          <w:szCs w:val="24"/>
        </w:rPr>
        <w:t xml:space="preserve"> </w:t>
      </w:r>
    </w:p>
    <w:p w:rsidR="0088146B" w:rsidRPr="001946E0" w:rsidRDefault="00BD6F38" w:rsidP="0088146B">
      <w:pPr>
        <w:pStyle w:val="teksts"/>
        <w:jc w:val="center"/>
        <w:rPr>
          <w:rFonts w:ascii="Times New Roman" w:eastAsia="Calibri" w:hAnsi="Times New Roman"/>
          <w:color w:val="000000"/>
          <w:szCs w:val="24"/>
        </w:rPr>
      </w:pPr>
      <w:r>
        <w:rPr>
          <w:rFonts w:ascii="Times New Roman" w:eastAsia="Calibri" w:hAnsi="Times New Roman"/>
          <w:noProof/>
          <w:color w:val="000000"/>
          <w:szCs w:val="24"/>
          <w:lang w:eastAsia="lv-LV"/>
        </w:rPr>
        <w:pict>
          <v:shape id="Picture 2" o:spid="_x0000_i1033" type="#_x0000_t75" style="width:391.3pt;height:182.8pt;visibility:visible">
            <v:imagedata r:id="rId26" o:title="" croptop="19419f" cropright="1191f"/>
          </v:shape>
        </w:pict>
      </w:r>
    </w:p>
    <w:p w:rsidR="0088146B" w:rsidRPr="001946E0" w:rsidRDefault="0088146B" w:rsidP="0088146B">
      <w:pPr>
        <w:pStyle w:val="teksts"/>
        <w:ind w:firstLine="720"/>
        <w:jc w:val="center"/>
        <w:rPr>
          <w:rFonts w:ascii="Times New Roman" w:eastAsia="Calibri" w:hAnsi="Times New Roman"/>
          <w:color w:val="000000"/>
          <w:szCs w:val="24"/>
        </w:rPr>
      </w:pPr>
      <w:r w:rsidRPr="001946E0">
        <w:rPr>
          <w:rFonts w:ascii="Times New Roman" w:eastAsia="Calibri" w:hAnsi="Times New Roman"/>
          <w:color w:val="000000"/>
          <w:szCs w:val="24"/>
        </w:rPr>
        <w:t>4.</w:t>
      </w:r>
      <w:r w:rsidR="00702D82">
        <w:rPr>
          <w:rFonts w:ascii="Times New Roman" w:eastAsia="Calibri" w:hAnsi="Times New Roman"/>
          <w:color w:val="000000"/>
          <w:szCs w:val="24"/>
        </w:rPr>
        <w:t>4</w:t>
      </w:r>
      <w:r w:rsidRPr="001946E0">
        <w:rPr>
          <w:rFonts w:ascii="Times New Roman" w:eastAsia="Calibri" w:hAnsi="Times New Roman"/>
          <w:color w:val="000000"/>
          <w:szCs w:val="24"/>
        </w:rPr>
        <w:t>. att. Vispārējās valdības budžeta bilance, kopējie ieņēmumi un kopējie izdevumi (atbilstoši EKS metodoloģijai) 2007.</w:t>
      </w:r>
      <w:r w:rsidR="00702D82">
        <w:rPr>
          <w:rFonts w:ascii="Times New Roman" w:eastAsia="Calibri" w:hAnsi="Times New Roman"/>
          <w:color w:val="000000"/>
          <w:szCs w:val="24"/>
        </w:rPr>
        <w:t xml:space="preserve"> </w:t>
      </w:r>
      <w:r w:rsidR="0035776A">
        <w:rPr>
          <w:rFonts w:ascii="Times New Roman" w:eastAsia="Calibri" w:hAnsi="Times New Roman"/>
          <w:color w:val="000000"/>
          <w:szCs w:val="24"/>
        </w:rPr>
        <w:t>–</w:t>
      </w:r>
      <w:r w:rsidR="00702D82">
        <w:rPr>
          <w:rFonts w:ascii="Times New Roman" w:eastAsia="Calibri" w:hAnsi="Times New Roman"/>
          <w:color w:val="000000"/>
          <w:szCs w:val="24"/>
        </w:rPr>
        <w:t xml:space="preserve"> </w:t>
      </w:r>
      <w:r w:rsidRPr="001946E0">
        <w:rPr>
          <w:rFonts w:ascii="Times New Roman" w:eastAsia="Calibri" w:hAnsi="Times New Roman"/>
          <w:color w:val="000000"/>
          <w:szCs w:val="24"/>
        </w:rPr>
        <w:t xml:space="preserve">2015. gadā, </w:t>
      </w:r>
      <w:r w:rsidRPr="001946E0">
        <w:rPr>
          <w:rFonts w:ascii="Times New Roman" w:eastAsia="Calibri" w:hAnsi="Times New Roman"/>
          <w:noProof/>
          <w:color w:val="000000"/>
          <w:szCs w:val="24"/>
        </w:rPr>
        <w:t>milj. latu</w:t>
      </w:r>
      <w:r w:rsidRPr="001946E0">
        <w:rPr>
          <w:rStyle w:val="FootnoteReference"/>
          <w:rFonts w:ascii="Times New Roman" w:eastAsia="Calibri" w:hAnsi="Times New Roman"/>
          <w:noProof/>
          <w:color w:val="000000"/>
          <w:sz w:val="24"/>
          <w:szCs w:val="24"/>
        </w:rPr>
        <w:footnoteReference w:id="4"/>
      </w:r>
    </w:p>
    <w:p w:rsidR="0088146B" w:rsidRDefault="0088146B" w:rsidP="0088146B">
      <w:pPr>
        <w:pStyle w:val="teksts"/>
        <w:ind w:firstLine="720"/>
        <w:rPr>
          <w:rFonts w:ascii="Times New Roman" w:eastAsia="Calibri" w:hAnsi="Times New Roman"/>
          <w:color w:val="000000"/>
          <w:szCs w:val="24"/>
        </w:rPr>
      </w:pPr>
      <w:r w:rsidRPr="001946E0">
        <w:rPr>
          <w:rFonts w:ascii="Times New Roman" w:eastAsia="Calibri" w:hAnsi="Times New Roman"/>
          <w:color w:val="000000"/>
          <w:szCs w:val="24"/>
        </w:rPr>
        <w:lastRenderedPageBreak/>
        <w:t>Ņemot vērā iepriekšminēto t</w:t>
      </w:r>
      <w:r w:rsidRPr="007D0A5E">
        <w:rPr>
          <w:rFonts w:ascii="Times New Roman" w:eastAsia="Calibri" w:hAnsi="Times New Roman"/>
          <w:color w:val="000000"/>
          <w:szCs w:val="24"/>
        </w:rPr>
        <w:t>iek prognozēts, ka vispārējās valdības budžeta bilance Konverģences programmas periodā tiks uzlabota visos sektoros. Galvenie pieņēmumi, kas ir ņemti vērā, sagatavojot budžeta bilances prognozes sektoru sadalījumā, ir šādi.</w:t>
      </w:r>
    </w:p>
    <w:p w:rsidR="003156ED" w:rsidRPr="00FC19EF" w:rsidRDefault="003156ED" w:rsidP="0088146B">
      <w:pPr>
        <w:pStyle w:val="teksts"/>
        <w:ind w:firstLine="720"/>
        <w:rPr>
          <w:rFonts w:ascii="Times New Roman" w:eastAsia="Calibri" w:hAnsi="Times New Roman"/>
          <w:color w:val="000000"/>
          <w:szCs w:val="24"/>
        </w:rPr>
      </w:pPr>
    </w:p>
    <w:p w:rsidR="0088146B" w:rsidRPr="00566DD6" w:rsidRDefault="0088146B" w:rsidP="0088146B">
      <w:pPr>
        <w:ind w:firstLine="0"/>
        <w:jc w:val="right"/>
        <w:rPr>
          <w:color w:val="000000"/>
        </w:rPr>
      </w:pPr>
      <w:r w:rsidRPr="00566DD6">
        <w:rPr>
          <w:color w:val="000000"/>
        </w:rPr>
        <w:t xml:space="preserve">4.1. tabula. Vispārējās valdības budžeta attīstība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134"/>
        <w:gridCol w:w="992"/>
        <w:gridCol w:w="709"/>
        <w:gridCol w:w="709"/>
        <w:gridCol w:w="709"/>
        <w:gridCol w:w="708"/>
        <w:gridCol w:w="709"/>
      </w:tblGrid>
      <w:tr w:rsidR="0088146B" w:rsidRPr="001946E0" w:rsidTr="000B7045">
        <w:trPr>
          <w:cantSplit/>
          <w:tblHeader/>
        </w:trPr>
        <w:tc>
          <w:tcPr>
            <w:tcW w:w="3686" w:type="dxa"/>
            <w:vAlign w:val="center"/>
          </w:tcPr>
          <w:p w:rsidR="0088146B" w:rsidRPr="001946E0" w:rsidRDefault="0088146B" w:rsidP="00F57830">
            <w:pPr>
              <w:pStyle w:val="tabteksts"/>
              <w:jc w:val="center"/>
              <w:rPr>
                <w:b/>
                <w:color w:val="000000"/>
              </w:rPr>
            </w:pPr>
          </w:p>
        </w:tc>
        <w:tc>
          <w:tcPr>
            <w:tcW w:w="1134" w:type="dxa"/>
            <w:vAlign w:val="center"/>
          </w:tcPr>
          <w:p w:rsidR="0088146B" w:rsidRPr="001946E0" w:rsidRDefault="0088146B" w:rsidP="00F57830">
            <w:pPr>
              <w:pStyle w:val="tabteksts"/>
              <w:jc w:val="center"/>
              <w:rPr>
                <w:b/>
                <w:color w:val="000000"/>
              </w:rPr>
            </w:pPr>
          </w:p>
        </w:tc>
        <w:tc>
          <w:tcPr>
            <w:tcW w:w="992" w:type="dxa"/>
            <w:vAlign w:val="center"/>
          </w:tcPr>
          <w:p w:rsidR="0088146B" w:rsidRPr="001946E0" w:rsidRDefault="0088146B" w:rsidP="00F57830">
            <w:pPr>
              <w:pStyle w:val="tabteksts"/>
              <w:jc w:val="center"/>
              <w:rPr>
                <w:b/>
                <w:color w:val="000000"/>
              </w:rPr>
            </w:pPr>
            <w:r w:rsidRPr="001946E0">
              <w:rPr>
                <w:b/>
                <w:color w:val="000000"/>
              </w:rPr>
              <w:t>2011</w:t>
            </w:r>
          </w:p>
        </w:tc>
        <w:tc>
          <w:tcPr>
            <w:tcW w:w="709" w:type="dxa"/>
            <w:vAlign w:val="center"/>
          </w:tcPr>
          <w:p w:rsidR="0088146B" w:rsidRPr="001946E0" w:rsidRDefault="0088146B" w:rsidP="00F57830">
            <w:pPr>
              <w:pStyle w:val="tabteksts"/>
              <w:jc w:val="center"/>
              <w:rPr>
                <w:b/>
                <w:color w:val="000000"/>
              </w:rPr>
            </w:pPr>
            <w:r w:rsidRPr="001946E0">
              <w:rPr>
                <w:b/>
                <w:color w:val="000000"/>
              </w:rPr>
              <w:t>2011</w:t>
            </w:r>
          </w:p>
        </w:tc>
        <w:tc>
          <w:tcPr>
            <w:tcW w:w="709" w:type="dxa"/>
            <w:vAlign w:val="center"/>
          </w:tcPr>
          <w:p w:rsidR="0088146B" w:rsidRPr="001946E0" w:rsidRDefault="0088146B" w:rsidP="00F57830">
            <w:pPr>
              <w:pStyle w:val="tabteksts"/>
              <w:jc w:val="center"/>
              <w:rPr>
                <w:b/>
                <w:color w:val="000000"/>
              </w:rPr>
            </w:pPr>
            <w:r w:rsidRPr="001946E0">
              <w:rPr>
                <w:b/>
                <w:color w:val="000000"/>
              </w:rPr>
              <w:t>2012</w:t>
            </w:r>
          </w:p>
        </w:tc>
        <w:tc>
          <w:tcPr>
            <w:tcW w:w="709" w:type="dxa"/>
            <w:vAlign w:val="center"/>
          </w:tcPr>
          <w:p w:rsidR="0088146B" w:rsidRPr="001946E0" w:rsidRDefault="0088146B" w:rsidP="00F57830">
            <w:pPr>
              <w:pStyle w:val="tabteksts"/>
              <w:jc w:val="center"/>
              <w:rPr>
                <w:b/>
                <w:color w:val="000000"/>
              </w:rPr>
            </w:pPr>
            <w:r w:rsidRPr="001946E0">
              <w:rPr>
                <w:b/>
                <w:color w:val="000000"/>
              </w:rPr>
              <w:t>2013</w:t>
            </w:r>
          </w:p>
        </w:tc>
        <w:tc>
          <w:tcPr>
            <w:tcW w:w="708" w:type="dxa"/>
            <w:vAlign w:val="center"/>
          </w:tcPr>
          <w:p w:rsidR="0088146B" w:rsidRPr="001946E0" w:rsidRDefault="0088146B" w:rsidP="00F57830">
            <w:pPr>
              <w:pStyle w:val="tabteksts"/>
              <w:jc w:val="center"/>
              <w:rPr>
                <w:b/>
                <w:color w:val="000000"/>
              </w:rPr>
            </w:pPr>
            <w:r w:rsidRPr="001946E0">
              <w:rPr>
                <w:b/>
                <w:color w:val="000000"/>
              </w:rPr>
              <w:t>2014</w:t>
            </w:r>
          </w:p>
        </w:tc>
        <w:tc>
          <w:tcPr>
            <w:tcW w:w="709" w:type="dxa"/>
            <w:vAlign w:val="center"/>
          </w:tcPr>
          <w:p w:rsidR="0088146B" w:rsidRPr="001946E0" w:rsidRDefault="0088146B" w:rsidP="00F57830">
            <w:pPr>
              <w:pStyle w:val="tabteksts"/>
              <w:jc w:val="center"/>
              <w:rPr>
                <w:b/>
                <w:color w:val="000000"/>
              </w:rPr>
            </w:pPr>
            <w:r w:rsidRPr="001946E0">
              <w:rPr>
                <w:b/>
                <w:color w:val="000000"/>
              </w:rPr>
              <w:t>2015</w:t>
            </w:r>
          </w:p>
        </w:tc>
      </w:tr>
      <w:tr w:rsidR="0088146B" w:rsidRPr="001946E0" w:rsidTr="000B7045">
        <w:trPr>
          <w:cantSplit/>
          <w:tblHeader/>
        </w:trPr>
        <w:tc>
          <w:tcPr>
            <w:tcW w:w="3686" w:type="dxa"/>
            <w:vAlign w:val="center"/>
          </w:tcPr>
          <w:p w:rsidR="0088146B" w:rsidRPr="001946E0" w:rsidRDefault="0088146B" w:rsidP="00F57830">
            <w:pPr>
              <w:pStyle w:val="tabteksts"/>
              <w:rPr>
                <w:color w:val="000000"/>
              </w:rPr>
            </w:pPr>
          </w:p>
        </w:tc>
        <w:tc>
          <w:tcPr>
            <w:tcW w:w="1134" w:type="dxa"/>
            <w:vAlign w:val="center"/>
          </w:tcPr>
          <w:p w:rsidR="0088146B" w:rsidRPr="001946E0" w:rsidRDefault="0088146B" w:rsidP="00F57830">
            <w:pPr>
              <w:pStyle w:val="tabteksts"/>
              <w:jc w:val="center"/>
              <w:rPr>
                <w:color w:val="000000"/>
              </w:rPr>
            </w:pPr>
            <w:r w:rsidRPr="001946E0">
              <w:rPr>
                <w:color w:val="000000"/>
              </w:rPr>
              <w:t>EKS kods</w:t>
            </w:r>
          </w:p>
        </w:tc>
        <w:tc>
          <w:tcPr>
            <w:tcW w:w="992" w:type="dxa"/>
            <w:vAlign w:val="center"/>
          </w:tcPr>
          <w:p w:rsidR="0088146B" w:rsidRPr="001946E0" w:rsidRDefault="0088146B" w:rsidP="00F57830">
            <w:pPr>
              <w:pStyle w:val="tabteksts"/>
              <w:jc w:val="center"/>
              <w:rPr>
                <w:noProof/>
                <w:color w:val="000000"/>
              </w:rPr>
            </w:pPr>
            <w:r w:rsidRPr="001946E0">
              <w:rPr>
                <w:noProof/>
                <w:color w:val="000000"/>
              </w:rPr>
              <w:t>milj. latu</w:t>
            </w:r>
          </w:p>
        </w:tc>
        <w:tc>
          <w:tcPr>
            <w:tcW w:w="3544" w:type="dxa"/>
            <w:gridSpan w:val="5"/>
            <w:vAlign w:val="center"/>
          </w:tcPr>
          <w:p w:rsidR="0088146B" w:rsidRPr="001946E0" w:rsidRDefault="0088146B" w:rsidP="00F57830">
            <w:pPr>
              <w:pStyle w:val="tabteksts"/>
              <w:jc w:val="center"/>
              <w:rPr>
                <w:color w:val="000000"/>
              </w:rPr>
            </w:pPr>
            <w:r w:rsidRPr="001946E0">
              <w:rPr>
                <w:color w:val="000000"/>
              </w:rPr>
              <w:t>% no IKP</w:t>
            </w:r>
          </w:p>
        </w:tc>
      </w:tr>
      <w:tr w:rsidR="000B7045" w:rsidRPr="001946E0" w:rsidTr="00B86F46">
        <w:trPr>
          <w:cantSplit/>
        </w:trPr>
        <w:tc>
          <w:tcPr>
            <w:tcW w:w="9356" w:type="dxa"/>
            <w:gridSpan w:val="8"/>
            <w:vAlign w:val="center"/>
          </w:tcPr>
          <w:p w:rsidR="000B7045" w:rsidRPr="001946E0" w:rsidRDefault="000B7045" w:rsidP="00F57830">
            <w:pPr>
              <w:pStyle w:val="tabteksts"/>
              <w:jc w:val="center"/>
              <w:rPr>
                <w:b/>
                <w:snapToGrid w:val="0"/>
                <w:color w:val="000000"/>
              </w:rPr>
            </w:pPr>
            <w:r w:rsidRPr="001946E0">
              <w:rPr>
                <w:b/>
                <w:snapToGrid w:val="0"/>
                <w:color w:val="000000"/>
              </w:rPr>
              <w:t xml:space="preserve">Neto aizdevumi (EDP B.9) pa </w:t>
            </w:r>
            <w:r w:rsidRPr="001946E0">
              <w:rPr>
                <w:b/>
                <w:noProof/>
                <w:snapToGrid w:val="0"/>
                <w:color w:val="000000"/>
              </w:rPr>
              <w:t>apakšsektoriem</w:t>
            </w:r>
          </w:p>
        </w:tc>
      </w:tr>
      <w:tr w:rsidR="0088146B" w:rsidRPr="001946E0" w:rsidTr="000B7045">
        <w:trPr>
          <w:cantSplit/>
        </w:trPr>
        <w:tc>
          <w:tcPr>
            <w:tcW w:w="3686" w:type="dxa"/>
            <w:vAlign w:val="center"/>
          </w:tcPr>
          <w:p w:rsidR="0088146B" w:rsidRPr="001946E0" w:rsidRDefault="0088146B" w:rsidP="00F57830">
            <w:pPr>
              <w:pStyle w:val="tabteksts"/>
              <w:rPr>
                <w:snapToGrid w:val="0"/>
                <w:color w:val="000000"/>
              </w:rPr>
            </w:pPr>
            <w:r w:rsidRPr="001946E0">
              <w:rPr>
                <w:snapToGrid w:val="0"/>
                <w:color w:val="000000"/>
              </w:rPr>
              <w:t>1. Vispārējā valdība</w:t>
            </w:r>
          </w:p>
        </w:tc>
        <w:tc>
          <w:tcPr>
            <w:tcW w:w="1134" w:type="dxa"/>
            <w:vAlign w:val="center"/>
          </w:tcPr>
          <w:p w:rsidR="0088146B" w:rsidRPr="001946E0" w:rsidRDefault="0088146B" w:rsidP="00F57830">
            <w:pPr>
              <w:pStyle w:val="tabteksts"/>
              <w:rPr>
                <w:color w:val="000000"/>
              </w:rPr>
            </w:pPr>
            <w:r w:rsidRPr="001946E0">
              <w:rPr>
                <w:color w:val="000000"/>
              </w:rPr>
              <w:t>S.13</w:t>
            </w:r>
          </w:p>
        </w:tc>
        <w:tc>
          <w:tcPr>
            <w:tcW w:w="992" w:type="dxa"/>
            <w:vAlign w:val="center"/>
          </w:tcPr>
          <w:p w:rsidR="0088146B" w:rsidRPr="001946E0" w:rsidRDefault="0088146B" w:rsidP="00F57830">
            <w:pPr>
              <w:pStyle w:val="tabteksts"/>
              <w:jc w:val="right"/>
              <w:rPr>
                <w:snapToGrid w:val="0"/>
                <w:color w:val="000000"/>
              </w:rPr>
            </w:pPr>
            <w:r w:rsidRPr="001946E0">
              <w:rPr>
                <w:snapToGrid w:val="0"/>
                <w:color w:val="000000"/>
              </w:rPr>
              <w:t>-494,1</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-3,5</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-2,1</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-1,4</w:t>
            </w:r>
          </w:p>
        </w:tc>
        <w:tc>
          <w:tcPr>
            <w:tcW w:w="708" w:type="dxa"/>
            <w:vAlign w:val="center"/>
          </w:tcPr>
          <w:p w:rsidR="0088146B" w:rsidRPr="001946E0" w:rsidRDefault="0088146B" w:rsidP="00F57830">
            <w:pPr>
              <w:pStyle w:val="tabteksts"/>
              <w:jc w:val="right"/>
              <w:rPr>
                <w:snapToGrid w:val="0"/>
                <w:color w:val="000000"/>
              </w:rPr>
            </w:pPr>
            <w:r w:rsidRPr="001946E0">
              <w:rPr>
                <w:snapToGrid w:val="0"/>
                <w:color w:val="000000"/>
              </w:rPr>
              <w:t>-0,8</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-0,3</w:t>
            </w:r>
          </w:p>
        </w:tc>
      </w:tr>
      <w:tr w:rsidR="0088146B" w:rsidRPr="001946E0" w:rsidTr="000B7045">
        <w:trPr>
          <w:cantSplit/>
        </w:trPr>
        <w:tc>
          <w:tcPr>
            <w:tcW w:w="3686" w:type="dxa"/>
            <w:vAlign w:val="center"/>
          </w:tcPr>
          <w:p w:rsidR="0088146B" w:rsidRPr="001946E0" w:rsidRDefault="0088146B" w:rsidP="00F57830">
            <w:pPr>
              <w:pStyle w:val="tabteksts"/>
              <w:rPr>
                <w:snapToGrid w:val="0"/>
                <w:color w:val="000000"/>
              </w:rPr>
            </w:pPr>
            <w:r w:rsidRPr="001946E0">
              <w:rPr>
                <w:snapToGrid w:val="0"/>
                <w:color w:val="000000"/>
              </w:rPr>
              <w:t>2. Centrālā valdība</w:t>
            </w:r>
          </w:p>
        </w:tc>
        <w:tc>
          <w:tcPr>
            <w:tcW w:w="1134" w:type="dxa"/>
            <w:vAlign w:val="center"/>
          </w:tcPr>
          <w:p w:rsidR="0088146B" w:rsidRPr="001946E0" w:rsidRDefault="0088146B" w:rsidP="00F57830">
            <w:pPr>
              <w:pStyle w:val="tabteksts"/>
              <w:rPr>
                <w:color w:val="000000"/>
              </w:rPr>
            </w:pPr>
            <w:r w:rsidRPr="001946E0">
              <w:rPr>
                <w:color w:val="000000"/>
              </w:rPr>
              <w:t>S.1311</w:t>
            </w:r>
          </w:p>
        </w:tc>
        <w:tc>
          <w:tcPr>
            <w:tcW w:w="992" w:type="dxa"/>
            <w:vAlign w:val="center"/>
          </w:tcPr>
          <w:p w:rsidR="0088146B" w:rsidRPr="001946E0" w:rsidRDefault="0088146B" w:rsidP="00F57830">
            <w:pPr>
              <w:pStyle w:val="tabteksts"/>
              <w:jc w:val="right"/>
              <w:rPr>
                <w:snapToGrid w:val="0"/>
                <w:color w:val="000000"/>
              </w:rPr>
            </w:pPr>
            <w:r w:rsidRPr="001946E0">
              <w:rPr>
                <w:snapToGrid w:val="0"/>
                <w:color w:val="000000"/>
              </w:rPr>
              <w:t>-307,5</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-2,2</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-0,6</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-0,1</w:t>
            </w:r>
          </w:p>
        </w:tc>
        <w:tc>
          <w:tcPr>
            <w:tcW w:w="708" w:type="dxa"/>
            <w:vAlign w:val="center"/>
          </w:tcPr>
          <w:p w:rsidR="0088146B" w:rsidRPr="00734486" w:rsidRDefault="0088146B" w:rsidP="00F57830">
            <w:pPr>
              <w:pStyle w:val="tabteksts"/>
              <w:jc w:val="right"/>
              <w:rPr>
                <w:snapToGrid w:val="0"/>
                <w:color w:val="000000"/>
              </w:rPr>
            </w:pPr>
            <w:r w:rsidRPr="00734486">
              <w:rPr>
                <w:snapToGrid w:val="0"/>
                <w:color w:val="000000"/>
              </w:rPr>
              <w:t>-0,6</w:t>
            </w:r>
          </w:p>
        </w:tc>
        <w:tc>
          <w:tcPr>
            <w:tcW w:w="709" w:type="dxa"/>
            <w:vAlign w:val="center"/>
          </w:tcPr>
          <w:p w:rsidR="0088146B" w:rsidRPr="00734486" w:rsidRDefault="0088146B" w:rsidP="00F57830">
            <w:pPr>
              <w:pStyle w:val="tabteksts"/>
              <w:jc w:val="right"/>
              <w:rPr>
                <w:snapToGrid w:val="0"/>
                <w:color w:val="000000"/>
              </w:rPr>
            </w:pPr>
            <w:r w:rsidRPr="00734486">
              <w:rPr>
                <w:snapToGrid w:val="0"/>
                <w:color w:val="000000"/>
              </w:rPr>
              <w:t>-0,4</w:t>
            </w:r>
          </w:p>
        </w:tc>
      </w:tr>
      <w:tr w:rsidR="0088146B" w:rsidRPr="001946E0" w:rsidTr="000B7045">
        <w:trPr>
          <w:cantSplit/>
          <w:trHeight w:val="133"/>
        </w:trPr>
        <w:tc>
          <w:tcPr>
            <w:tcW w:w="3686" w:type="dxa"/>
            <w:vAlign w:val="center"/>
          </w:tcPr>
          <w:p w:rsidR="0088146B" w:rsidRPr="001946E0" w:rsidRDefault="0088146B" w:rsidP="00F57830">
            <w:pPr>
              <w:pStyle w:val="tabteksts"/>
              <w:rPr>
                <w:snapToGrid w:val="0"/>
                <w:color w:val="000000"/>
              </w:rPr>
            </w:pPr>
            <w:r w:rsidRPr="001946E0">
              <w:rPr>
                <w:snapToGrid w:val="0"/>
                <w:color w:val="000000"/>
              </w:rPr>
              <w:t>3. Pavalsts valdība</w:t>
            </w:r>
          </w:p>
        </w:tc>
        <w:tc>
          <w:tcPr>
            <w:tcW w:w="1134" w:type="dxa"/>
            <w:vAlign w:val="center"/>
          </w:tcPr>
          <w:p w:rsidR="0088146B" w:rsidRPr="001946E0" w:rsidRDefault="0088146B" w:rsidP="00F57830">
            <w:pPr>
              <w:pStyle w:val="tabteksts"/>
              <w:rPr>
                <w:color w:val="000000"/>
              </w:rPr>
            </w:pPr>
            <w:r w:rsidRPr="001946E0">
              <w:rPr>
                <w:color w:val="000000"/>
              </w:rPr>
              <w:t>S.1312</w:t>
            </w:r>
          </w:p>
        </w:tc>
        <w:tc>
          <w:tcPr>
            <w:tcW w:w="992" w:type="dxa"/>
            <w:vAlign w:val="center"/>
          </w:tcPr>
          <w:p w:rsidR="0088146B" w:rsidRPr="001946E0" w:rsidRDefault="0088146B" w:rsidP="00F57830">
            <w:pPr>
              <w:pStyle w:val="tabteksts"/>
              <w:jc w:val="right"/>
              <w:rPr>
                <w:snapToGrid w:val="0"/>
                <w:color w:val="000000"/>
              </w:rPr>
            </w:pPr>
          </w:p>
        </w:tc>
        <w:tc>
          <w:tcPr>
            <w:tcW w:w="709" w:type="dxa"/>
            <w:vAlign w:val="center"/>
          </w:tcPr>
          <w:p w:rsidR="0088146B" w:rsidRPr="001946E0" w:rsidRDefault="0088146B" w:rsidP="00F57830">
            <w:pPr>
              <w:pStyle w:val="tabteksts"/>
              <w:jc w:val="right"/>
              <w:rPr>
                <w:snapToGrid w:val="0"/>
                <w:color w:val="000000"/>
              </w:rPr>
            </w:pPr>
          </w:p>
        </w:tc>
        <w:tc>
          <w:tcPr>
            <w:tcW w:w="709" w:type="dxa"/>
            <w:vAlign w:val="center"/>
          </w:tcPr>
          <w:p w:rsidR="0088146B" w:rsidRPr="001946E0" w:rsidRDefault="0088146B" w:rsidP="00F57830">
            <w:pPr>
              <w:pStyle w:val="tabteksts"/>
              <w:jc w:val="right"/>
              <w:rPr>
                <w:snapToGrid w:val="0"/>
                <w:color w:val="000000"/>
              </w:rPr>
            </w:pPr>
          </w:p>
        </w:tc>
        <w:tc>
          <w:tcPr>
            <w:tcW w:w="709" w:type="dxa"/>
            <w:vAlign w:val="center"/>
          </w:tcPr>
          <w:p w:rsidR="0088146B" w:rsidRPr="001946E0" w:rsidRDefault="0088146B" w:rsidP="00F57830">
            <w:pPr>
              <w:pStyle w:val="tabteksts"/>
              <w:jc w:val="right"/>
              <w:rPr>
                <w:snapToGrid w:val="0"/>
                <w:color w:val="000000"/>
              </w:rPr>
            </w:pPr>
          </w:p>
        </w:tc>
        <w:tc>
          <w:tcPr>
            <w:tcW w:w="708" w:type="dxa"/>
            <w:vAlign w:val="center"/>
          </w:tcPr>
          <w:p w:rsidR="0088146B" w:rsidRPr="001946E0" w:rsidRDefault="0088146B" w:rsidP="00F57830">
            <w:pPr>
              <w:pStyle w:val="tabteksts"/>
              <w:jc w:val="right"/>
              <w:rPr>
                <w:snapToGrid w:val="0"/>
                <w:color w:val="000000"/>
              </w:rPr>
            </w:pPr>
          </w:p>
        </w:tc>
        <w:tc>
          <w:tcPr>
            <w:tcW w:w="709" w:type="dxa"/>
            <w:vAlign w:val="center"/>
          </w:tcPr>
          <w:p w:rsidR="0088146B" w:rsidRPr="001946E0" w:rsidRDefault="0088146B" w:rsidP="00F57830">
            <w:pPr>
              <w:pStyle w:val="tabteksts"/>
              <w:jc w:val="right"/>
              <w:rPr>
                <w:snapToGrid w:val="0"/>
                <w:color w:val="000000"/>
              </w:rPr>
            </w:pPr>
          </w:p>
        </w:tc>
      </w:tr>
      <w:tr w:rsidR="0088146B" w:rsidRPr="001946E0" w:rsidTr="000B7045">
        <w:trPr>
          <w:cantSplit/>
        </w:trPr>
        <w:tc>
          <w:tcPr>
            <w:tcW w:w="3686" w:type="dxa"/>
            <w:vAlign w:val="center"/>
          </w:tcPr>
          <w:p w:rsidR="0088146B" w:rsidRPr="001946E0" w:rsidRDefault="0088146B" w:rsidP="00F57830">
            <w:pPr>
              <w:pStyle w:val="tabteksts"/>
              <w:rPr>
                <w:snapToGrid w:val="0"/>
                <w:color w:val="000000"/>
              </w:rPr>
            </w:pPr>
            <w:r w:rsidRPr="001946E0">
              <w:rPr>
                <w:snapToGrid w:val="0"/>
                <w:color w:val="000000"/>
              </w:rPr>
              <w:t>4. Vietējā valdība</w:t>
            </w:r>
          </w:p>
        </w:tc>
        <w:tc>
          <w:tcPr>
            <w:tcW w:w="1134" w:type="dxa"/>
            <w:vAlign w:val="center"/>
          </w:tcPr>
          <w:p w:rsidR="0088146B" w:rsidRPr="001946E0" w:rsidRDefault="0088146B" w:rsidP="00F57830">
            <w:pPr>
              <w:pStyle w:val="tabteksts"/>
              <w:rPr>
                <w:color w:val="000000"/>
              </w:rPr>
            </w:pPr>
            <w:r w:rsidRPr="001946E0">
              <w:rPr>
                <w:color w:val="000000"/>
              </w:rPr>
              <w:t>S.1313</w:t>
            </w:r>
          </w:p>
        </w:tc>
        <w:tc>
          <w:tcPr>
            <w:tcW w:w="992" w:type="dxa"/>
            <w:vAlign w:val="center"/>
          </w:tcPr>
          <w:p w:rsidR="0088146B" w:rsidRPr="001946E0" w:rsidRDefault="0088146B" w:rsidP="00F57830">
            <w:pPr>
              <w:pStyle w:val="tabteksts"/>
              <w:jc w:val="right"/>
              <w:rPr>
                <w:snapToGrid w:val="0"/>
                <w:color w:val="000000"/>
              </w:rPr>
            </w:pPr>
            <w:r w:rsidRPr="001946E0">
              <w:rPr>
                <w:snapToGrid w:val="0"/>
                <w:color w:val="000000"/>
              </w:rPr>
              <w:t>-60,9</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-0,4</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-0,4</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-0,1</w:t>
            </w:r>
          </w:p>
        </w:tc>
        <w:tc>
          <w:tcPr>
            <w:tcW w:w="708" w:type="dxa"/>
            <w:vAlign w:val="center"/>
          </w:tcPr>
          <w:p w:rsidR="0088146B" w:rsidRPr="001946E0" w:rsidRDefault="0088146B" w:rsidP="00F57830">
            <w:pPr>
              <w:pStyle w:val="tabteksts"/>
              <w:jc w:val="right"/>
              <w:rPr>
                <w:snapToGrid w:val="0"/>
                <w:color w:val="000000"/>
              </w:rPr>
            </w:pPr>
            <w:r w:rsidRPr="001946E0">
              <w:rPr>
                <w:snapToGrid w:val="0"/>
                <w:color w:val="000000"/>
              </w:rPr>
              <w:t>0,0</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0,0</w:t>
            </w:r>
          </w:p>
        </w:tc>
      </w:tr>
      <w:tr w:rsidR="0088146B" w:rsidRPr="001946E0" w:rsidTr="000B7045">
        <w:trPr>
          <w:cantSplit/>
        </w:trPr>
        <w:tc>
          <w:tcPr>
            <w:tcW w:w="3686" w:type="dxa"/>
            <w:vAlign w:val="center"/>
          </w:tcPr>
          <w:p w:rsidR="0088146B" w:rsidRPr="001946E0" w:rsidRDefault="0088146B" w:rsidP="00F57830">
            <w:pPr>
              <w:pStyle w:val="tabteksts"/>
              <w:rPr>
                <w:snapToGrid w:val="0"/>
                <w:color w:val="000000"/>
              </w:rPr>
            </w:pPr>
            <w:r w:rsidRPr="001946E0">
              <w:rPr>
                <w:snapToGrid w:val="0"/>
                <w:color w:val="000000"/>
              </w:rPr>
              <w:t>5. Sociālās nodrošināšanas fondi</w:t>
            </w:r>
          </w:p>
        </w:tc>
        <w:tc>
          <w:tcPr>
            <w:tcW w:w="1134" w:type="dxa"/>
            <w:vAlign w:val="center"/>
          </w:tcPr>
          <w:p w:rsidR="0088146B" w:rsidRPr="001946E0" w:rsidRDefault="0088146B" w:rsidP="00F57830">
            <w:pPr>
              <w:pStyle w:val="tabteksts"/>
              <w:rPr>
                <w:color w:val="000000"/>
              </w:rPr>
            </w:pPr>
            <w:r w:rsidRPr="001946E0">
              <w:rPr>
                <w:color w:val="000000"/>
              </w:rPr>
              <w:t>S.1314</w:t>
            </w:r>
          </w:p>
        </w:tc>
        <w:tc>
          <w:tcPr>
            <w:tcW w:w="992" w:type="dxa"/>
            <w:vAlign w:val="center"/>
          </w:tcPr>
          <w:p w:rsidR="0088146B" w:rsidRPr="001946E0" w:rsidRDefault="0088146B" w:rsidP="00F57830">
            <w:pPr>
              <w:pStyle w:val="tabteksts"/>
              <w:jc w:val="right"/>
              <w:rPr>
                <w:snapToGrid w:val="0"/>
                <w:color w:val="000000"/>
              </w:rPr>
            </w:pPr>
            <w:r w:rsidRPr="001946E0">
              <w:rPr>
                <w:snapToGrid w:val="0"/>
                <w:color w:val="000000"/>
              </w:rPr>
              <w:t>-125,7</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-0,9</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-1,0</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-1,2</w:t>
            </w:r>
          </w:p>
        </w:tc>
        <w:tc>
          <w:tcPr>
            <w:tcW w:w="708" w:type="dxa"/>
            <w:vAlign w:val="center"/>
          </w:tcPr>
          <w:p w:rsidR="0088146B" w:rsidRPr="001946E0" w:rsidRDefault="0088146B" w:rsidP="00F57830">
            <w:pPr>
              <w:pStyle w:val="tabteksts"/>
              <w:jc w:val="right"/>
              <w:rPr>
                <w:snapToGrid w:val="0"/>
                <w:color w:val="000000"/>
              </w:rPr>
            </w:pPr>
            <w:r w:rsidRPr="001946E0">
              <w:rPr>
                <w:snapToGrid w:val="0"/>
                <w:color w:val="000000"/>
              </w:rPr>
              <w:t>-0,2</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0,1</w:t>
            </w:r>
          </w:p>
        </w:tc>
      </w:tr>
      <w:tr w:rsidR="000B7045" w:rsidRPr="001946E0" w:rsidTr="00B86F46">
        <w:trPr>
          <w:cantSplit/>
        </w:trPr>
        <w:tc>
          <w:tcPr>
            <w:tcW w:w="9356" w:type="dxa"/>
            <w:gridSpan w:val="8"/>
            <w:vAlign w:val="center"/>
          </w:tcPr>
          <w:p w:rsidR="000B7045" w:rsidRPr="001946E0" w:rsidRDefault="000B7045" w:rsidP="00F57830">
            <w:pPr>
              <w:pStyle w:val="tabteksts"/>
              <w:jc w:val="center"/>
              <w:rPr>
                <w:b/>
                <w:snapToGrid w:val="0"/>
                <w:color w:val="000000"/>
              </w:rPr>
            </w:pPr>
            <w:r w:rsidRPr="001946E0">
              <w:rPr>
                <w:b/>
                <w:snapToGrid w:val="0"/>
                <w:color w:val="000000"/>
              </w:rPr>
              <w:t>Vispārējā valdība (S.13)</w:t>
            </w:r>
          </w:p>
        </w:tc>
      </w:tr>
      <w:tr w:rsidR="0088146B" w:rsidRPr="001946E0" w:rsidTr="000B7045">
        <w:trPr>
          <w:cantSplit/>
        </w:trPr>
        <w:tc>
          <w:tcPr>
            <w:tcW w:w="3686" w:type="dxa"/>
            <w:vAlign w:val="center"/>
          </w:tcPr>
          <w:p w:rsidR="0088146B" w:rsidRPr="001946E0" w:rsidRDefault="0088146B" w:rsidP="00F57830">
            <w:pPr>
              <w:pStyle w:val="tabteksts"/>
              <w:rPr>
                <w:snapToGrid w:val="0"/>
                <w:color w:val="000000"/>
              </w:rPr>
            </w:pPr>
            <w:r w:rsidRPr="001946E0">
              <w:rPr>
                <w:snapToGrid w:val="0"/>
                <w:color w:val="000000"/>
              </w:rPr>
              <w:t xml:space="preserve">6. Kopējie ieņēmumi </w:t>
            </w:r>
          </w:p>
        </w:tc>
        <w:tc>
          <w:tcPr>
            <w:tcW w:w="1134" w:type="dxa"/>
            <w:vAlign w:val="center"/>
          </w:tcPr>
          <w:p w:rsidR="0088146B" w:rsidRPr="001946E0" w:rsidRDefault="0088146B" w:rsidP="00F57830">
            <w:pPr>
              <w:pStyle w:val="tabteksts"/>
              <w:rPr>
                <w:color w:val="000000"/>
              </w:rPr>
            </w:pPr>
            <w:r w:rsidRPr="001946E0">
              <w:rPr>
                <w:color w:val="000000"/>
              </w:rPr>
              <w:t>TR</w:t>
            </w:r>
          </w:p>
        </w:tc>
        <w:tc>
          <w:tcPr>
            <w:tcW w:w="992" w:type="dxa"/>
            <w:vAlign w:val="center"/>
          </w:tcPr>
          <w:p w:rsidR="0088146B" w:rsidRPr="001946E0" w:rsidRDefault="0088146B" w:rsidP="00F57830">
            <w:pPr>
              <w:pStyle w:val="tabteksts"/>
              <w:jc w:val="right"/>
              <w:rPr>
                <w:snapToGrid w:val="0"/>
                <w:color w:val="000000"/>
              </w:rPr>
            </w:pPr>
            <w:r w:rsidRPr="001946E0">
              <w:rPr>
                <w:snapToGrid w:val="0"/>
                <w:color w:val="000000"/>
              </w:rPr>
              <w:t>5039,6</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35,6</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37,4</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35,1</w:t>
            </w:r>
          </w:p>
        </w:tc>
        <w:tc>
          <w:tcPr>
            <w:tcW w:w="708" w:type="dxa"/>
            <w:vAlign w:val="center"/>
          </w:tcPr>
          <w:p w:rsidR="0088146B" w:rsidRPr="001946E0" w:rsidRDefault="0088146B" w:rsidP="00F57830">
            <w:pPr>
              <w:pStyle w:val="tabteksts"/>
              <w:jc w:val="right"/>
              <w:rPr>
                <w:snapToGrid w:val="0"/>
                <w:color w:val="000000"/>
              </w:rPr>
            </w:pPr>
            <w:r w:rsidRPr="001946E0">
              <w:rPr>
                <w:snapToGrid w:val="0"/>
                <w:color w:val="000000"/>
              </w:rPr>
              <w:t>34,1</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32,8</w:t>
            </w:r>
          </w:p>
        </w:tc>
      </w:tr>
      <w:tr w:rsidR="0088146B" w:rsidRPr="001946E0" w:rsidTr="000B7045">
        <w:trPr>
          <w:cantSplit/>
          <w:trHeight w:val="158"/>
        </w:trPr>
        <w:tc>
          <w:tcPr>
            <w:tcW w:w="3686" w:type="dxa"/>
            <w:vAlign w:val="center"/>
          </w:tcPr>
          <w:p w:rsidR="0088146B" w:rsidRPr="001946E0" w:rsidRDefault="0088146B" w:rsidP="00F57830">
            <w:pPr>
              <w:pStyle w:val="tabteksts"/>
              <w:rPr>
                <w:snapToGrid w:val="0"/>
                <w:color w:val="000000"/>
              </w:rPr>
            </w:pPr>
            <w:r w:rsidRPr="001946E0">
              <w:rPr>
                <w:snapToGrid w:val="0"/>
                <w:color w:val="000000"/>
              </w:rPr>
              <w:t>7. Kopējie izdevumi</w:t>
            </w:r>
          </w:p>
        </w:tc>
        <w:tc>
          <w:tcPr>
            <w:tcW w:w="1134" w:type="dxa"/>
            <w:vAlign w:val="center"/>
          </w:tcPr>
          <w:p w:rsidR="0088146B" w:rsidRPr="001946E0" w:rsidRDefault="0088146B" w:rsidP="00F57830">
            <w:pPr>
              <w:pStyle w:val="tabteksts"/>
              <w:rPr>
                <w:color w:val="000000"/>
              </w:rPr>
            </w:pPr>
            <w:r w:rsidRPr="001946E0">
              <w:rPr>
                <w:color w:val="000000"/>
              </w:rPr>
              <w:t>TE</w:t>
            </w:r>
          </w:p>
        </w:tc>
        <w:tc>
          <w:tcPr>
            <w:tcW w:w="992" w:type="dxa"/>
            <w:vAlign w:val="center"/>
          </w:tcPr>
          <w:p w:rsidR="0088146B" w:rsidRPr="001946E0" w:rsidRDefault="0088146B" w:rsidP="00F57830">
            <w:pPr>
              <w:pStyle w:val="tabteksts"/>
              <w:jc w:val="right"/>
              <w:rPr>
                <w:snapToGrid w:val="0"/>
                <w:color w:val="000000"/>
              </w:rPr>
            </w:pPr>
            <w:r w:rsidRPr="001946E0">
              <w:rPr>
                <w:snapToGrid w:val="0"/>
                <w:color w:val="000000"/>
              </w:rPr>
              <w:t>5533,7</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39,1</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39,5</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36,5</w:t>
            </w:r>
          </w:p>
        </w:tc>
        <w:tc>
          <w:tcPr>
            <w:tcW w:w="708" w:type="dxa"/>
            <w:vAlign w:val="center"/>
          </w:tcPr>
          <w:p w:rsidR="0088146B" w:rsidRPr="001946E0" w:rsidRDefault="0088146B" w:rsidP="00F57830">
            <w:pPr>
              <w:pStyle w:val="tabteksts"/>
              <w:jc w:val="right"/>
              <w:rPr>
                <w:snapToGrid w:val="0"/>
                <w:color w:val="000000"/>
              </w:rPr>
            </w:pPr>
            <w:r w:rsidRPr="001946E0">
              <w:rPr>
                <w:snapToGrid w:val="0"/>
                <w:color w:val="000000"/>
              </w:rPr>
              <w:t>34,9</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33,1</w:t>
            </w:r>
          </w:p>
        </w:tc>
      </w:tr>
      <w:tr w:rsidR="0088146B" w:rsidRPr="001946E0" w:rsidTr="000B7045">
        <w:trPr>
          <w:cantSplit/>
        </w:trPr>
        <w:tc>
          <w:tcPr>
            <w:tcW w:w="3686" w:type="dxa"/>
            <w:vAlign w:val="center"/>
          </w:tcPr>
          <w:p w:rsidR="0088146B" w:rsidRPr="001946E0" w:rsidRDefault="0088146B" w:rsidP="00F57830">
            <w:pPr>
              <w:pStyle w:val="tabteksts"/>
              <w:rPr>
                <w:snapToGrid w:val="0"/>
                <w:color w:val="000000"/>
              </w:rPr>
            </w:pPr>
            <w:r w:rsidRPr="001946E0">
              <w:rPr>
                <w:snapToGrid w:val="0"/>
                <w:color w:val="000000"/>
              </w:rPr>
              <w:t>8. Budžeta bilance</w:t>
            </w:r>
          </w:p>
        </w:tc>
        <w:tc>
          <w:tcPr>
            <w:tcW w:w="1134" w:type="dxa"/>
            <w:vAlign w:val="center"/>
          </w:tcPr>
          <w:p w:rsidR="0088146B" w:rsidRPr="001946E0" w:rsidRDefault="0088146B" w:rsidP="00F57830">
            <w:pPr>
              <w:pStyle w:val="tabteksts"/>
              <w:rPr>
                <w:color w:val="000000"/>
              </w:rPr>
            </w:pPr>
            <w:r w:rsidRPr="001946E0">
              <w:rPr>
                <w:color w:val="000000"/>
              </w:rPr>
              <w:t>EDP B.9</w:t>
            </w:r>
          </w:p>
        </w:tc>
        <w:tc>
          <w:tcPr>
            <w:tcW w:w="992" w:type="dxa"/>
            <w:vAlign w:val="center"/>
          </w:tcPr>
          <w:p w:rsidR="0088146B" w:rsidRPr="001946E0" w:rsidRDefault="0088146B" w:rsidP="00F57830">
            <w:pPr>
              <w:pStyle w:val="tabteksts"/>
              <w:jc w:val="right"/>
              <w:rPr>
                <w:snapToGrid w:val="0"/>
                <w:color w:val="000000"/>
              </w:rPr>
            </w:pPr>
            <w:r w:rsidRPr="001946E0">
              <w:rPr>
                <w:snapToGrid w:val="0"/>
                <w:color w:val="000000"/>
              </w:rPr>
              <w:t>-494,1</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-3,5</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-2,1</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-1,4</w:t>
            </w:r>
          </w:p>
        </w:tc>
        <w:tc>
          <w:tcPr>
            <w:tcW w:w="708" w:type="dxa"/>
            <w:vAlign w:val="center"/>
          </w:tcPr>
          <w:p w:rsidR="0088146B" w:rsidRPr="001946E0" w:rsidRDefault="0088146B" w:rsidP="00F57830">
            <w:pPr>
              <w:pStyle w:val="tabteksts"/>
              <w:jc w:val="right"/>
              <w:rPr>
                <w:snapToGrid w:val="0"/>
                <w:color w:val="000000"/>
              </w:rPr>
            </w:pPr>
            <w:r w:rsidRPr="001946E0">
              <w:rPr>
                <w:snapToGrid w:val="0"/>
                <w:color w:val="000000"/>
              </w:rPr>
              <w:t>-0,8</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-0,3</w:t>
            </w:r>
          </w:p>
        </w:tc>
      </w:tr>
      <w:tr w:rsidR="0088146B" w:rsidRPr="001946E0" w:rsidTr="000B7045">
        <w:trPr>
          <w:cantSplit/>
        </w:trPr>
        <w:tc>
          <w:tcPr>
            <w:tcW w:w="3686" w:type="dxa"/>
            <w:vAlign w:val="center"/>
          </w:tcPr>
          <w:p w:rsidR="0088146B" w:rsidRPr="001946E0" w:rsidRDefault="0088146B" w:rsidP="00F57830">
            <w:pPr>
              <w:pStyle w:val="tabteksts"/>
              <w:rPr>
                <w:snapToGrid w:val="0"/>
                <w:color w:val="000000"/>
              </w:rPr>
            </w:pPr>
            <w:r w:rsidRPr="001946E0">
              <w:rPr>
                <w:snapToGrid w:val="0"/>
                <w:color w:val="000000"/>
              </w:rPr>
              <w:t>9. Procentu izdevumi</w:t>
            </w:r>
          </w:p>
        </w:tc>
        <w:tc>
          <w:tcPr>
            <w:tcW w:w="1134" w:type="dxa"/>
            <w:vAlign w:val="center"/>
          </w:tcPr>
          <w:p w:rsidR="0088146B" w:rsidRPr="001946E0" w:rsidRDefault="0088146B" w:rsidP="00F57830">
            <w:pPr>
              <w:pStyle w:val="tabteksts"/>
              <w:rPr>
                <w:color w:val="000000"/>
              </w:rPr>
            </w:pPr>
            <w:r w:rsidRPr="001946E0">
              <w:rPr>
                <w:color w:val="000000"/>
              </w:rPr>
              <w:t xml:space="preserve">EDP D.41 </w:t>
            </w:r>
          </w:p>
        </w:tc>
        <w:tc>
          <w:tcPr>
            <w:tcW w:w="992" w:type="dxa"/>
            <w:vAlign w:val="center"/>
          </w:tcPr>
          <w:p w:rsidR="0088146B" w:rsidRPr="001946E0" w:rsidRDefault="0088146B" w:rsidP="00F57830">
            <w:pPr>
              <w:pStyle w:val="tabteksts"/>
              <w:jc w:val="right"/>
              <w:rPr>
                <w:snapToGrid w:val="0"/>
                <w:color w:val="000000"/>
              </w:rPr>
            </w:pPr>
            <w:r w:rsidRPr="001946E0">
              <w:rPr>
                <w:snapToGrid w:val="0"/>
                <w:color w:val="000000"/>
              </w:rPr>
              <w:t>210,3</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1,5</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1,7</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1,8</w:t>
            </w:r>
          </w:p>
        </w:tc>
        <w:tc>
          <w:tcPr>
            <w:tcW w:w="708" w:type="dxa"/>
            <w:vAlign w:val="center"/>
          </w:tcPr>
          <w:p w:rsidR="0088146B" w:rsidRPr="001946E0" w:rsidRDefault="0088146B" w:rsidP="00F57830">
            <w:pPr>
              <w:pStyle w:val="tabteksts"/>
              <w:jc w:val="right"/>
              <w:rPr>
                <w:snapToGrid w:val="0"/>
                <w:color w:val="000000"/>
              </w:rPr>
            </w:pPr>
            <w:r w:rsidRPr="001946E0">
              <w:rPr>
                <w:snapToGrid w:val="0"/>
                <w:color w:val="000000"/>
              </w:rPr>
              <w:t>2,1</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2,1</w:t>
            </w:r>
          </w:p>
        </w:tc>
      </w:tr>
      <w:tr w:rsidR="0088146B" w:rsidRPr="001946E0" w:rsidTr="000B7045">
        <w:trPr>
          <w:cantSplit/>
        </w:trPr>
        <w:tc>
          <w:tcPr>
            <w:tcW w:w="3686" w:type="dxa"/>
            <w:vAlign w:val="center"/>
          </w:tcPr>
          <w:p w:rsidR="0088146B" w:rsidRPr="001946E0" w:rsidRDefault="0088146B" w:rsidP="00F57830">
            <w:pPr>
              <w:pStyle w:val="tabteksts"/>
              <w:rPr>
                <w:snapToGrid w:val="0"/>
                <w:color w:val="000000"/>
              </w:rPr>
            </w:pPr>
            <w:r w:rsidRPr="001946E0">
              <w:rPr>
                <w:snapToGrid w:val="0"/>
                <w:color w:val="000000"/>
              </w:rPr>
              <w:t>10. Primārā bilance</w:t>
            </w:r>
          </w:p>
        </w:tc>
        <w:tc>
          <w:tcPr>
            <w:tcW w:w="1134" w:type="dxa"/>
            <w:vAlign w:val="center"/>
          </w:tcPr>
          <w:p w:rsidR="0088146B" w:rsidRPr="001946E0" w:rsidRDefault="0088146B" w:rsidP="00F57830">
            <w:pPr>
              <w:pStyle w:val="tabteksts"/>
              <w:rPr>
                <w:color w:val="000000"/>
              </w:rPr>
            </w:pPr>
          </w:p>
        </w:tc>
        <w:tc>
          <w:tcPr>
            <w:tcW w:w="992" w:type="dxa"/>
            <w:vAlign w:val="center"/>
          </w:tcPr>
          <w:p w:rsidR="0088146B" w:rsidRPr="001946E0" w:rsidRDefault="0088146B" w:rsidP="00F57830">
            <w:pPr>
              <w:pStyle w:val="tabteksts"/>
              <w:jc w:val="right"/>
              <w:rPr>
                <w:snapToGrid w:val="0"/>
                <w:color w:val="000000"/>
              </w:rPr>
            </w:pPr>
            <w:r w:rsidRPr="001946E0">
              <w:rPr>
                <w:snapToGrid w:val="0"/>
                <w:color w:val="000000"/>
              </w:rPr>
              <w:t>-283,8</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-2,0</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-0,4</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0,5</w:t>
            </w:r>
          </w:p>
        </w:tc>
        <w:tc>
          <w:tcPr>
            <w:tcW w:w="708" w:type="dxa"/>
            <w:vAlign w:val="center"/>
          </w:tcPr>
          <w:p w:rsidR="0088146B" w:rsidRPr="001946E0" w:rsidRDefault="0088146B" w:rsidP="00F57830">
            <w:pPr>
              <w:pStyle w:val="tabteksts"/>
              <w:jc w:val="right"/>
              <w:rPr>
                <w:snapToGrid w:val="0"/>
                <w:color w:val="000000"/>
              </w:rPr>
            </w:pPr>
            <w:r w:rsidRPr="001946E0">
              <w:rPr>
                <w:snapToGrid w:val="0"/>
                <w:color w:val="000000"/>
              </w:rPr>
              <w:t>1,4</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1,8</w:t>
            </w:r>
          </w:p>
        </w:tc>
      </w:tr>
      <w:tr w:rsidR="0088146B" w:rsidRPr="001946E0" w:rsidTr="000B7045">
        <w:trPr>
          <w:cantSplit/>
        </w:trPr>
        <w:tc>
          <w:tcPr>
            <w:tcW w:w="3686" w:type="dxa"/>
            <w:vAlign w:val="center"/>
          </w:tcPr>
          <w:p w:rsidR="0088146B" w:rsidRPr="001946E0" w:rsidRDefault="0088146B" w:rsidP="00F57830">
            <w:pPr>
              <w:pStyle w:val="tabteksts"/>
              <w:rPr>
                <w:snapToGrid w:val="0"/>
                <w:color w:val="000000"/>
              </w:rPr>
            </w:pPr>
            <w:r w:rsidRPr="001946E0">
              <w:rPr>
                <w:snapToGrid w:val="0"/>
                <w:color w:val="000000"/>
              </w:rPr>
              <w:t xml:space="preserve">11. Vienreizējie un citi pagaidu pasākumi </w:t>
            </w:r>
          </w:p>
        </w:tc>
        <w:tc>
          <w:tcPr>
            <w:tcW w:w="1134" w:type="dxa"/>
            <w:vAlign w:val="center"/>
          </w:tcPr>
          <w:p w:rsidR="0088146B" w:rsidRPr="001946E0" w:rsidRDefault="0088146B" w:rsidP="00F57830">
            <w:pPr>
              <w:pStyle w:val="tabteksts"/>
              <w:rPr>
                <w:color w:val="000000"/>
              </w:rPr>
            </w:pPr>
          </w:p>
        </w:tc>
        <w:tc>
          <w:tcPr>
            <w:tcW w:w="992" w:type="dxa"/>
            <w:vAlign w:val="center"/>
          </w:tcPr>
          <w:p w:rsidR="0088146B" w:rsidRPr="001946E0" w:rsidRDefault="0088146B" w:rsidP="00F57830">
            <w:pPr>
              <w:pStyle w:val="tabteksts"/>
              <w:jc w:val="right"/>
              <w:rPr>
                <w:snapToGrid w:val="0"/>
                <w:color w:val="000000"/>
              </w:rPr>
            </w:pPr>
            <w:r w:rsidRPr="001946E0">
              <w:rPr>
                <w:snapToGrid w:val="0"/>
                <w:color w:val="000000"/>
              </w:rPr>
              <w:t>27,4</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0,2</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0</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0</w:t>
            </w:r>
          </w:p>
        </w:tc>
        <w:tc>
          <w:tcPr>
            <w:tcW w:w="708" w:type="dxa"/>
            <w:vAlign w:val="center"/>
          </w:tcPr>
          <w:p w:rsidR="0088146B" w:rsidRPr="001946E0" w:rsidRDefault="0088146B" w:rsidP="00F57830">
            <w:pPr>
              <w:pStyle w:val="tabteksts"/>
              <w:jc w:val="right"/>
              <w:rPr>
                <w:snapToGrid w:val="0"/>
                <w:color w:val="000000"/>
              </w:rPr>
            </w:pPr>
            <w:r w:rsidRPr="001946E0">
              <w:rPr>
                <w:snapToGrid w:val="0"/>
                <w:color w:val="000000"/>
              </w:rPr>
              <w:t>0</w:t>
            </w:r>
          </w:p>
        </w:tc>
        <w:tc>
          <w:tcPr>
            <w:tcW w:w="709" w:type="dxa"/>
            <w:vAlign w:val="center"/>
          </w:tcPr>
          <w:p w:rsidR="0088146B" w:rsidRPr="001946E0" w:rsidRDefault="0088146B" w:rsidP="00F57830">
            <w:pPr>
              <w:pStyle w:val="tabteksts"/>
              <w:jc w:val="right"/>
              <w:rPr>
                <w:snapToGrid w:val="0"/>
                <w:color w:val="000000"/>
              </w:rPr>
            </w:pPr>
            <w:r w:rsidRPr="001946E0">
              <w:rPr>
                <w:snapToGrid w:val="0"/>
                <w:color w:val="000000"/>
              </w:rPr>
              <w:t>0</w:t>
            </w:r>
          </w:p>
        </w:tc>
      </w:tr>
    </w:tbl>
    <w:p w:rsidR="0088146B" w:rsidRDefault="0088146B" w:rsidP="0088146B">
      <w:pPr>
        <w:pStyle w:val="teksts"/>
        <w:ind w:firstLine="720"/>
        <w:rPr>
          <w:rFonts w:ascii="Times New Roman" w:eastAsia="Calibri" w:hAnsi="Times New Roman"/>
          <w:b/>
          <w:color w:val="000000"/>
          <w:szCs w:val="24"/>
        </w:rPr>
      </w:pPr>
    </w:p>
    <w:p w:rsidR="0088146B" w:rsidRPr="001946E0" w:rsidRDefault="0088146B" w:rsidP="0088146B">
      <w:pPr>
        <w:pStyle w:val="teksts"/>
        <w:ind w:firstLine="720"/>
        <w:rPr>
          <w:rFonts w:ascii="Times New Roman" w:eastAsia="Calibri" w:hAnsi="Times New Roman"/>
          <w:b/>
          <w:color w:val="000000"/>
          <w:szCs w:val="24"/>
        </w:rPr>
      </w:pPr>
      <w:r w:rsidRPr="001946E0">
        <w:rPr>
          <w:rFonts w:ascii="Times New Roman" w:eastAsia="Calibri" w:hAnsi="Times New Roman"/>
          <w:b/>
          <w:color w:val="000000"/>
          <w:szCs w:val="24"/>
        </w:rPr>
        <w:t>Centrālā valdība</w:t>
      </w:r>
    </w:p>
    <w:p w:rsidR="0088146B" w:rsidRDefault="0088146B" w:rsidP="00163B37">
      <w:pPr>
        <w:pStyle w:val="teksts"/>
        <w:rPr>
          <w:rFonts w:ascii="Times New Roman" w:eastAsia="Calibri" w:hAnsi="Times New Roman"/>
          <w:color w:val="000000"/>
        </w:rPr>
      </w:pPr>
      <w:r w:rsidRPr="00566DD6">
        <w:rPr>
          <w:rFonts w:ascii="Times New Roman" w:eastAsia="Calibri" w:hAnsi="Times New Roman"/>
          <w:color w:val="000000"/>
        </w:rPr>
        <w:tab/>
        <w:t xml:space="preserve">Tiek prognozēts, ka vidējā termiņā centrālajā valdībā būs vērojama budžeta bilances uzlabošanās. Sagatavojot bilances prognozes, ir ņemtas vērā atjaunotās nodokļu ieņēmumu prognozes 2012. </w:t>
      </w:r>
      <w:r w:rsidR="0035776A">
        <w:rPr>
          <w:rFonts w:ascii="Times New Roman" w:eastAsia="Calibri" w:hAnsi="Times New Roman"/>
          <w:color w:val="000000"/>
        </w:rPr>
        <w:t>–</w:t>
      </w:r>
      <w:r w:rsidRPr="00566DD6">
        <w:rPr>
          <w:rFonts w:ascii="Times New Roman" w:eastAsia="Calibri" w:hAnsi="Times New Roman"/>
          <w:color w:val="000000"/>
        </w:rPr>
        <w:t xml:space="preserve"> 2015. gadam, salīdzinot ar 2011. gada rudenī plānoto. Tāpat tika ņemts vērā, ka 2014. gadā salīdzinājumā ar 2013. gadu nelielu centrālās valdības budžeta deficīta pieaugumu noteiks plānotā piemaksu pie vecuma un invaliditātes pensijām pārcelšana no sociālās apdrošināšanas budžeta uz valsts pamatbudžetu, sākot ar 2014. gadu. Savukārt, 2015. gadā salīdzinājumā ar 2014. gadu deficīta samazināšanos centrālajā valdībā nodrošinās mazāki izdevumi, piemēram, kapitālajiem izdevumiem (bruto kopējā pamatkapitāla veidošana), </w:t>
      </w:r>
      <w:r w:rsidR="0066765F" w:rsidRPr="00566DD6">
        <w:rPr>
          <w:rFonts w:ascii="Times New Roman" w:eastAsia="Calibri" w:hAnsi="Times New Roman"/>
          <w:color w:val="000000"/>
        </w:rPr>
        <w:t>ko noteiks</w:t>
      </w:r>
      <w:r w:rsidR="00F43705" w:rsidRPr="00566DD6">
        <w:rPr>
          <w:rFonts w:ascii="Times New Roman" w:eastAsia="Calibri" w:hAnsi="Times New Roman"/>
          <w:color w:val="000000"/>
        </w:rPr>
        <w:t xml:space="preserve"> </w:t>
      </w:r>
      <w:r w:rsidR="0051562C" w:rsidRPr="00566DD6">
        <w:rPr>
          <w:rFonts w:ascii="Times New Roman" w:eastAsia="Calibri" w:hAnsi="Times New Roman"/>
          <w:color w:val="000000"/>
        </w:rPr>
        <w:t>tas,</w:t>
      </w:r>
      <w:r w:rsidR="00566DD6">
        <w:rPr>
          <w:rFonts w:ascii="Times New Roman" w:eastAsia="Calibri" w:hAnsi="Times New Roman"/>
          <w:color w:val="000000"/>
        </w:rPr>
        <w:t xml:space="preserve"> </w:t>
      </w:r>
      <w:r w:rsidR="0051562C" w:rsidRPr="00566DD6">
        <w:rPr>
          <w:rFonts w:ascii="Times New Roman" w:eastAsia="Calibri" w:hAnsi="Times New Roman"/>
          <w:color w:val="000000"/>
        </w:rPr>
        <w:t xml:space="preserve"> ka</w:t>
      </w:r>
      <w:r w:rsidR="00F43705">
        <w:rPr>
          <w:rFonts w:ascii="Times New Roman" w:eastAsia="Calibri" w:hAnsi="Times New Roman"/>
          <w:color w:val="000000"/>
        </w:rPr>
        <w:t>,</w:t>
      </w:r>
      <w:r w:rsidRPr="00566DD6">
        <w:rPr>
          <w:rFonts w:ascii="Times New Roman" w:eastAsia="Calibri" w:hAnsi="Times New Roman"/>
          <w:color w:val="000000"/>
        </w:rPr>
        <w:t xml:space="preserve"> ņemot vērā jaunā ES fondu programmēšanas perioda sākumu</w:t>
      </w:r>
      <w:r w:rsidR="0051562C" w:rsidRPr="00566DD6">
        <w:rPr>
          <w:rFonts w:ascii="Times New Roman" w:eastAsia="Calibri" w:hAnsi="Times New Roman"/>
          <w:color w:val="000000"/>
        </w:rPr>
        <w:t>, šobrīd konservatīvi tiek plānoti ārvalstu finanšu palīdzības programmu īstenošanai nepieciešamie izdevumi</w:t>
      </w:r>
      <w:r w:rsidRPr="00566DD6">
        <w:rPr>
          <w:rFonts w:ascii="Times New Roman" w:eastAsia="Calibri" w:hAnsi="Times New Roman"/>
          <w:color w:val="000000"/>
        </w:rPr>
        <w:t>.</w:t>
      </w:r>
    </w:p>
    <w:p w:rsidR="00163B37" w:rsidRPr="00163B37" w:rsidRDefault="00163B37" w:rsidP="00163B37">
      <w:pPr>
        <w:pStyle w:val="teksts"/>
        <w:rPr>
          <w:rFonts w:ascii="Times New Roman" w:eastAsia="Calibri" w:hAnsi="Times New Roman"/>
          <w:color w:val="000000"/>
        </w:rPr>
      </w:pPr>
    </w:p>
    <w:p w:rsidR="0088146B" w:rsidRPr="001946E0" w:rsidRDefault="0088146B" w:rsidP="0088146B">
      <w:pPr>
        <w:pStyle w:val="teksts"/>
        <w:ind w:firstLine="720"/>
        <w:rPr>
          <w:rFonts w:ascii="Times New Roman" w:eastAsia="Calibri" w:hAnsi="Times New Roman"/>
          <w:b/>
          <w:color w:val="000000"/>
          <w:szCs w:val="24"/>
        </w:rPr>
      </w:pPr>
      <w:r w:rsidRPr="001946E0">
        <w:rPr>
          <w:rFonts w:ascii="Times New Roman" w:eastAsia="Calibri" w:hAnsi="Times New Roman"/>
          <w:b/>
          <w:color w:val="000000"/>
          <w:szCs w:val="24"/>
        </w:rPr>
        <w:t>Sociālās nodrošināšanas fondi</w:t>
      </w:r>
    </w:p>
    <w:p w:rsidR="0088146B" w:rsidRPr="001946E0" w:rsidRDefault="0088146B" w:rsidP="0088146B">
      <w:pPr>
        <w:pStyle w:val="teksts"/>
        <w:ind w:firstLine="720"/>
        <w:rPr>
          <w:rFonts w:ascii="Times New Roman" w:eastAsia="Calibri" w:hAnsi="Times New Roman"/>
          <w:color w:val="000000"/>
          <w:szCs w:val="24"/>
        </w:rPr>
      </w:pPr>
      <w:r w:rsidRPr="001946E0">
        <w:rPr>
          <w:rFonts w:ascii="Times New Roman" w:eastAsia="Calibri" w:hAnsi="Times New Roman"/>
          <w:color w:val="000000"/>
          <w:szCs w:val="24"/>
        </w:rPr>
        <w:t>Sagatavojot sociālās apdrošināšanas budžeta vidējā termiņa prognozi, tika ņemts vērā, ka šobrīd atbilstoši likumdošanā noteiktajam, sākot ar 2013. gadu sociālās apdrošināšanas iemaksu likme valsts fondēto pensiju shēmā (2. </w:t>
      </w:r>
      <w:r>
        <w:rPr>
          <w:rFonts w:ascii="Times New Roman" w:eastAsia="Calibri" w:hAnsi="Times New Roman"/>
          <w:color w:val="000000"/>
          <w:szCs w:val="24"/>
        </w:rPr>
        <w:t>p</w:t>
      </w:r>
      <w:r w:rsidRPr="001946E0">
        <w:rPr>
          <w:rFonts w:ascii="Times New Roman" w:eastAsia="Calibri" w:hAnsi="Times New Roman"/>
          <w:color w:val="000000"/>
          <w:szCs w:val="24"/>
        </w:rPr>
        <w:t>ensiju</w:t>
      </w:r>
      <w:r>
        <w:rPr>
          <w:rFonts w:ascii="Times New Roman" w:eastAsia="Calibri" w:hAnsi="Times New Roman"/>
          <w:color w:val="000000"/>
          <w:szCs w:val="24"/>
        </w:rPr>
        <w:t xml:space="preserve"> sistēmas</w:t>
      </w:r>
      <w:r w:rsidRPr="001946E0">
        <w:rPr>
          <w:rFonts w:ascii="Times New Roman" w:eastAsia="Calibri" w:hAnsi="Times New Roman"/>
          <w:color w:val="000000"/>
          <w:szCs w:val="24"/>
        </w:rPr>
        <w:t xml:space="preserve"> līmenī) tiek paaugstināta no 2% uz 6% un nākamajos gados tiek saglabāta 6% līmenī. Šīs izmaiņas pamatā noteiks mazākus ieņēmumus sociālās apdrošināšanas budžetā (1. pensiju </w:t>
      </w:r>
      <w:r>
        <w:rPr>
          <w:rFonts w:ascii="Times New Roman" w:eastAsia="Calibri" w:hAnsi="Times New Roman"/>
          <w:color w:val="000000"/>
          <w:szCs w:val="24"/>
        </w:rPr>
        <w:t xml:space="preserve">sistēmas </w:t>
      </w:r>
      <w:r w:rsidRPr="001946E0">
        <w:rPr>
          <w:rFonts w:ascii="Times New Roman" w:eastAsia="Calibri" w:hAnsi="Times New Roman"/>
          <w:color w:val="000000"/>
          <w:szCs w:val="24"/>
        </w:rPr>
        <w:t xml:space="preserve">līmenī), kas, savukārt, ietekmēs deficīta palielināšanos 2013. gadā, salīdzinot ar 2012. gadu. Savukārt, 2014. gadā salīdzinājumā ar 2013. gadu sociālās apdrošināšanas budžetā tiek prognozēts būtisks deficīta samazinājums, ņemot vērā </w:t>
      </w:r>
      <w:r>
        <w:rPr>
          <w:rFonts w:ascii="Times New Roman" w:eastAsia="Calibri" w:hAnsi="Times New Roman"/>
          <w:color w:val="000000"/>
          <w:szCs w:val="24"/>
        </w:rPr>
        <w:t>plānoto pensiju piemaksu pārcelšanu uz valsts pamatbudžetu.</w:t>
      </w:r>
    </w:p>
    <w:p w:rsidR="0088146B" w:rsidRPr="001946E0" w:rsidRDefault="0088146B" w:rsidP="0088146B">
      <w:pPr>
        <w:pStyle w:val="teksts"/>
        <w:ind w:firstLine="720"/>
        <w:rPr>
          <w:rFonts w:ascii="Times New Roman" w:eastAsia="Calibri" w:hAnsi="Times New Roman"/>
          <w:b/>
          <w:color w:val="000000"/>
          <w:szCs w:val="24"/>
        </w:rPr>
      </w:pPr>
    </w:p>
    <w:p w:rsidR="0088146B" w:rsidRPr="001946E0" w:rsidRDefault="0088146B" w:rsidP="0088146B">
      <w:pPr>
        <w:pStyle w:val="teksts"/>
        <w:ind w:firstLine="720"/>
        <w:rPr>
          <w:rFonts w:ascii="Times New Roman" w:eastAsia="Calibri" w:hAnsi="Times New Roman"/>
          <w:b/>
          <w:color w:val="000000"/>
          <w:szCs w:val="24"/>
        </w:rPr>
      </w:pPr>
      <w:r w:rsidRPr="001946E0">
        <w:rPr>
          <w:rFonts w:ascii="Times New Roman" w:eastAsia="Calibri" w:hAnsi="Times New Roman"/>
          <w:b/>
          <w:color w:val="000000"/>
          <w:szCs w:val="24"/>
        </w:rPr>
        <w:t>Vietējā valdība</w:t>
      </w:r>
    </w:p>
    <w:p w:rsidR="0088146B" w:rsidRDefault="0088146B" w:rsidP="0088146B">
      <w:pPr>
        <w:pStyle w:val="teksts"/>
        <w:ind w:firstLine="709"/>
        <w:rPr>
          <w:szCs w:val="24"/>
        </w:rPr>
      </w:pPr>
      <w:r w:rsidRPr="001946E0">
        <w:rPr>
          <w:rFonts w:ascii="Times New Roman" w:eastAsia="Calibri" w:hAnsi="Times New Roman"/>
          <w:color w:val="000000"/>
          <w:szCs w:val="24"/>
        </w:rPr>
        <w:t xml:space="preserve">Tiek prognozēts, ka pašvaldību budžeta deficīts 2012. gadā saglabāsies 2011. gada līmenī vai būs pat nedaudz lielāks, ņemot vērā to, ka arī 2012. gadā tiek plānota aktīva ES </w:t>
      </w:r>
      <w:r w:rsidRPr="001946E0">
        <w:rPr>
          <w:rFonts w:ascii="Times New Roman" w:eastAsia="Calibri" w:hAnsi="Times New Roman"/>
          <w:color w:val="000000"/>
          <w:szCs w:val="24"/>
        </w:rPr>
        <w:lastRenderedPageBreak/>
        <w:t>fondu projektu īstenošana, kā rezultātā kapitālie izdevumi pašvaldību budžetā varētu saglabāties 2011. gada līmenī vai būs pat augstāki. Prognozēts, ka līdzīga tendence varētu saglabāties ar</w:t>
      </w:r>
      <w:r>
        <w:rPr>
          <w:rFonts w:ascii="Times New Roman" w:eastAsia="Calibri" w:hAnsi="Times New Roman"/>
          <w:color w:val="000000"/>
          <w:szCs w:val="24"/>
        </w:rPr>
        <w:t>ī</w:t>
      </w:r>
      <w:r w:rsidRPr="001946E0">
        <w:rPr>
          <w:rFonts w:ascii="Times New Roman" w:eastAsia="Calibri" w:hAnsi="Times New Roman"/>
          <w:color w:val="000000"/>
          <w:szCs w:val="24"/>
        </w:rPr>
        <w:t xml:space="preserve"> 2013. gadā. Savukārt, 2014. un 2015. gadā tiek prognozēts, ka pašvaldību budžets tiks sabalansēts</w:t>
      </w:r>
      <w:r>
        <w:rPr>
          <w:rFonts w:ascii="Times New Roman" w:eastAsia="Calibri" w:hAnsi="Times New Roman"/>
          <w:color w:val="000000"/>
          <w:szCs w:val="24"/>
        </w:rPr>
        <w:t>, ņemot vērā prognozējamo izdevumu samazināšanos. Pašvaldību budžeta prognozēs ir iekļauts pieņēmums par izdevumu samazināšanos kapitālajiem izdevumiem</w:t>
      </w:r>
      <w:r w:rsidR="00566DD6">
        <w:t>,</w:t>
      </w:r>
      <w:r w:rsidR="00566DD6">
        <w:rPr>
          <w:rFonts w:ascii="Times New Roman" w:eastAsia="Calibri" w:hAnsi="Times New Roman"/>
          <w:color w:val="000000"/>
          <w:szCs w:val="24"/>
        </w:rPr>
        <w:t xml:space="preserve"> </w:t>
      </w:r>
      <w:r w:rsidR="00566DD6" w:rsidRPr="00566DD6">
        <w:rPr>
          <w:rFonts w:ascii="Times New Roman" w:eastAsia="Calibri" w:hAnsi="Times New Roman"/>
          <w:color w:val="000000"/>
          <w:szCs w:val="24"/>
        </w:rPr>
        <w:t>ko noteiks tas, ka, ņemot vērā jaunā ES fondu programmēšanas perioda sākumu, šobrīd konservatīvi tiek plānoti ārvalstu finanšu palīdzības programmu īst</w:t>
      </w:r>
      <w:r w:rsidR="00566DD6">
        <w:rPr>
          <w:rFonts w:ascii="Times New Roman" w:eastAsia="Calibri" w:hAnsi="Times New Roman"/>
          <w:color w:val="000000"/>
          <w:szCs w:val="24"/>
        </w:rPr>
        <w:t>enošanai nepieciešamie izdevumi</w:t>
      </w:r>
      <w:r w:rsidR="00566DD6" w:rsidRPr="00566DD6">
        <w:rPr>
          <w:rFonts w:ascii="Times New Roman" w:eastAsia="Calibri" w:hAnsi="Times New Roman"/>
          <w:color w:val="000000"/>
          <w:szCs w:val="24"/>
        </w:rPr>
        <w:t>.</w:t>
      </w:r>
    </w:p>
    <w:p w:rsidR="0088146B" w:rsidRPr="000F04E2" w:rsidRDefault="0088146B" w:rsidP="0088146B">
      <w:pPr>
        <w:pStyle w:val="H2"/>
        <w:tabs>
          <w:tab w:val="clear" w:pos="1134"/>
        </w:tabs>
        <w:ind w:left="0" w:right="-58" w:firstLine="720"/>
        <w:rPr>
          <w:rFonts w:ascii="Times New Roman" w:hAnsi="Times New Roman"/>
          <w:szCs w:val="32"/>
        </w:rPr>
      </w:pPr>
      <w:bookmarkStart w:id="43" w:name="_Toc291159211"/>
      <w:r>
        <w:rPr>
          <w:rFonts w:ascii="Times New Roman" w:hAnsi="Times New Roman"/>
          <w:szCs w:val="32"/>
        </w:rPr>
        <w:br w:type="page"/>
      </w:r>
      <w:bookmarkStart w:id="44" w:name="_Toc323120287"/>
      <w:r w:rsidRPr="000F04E2">
        <w:rPr>
          <w:rFonts w:ascii="Times New Roman" w:hAnsi="Times New Roman"/>
          <w:szCs w:val="32"/>
        </w:rPr>
        <w:lastRenderedPageBreak/>
        <w:t>4.3. Vidēja termiņa mērķis un strukturālā bilance</w:t>
      </w:r>
      <w:bookmarkEnd w:id="44"/>
    </w:p>
    <w:p w:rsidR="0088146B" w:rsidRDefault="0088146B" w:rsidP="0088146B">
      <w:pPr>
        <w:ind w:firstLine="720"/>
      </w:pPr>
      <w:r>
        <w:t>Saskaņā ar Stabilitātes un izaugsmes pakta prasībām budžeta bilance tiek novērtēta strukturālā izteiksmē, izslēdzot ekonomikas ciklisko svārstību un vienreizēju vai citu īslaicīgu pasākumu (</w:t>
      </w:r>
      <w:r w:rsidRPr="007408AC">
        <w:rPr>
          <w:i/>
          <w:noProof/>
        </w:rPr>
        <w:t>one-off</w:t>
      </w:r>
      <w:r w:rsidRPr="007408AC">
        <w:t>)</w:t>
      </w:r>
      <w:r>
        <w:t xml:space="preserve"> ietekmi.</w:t>
      </w:r>
      <w:r w:rsidRPr="00130927">
        <w:t xml:space="preserve"> </w:t>
      </w:r>
      <w:r>
        <w:t>Tādējādi strukturālā budžeta bilance precīzāk atspoguļo valdības īstenotās fiskālās politikas virzienu.</w:t>
      </w:r>
    </w:p>
    <w:p w:rsidR="0088146B" w:rsidRDefault="0088146B" w:rsidP="0088146B">
      <w:r>
        <w:t xml:space="preserve">Latvija potenciālā IKP aprēķiniem izmanto metodoloģiju, kas atšķiras no vienotās </w:t>
      </w:r>
      <w:r w:rsidR="00607A2A">
        <w:t>EK</w:t>
      </w:r>
      <w:r>
        <w:t xml:space="preserve"> metodes. Galvenais iemesls ir </w:t>
      </w:r>
      <w:r w:rsidR="00191889">
        <w:t>EK vienotās metodoloģijas</w:t>
      </w:r>
      <w:r>
        <w:t xml:space="preserve"> nespēja </w:t>
      </w:r>
      <w:r w:rsidR="00191889">
        <w:t xml:space="preserve">precīzi </w:t>
      </w:r>
      <w:r>
        <w:t>uztvert straujus makroekonomisko rādītāju pagrieziena punktus, kas ir raksturīgi jaunajām dalībvalstīm</w:t>
      </w:r>
      <w:r w:rsidR="00191889">
        <w:t>, piemēram,</w:t>
      </w:r>
      <w:r>
        <w:t xml:space="preserve"> šobrīd Latvijas ekonomikā strauji samazinās </w:t>
      </w:r>
      <w:r w:rsidRPr="003A0567">
        <w:t>bezdarbs</w:t>
      </w:r>
      <w:r>
        <w:t xml:space="preserve"> un ir</w:t>
      </w:r>
      <w:r w:rsidRPr="003A0567">
        <w:t xml:space="preserve"> augstāka izaugsme par prognozēto</w:t>
      </w:r>
      <w:r>
        <w:t xml:space="preserve">, bet tā kā </w:t>
      </w:r>
      <w:r w:rsidR="00191889">
        <w:t>EK vienotā metodoloģija paredz veikt aprēķinus</w:t>
      </w:r>
      <w:r>
        <w:t xml:space="preserve"> gadu griezumā, ņemot vērā īsās laika rindas, pieejamie faktiskie dati vēl arvien neproporcionāli spēcīgi uztver krīzes gadu tendences. Lai šo problēmu atrisinātu, </w:t>
      </w:r>
      <w:r w:rsidR="00191889">
        <w:t xml:space="preserve">FM </w:t>
      </w:r>
      <w:r>
        <w:t xml:space="preserve">aprēķinos tika iekļautas arī vidēja termiņa prognozes, kas ļauj identificēt pagrieziena punktu un </w:t>
      </w:r>
      <w:r w:rsidR="00191889">
        <w:t>iezīmēt</w:t>
      </w:r>
      <w:r>
        <w:t xml:space="preserve"> korektu </w:t>
      </w:r>
      <w:r w:rsidR="00191889">
        <w:t xml:space="preserve">makroekonomisko rādītāju attīstības </w:t>
      </w:r>
      <w:r>
        <w:t>tendenci.</w:t>
      </w:r>
    </w:p>
    <w:p w:rsidR="0088146B" w:rsidRDefault="0088146B" w:rsidP="0088146B">
      <w:r>
        <w:t xml:space="preserve">Savukārt, ja tiktu izmantota </w:t>
      </w:r>
      <w:r w:rsidR="00607A2A">
        <w:t>EK</w:t>
      </w:r>
      <w:r>
        <w:t xml:space="preserve"> vienotā metodoloģija, iegūtajos rezultātos būtu būtiski pārvērtēts strukturālā bezdarba rādītājs, kas savukārt dotu ļoti zemu novērtējumu potenciālajam IKP pieaugumam vidēja termiņa un arī ilgtermiņa prognozēs. Konverģences programmas vajadzībām Latvijas strukturālā bezdarba rādītāja aprēķināšanai tika izmantota statistiskā metode, kurai nav tik plašas ekonomiskās interpretācijas īpašības, tomēr iegūtie rezultāti ir atbilstošāki reālajiem Latvijas izaugsmes tempiem un iezīmē konverģenci uz ES vidējo attīstības līmeni. Metodes pamatprincipi tika prezentēti </w:t>
      </w:r>
      <w:r w:rsidR="00607A2A">
        <w:t>EK</w:t>
      </w:r>
      <w:r>
        <w:t xml:space="preserve"> pārstāvjiem 2012. gada 20. martā.</w:t>
      </w:r>
    </w:p>
    <w:p w:rsidR="0088146B" w:rsidRDefault="0088146B" w:rsidP="0088146B">
      <w:r>
        <w:t>Potenciālā IKP aprēķina rezultāti ir parādīti 4.2. tabulā.</w:t>
      </w:r>
    </w:p>
    <w:p w:rsidR="0088146B" w:rsidRDefault="0088146B" w:rsidP="0088146B">
      <w:pPr>
        <w:ind w:firstLine="0"/>
        <w:jc w:val="right"/>
      </w:pPr>
      <w:r w:rsidRPr="00130927">
        <w:t>4.2. tabula. Cikliskā attīstība</w:t>
      </w:r>
    </w:p>
    <w:tbl>
      <w:tblPr>
        <w:tblpPr w:leftFromText="180" w:rightFromText="180" w:vertAnchor="text" w:horzAnchor="margin" w:tblpXSpec="center" w:tblpY="90"/>
        <w:tblW w:w="8163" w:type="dxa"/>
        <w:tblLook w:val="04A0" w:firstRow="1" w:lastRow="0" w:firstColumn="1" w:lastColumn="0" w:noHBand="0" w:noVBand="1"/>
      </w:tblPr>
      <w:tblGrid>
        <w:gridCol w:w="3845"/>
        <w:gridCol w:w="768"/>
        <w:gridCol w:w="710"/>
        <w:gridCol w:w="710"/>
        <w:gridCol w:w="710"/>
        <w:gridCol w:w="710"/>
        <w:gridCol w:w="710"/>
      </w:tblGrid>
      <w:tr w:rsidR="0088146B" w:rsidRPr="00B75AF6" w:rsidTr="00F57830">
        <w:trPr>
          <w:trHeight w:val="541"/>
        </w:trPr>
        <w:tc>
          <w:tcPr>
            <w:tcW w:w="3845"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rsidR="0088146B" w:rsidRPr="00B75AF6" w:rsidRDefault="0088146B" w:rsidP="00F57830">
            <w:pPr>
              <w:spacing w:after="0"/>
              <w:ind w:firstLine="0"/>
              <w:rPr>
                <w:color w:val="000000"/>
                <w:sz w:val="20"/>
                <w:lang w:eastAsia="lv-LV"/>
              </w:rPr>
            </w:pPr>
            <w:r w:rsidRPr="00B75AF6">
              <w:rPr>
                <w:color w:val="000000"/>
                <w:sz w:val="20"/>
                <w:lang w:eastAsia="lv-LV"/>
              </w:rPr>
              <w:t>% no IKP</w:t>
            </w:r>
          </w:p>
        </w:tc>
        <w:tc>
          <w:tcPr>
            <w:tcW w:w="768" w:type="dxa"/>
            <w:tcBorders>
              <w:top w:val="double" w:sz="6" w:space="0" w:color="auto"/>
              <w:left w:val="nil"/>
              <w:bottom w:val="double" w:sz="6" w:space="0" w:color="auto"/>
              <w:right w:val="double" w:sz="6" w:space="0" w:color="auto"/>
            </w:tcBorders>
            <w:shd w:val="clear" w:color="auto" w:fill="auto"/>
            <w:vAlign w:val="bottom"/>
            <w:hideMark/>
          </w:tcPr>
          <w:p w:rsidR="0088146B" w:rsidRPr="00B75AF6" w:rsidRDefault="0088146B" w:rsidP="00F57830">
            <w:pPr>
              <w:spacing w:after="0"/>
              <w:ind w:firstLine="0"/>
              <w:jc w:val="center"/>
              <w:rPr>
                <w:color w:val="000000"/>
                <w:sz w:val="20"/>
                <w:lang w:eastAsia="lv-LV"/>
              </w:rPr>
            </w:pPr>
            <w:r w:rsidRPr="00B75AF6">
              <w:rPr>
                <w:color w:val="000000"/>
                <w:sz w:val="20"/>
                <w:lang w:eastAsia="lv-LV"/>
              </w:rPr>
              <w:t>EKS Kods</w:t>
            </w:r>
          </w:p>
        </w:tc>
        <w:tc>
          <w:tcPr>
            <w:tcW w:w="710" w:type="dxa"/>
            <w:tcBorders>
              <w:top w:val="double" w:sz="6" w:space="0" w:color="auto"/>
              <w:left w:val="nil"/>
              <w:bottom w:val="double" w:sz="6" w:space="0" w:color="auto"/>
              <w:right w:val="single" w:sz="4" w:space="0" w:color="auto"/>
            </w:tcBorders>
            <w:shd w:val="clear" w:color="auto" w:fill="auto"/>
            <w:noWrap/>
            <w:vAlign w:val="center"/>
            <w:hideMark/>
          </w:tcPr>
          <w:p w:rsidR="0088146B" w:rsidRPr="00B75AF6" w:rsidRDefault="0088146B" w:rsidP="00F57830">
            <w:pPr>
              <w:spacing w:after="0"/>
              <w:ind w:firstLine="0"/>
              <w:jc w:val="center"/>
              <w:rPr>
                <w:color w:val="000000"/>
                <w:sz w:val="20"/>
                <w:lang w:eastAsia="lv-LV"/>
              </w:rPr>
            </w:pPr>
            <w:r w:rsidRPr="00B75AF6">
              <w:rPr>
                <w:color w:val="000000"/>
                <w:sz w:val="20"/>
                <w:lang w:eastAsia="lv-LV"/>
              </w:rPr>
              <w:t>2011</w:t>
            </w:r>
          </w:p>
        </w:tc>
        <w:tc>
          <w:tcPr>
            <w:tcW w:w="710" w:type="dxa"/>
            <w:tcBorders>
              <w:top w:val="double" w:sz="6" w:space="0" w:color="auto"/>
              <w:left w:val="nil"/>
              <w:bottom w:val="double" w:sz="6" w:space="0" w:color="auto"/>
              <w:right w:val="single" w:sz="4" w:space="0" w:color="auto"/>
            </w:tcBorders>
            <w:shd w:val="clear" w:color="auto" w:fill="auto"/>
            <w:noWrap/>
            <w:vAlign w:val="center"/>
            <w:hideMark/>
          </w:tcPr>
          <w:p w:rsidR="0088146B" w:rsidRPr="00B75AF6" w:rsidRDefault="0088146B" w:rsidP="00F57830">
            <w:pPr>
              <w:spacing w:after="0"/>
              <w:ind w:firstLine="0"/>
              <w:jc w:val="center"/>
              <w:rPr>
                <w:color w:val="000000"/>
                <w:sz w:val="20"/>
                <w:lang w:eastAsia="lv-LV"/>
              </w:rPr>
            </w:pPr>
            <w:r w:rsidRPr="00B75AF6">
              <w:rPr>
                <w:color w:val="000000"/>
                <w:sz w:val="20"/>
                <w:lang w:eastAsia="lv-LV"/>
              </w:rPr>
              <w:t>2012</w:t>
            </w:r>
          </w:p>
        </w:tc>
        <w:tc>
          <w:tcPr>
            <w:tcW w:w="710" w:type="dxa"/>
            <w:tcBorders>
              <w:top w:val="double" w:sz="6" w:space="0" w:color="auto"/>
              <w:left w:val="nil"/>
              <w:bottom w:val="double" w:sz="6" w:space="0" w:color="auto"/>
              <w:right w:val="single" w:sz="4" w:space="0" w:color="auto"/>
            </w:tcBorders>
            <w:shd w:val="clear" w:color="auto" w:fill="auto"/>
            <w:noWrap/>
            <w:vAlign w:val="center"/>
            <w:hideMark/>
          </w:tcPr>
          <w:p w:rsidR="0088146B" w:rsidRPr="00B75AF6" w:rsidRDefault="0088146B" w:rsidP="00F57830">
            <w:pPr>
              <w:spacing w:after="0"/>
              <w:ind w:firstLine="0"/>
              <w:jc w:val="center"/>
              <w:rPr>
                <w:color w:val="000000"/>
                <w:sz w:val="20"/>
                <w:lang w:eastAsia="lv-LV"/>
              </w:rPr>
            </w:pPr>
            <w:r w:rsidRPr="00B75AF6">
              <w:rPr>
                <w:color w:val="000000"/>
                <w:sz w:val="20"/>
                <w:lang w:eastAsia="lv-LV"/>
              </w:rPr>
              <w:t>2013</w:t>
            </w:r>
          </w:p>
        </w:tc>
        <w:tc>
          <w:tcPr>
            <w:tcW w:w="710" w:type="dxa"/>
            <w:tcBorders>
              <w:top w:val="double" w:sz="6" w:space="0" w:color="auto"/>
              <w:left w:val="nil"/>
              <w:bottom w:val="double" w:sz="6" w:space="0" w:color="auto"/>
              <w:right w:val="single" w:sz="4" w:space="0" w:color="auto"/>
            </w:tcBorders>
            <w:shd w:val="clear" w:color="auto" w:fill="auto"/>
            <w:noWrap/>
            <w:vAlign w:val="center"/>
            <w:hideMark/>
          </w:tcPr>
          <w:p w:rsidR="0088146B" w:rsidRPr="00B75AF6" w:rsidRDefault="0088146B" w:rsidP="00F57830">
            <w:pPr>
              <w:spacing w:after="0"/>
              <w:ind w:firstLine="0"/>
              <w:jc w:val="center"/>
              <w:rPr>
                <w:color w:val="000000"/>
                <w:sz w:val="20"/>
                <w:lang w:eastAsia="lv-LV"/>
              </w:rPr>
            </w:pPr>
            <w:r w:rsidRPr="00B75AF6">
              <w:rPr>
                <w:color w:val="000000"/>
                <w:sz w:val="20"/>
                <w:lang w:eastAsia="lv-LV"/>
              </w:rPr>
              <w:t>2014</w:t>
            </w:r>
          </w:p>
        </w:tc>
        <w:tc>
          <w:tcPr>
            <w:tcW w:w="710" w:type="dxa"/>
            <w:tcBorders>
              <w:top w:val="double" w:sz="6" w:space="0" w:color="auto"/>
              <w:left w:val="nil"/>
              <w:bottom w:val="double" w:sz="6" w:space="0" w:color="auto"/>
              <w:right w:val="double" w:sz="6" w:space="0" w:color="auto"/>
            </w:tcBorders>
            <w:shd w:val="clear" w:color="auto" w:fill="auto"/>
            <w:noWrap/>
            <w:vAlign w:val="center"/>
            <w:hideMark/>
          </w:tcPr>
          <w:p w:rsidR="0088146B" w:rsidRPr="00B75AF6" w:rsidRDefault="0088146B" w:rsidP="00F57830">
            <w:pPr>
              <w:spacing w:after="0"/>
              <w:ind w:firstLine="0"/>
              <w:jc w:val="center"/>
              <w:rPr>
                <w:color w:val="000000"/>
                <w:sz w:val="20"/>
                <w:lang w:eastAsia="lv-LV"/>
              </w:rPr>
            </w:pPr>
            <w:r w:rsidRPr="00B75AF6">
              <w:rPr>
                <w:color w:val="000000"/>
                <w:sz w:val="20"/>
                <w:lang w:eastAsia="lv-LV"/>
              </w:rPr>
              <w:t>2015</w:t>
            </w:r>
          </w:p>
        </w:tc>
      </w:tr>
      <w:tr w:rsidR="0088146B" w:rsidRPr="00B75AF6" w:rsidTr="00F57830">
        <w:trPr>
          <w:trHeight w:val="270"/>
        </w:trPr>
        <w:tc>
          <w:tcPr>
            <w:tcW w:w="3845" w:type="dxa"/>
            <w:tcBorders>
              <w:top w:val="nil"/>
              <w:left w:val="double" w:sz="6" w:space="0" w:color="auto"/>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left"/>
              <w:rPr>
                <w:color w:val="000000"/>
                <w:sz w:val="20"/>
                <w:lang w:eastAsia="lv-LV"/>
              </w:rPr>
            </w:pPr>
            <w:r w:rsidRPr="00B75AF6">
              <w:rPr>
                <w:color w:val="000000"/>
                <w:sz w:val="20"/>
                <w:lang w:eastAsia="lv-LV"/>
              </w:rPr>
              <w:t>1. IKP pieaugums salīdzināmajās cenās (%)</w:t>
            </w:r>
          </w:p>
        </w:tc>
        <w:tc>
          <w:tcPr>
            <w:tcW w:w="768" w:type="dxa"/>
            <w:tcBorders>
              <w:top w:val="nil"/>
              <w:left w:val="nil"/>
              <w:bottom w:val="single" w:sz="4" w:space="0" w:color="auto"/>
              <w:right w:val="double" w:sz="6" w:space="0" w:color="auto"/>
            </w:tcBorders>
            <w:shd w:val="clear" w:color="auto" w:fill="auto"/>
            <w:noWrap/>
            <w:vAlign w:val="center"/>
            <w:hideMark/>
          </w:tcPr>
          <w:p w:rsidR="0088146B" w:rsidRPr="00B75AF6" w:rsidRDefault="0088146B" w:rsidP="00F57830">
            <w:pPr>
              <w:spacing w:after="0"/>
              <w:ind w:firstLine="0"/>
              <w:jc w:val="center"/>
              <w:rPr>
                <w:sz w:val="20"/>
                <w:lang w:eastAsia="lv-LV"/>
              </w:rPr>
            </w:pPr>
            <w:r w:rsidRPr="00B75AF6">
              <w:rPr>
                <w:sz w:val="20"/>
                <w:lang w:eastAsia="lv-LV"/>
              </w:rPr>
              <w:t>B1g</w:t>
            </w:r>
          </w:p>
        </w:tc>
        <w:tc>
          <w:tcPr>
            <w:tcW w:w="710" w:type="dxa"/>
            <w:tcBorders>
              <w:top w:val="nil"/>
              <w:left w:val="nil"/>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5,5</w:t>
            </w:r>
          </w:p>
        </w:tc>
        <w:tc>
          <w:tcPr>
            <w:tcW w:w="710" w:type="dxa"/>
            <w:tcBorders>
              <w:top w:val="nil"/>
              <w:left w:val="nil"/>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2,0</w:t>
            </w:r>
          </w:p>
        </w:tc>
        <w:tc>
          <w:tcPr>
            <w:tcW w:w="710" w:type="dxa"/>
            <w:tcBorders>
              <w:top w:val="nil"/>
              <w:left w:val="nil"/>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3,7</w:t>
            </w:r>
          </w:p>
        </w:tc>
        <w:tc>
          <w:tcPr>
            <w:tcW w:w="710" w:type="dxa"/>
            <w:tcBorders>
              <w:top w:val="nil"/>
              <w:left w:val="nil"/>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4,0</w:t>
            </w:r>
          </w:p>
        </w:tc>
        <w:tc>
          <w:tcPr>
            <w:tcW w:w="710" w:type="dxa"/>
            <w:tcBorders>
              <w:top w:val="nil"/>
              <w:left w:val="nil"/>
              <w:bottom w:val="single" w:sz="4" w:space="0" w:color="auto"/>
              <w:right w:val="double" w:sz="6"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4,0</w:t>
            </w:r>
          </w:p>
        </w:tc>
      </w:tr>
      <w:tr w:rsidR="0088146B" w:rsidRPr="00B75AF6" w:rsidTr="00F57830">
        <w:trPr>
          <w:trHeight w:val="258"/>
        </w:trPr>
        <w:tc>
          <w:tcPr>
            <w:tcW w:w="3845" w:type="dxa"/>
            <w:tcBorders>
              <w:top w:val="nil"/>
              <w:left w:val="double" w:sz="6" w:space="0" w:color="auto"/>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left"/>
              <w:rPr>
                <w:color w:val="000000"/>
                <w:sz w:val="20"/>
                <w:lang w:eastAsia="lv-LV"/>
              </w:rPr>
            </w:pPr>
            <w:r w:rsidRPr="00B75AF6">
              <w:rPr>
                <w:color w:val="000000"/>
                <w:sz w:val="20"/>
                <w:lang w:eastAsia="lv-LV"/>
              </w:rPr>
              <w:t>2. Faktiskā budžeta bilance</w:t>
            </w:r>
          </w:p>
        </w:tc>
        <w:tc>
          <w:tcPr>
            <w:tcW w:w="768" w:type="dxa"/>
            <w:tcBorders>
              <w:top w:val="nil"/>
              <w:left w:val="nil"/>
              <w:bottom w:val="single" w:sz="4" w:space="0" w:color="auto"/>
              <w:right w:val="double" w:sz="6" w:space="0" w:color="auto"/>
            </w:tcBorders>
            <w:shd w:val="clear" w:color="auto" w:fill="auto"/>
            <w:noWrap/>
            <w:vAlign w:val="bottom"/>
            <w:hideMark/>
          </w:tcPr>
          <w:p w:rsidR="0088146B" w:rsidRPr="00B75AF6" w:rsidRDefault="0088146B" w:rsidP="00F57830">
            <w:pPr>
              <w:spacing w:after="0"/>
              <w:ind w:firstLine="0"/>
              <w:jc w:val="center"/>
              <w:rPr>
                <w:color w:val="000000"/>
                <w:sz w:val="20"/>
                <w:lang w:eastAsia="lv-LV"/>
              </w:rPr>
            </w:pPr>
            <w:r w:rsidRPr="00B75AF6">
              <w:rPr>
                <w:color w:val="000000"/>
                <w:sz w:val="20"/>
                <w:lang w:eastAsia="lv-LV"/>
              </w:rPr>
              <w:t>B.9</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-3,5</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-2,1</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-1,4</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-0,8</w:t>
            </w:r>
          </w:p>
        </w:tc>
        <w:tc>
          <w:tcPr>
            <w:tcW w:w="710" w:type="dxa"/>
            <w:tcBorders>
              <w:top w:val="nil"/>
              <w:left w:val="single" w:sz="4" w:space="0" w:color="auto"/>
              <w:bottom w:val="single" w:sz="4" w:space="0" w:color="auto"/>
              <w:right w:val="double" w:sz="6"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-0,3</w:t>
            </w:r>
          </w:p>
        </w:tc>
      </w:tr>
      <w:tr w:rsidR="0088146B" w:rsidRPr="00B75AF6" w:rsidTr="00F57830">
        <w:trPr>
          <w:trHeight w:val="258"/>
        </w:trPr>
        <w:tc>
          <w:tcPr>
            <w:tcW w:w="3845" w:type="dxa"/>
            <w:tcBorders>
              <w:top w:val="nil"/>
              <w:left w:val="double" w:sz="6" w:space="0" w:color="auto"/>
              <w:bottom w:val="nil"/>
              <w:right w:val="single" w:sz="4" w:space="0" w:color="auto"/>
            </w:tcBorders>
            <w:shd w:val="clear" w:color="auto" w:fill="auto"/>
            <w:noWrap/>
            <w:vAlign w:val="bottom"/>
            <w:hideMark/>
          </w:tcPr>
          <w:p w:rsidR="0088146B" w:rsidRPr="00B75AF6" w:rsidRDefault="0088146B" w:rsidP="00F57830">
            <w:pPr>
              <w:spacing w:after="0"/>
              <w:ind w:firstLine="0"/>
              <w:jc w:val="left"/>
              <w:rPr>
                <w:color w:val="000000"/>
                <w:sz w:val="20"/>
                <w:lang w:eastAsia="lv-LV"/>
              </w:rPr>
            </w:pPr>
            <w:r w:rsidRPr="00B75AF6">
              <w:rPr>
                <w:color w:val="000000"/>
                <w:sz w:val="20"/>
                <w:lang w:eastAsia="lv-LV"/>
              </w:rPr>
              <w:t xml:space="preserve">3. Procentu izdevumi  </w:t>
            </w:r>
          </w:p>
        </w:tc>
        <w:tc>
          <w:tcPr>
            <w:tcW w:w="768" w:type="dxa"/>
            <w:tcBorders>
              <w:top w:val="nil"/>
              <w:left w:val="nil"/>
              <w:bottom w:val="nil"/>
              <w:right w:val="double" w:sz="6" w:space="0" w:color="auto"/>
            </w:tcBorders>
            <w:shd w:val="clear" w:color="auto" w:fill="auto"/>
            <w:noWrap/>
            <w:vAlign w:val="bottom"/>
            <w:hideMark/>
          </w:tcPr>
          <w:p w:rsidR="0088146B" w:rsidRPr="00B75AF6" w:rsidRDefault="0088146B" w:rsidP="00F57830">
            <w:pPr>
              <w:spacing w:after="0"/>
              <w:ind w:firstLine="0"/>
              <w:jc w:val="center"/>
              <w:rPr>
                <w:color w:val="000000"/>
                <w:sz w:val="20"/>
                <w:lang w:eastAsia="lv-LV"/>
              </w:rPr>
            </w:pPr>
            <w:r w:rsidRPr="00B75AF6">
              <w:rPr>
                <w:color w:val="000000"/>
                <w:sz w:val="20"/>
                <w:lang w:eastAsia="lv-LV"/>
              </w:rPr>
              <w:t>D.41</w:t>
            </w:r>
          </w:p>
        </w:tc>
        <w:tc>
          <w:tcPr>
            <w:tcW w:w="710" w:type="dxa"/>
            <w:tcBorders>
              <w:top w:val="single" w:sz="4" w:space="0" w:color="auto"/>
              <w:left w:val="nil"/>
              <w:bottom w:val="nil"/>
              <w:right w:val="single" w:sz="4"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1,5</w:t>
            </w:r>
          </w:p>
        </w:tc>
        <w:tc>
          <w:tcPr>
            <w:tcW w:w="710" w:type="dxa"/>
            <w:tcBorders>
              <w:top w:val="single" w:sz="4" w:space="0" w:color="auto"/>
              <w:left w:val="nil"/>
              <w:bottom w:val="nil"/>
              <w:right w:val="single" w:sz="4"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1,7</w:t>
            </w:r>
          </w:p>
        </w:tc>
        <w:tc>
          <w:tcPr>
            <w:tcW w:w="710" w:type="dxa"/>
            <w:tcBorders>
              <w:top w:val="single" w:sz="4" w:space="0" w:color="auto"/>
              <w:left w:val="nil"/>
              <w:bottom w:val="nil"/>
              <w:right w:val="single" w:sz="4"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1,8</w:t>
            </w:r>
          </w:p>
        </w:tc>
        <w:tc>
          <w:tcPr>
            <w:tcW w:w="710" w:type="dxa"/>
            <w:tcBorders>
              <w:top w:val="single" w:sz="4" w:space="0" w:color="auto"/>
              <w:left w:val="nil"/>
              <w:bottom w:val="nil"/>
              <w:right w:val="single" w:sz="4"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2,1</w:t>
            </w:r>
          </w:p>
        </w:tc>
        <w:tc>
          <w:tcPr>
            <w:tcW w:w="710" w:type="dxa"/>
            <w:tcBorders>
              <w:top w:val="nil"/>
              <w:left w:val="nil"/>
              <w:bottom w:val="nil"/>
              <w:right w:val="double" w:sz="6"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2,1</w:t>
            </w:r>
          </w:p>
        </w:tc>
      </w:tr>
      <w:tr w:rsidR="0088146B" w:rsidRPr="00B75AF6" w:rsidTr="00F57830">
        <w:trPr>
          <w:trHeight w:val="258"/>
        </w:trPr>
        <w:tc>
          <w:tcPr>
            <w:tcW w:w="3845"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left"/>
              <w:rPr>
                <w:color w:val="000000"/>
                <w:sz w:val="20"/>
                <w:lang w:eastAsia="lv-LV"/>
              </w:rPr>
            </w:pPr>
            <w:r w:rsidRPr="00B75AF6">
              <w:rPr>
                <w:color w:val="000000"/>
                <w:sz w:val="20"/>
                <w:lang w:eastAsia="lv-LV"/>
              </w:rPr>
              <w:t>4. Vienreizēji un citi īslaicīgi pasākumi</w:t>
            </w:r>
          </w:p>
        </w:tc>
        <w:tc>
          <w:tcPr>
            <w:tcW w:w="768" w:type="dxa"/>
            <w:tcBorders>
              <w:top w:val="single" w:sz="4" w:space="0" w:color="auto"/>
              <w:left w:val="nil"/>
              <w:bottom w:val="single" w:sz="4" w:space="0" w:color="auto"/>
              <w:right w:val="double" w:sz="6" w:space="0" w:color="auto"/>
            </w:tcBorders>
            <w:shd w:val="clear" w:color="auto" w:fill="auto"/>
            <w:noWrap/>
            <w:vAlign w:val="bottom"/>
            <w:hideMark/>
          </w:tcPr>
          <w:p w:rsidR="0088146B" w:rsidRPr="00B75AF6" w:rsidRDefault="0088146B" w:rsidP="00F57830">
            <w:pPr>
              <w:spacing w:after="0"/>
              <w:ind w:firstLine="0"/>
              <w:jc w:val="left"/>
              <w:rPr>
                <w:color w:val="000000"/>
                <w:sz w:val="20"/>
                <w:lang w:eastAsia="lv-LV"/>
              </w:rPr>
            </w:pPr>
            <w:r w:rsidRPr="00B75AF6">
              <w:rPr>
                <w:color w:val="000000"/>
                <w:sz w:val="20"/>
                <w:lang w:eastAsia="lv-LV"/>
              </w:rPr>
              <w:t> </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right"/>
              <w:rPr>
                <w:sz w:val="20"/>
                <w:lang w:eastAsia="lv-LV"/>
              </w:rPr>
            </w:pPr>
            <w:r w:rsidRPr="00B75AF6">
              <w:rPr>
                <w:sz w:val="20"/>
                <w:lang w:eastAsia="lv-LV"/>
              </w:rPr>
              <w:t>-0,2</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left"/>
              <w:rPr>
                <w:sz w:val="20"/>
                <w:lang w:eastAsia="lv-LV"/>
              </w:rPr>
            </w:pPr>
            <w:r w:rsidRPr="00B75AF6">
              <w:rPr>
                <w:sz w:val="20"/>
                <w:lang w:eastAsia="lv-LV"/>
              </w:rPr>
              <w:t> </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left"/>
              <w:rPr>
                <w:sz w:val="20"/>
                <w:lang w:eastAsia="lv-LV"/>
              </w:rPr>
            </w:pPr>
            <w:r w:rsidRPr="00B75AF6">
              <w:rPr>
                <w:sz w:val="20"/>
                <w:lang w:eastAsia="lv-LV"/>
              </w:rPr>
              <w:t> </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left"/>
              <w:rPr>
                <w:sz w:val="20"/>
                <w:lang w:eastAsia="lv-LV"/>
              </w:rPr>
            </w:pPr>
            <w:r w:rsidRPr="00B75AF6">
              <w:rPr>
                <w:sz w:val="20"/>
                <w:lang w:eastAsia="lv-LV"/>
              </w:rPr>
              <w:t> </w:t>
            </w:r>
          </w:p>
        </w:tc>
        <w:tc>
          <w:tcPr>
            <w:tcW w:w="710"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88146B" w:rsidRPr="00B75AF6" w:rsidRDefault="0088146B" w:rsidP="00F57830">
            <w:pPr>
              <w:spacing w:after="0"/>
              <w:ind w:firstLine="0"/>
              <w:jc w:val="left"/>
              <w:rPr>
                <w:sz w:val="20"/>
                <w:lang w:eastAsia="lv-LV"/>
              </w:rPr>
            </w:pPr>
            <w:r w:rsidRPr="00B75AF6">
              <w:rPr>
                <w:sz w:val="20"/>
                <w:lang w:eastAsia="lv-LV"/>
              </w:rPr>
              <w:t> </w:t>
            </w:r>
          </w:p>
        </w:tc>
      </w:tr>
      <w:tr w:rsidR="0088146B" w:rsidRPr="00B75AF6" w:rsidTr="00F57830">
        <w:trPr>
          <w:trHeight w:val="258"/>
        </w:trPr>
        <w:tc>
          <w:tcPr>
            <w:tcW w:w="3845" w:type="dxa"/>
            <w:tcBorders>
              <w:top w:val="nil"/>
              <w:left w:val="double" w:sz="6" w:space="0" w:color="auto"/>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left"/>
              <w:rPr>
                <w:color w:val="000000"/>
                <w:sz w:val="20"/>
                <w:lang w:eastAsia="lv-LV"/>
              </w:rPr>
            </w:pPr>
            <w:r w:rsidRPr="00B75AF6">
              <w:rPr>
                <w:color w:val="000000"/>
                <w:sz w:val="20"/>
                <w:lang w:eastAsia="lv-LV"/>
              </w:rPr>
              <w:t>5. Potenciālā IKP pieaugums (%)</w:t>
            </w:r>
          </w:p>
        </w:tc>
        <w:tc>
          <w:tcPr>
            <w:tcW w:w="768" w:type="dxa"/>
            <w:tcBorders>
              <w:top w:val="nil"/>
              <w:left w:val="nil"/>
              <w:bottom w:val="single" w:sz="4" w:space="0" w:color="auto"/>
              <w:right w:val="double" w:sz="6" w:space="0" w:color="auto"/>
            </w:tcBorders>
            <w:shd w:val="clear" w:color="auto" w:fill="auto"/>
            <w:noWrap/>
            <w:vAlign w:val="bottom"/>
            <w:hideMark/>
          </w:tcPr>
          <w:p w:rsidR="0088146B" w:rsidRPr="00B75AF6" w:rsidRDefault="0088146B" w:rsidP="00F57830">
            <w:pPr>
              <w:spacing w:after="0"/>
              <w:ind w:firstLine="0"/>
              <w:jc w:val="left"/>
              <w:rPr>
                <w:color w:val="000000"/>
                <w:sz w:val="20"/>
                <w:lang w:eastAsia="lv-LV"/>
              </w:rPr>
            </w:pPr>
            <w:r w:rsidRPr="00B75AF6">
              <w:rPr>
                <w:color w:val="000000"/>
                <w:sz w:val="20"/>
                <w:lang w:eastAsia="lv-LV"/>
              </w:rPr>
              <w:t> </w:t>
            </w:r>
          </w:p>
        </w:tc>
        <w:tc>
          <w:tcPr>
            <w:tcW w:w="710" w:type="dxa"/>
            <w:tcBorders>
              <w:top w:val="nil"/>
              <w:left w:val="nil"/>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-1,0</w:t>
            </w:r>
          </w:p>
        </w:tc>
        <w:tc>
          <w:tcPr>
            <w:tcW w:w="710" w:type="dxa"/>
            <w:tcBorders>
              <w:top w:val="nil"/>
              <w:left w:val="nil"/>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1,4</w:t>
            </w:r>
          </w:p>
        </w:tc>
        <w:tc>
          <w:tcPr>
            <w:tcW w:w="710" w:type="dxa"/>
            <w:tcBorders>
              <w:top w:val="nil"/>
              <w:left w:val="nil"/>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2,8</w:t>
            </w:r>
          </w:p>
        </w:tc>
        <w:tc>
          <w:tcPr>
            <w:tcW w:w="710" w:type="dxa"/>
            <w:tcBorders>
              <w:top w:val="nil"/>
              <w:left w:val="nil"/>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3,6</w:t>
            </w:r>
          </w:p>
        </w:tc>
        <w:tc>
          <w:tcPr>
            <w:tcW w:w="710" w:type="dxa"/>
            <w:tcBorders>
              <w:top w:val="nil"/>
              <w:left w:val="nil"/>
              <w:bottom w:val="single" w:sz="4" w:space="0" w:color="auto"/>
              <w:right w:val="double" w:sz="6"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3,9</w:t>
            </w:r>
          </w:p>
        </w:tc>
      </w:tr>
      <w:tr w:rsidR="0088146B" w:rsidRPr="00B75AF6" w:rsidTr="00F57830">
        <w:trPr>
          <w:trHeight w:val="258"/>
        </w:trPr>
        <w:tc>
          <w:tcPr>
            <w:tcW w:w="3845" w:type="dxa"/>
            <w:tcBorders>
              <w:top w:val="nil"/>
              <w:left w:val="double" w:sz="6" w:space="0" w:color="auto"/>
              <w:bottom w:val="nil"/>
              <w:right w:val="single" w:sz="4" w:space="0" w:color="auto"/>
            </w:tcBorders>
            <w:shd w:val="clear" w:color="auto" w:fill="auto"/>
            <w:noWrap/>
            <w:vAlign w:val="bottom"/>
            <w:hideMark/>
          </w:tcPr>
          <w:p w:rsidR="0088146B" w:rsidRPr="00B75AF6" w:rsidRDefault="0088146B" w:rsidP="00F57830">
            <w:pPr>
              <w:spacing w:after="0"/>
              <w:ind w:firstLineChars="100" w:firstLine="200"/>
              <w:jc w:val="left"/>
              <w:rPr>
                <w:color w:val="000000"/>
                <w:sz w:val="20"/>
                <w:lang w:eastAsia="lv-LV"/>
              </w:rPr>
            </w:pPr>
            <w:r w:rsidRPr="00B75AF6">
              <w:rPr>
                <w:color w:val="000000"/>
                <w:sz w:val="20"/>
                <w:lang w:eastAsia="lv-LV"/>
              </w:rPr>
              <w:t>ieguldījums:</w:t>
            </w:r>
          </w:p>
        </w:tc>
        <w:tc>
          <w:tcPr>
            <w:tcW w:w="768" w:type="dxa"/>
            <w:tcBorders>
              <w:top w:val="nil"/>
              <w:left w:val="nil"/>
              <w:bottom w:val="nil"/>
              <w:right w:val="double" w:sz="6" w:space="0" w:color="auto"/>
            </w:tcBorders>
            <w:shd w:val="clear" w:color="auto" w:fill="auto"/>
            <w:noWrap/>
            <w:vAlign w:val="bottom"/>
            <w:hideMark/>
          </w:tcPr>
          <w:p w:rsidR="0088146B" w:rsidRPr="00B75AF6" w:rsidRDefault="0088146B" w:rsidP="00F57830">
            <w:pPr>
              <w:spacing w:after="0"/>
              <w:ind w:firstLine="0"/>
              <w:jc w:val="left"/>
              <w:rPr>
                <w:color w:val="000000"/>
                <w:sz w:val="20"/>
                <w:lang w:eastAsia="lv-LV"/>
              </w:rPr>
            </w:pPr>
            <w:r w:rsidRPr="00B75AF6">
              <w:rPr>
                <w:color w:val="000000"/>
                <w:sz w:val="20"/>
                <w:lang w:eastAsia="lv-LV"/>
              </w:rPr>
              <w:t> </w:t>
            </w:r>
          </w:p>
        </w:tc>
        <w:tc>
          <w:tcPr>
            <w:tcW w:w="710" w:type="dxa"/>
            <w:tcBorders>
              <w:top w:val="nil"/>
              <w:left w:val="nil"/>
              <w:bottom w:val="nil"/>
              <w:right w:val="single" w:sz="4" w:space="0" w:color="auto"/>
            </w:tcBorders>
            <w:shd w:val="clear" w:color="auto" w:fill="auto"/>
            <w:noWrap/>
            <w:vAlign w:val="bottom"/>
            <w:hideMark/>
          </w:tcPr>
          <w:p w:rsidR="0088146B" w:rsidRPr="00B75AF6" w:rsidRDefault="0088146B" w:rsidP="00F57830">
            <w:pPr>
              <w:spacing w:after="0"/>
              <w:ind w:firstLine="0"/>
              <w:jc w:val="left"/>
              <w:rPr>
                <w:color w:val="000000"/>
                <w:sz w:val="20"/>
                <w:lang w:eastAsia="lv-LV"/>
              </w:rPr>
            </w:pPr>
            <w:r w:rsidRPr="00B75AF6">
              <w:rPr>
                <w:color w:val="000000"/>
                <w:sz w:val="20"/>
                <w:lang w:eastAsia="lv-LV"/>
              </w:rPr>
              <w:t> </w:t>
            </w:r>
          </w:p>
        </w:tc>
        <w:tc>
          <w:tcPr>
            <w:tcW w:w="710" w:type="dxa"/>
            <w:tcBorders>
              <w:top w:val="nil"/>
              <w:left w:val="nil"/>
              <w:bottom w:val="nil"/>
              <w:right w:val="single" w:sz="4" w:space="0" w:color="auto"/>
            </w:tcBorders>
            <w:shd w:val="clear" w:color="auto" w:fill="auto"/>
            <w:noWrap/>
            <w:vAlign w:val="bottom"/>
            <w:hideMark/>
          </w:tcPr>
          <w:p w:rsidR="0088146B" w:rsidRPr="00B75AF6" w:rsidRDefault="0088146B" w:rsidP="00F57830">
            <w:pPr>
              <w:spacing w:after="0"/>
              <w:ind w:firstLine="0"/>
              <w:jc w:val="left"/>
              <w:rPr>
                <w:color w:val="000000"/>
                <w:sz w:val="20"/>
                <w:lang w:eastAsia="lv-LV"/>
              </w:rPr>
            </w:pPr>
            <w:r w:rsidRPr="00B75AF6">
              <w:rPr>
                <w:color w:val="000000"/>
                <w:sz w:val="20"/>
                <w:lang w:eastAsia="lv-LV"/>
              </w:rPr>
              <w:t> </w:t>
            </w:r>
          </w:p>
        </w:tc>
        <w:tc>
          <w:tcPr>
            <w:tcW w:w="710" w:type="dxa"/>
            <w:tcBorders>
              <w:top w:val="nil"/>
              <w:left w:val="nil"/>
              <w:bottom w:val="nil"/>
              <w:right w:val="single" w:sz="4" w:space="0" w:color="auto"/>
            </w:tcBorders>
            <w:shd w:val="clear" w:color="auto" w:fill="auto"/>
            <w:noWrap/>
            <w:vAlign w:val="bottom"/>
            <w:hideMark/>
          </w:tcPr>
          <w:p w:rsidR="0088146B" w:rsidRPr="00B75AF6" w:rsidRDefault="0088146B" w:rsidP="00F57830">
            <w:pPr>
              <w:spacing w:after="0"/>
              <w:ind w:firstLine="0"/>
              <w:jc w:val="left"/>
              <w:rPr>
                <w:color w:val="000000"/>
                <w:sz w:val="20"/>
                <w:lang w:eastAsia="lv-LV"/>
              </w:rPr>
            </w:pPr>
            <w:r w:rsidRPr="00B75AF6">
              <w:rPr>
                <w:color w:val="000000"/>
                <w:sz w:val="20"/>
                <w:lang w:eastAsia="lv-LV"/>
              </w:rPr>
              <w:t> </w:t>
            </w:r>
          </w:p>
        </w:tc>
        <w:tc>
          <w:tcPr>
            <w:tcW w:w="710" w:type="dxa"/>
            <w:tcBorders>
              <w:top w:val="nil"/>
              <w:left w:val="nil"/>
              <w:bottom w:val="nil"/>
              <w:right w:val="single" w:sz="4" w:space="0" w:color="auto"/>
            </w:tcBorders>
            <w:shd w:val="clear" w:color="auto" w:fill="auto"/>
            <w:noWrap/>
            <w:vAlign w:val="bottom"/>
            <w:hideMark/>
          </w:tcPr>
          <w:p w:rsidR="0088146B" w:rsidRPr="00B75AF6" w:rsidRDefault="0088146B" w:rsidP="00F57830">
            <w:pPr>
              <w:spacing w:after="0"/>
              <w:ind w:firstLine="0"/>
              <w:jc w:val="left"/>
              <w:rPr>
                <w:color w:val="000000"/>
                <w:sz w:val="20"/>
                <w:lang w:eastAsia="lv-LV"/>
              </w:rPr>
            </w:pPr>
            <w:r w:rsidRPr="00B75AF6">
              <w:rPr>
                <w:color w:val="000000"/>
                <w:sz w:val="20"/>
                <w:lang w:eastAsia="lv-LV"/>
              </w:rPr>
              <w:t> </w:t>
            </w:r>
          </w:p>
        </w:tc>
        <w:tc>
          <w:tcPr>
            <w:tcW w:w="710" w:type="dxa"/>
            <w:tcBorders>
              <w:top w:val="nil"/>
              <w:left w:val="nil"/>
              <w:bottom w:val="nil"/>
              <w:right w:val="double" w:sz="6" w:space="0" w:color="auto"/>
            </w:tcBorders>
            <w:shd w:val="clear" w:color="auto" w:fill="auto"/>
            <w:noWrap/>
            <w:vAlign w:val="bottom"/>
            <w:hideMark/>
          </w:tcPr>
          <w:p w:rsidR="0088146B" w:rsidRPr="00B75AF6" w:rsidRDefault="0088146B" w:rsidP="00F57830">
            <w:pPr>
              <w:spacing w:after="0"/>
              <w:ind w:firstLine="0"/>
              <w:jc w:val="left"/>
              <w:rPr>
                <w:color w:val="000000"/>
                <w:sz w:val="20"/>
                <w:lang w:eastAsia="lv-LV"/>
              </w:rPr>
            </w:pPr>
            <w:r w:rsidRPr="00B75AF6">
              <w:rPr>
                <w:color w:val="000000"/>
                <w:sz w:val="20"/>
                <w:lang w:eastAsia="lv-LV"/>
              </w:rPr>
              <w:t> </w:t>
            </w:r>
          </w:p>
        </w:tc>
      </w:tr>
      <w:tr w:rsidR="0088146B" w:rsidRPr="00B75AF6" w:rsidTr="00F57830">
        <w:trPr>
          <w:trHeight w:val="258"/>
        </w:trPr>
        <w:tc>
          <w:tcPr>
            <w:tcW w:w="3845" w:type="dxa"/>
            <w:tcBorders>
              <w:top w:val="nil"/>
              <w:left w:val="double" w:sz="6" w:space="0" w:color="auto"/>
              <w:bottom w:val="nil"/>
              <w:right w:val="single" w:sz="4" w:space="0" w:color="auto"/>
            </w:tcBorders>
            <w:shd w:val="clear" w:color="auto" w:fill="auto"/>
            <w:noWrap/>
            <w:vAlign w:val="bottom"/>
            <w:hideMark/>
          </w:tcPr>
          <w:p w:rsidR="0088146B" w:rsidRPr="00B75AF6" w:rsidRDefault="0088146B" w:rsidP="00F57830">
            <w:pPr>
              <w:spacing w:after="0"/>
              <w:ind w:firstLineChars="200" w:firstLine="400"/>
              <w:jc w:val="left"/>
              <w:rPr>
                <w:color w:val="000000"/>
                <w:sz w:val="20"/>
                <w:lang w:eastAsia="lv-LV"/>
              </w:rPr>
            </w:pPr>
            <w:r w:rsidRPr="00B75AF6">
              <w:rPr>
                <w:color w:val="000000"/>
                <w:sz w:val="20"/>
                <w:lang w:eastAsia="lv-LV"/>
              </w:rPr>
              <w:t xml:space="preserve"> - nodarbinātības</w:t>
            </w:r>
          </w:p>
        </w:tc>
        <w:tc>
          <w:tcPr>
            <w:tcW w:w="768" w:type="dxa"/>
            <w:tcBorders>
              <w:top w:val="nil"/>
              <w:left w:val="nil"/>
              <w:bottom w:val="nil"/>
              <w:right w:val="double" w:sz="6" w:space="0" w:color="auto"/>
            </w:tcBorders>
            <w:shd w:val="clear" w:color="auto" w:fill="auto"/>
            <w:noWrap/>
            <w:vAlign w:val="bottom"/>
            <w:hideMark/>
          </w:tcPr>
          <w:p w:rsidR="0088146B" w:rsidRPr="00B75AF6" w:rsidRDefault="0088146B" w:rsidP="00F57830">
            <w:pPr>
              <w:spacing w:after="0"/>
              <w:ind w:firstLine="0"/>
              <w:jc w:val="left"/>
              <w:rPr>
                <w:color w:val="000000"/>
                <w:sz w:val="20"/>
                <w:lang w:eastAsia="lv-LV"/>
              </w:rPr>
            </w:pPr>
            <w:r w:rsidRPr="00B75AF6">
              <w:rPr>
                <w:color w:val="000000"/>
                <w:sz w:val="20"/>
                <w:lang w:eastAsia="lv-LV"/>
              </w:rPr>
              <w:t> </w:t>
            </w:r>
          </w:p>
        </w:tc>
        <w:tc>
          <w:tcPr>
            <w:tcW w:w="710" w:type="dxa"/>
            <w:tcBorders>
              <w:top w:val="nil"/>
              <w:left w:val="nil"/>
              <w:bottom w:val="nil"/>
              <w:right w:val="single" w:sz="4" w:space="0" w:color="auto"/>
            </w:tcBorders>
            <w:shd w:val="clear" w:color="auto" w:fill="auto"/>
            <w:noWrap/>
            <w:vAlign w:val="bottom"/>
            <w:hideMark/>
          </w:tcPr>
          <w:p w:rsidR="0088146B" w:rsidRPr="00B75AF6" w:rsidRDefault="0088146B" w:rsidP="00F57830">
            <w:pPr>
              <w:spacing w:after="0"/>
              <w:ind w:firstLine="0"/>
              <w:jc w:val="right"/>
              <w:rPr>
                <w:sz w:val="20"/>
                <w:lang w:eastAsia="lv-LV"/>
              </w:rPr>
            </w:pPr>
            <w:r w:rsidRPr="00B75AF6">
              <w:rPr>
                <w:sz w:val="20"/>
                <w:lang w:eastAsia="lv-LV"/>
              </w:rPr>
              <w:t>-1,0</w:t>
            </w:r>
          </w:p>
        </w:tc>
        <w:tc>
          <w:tcPr>
            <w:tcW w:w="710" w:type="dxa"/>
            <w:tcBorders>
              <w:top w:val="nil"/>
              <w:left w:val="nil"/>
              <w:bottom w:val="nil"/>
              <w:right w:val="single" w:sz="4" w:space="0" w:color="auto"/>
            </w:tcBorders>
            <w:shd w:val="clear" w:color="auto" w:fill="auto"/>
            <w:noWrap/>
            <w:vAlign w:val="bottom"/>
            <w:hideMark/>
          </w:tcPr>
          <w:p w:rsidR="0088146B" w:rsidRPr="00B75AF6" w:rsidRDefault="0088146B" w:rsidP="00F57830">
            <w:pPr>
              <w:spacing w:after="0"/>
              <w:ind w:firstLine="0"/>
              <w:jc w:val="right"/>
              <w:rPr>
                <w:sz w:val="20"/>
                <w:lang w:eastAsia="lv-LV"/>
              </w:rPr>
            </w:pPr>
            <w:r w:rsidRPr="00B75AF6">
              <w:rPr>
                <w:sz w:val="20"/>
                <w:lang w:eastAsia="lv-LV"/>
              </w:rPr>
              <w:t>-0,1</w:t>
            </w:r>
          </w:p>
        </w:tc>
        <w:tc>
          <w:tcPr>
            <w:tcW w:w="710" w:type="dxa"/>
            <w:tcBorders>
              <w:top w:val="nil"/>
              <w:left w:val="nil"/>
              <w:bottom w:val="nil"/>
              <w:right w:val="single" w:sz="4" w:space="0" w:color="auto"/>
            </w:tcBorders>
            <w:shd w:val="clear" w:color="auto" w:fill="auto"/>
            <w:noWrap/>
            <w:vAlign w:val="bottom"/>
            <w:hideMark/>
          </w:tcPr>
          <w:p w:rsidR="0088146B" w:rsidRPr="00B75AF6" w:rsidRDefault="0088146B" w:rsidP="00F57830">
            <w:pPr>
              <w:spacing w:after="0"/>
              <w:ind w:firstLine="0"/>
              <w:jc w:val="right"/>
              <w:rPr>
                <w:sz w:val="20"/>
                <w:lang w:eastAsia="lv-LV"/>
              </w:rPr>
            </w:pPr>
            <w:r w:rsidRPr="00B75AF6">
              <w:rPr>
                <w:sz w:val="20"/>
                <w:lang w:eastAsia="lv-LV"/>
              </w:rPr>
              <w:t>0,4</w:t>
            </w:r>
          </w:p>
        </w:tc>
        <w:tc>
          <w:tcPr>
            <w:tcW w:w="710" w:type="dxa"/>
            <w:tcBorders>
              <w:top w:val="nil"/>
              <w:left w:val="nil"/>
              <w:bottom w:val="nil"/>
              <w:right w:val="single" w:sz="4" w:space="0" w:color="auto"/>
            </w:tcBorders>
            <w:shd w:val="clear" w:color="auto" w:fill="auto"/>
            <w:noWrap/>
            <w:vAlign w:val="bottom"/>
            <w:hideMark/>
          </w:tcPr>
          <w:p w:rsidR="0088146B" w:rsidRPr="00B75AF6" w:rsidRDefault="0088146B" w:rsidP="00F57830">
            <w:pPr>
              <w:spacing w:after="0"/>
              <w:ind w:firstLine="0"/>
              <w:jc w:val="right"/>
              <w:rPr>
                <w:sz w:val="20"/>
                <w:lang w:eastAsia="lv-LV"/>
              </w:rPr>
            </w:pPr>
            <w:r w:rsidRPr="00B75AF6">
              <w:rPr>
                <w:sz w:val="20"/>
                <w:lang w:eastAsia="lv-LV"/>
              </w:rPr>
              <w:t>0,6</w:t>
            </w:r>
          </w:p>
        </w:tc>
        <w:tc>
          <w:tcPr>
            <w:tcW w:w="710" w:type="dxa"/>
            <w:tcBorders>
              <w:top w:val="nil"/>
              <w:left w:val="nil"/>
              <w:bottom w:val="nil"/>
              <w:right w:val="double" w:sz="6" w:space="0" w:color="auto"/>
            </w:tcBorders>
            <w:shd w:val="clear" w:color="auto" w:fill="auto"/>
            <w:noWrap/>
            <w:vAlign w:val="bottom"/>
            <w:hideMark/>
          </w:tcPr>
          <w:p w:rsidR="0088146B" w:rsidRPr="00B75AF6" w:rsidRDefault="0088146B" w:rsidP="00F57830">
            <w:pPr>
              <w:spacing w:after="0"/>
              <w:ind w:firstLine="0"/>
              <w:jc w:val="right"/>
              <w:rPr>
                <w:sz w:val="20"/>
                <w:lang w:eastAsia="lv-LV"/>
              </w:rPr>
            </w:pPr>
            <w:r w:rsidRPr="00B75AF6">
              <w:rPr>
                <w:sz w:val="20"/>
                <w:lang w:eastAsia="lv-LV"/>
              </w:rPr>
              <w:t>0,6</w:t>
            </w:r>
          </w:p>
        </w:tc>
      </w:tr>
      <w:tr w:rsidR="0088146B" w:rsidRPr="00B75AF6" w:rsidTr="00F57830">
        <w:trPr>
          <w:trHeight w:val="258"/>
        </w:trPr>
        <w:tc>
          <w:tcPr>
            <w:tcW w:w="3845" w:type="dxa"/>
            <w:tcBorders>
              <w:top w:val="nil"/>
              <w:left w:val="double" w:sz="6" w:space="0" w:color="auto"/>
              <w:bottom w:val="nil"/>
              <w:right w:val="single" w:sz="4" w:space="0" w:color="auto"/>
            </w:tcBorders>
            <w:shd w:val="clear" w:color="auto" w:fill="auto"/>
            <w:noWrap/>
            <w:vAlign w:val="bottom"/>
            <w:hideMark/>
          </w:tcPr>
          <w:p w:rsidR="0088146B" w:rsidRPr="00B75AF6" w:rsidRDefault="0088146B" w:rsidP="00F57830">
            <w:pPr>
              <w:spacing w:after="0"/>
              <w:ind w:firstLineChars="200" w:firstLine="400"/>
              <w:jc w:val="left"/>
              <w:rPr>
                <w:color w:val="000000"/>
                <w:sz w:val="20"/>
                <w:lang w:eastAsia="lv-LV"/>
              </w:rPr>
            </w:pPr>
            <w:r w:rsidRPr="00B75AF6">
              <w:rPr>
                <w:color w:val="000000"/>
                <w:sz w:val="20"/>
                <w:lang w:eastAsia="lv-LV"/>
              </w:rPr>
              <w:t xml:space="preserve"> - kapitāla</w:t>
            </w:r>
          </w:p>
        </w:tc>
        <w:tc>
          <w:tcPr>
            <w:tcW w:w="768" w:type="dxa"/>
            <w:tcBorders>
              <w:top w:val="nil"/>
              <w:left w:val="nil"/>
              <w:bottom w:val="nil"/>
              <w:right w:val="double" w:sz="6" w:space="0" w:color="auto"/>
            </w:tcBorders>
            <w:shd w:val="clear" w:color="auto" w:fill="auto"/>
            <w:noWrap/>
            <w:vAlign w:val="bottom"/>
            <w:hideMark/>
          </w:tcPr>
          <w:p w:rsidR="0088146B" w:rsidRPr="00B75AF6" w:rsidRDefault="0088146B" w:rsidP="00F57830">
            <w:pPr>
              <w:spacing w:after="0"/>
              <w:ind w:firstLine="0"/>
              <w:jc w:val="left"/>
              <w:rPr>
                <w:color w:val="000000"/>
                <w:sz w:val="20"/>
                <w:lang w:eastAsia="lv-LV"/>
              </w:rPr>
            </w:pPr>
            <w:r w:rsidRPr="00B75AF6">
              <w:rPr>
                <w:color w:val="000000"/>
                <w:sz w:val="20"/>
                <w:lang w:eastAsia="lv-LV"/>
              </w:rPr>
              <w:t> </w:t>
            </w:r>
          </w:p>
        </w:tc>
        <w:tc>
          <w:tcPr>
            <w:tcW w:w="710" w:type="dxa"/>
            <w:tcBorders>
              <w:top w:val="nil"/>
              <w:left w:val="nil"/>
              <w:bottom w:val="nil"/>
              <w:right w:val="single" w:sz="4" w:space="0" w:color="auto"/>
            </w:tcBorders>
            <w:shd w:val="clear" w:color="auto" w:fill="auto"/>
            <w:noWrap/>
            <w:vAlign w:val="bottom"/>
            <w:hideMark/>
          </w:tcPr>
          <w:p w:rsidR="0088146B" w:rsidRPr="00B75AF6" w:rsidRDefault="0088146B" w:rsidP="00F57830">
            <w:pPr>
              <w:spacing w:after="0"/>
              <w:ind w:firstLine="0"/>
              <w:jc w:val="right"/>
              <w:rPr>
                <w:sz w:val="20"/>
                <w:lang w:eastAsia="lv-LV"/>
              </w:rPr>
            </w:pPr>
            <w:r w:rsidRPr="00B75AF6">
              <w:rPr>
                <w:sz w:val="20"/>
                <w:lang w:eastAsia="lv-LV"/>
              </w:rPr>
              <w:t>0,2</w:t>
            </w:r>
          </w:p>
        </w:tc>
        <w:tc>
          <w:tcPr>
            <w:tcW w:w="710" w:type="dxa"/>
            <w:tcBorders>
              <w:top w:val="nil"/>
              <w:left w:val="nil"/>
              <w:bottom w:val="nil"/>
              <w:right w:val="single" w:sz="4" w:space="0" w:color="auto"/>
            </w:tcBorders>
            <w:shd w:val="clear" w:color="auto" w:fill="auto"/>
            <w:noWrap/>
            <w:vAlign w:val="bottom"/>
            <w:hideMark/>
          </w:tcPr>
          <w:p w:rsidR="0088146B" w:rsidRPr="00B75AF6" w:rsidRDefault="0088146B" w:rsidP="00F57830">
            <w:pPr>
              <w:spacing w:after="0"/>
              <w:ind w:firstLine="0"/>
              <w:jc w:val="right"/>
              <w:rPr>
                <w:sz w:val="20"/>
                <w:lang w:eastAsia="lv-LV"/>
              </w:rPr>
            </w:pPr>
            <w:r w:rsidRPr="00B75AF6">
              <w:rPr>
                <w:sz w:val="20"/>
                <w:lang w:eastAsia="lv-LV"/>
              </w:rPr>
              <w:t>0,7</w:t>
            </w:r>
          </w:p>
        </w:tc>
        <w:tc>
          <w:tcPr>
            <w:tcW w:w="710" w:type="dxa"/>
            <w:tcBorders>
              <w:top w:val="nil"/>
              <w:left w:val="nil"/>
              <w:bottom w:val="nil"/>
              <w:right w:val="single" w:sz="4" w:space="0" w:color="auto"/>
            </w:tcBorders>
            <w:shd w:val="clear" w:color="auto" w:fill="auto"/>
            <w:noWrap/>
            <w:vAlign w:val="bottom"/>
            <w:hideMark/>
          </w:tcPr>
          <w:p w:rsidR="0088146B" w:rsidRPr="00B75AF6" w:rsidRDefault="0088146B" w:rsidP="00F57830">
            <w:pPr>
              <w:spacing w:after="0"/>
              <w:ind w:firstLine="0"/>
              <w:jc w:val="right"/>
              <w:rPr>
                <w:sz w:val="20"/>
                <w:lang w:eastAsia="lv-LV"/>
              </w:rPr>
            </w:pPr>
            <w:r w:rsidRPr="00B75AF6">
              <w:rPr>
                <w:sz w:val="20"/>
                <w:lang w:eastAsia="lv-LV"/>
              </w:rPr>
              <w:t>0,8</w:t>
            </w:r>
          </w:p>
        </w:tc>
        <w:tc>
          <w:tcPr>
            <w:tcW w:w="710" w:type="dxa"/>
            <w:tcBorders>
              <w:top w:val="nil"/>
              <w:left w:val="nil"/>
              <w:bottom w:val="nil"/>
              <w:right w:val="single" w:sz="4" w:space="0" w:color="auto"/>
            </w:tcBorders>
            <w:shd w:val="clear" w:color="auto" w:fill="auto"/>
            <w:noWrap/>
            <w:vAlign w:val="bottom"/>
            <w:hideMark/>
          </w:tcPr>
          <w:p w:rsidR="0088146B" w:rsidRPr="00B75AF6" w:rsidRDefault="0088146B" w:rsidP="00F57830">
            <w:pPr>
              <w:spacing w:after="0"/>
              <w:ind w:firstLine="0"/>
              <w:jc w:val="right"/>
              <w:rPr>
                <w:sz w:val="20"/>
                <w:lang w:eastAsia="lv-LV"/>
              </w:rPr>
            </w:pPr>
            <w:r w:rsidRPr="00B75AF6">
              <w:rPr>
                <w:sz w:val="20"/>
                <w:lang w:eastAsia="lv-LV"/>
              </w:rPr>
              <w:t>1,0</w:t>
            </w:r>
          </w:p>
        </w:tc>
        <w:tc>
          <w:tcPr>
            <w:tcW w:w="710" w:type="dxa"/>
            <w:tcBorders>
              <w:top w:val="nil"/>
              <w:left w:val="nil"/>
              <w:bottom w:val="nil"/>
              <w:right w:val="double" w:sz="6" w:space="0" w:color="auto"/>
            </w:tcBorders>
            <w:shd w:val="clear" w:color="auto" w:fill="auto"/>
            <w:noWrap/>
            <w:vAlign w:val="bottom"/>
            <w:hideMark/>
          </w:tcPr>
          <w:p w:rsidR="0088146B" w:rsidRPr="00B75AF6" w:rsidRDefault="0088146B" w:rsidP="00F57830">
            <w:pPr>
              <w:spacing w:after="0"/>
              <w:ind w:firstLine="0"/>
              <w:jc w:val="right"/>
              <w:rPr>
                <w:sz w:val="20"/>
                <w:lang w:eastAsia="lv-LV"/>
              </w:rPr>
            </w:pPr>
            <w:r w:rsidRPr="00B75AF6">
              <w:rPr>
                <w:sz w:val="20"/>
                <w:lang w:eastAsia="lv-LV"/>
              </w:rPr>
              <w:t>1,1</w:t>
            </w:r>
          </w:p>
        </w:tc>
      </w:tr>
      <w:tr w:rsidR="0088146B" w:rsidRPr="00B75AF6" w:rsidTr="00F57830">
        <w:trPr>
          <w:trHeight w:val="258"/>
        </w:trPr>
        <w:tc>
          <w:tcPr>
            <w:tcW w:w="3845" w:type="dxa"/>
            <w:tcBorders>
              <w:top w:val="nil"/>
              <w:left w:val="double" w:sz="6" w:space="0" w:color="auto"/>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Chars="200" w:firstLine="400"/>
              <w:jc w:val="left"/>
              <w:rPr>
                <w:color w:val="000000"/>
                <w:sz w:val="20"/>
                <w:lang w:eastAsia="lv-LV"/>
              </w:rPr>
            </w:pPr>
            <w:r w:rsidRPr="00B75AF6">
              <w:rPr>
                <w:color w:val="000000"/>
                <w:sz w:val="20"/>
                <w:lang w:eastAsia="lv-LV"/>
              </w:rPr>
              <w:t xml:space="preserve"> - kopējās ražošanas faktoru produktivitātes </w:t>
            </w:r>
          </w:p>
        </w:tc>
        <w:tc>
          <w:tcPr>
            <w:tcW w:w="768" w:type="dxa"/>
            <w:tcBorders>
              <w:top w:val="nil"/>
              <w:left w:val="nil"/>
              <w:bottom w:val="single" w:sz="4" w:space="0" w:color="auto"/>
              <w:right w:val="double" w:sz="6" w:space="0" w:color="auto"/>
            </w:tcBorders>
            <w:shd w:val="clear" w:color="auto" w:fill="auto"/>
            <w:noWrap/>
            <w:vAlign w:val="bottom"/>
            <w:hideMark/>
          </w:tcPr>
          <w:p w:rsidR="0088146B" w:rsidRPr="00B75AF6" w:rsidRDefault="0088146B" w:rsidP="00F57830">
            <w:pPr>
              <w:spacing w:after="0"/>
              <w:ind w:firstLine="0"/>
              <w:jc w:val="left"/>
              <w:rPr>
                <w:color w:val="000000"/>
                <w:sz w:val="20"/>
                <w:lang w:eastAsia="lv-LV"/>
              </w:rPr>
            </w:pPr>
            <w:r w:rsidRPr="00B75AF6">
              <w:rPr>
                <w:color w:val="000000"/>
                <w:sz w:val="20"/>
                <w:lang w:eastAsia="lv-LV"/>
              </w:rPr>
              <w:t> </w:t>
            </w:r>
          </w:p>
        </w:tc>
        <w:tc>
          <w:tcPr>
            <w:tcW w:w="710" w:type="dxa"/>
            <w:tcBorders>
              <w:top w:val="nil"/>
              <w:left w:val="nil"/>
              <w:bottom w:val="nil"/>
              <w:right w:val="single" w:sz="4" w:space="0" w:color="auto"/>
            </w:tcBorders>
            <w:shd w:val="clear" w:color="auto" w:fill="auto"/>
            <w:noWrap/>
            <w:vAlign w:val="bottom"/>
            <w:hideMark/>
          </w:tcPr>
          <w:p w:rsidR="0088146B" w:rsidRPr="00B75AF6" w:rsidRDefault="0088146B" w:rsidP="00F57830">
            <w:pPr>
              <w:spacing w:after="0"/>
              <w:ind w:firstLine="0"/>
              <w:jc w:val="right"/>
              <w:rPr>
                <w:sz w:val="20"/>
                <w:lang w:eastAsia="lv-LV"/>
              </w:rPr>
            </w:pPr>
            <w:r w:rsidRPr="00B75AF6">
              <w:rPr>
                <w:sz w:val="20"/>
                <w:lang w:eastAsia="lv-LV"/>
              </w:rPr>
              <w:t>-0,2</w:t>
            </w:r>
          </w:p>
        </w:tc>
        <w:tc>
          <w:tcPr>
            <w:tcW w:w="710" w:type="dxa"/>
            <w:tcBorders>
              <w:top w:val="nil"/>
              <w:left w:val="nil"/>
              <w:bottom w:val="nil"/>
              <w:right w:val="single" w:sz="4" w:space="0" w:color="auto"/>
            </w:tcBorders>
            <w:shd w:val="clear" w:color="auto" w:fill="auto"/>
            <w:noWrap/>
            <w:vAlign w:val="bottom"/>
            <w:hideMark/>
          </w:tcPr>
          <w:p w:rsidR="0088146B" w:rsidRPr="00B75AF6" w:rsidRDefault="0088146B" w:rsidP="00F57830">
            <w:pPr>
              <w:spacing w:after="0"/>
              <w:ind w:firstLine="0"/>
              <w:jc w:val="right"/>
              <w:rPr>
                <w:sz w:val="20"/>
                <w:lang w:eastAsia="lv-LV"/>
              </w:rPr>
            </w:pPr>
            <w:r w:rsidRPr="00B75AF6">
              <w:rPr>
                <w:sz w:val="20"/>
                <w:lang w:eastAsia="lv-LV"/>
              </w:rPr>
              <w:t>0,8</w:t>
            </w:r>
          </w:p>
        </w:tc>
        <w:tc>
          <w:tcPr>
            <w:tcW w:w="710" w:type="dxa"/>
            <w:tcBorders>
              <w:top w:val="nil"/>
              <w:left w:val="nil"/>
              <w:bottom w:val="nil"/>
              <w:right w:val="single" w:sz="4" w:space="0" w:color="auto"/>
            </w:tcBorders>
            <w:shd w:val="clear" w:color="auto" w:fill="auto"/>
            <w:noWrap/>
            <w:vAlign w:val="bottom"/>
            <w:hideMark/>
          </w:tcPr>
          <w:p w:rsidR="0088146B" w:rsidRPr="00B75AF6" w:rsidRDefault="0088146B" w:rsidP="00F57830">
            <w:pPr>
              <w:spacing w:after="0"/>
              <w:ind w:firstLine="0"/>
              <w:jc w:val="right"/>
              <w:rPr>
                <w:sz w:val="20"/>
                <w:lang w:eastAsia="lv-LV"/>
              </w:rPr>
            </w:pPr>
            <w:r w:rsidRPr="00B75AF6">
              <w:rPr>
                <w:sz w:val="20"/>
                <w:lang w:eastAsia="lv-LV"/>
              </w:rPr>
              <w:t>1,6</w:t>
            </w:r>
          </w:p>
        </w:tc>
        <w:tc>
          <w:tcPr>
            <w:tcW w:w="710" w:type="dxa"/>
            <w:tcBorders>
              <w:top w:val="nil"/>
              <w:left w:val="nil"/>
              <w:bottom w:val="nil"/>
              <w:right w:val="single" w:sz="4" w:space="0" w:color="auto"/>
            </w:tcBorders>
            <w:shd w:val="clear" w:color="auto" w:fill="auto"/>
            <w:noWrap/>
            <w:vAlign w:val="bottom"/>
            <w:hideMark/>
          </w:tcPr>
          <w:p w:rsidR="0088146B" w:rsidRPr="00B75AF6" w:rsidRDefault="0088146B" w:rsidP="00F57830">
            <w:pPr>
              <w:spacing w:after="0"/>
              <w:ind w:firstLine="0"/>
              <w:jc w:val="right"/>
              <w:rPr>
                <w:sz w:val="20"/>
                <w:lang w:eastAsia="lv-LV"/>
              </w:rPr>
            </w:pPr>
            <w:r w:rsidRPr="00B75AF6">
              <w:rPr>
                <w:sz w:val="20"/>
                <w:lang w:eastAsia="lv-LV"/>
              </w:rPr>
              <w:t>2,0</w:t>
            </w:r>
          </w:p>
        </w:tc>
        <w:tc>
          <w:tcPr>
            <w:tcW w:w="710" w:type="dxa"/>
            <w:tcBorders>
              <w:top w:val="nil"/>
              <w:left w:val="nil"/>
              <w:bottom w:val="nil"/>
              <w:right w:val="double" w:sz="6" w:space="0" w:color="auto"/>
            </w:tcBorders>
            <w:shd w:val="clear" w:color="auto" w:fill="auto"/>
            <w:noWrap/>
            <w:vAlign w:val="bottom"/>
            <w:hideMark/>
          </w:tcPr>
          <w:p w:rsidR="0088146B" w:rsidRPr="00B75AF6" w:rsidRDefault="0088146B" w:rsidP="00F57830">
            <w:pPr>
              <w:spacing w:after="0"/>
              <w:ind w:firstLine="0"/>
              <w:jc w:val="right"/>
              <w:rPr>
                <w:sz w:val="20"/>
                <w:lang w:eastAsia="lv-LV"/>
              </w:rPr>
            </w:pPr>
            <w:r w:rsidRPr="00B75AF6">
              <w:rPr>
                <w:sz w:val="20"/>
                <w:lang w:eastAsia="lv-LV"/>
              </w:rPr>
              <w:t>2,2</w:t>
            </w:r>
          </w:p>
        </w:tc>
      </w:tr>
      <w:tr w:rsidR="0088146B" w:rsidRPr="00B75AF6" w:rsidTr="00F57830">
        <w:trPr>
          <w:trHeight w:val="516"/>
        </w:trPr>
        <w:tc>
          <w:tcPr>
            <w:tcW w:w="3845" w:type="dxa"/>
            <w:tcBorders>
              <w:top w:val="nil"/>
              <w:left w:val="double" w:sz="6" w:space="0" w:color="auto"/>
              <w:bottom w:val="single" w:sz="4" w:space="0" w:color="auto"/>
              <w:right w:val="single" w:sz="4" w:space="0" w:color="auto"/>
            </w:tcBorders>
            <w:shd w:val="clear" w:color="auto" w:fill="auto"/>
            <w:vAlign w:val="bottom"/>
            <w:hideMark/>
          </w:tcPr>
          <w:p w:rsidR="0088146B" w:rsidRPr="00B75AF6" w:rsidRDefault="0088146B" w:rsidP="00F57830">
            <w:pPr>
              <w:spacing w:after="0"/>
              <w:ind w:firstLine="0"/>
              <w:jc w:val="left"/>
              <w:rPr>
                <w:color w:val="000000"/>
                <w:sz w:val="20"/>
                <w:lang w:eastAsia="lv-LV"/>
              </w:rPr>
            </w:pPr>
            <w:r w:rsidRPr="00B75AF6">
              <w:rPr>
                <w:color w:val="000000"/>
                <w:sz w:val="20"/>
                <w:lang w:eastAsia="lv-LV"/>
              </w:rPr>
              <w:t xml:space="preserve">6. Starpība starp faktisko un potenciālo IKP </w:t>
            </w:r>
            <w:r w:rsidRPr="00B75AF6">
              <w:rPr>
                <w:color w:val="000000"/>
                <w:sz w:val="20"/>
                <w:lang w:eastAsia="lv-LV"/>
              </w:rPr>
              <w:br/>
              <w:t>(% no potenciālā IKP)</w:t>
            </w:r>
          </w:p>
        </w:tc>
        <w:tc>
          <w:tcPr>
            <w:tcW w:w="768" w:type="dxa"/>
            <w:tcBorders>
              <w:top w:val="nil"/>
              <w:left w:val="nil"/>
              <w:bottom w:val="single" w:sz="4" w:space="0" w:color="auto"/>
              <w:right w:val="double" w:sz="6" w:space="0" w:color="auto"/>
            </w:tcBorders>
            <w:shd w:val="clear" w:color="auto" w:fill="auto"/>
            <w:noWrap/>
            <w:vAlign w:val="center"/>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 </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-0,7</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-0,2</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0,7</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1,1</w:t>
            </w:r>
          </w:p>
        </w:tc>
        <w:tc>
          <w:tcPr>
            <w:tcW w:w="710"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1,1</w:t>
            </w:r>
          </w:p>
        </w:tc>
      </w:tr>
      <w:tr w:rsidR="0088146B" w:rsidRPr="00B75AF6" w:rsidTr="00F57830">
        <w:trPr>
          <w:trHeight w:val="258"/>
        </w:trPr>
        <w:tc>
          <w:tcPr>
            <w:tcW w:w="3845" w:type="dxa"/>
            <w:tcBorders>
              <w:top w:val="nil"/>
              <w:left w:val="double" w:sz="6" w:space="0" w:color="auto"/>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left"/>
              <w:rPr>
                <w:color w:val="000000"/>
                <w:sz w:val="20"/>
                <w:lang w:eastAsia="lv-LV"/>
              </w:rPr>
            </w:pPr>
            <w:r w:rsidRPr="00B75AF6">
              <w:rPr>
                <w:color w:val="000000"/>
                <w:sz w:val="20"/>
                <w:lang w:eastAsia="lv-LV"/>
              </w:rPr>
              <w:t>7. Budžeta bilances cikliskā komponente</w:t>
            </w:r>
          </w:p>
        </w:tc>
        <w:tc>
          <w:tcPr>
            <w:tcW w:w="768" w:type="dxa"/>
            <w:tcBorders>
              <w:top w:val="nil"/>
              <w:left w:val="nil"/>
              <w:bottom w:val="single" w:sz="4" w:space="0" w:color="auto"/>
              <w:right w:val="double" w:sz="6" w:space="0" w:color="auto"/>
            </w:tcBorders>
            <w:shd w:val="clear" w:color="auto" w:fill="auto"/>
            <w:noWrap/>
            <w:vAlign w:val="bottom"/>
            <w:hideMark/>
          </w:tcPr>
          <w:p w:rsidR="0088146B" w:rsidRPr="00B75AF6" w:rsidRDefault="0088146B" w:rsidP="00F57830">
            <w:pPr>
              <w:spacing w:after="0"/>
              <w:ind w:firstLine="0"/>
              <w:jc w:val="left"/>
              <w:rPr>
                <w:color w:val="000000"/>
                <w:sz w:val="20"/>
                <w:lang w:eastAsia="lv-LV"/>
              </w:rPr>
            </w:pPr>
            <w:r w:rsidRPr="00B75AF6">
              <w:rPr>
                <w:color w:val="000000"/>
                <w:sz w:val="20"/>
                <w:lang w:eastAsia="lv-LV"/>
              </w:rPr>
              <w:t> </w:t>
            </w:r>
          </w:p>
        </w:tc>
        <w:tc>
          <w:tcPr>
            <w:tcW w:w="710" w:type="dxa"/>
            <w:tcBorders>
              <w:top w:val="nil"/>
              <w:left w:val="nil"/>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-0,2</w:t>
            </w:r>
          </w:p>
        </w:tc>
        <w:tc>
          <w:tcPr>
            <w:tcW w:w="710" w:type="dxa"/>
            <w:tcBorders>
              <w:top w:val="nil"/>
              <w:left w:val="nil"/>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0,0</w:t>
            </w:r>
          </w:p>
        </w:tc>
        <w:tc>
          <w:tcPr>
            <w:tcW w:w="710" w:type="dxa"/>
            <w:tcBorders>
              <w:top w:val="nil"/>
              <w:left w:val="nil"/>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0,2</w:t>
            </w:r>
          </w:p>
        </w:tc>
        <w:tc>
          <w:tcPr>
            <w:tcW w:w="710" w:type="dxa"/>
            <w:tcBorders>
              <w:top w:val="nil"/>
              <w:left w:val="nil"/>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0,3</w:t>
            </w:r>
          </w:p>
        </w:tc>
        <w:tc>
          <w:tcPr>
            <w:tcW w:w="710" w:type="dxa"/>
            <w:tcBorders>
              <w:top w:val="nil"/>
              <w:left w:val="single" w:sz="4" w:space="0" w:color="auto"/>
              <w:bottom w:val="single" w:sz="4" w:space="0" w:color="auto"/>
              <w:right w:val="double" w:sz="6"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0,3</w:t>
            </w:r>
          </w:p>
        </w:tc>
      </w:tr>
      <w:tr w:rsidR="0088146B" w:rsidRPr="00B75AF6" w:rsidTr="00F57830">
        <w:trPr>
          <w:trHeight w:val="258"/>
        </w:trPr>
        <w:tc>
          <w:tcPr>
            <w:tcW w:w="3845" w:type="dxa"/>
            <w:tcBorders>
              <w:top w:val="nil"/>
              <w:left w:val="double" w:sz="6" w:space="0" w:color="auto"/>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left"/>
              <w:rPr>
                <w:color w:val="000000"/>
                <w:sz w:val="20"/>
                <w:lang w:eastAsia="lv-LV"/>
              </w:rPr>
            </w:pPr>
            <w:r w:rsidRPr="00B75AF6">
              <w:rPr>
                <w:color w:val="000000"/>
                <w:sz w:val="20"/>
                <w:lang w:eastAsia="lv-LV"/>
              </w:rPr>
              <w:t>8. Cikliski koriģētā bilance (2-7)</w:t>
            </w:r>
          </w:p>
        </w:tc>
        <w:tc>
          <w:tcPr>
            <w:tcW w:w="768" w:type="dxa"/>
            <w:tcBorders>
              <w:top w:val="nil"/>
              <w:left w:val="nil"/>
              <w:bottom w:val="single" w:sz="4" w:space="0" w:color="auto"/>
              <w:right w:val="double" w:sz="6" w:space="0" w:color="auto"/>
            </w:tcBorders>
            <w:shd w:val="clear" w:color="auto" w:fill="auto"/>
            <w:noWrap/>
            <w:vAlign w:val="bottom"/>
            <w:hideMark/>
          </w:tcPr>
          <w:p w:rsidR="0088146B" w:rsidRPr="00B75AF6" w:rsidRDefault="0088146B" w:rsidP="00F57830">
            <w:pPr>
              <w:spacing w:after="0"/>
              <w:ind w:firstLine="0"/>
              <w:jc w:val="left"/>
              <w:rPr>
                <w:color w:val="000000"/>
                <w:sz w:val="20"/>
                <w:lang w:eastAsia="lv-LV"/>
              </w:rPr>
            </w:pPr>
            <w:r w:rsidRPr="00B75AF6">
              <w:rPr>
                <w:color w:val="000000"/>
                <w:sz w:val="20"/>
                <w:lang w:eastAsia="lv-LV"/>
              </w:rPr>
              <w:t> </w:t>
            </w:r>
          </w:p>
        </w:tc>
        <w:tc>
          <w:tcPr>
            <w:tcW w:w="710" w:type="dxa"/>
            <w:tcBorders>
              <w:top w:val="nil"/>
              <w:left w:val="nil"/>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-3,3</w:t>
            </w:r>
          </w:p>
        </w:tc>
        <w:tc>
          <w:tcPr>
            <w:tcW w:w="710" w:type="dxa"/>
            <w:tcBorders>
              <w:top w:val="nil"/>
              <w:left w:val="nil"/>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-2,1</w:t>
            </w:r>
          </w:p>
        </w:tc>
        <w:tc>
          <w:tcPr>
            <w:tcW w:w="710" w:type="dxa"/>
            <w:tcBorders>
              <w:top w:val="nil"/>
              <w:left w:val="nil"/>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-1,6</w:t>
            </w:r>
          </w:p>
        </w:tc>
        <w:tc>
          <w:tcPr>
            <w:tcW w:w="710" w:type="dxa"/>
            <w:tcBorders>
              <w:top w:val="nil"/>
              <w:left w:val="nil"/>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-1,1</w:t>
            </w:r>
          </w:p>
        </w:tc>
        <w:tc>
          <w:tcPr>
            <w:tcW w:w="710" w:type="dxa"/>
            <w:tcBorders>
              <w:top w:val="nil"/>
              <w:left w:val="single" w:sz="4" w:space="0" w:color="auto"/>
              <w:bottom w:val="single" w:sz="4" w:space="0" w:color="auto"/>
              <w:right w:val="double" w:sz="6"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-0,6</w:t>
            </w:r>
          </w:p>
        </w:tc>
      </w:tr>
      <w:tr w:rsidR="0088146B" w:rsidRPr="00B75AF6" w:rsidTr="00F57830">
        <w:trPr>
          <w:trHeight w:val="258"/>
        </w:trPr>
        <w:tc>
          <w:tcPr>
            <w:tcW w:w="3845" w:type="dxa"/>
            <w:tcBorders>
              <w:top w:val="nil"/>
              <w:left w:val="double" w:sz="6" w:space="0" w:color="auto"/>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left"/>
              <w:rPr>
                <w:color w:val="000000"/>
                <w:sz w:val="20"/>
                <w:lang w:eastAsia="lv-LV"/>
              </w:rPr>
            </w:pPr>
            <w:r w:rsidRPr="00B75AF6">
              <w:rPr>
                <w:color w:val="000000"/>
                <w:sz w:val="20"/>
                <w:lang w:eastAsia="lv-LV"/>
              </w:rPr>
              <w:t>9. Cikliski koriģētā primārā bilance (8+3)</w:t>
            </w:r>
          </w:p>
        </w:tc>
        <w:tc>
          <w:tcPr>
            <w:tcW w:w="768" w:type="dxa"/>
            <w:tcBorders>
              <w:top w:val="nil"/>
              <w:left w:val="nil"/>
              <w:bottom w:val="single" w:sz="4" w:space="0" w:color="auto"/>
              <w:right w:val="double" w:sz="6" w:space="0" w:color="auto"/>
            </w:tcBorders>
            <w:shd w:val="clear" w:color="auto" w:fill="auto"/>
            <w:noWrap/>
            <w:vAlign w:val="bottom"/>
            <w:hideMark/>
          </w:tcPr>
          <w:p w:rsidR="0088146B" w:rsidRPr="00B75AF6" w:rsidRDefault="0088146B" w:rsidP="00F57830">
            <w:pPr>
              <w:spacing w:after="0"/>
              <w:ind w:firstLine="0"/>
              <w:jc w:val="left"/>
              <w:rPr>
                <w:color w:val="000000"/>
                <w:sz w:val="20"/>
                <w:lang w:eastAsia="lv-LV"/>
              </w:rPr>
            </w:pPr>
            <w:r w:rsidRPr="00B75AF6">
              <w:rPr>
                <w:color w:val="000000"/>
                <w:sz w:val="20"/>
                <w:lang w:eastAsia="lv-LV"/>
              </w:rPr>
              <w:t> </w:t>
            </w:r>
          </w:p>
        </w:tc>
        <w:tc>
          <w:tcPr>
            <w:tcW w:w="710" w:type="dxa"/>
            <w:tcBorders>
              <w:top w:val="nil"/>
              <w:left w:val="nil"/>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-1,8</w:t>
            </w:r>
          </w:p>
        </w:tc>
        <w:tc>
          <w:tcPr>
            <w:tcW w:w="710" w:type="dxa"/>
            <w:tcBorders>
              <w:top w:val="nil"/>
              <w:left w:val="nil"/>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-0,4</w:t>
            </w:r>
          </w:p>
        </w:tc>
        <w:tc>
          <w:tcPr>
            <w:tcW w:w="710" w:type="dxa"/>
            <w:tcBorders>
              <w:top w:val="nil"/>
              <w:left w:val="nil"/>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0,3</w:t>
            </w:r>
          </w:p>
        </w:tc>
        <w:tc>
          <w:tcPr>
            <w:tcW w:w="710" w:type="dxa"/>
            <w:tcBorders>
              <w:top w:val="nil"/>
              <w:left w:val="nil"/>
              <w:bottom w:val="single" w:sz="4" w:space="0" w:color="auto"/>
              <w:right w:val="single" w:sz="4"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1,1</w:t>
            </w:r>
          </w:p>
        </w:tc>
        <w:tc>
          <w:tcPr>
            <w:tcW w:w="710" w:type="dxa"/>
            <w:tcBorders>
              <w:top w:val="nil"/>
              <w:left w:val="single" w:sz="4" w:space="0" w:color="auto"/>
              <w:bottom w:val="single" w:sz="4" w:space="0" w:color="auto"/>
              <w:right w:val="double" w:sz="6"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1,5</w:t>
            </w:r>
          </w:p>
        </w:tc>
      </w:tr>
      <w:tr w:rsidR="0088146B" w:rsidRPr="00B75AF6" w:rsidTr="00F57830">
        <w:trPr>
          <w:trHeight w:val="270"/>
        </w:trPr>
        <w:tc>
          <w:tcPr>
            <w:tcW w:w="3845" w:type="dxa"/>
            <w:tcBorders>
              <w:top w:val="nil"/>
              <w:left w:val="double" w:sz="6" w:space="0" w:color="auto"/>
              <w:bottom w:val="double" w:sz="6" w:space="0" w:color="auto"/>
              <w:right w:val="single" w:sz="4" w:space="0" w:color="auto"/>
            </w:tcBorders>
            <w:shd w:val="clear" w:color="auto" w:fill="auto"/>
            <w:noWrap/>
            <w:vAlign w:val="bottom"/>
            <w:hideMark/>
          </w:tcPr>
          <w:p w:rsidR="0088146B" w:rsidRPr="00B75AF6" w:rsidRDefault="0088146B" w:rsidP="00F57830">
            <w:pPr>
              <w:spacing w:after="0"/>
              <w:ind w:firstLine="0"/>
              <w:jc w:val="left"/>
              <w:rPr>
                <w:color w:val="000000"/>
                <w:sz w:val="20"/>
                <w:lang w:eastAsia="lv-LV"/>
              </w:rPr>
            </w:pPr>
            <w:r w:rsidRPr="00B75AF6">
              <w:rPr>
                <w:color w:val="000000"/>
                <w:sz w:val="20"/>
                <w:lang w:eastAsia="lv-LV"/>
              </w:rPr>
              <w:t>10. Strukturālā bilance (8-4)</w:t>
            </w:r>
          </w:p>
        </w:tc>
        <w:tc>
          <w:tcPr>
            <w:tcW w:w="768" w:type="dxa"/>
            <w:tcBorders>
              <w:top w:val="nil"/>
              <w:left w:val="nil"/>
              <w:bottom w:val="double" w:sz="6" w:space="0" w:color="auto"/>
              <w:right w:val="double" w:sz="6" w:space="0" w:color="auto"/>
            </w:tcBorders>
            <w:shd w:val="clear" w:color="auto" w:fill="auto"/>
            <w:noWrap/>
            <w:vAlign w:val="bottom"/>
            <w:hideMark/>
          </w:tcPr>
          <w:p w:rsidR="0088146B" w:rsidRPr="00B75AF6" w:rsidRDefault="0088146B" w:rsidP="00F57830">
            <w:pPr>
              <w:spacing w:after="0"/>
              <w:ind w:firstLine="0"/>
              <w:jc w:val="left"/>
              <w:rPr>
                <w:color w:val="000000"/>
                <w:sz w:val="20"/>
                <w:lang w:eastAsia="lv-LV"/>
              </w:rPr>
            </w:pPr>
            <w:r w:rsidRPr="00B75AF6">
              <w:rPr>
                <w:color w:val="000000"/>
                <w:sz w:val="20"/>
                <w:lang w:eastAsia="lv-LV"/>
              </w:rPr>
              <w:t> </w:t>
            </w:r>
          </w:p>
        </w:tc>
        <w:tc>
          <w:tcPr>
            <w:tcW w:w="710" w:type="dxa"/>
            <w:tcBorders>
              <w:top w:val="single" w:sz="4" w:space="0" w:color="auto"/>
              <w:left w:val="nil"/>
              <w:bottom w:val="double" w:sz="6" w:space="0" w:color="auto"/>
              <w:right w:val="single" w:sz="4"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-3,1</w:t>
            </w:r>
          </w:p>
        </w:tc>
        <w:tc>
          <w:tcPr>
            <w:tcW w:w="710" w:type="dxa"/>
            <w:tcBorders>
              <w:top w:val="single" w:sz="4" w:space="0" w:color="auto"/>
              <w:left w:val="nil"/>
              <w:bottom w:val="double" w:sz="6" w:space="0" w:color="auto"/>
              <w:right w:val="single" w:sz="4"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-2,1</w:t>
            </w:r>
          </w:p>
        </w:tc>
        <w:tc>
          <w:tcPr>
            <w:tcW w:w="710" w:type="dxa"/>
            <w:tcBorders>
              <w:top w:val="single" w:sz="4" w:space="0" w:color="auto"/>
              <w:left w:val="nil"/>
              <w:bottom w:val="double" w:sz="6" w:space="0" w:color="auto"/>
              <w:right w:val="single" w:sz="4"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-1,6</w:t>
            </w:r>
          </w:p>
        </w:tc>
        <w:tc>
          <w:tcPr>
            <w:tcW w:w="710" w:type="dxa"/>
            <w:tcBorders>
              <w:top w:val="single" w:sz="4" w:space="0" w:color="auto"/>
              <w:left w:val="nil"/>
              <w:bottom w:val="double" w:sz="6" w:space="0" w:color="auto"/>
              <w:right w:val="single" w:sz="4"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-1,1</w:t>
            </w:r>
          </w:p>
        </w:tc>
        <w:tc>
          <w:tcPr>
            <w:tcW w:w="710" w:type="dxa"/>
            <w:tcBorders>
              <w:top w:val="nil"/>
              <w:left w:val="nil"/>
              <w:bottom w:val="double" w:sz="6" w:space="0" w:color="auto"/>
              <w:right w:val="double" w:sz="6" w:space="0" w:color="auto"/>
            </w:tcBorders>
            <w:shd w:val="clear" w:color="auto" w:fill="auto"/>
            <w:noWrap/>
            <w:vAlign w:val="bottom"/>
            <w:hideMark/>
          </w:tcPr>
          <w:p w:rsidR="0088146B" w:rsidRPr="00B75AF6" w:rsidRDefault="0088146B" w:rsidP="00F57830">
            <w:pPr>
              <w:spacing w:after="0"/>
              <w:ind w:firstLine="0"/>
              <w:jc w:val="right"/>
              <w:rPr>
                <w:color w:val="000000"/>
                <w:sz w:val="20"/>
                <w:lang w:eastAsia="lv-LV"/>
              </w:rPr>
            </w:pPr>
            <w:r w:rsidRPr="00B75AF6">
              <w:rPr>
                <w:color w:val="000000"/>
                <w:sz w:val="20"/>
                <w:lang w:eastAsia="lv-LV"/>
              </w:rPr>
              <w:t>-0,6</w:t>
            </w:r>
          </w:p>
        </w:tc>
      </w:tr>
    </w:tbl>
    <w:p w:rsidR="0088146B" w:rsidRDefault="0088146B" w:rsidP="0088146B">
      <w:pPr>
        <w:ind w:firstLine="0"/>
      </w:pPr>
    </w:p>
    <w:p w:rsidR="0088146B" w:rsidRDefault="0088146B" w:rsidP="0088146B">
      <w:r>
        <w:t xml:space="preserve">Augstā jaudu noslodze rūpniecībā liecina, ka produktīvais kapitāls ir izmantots tuvu savam potenciālajam līmenim, tomēr, brīvo darba vietu skaits vēl arvien ir salīdzinoši ļoti zems, kas norāda uz spēcīgu pieprasījumu pēc darba vietām. Tas nozīmē, ka ekonomikā ir </w:t>
      </w:r>
      <w:r>
        <w:lastRenderedPageBreak/>
        <w:t>pieejams nozīmīgs brīva darbaspēka resurss.</w:t>
      </w:r>
      <w:r w:rsidRPr="00FB0121">
        <w:t xml:space="preserve"> </w:t>
      </w:r>
      <w:r>
        <w:t xml:space="preserve">Turpmākā potenciālā IKP izaugsme ir atkarīga no investīciju ieplūdes, kas atvieglos jaudu noslodzes un ļaus produktīvajos sektoros ieplūst brīvajam darbaspēkam. </w:t>
      </w:r>
    </w:p>
    <w:p w:rsidR="0088146B" w:rsidRDefault="0088146B" w:rsidP="0088146B">
      <w:pPr>
        <w:spacing w:before="120"/>
        <w:ind w:firstLine="720"/>
      </w:pPr>
      <w:r>
        <w:t xml:space="preserve"> </w:t>
      </w:r>
      <w:r w:rsidR="00BD6F38">
        <w:rPr>
          <w:noProof/>
          <w:lang w:eastAsia="lv-LV"/>
        </w:rPr>
        <w:pict>
          <v:shape id="Picture 1" o:spid="_x0000_i1034" type="#_x0000_t75" style="width:368.15pt;height:177.8pt;visibility:visible">
            <v:imagedata r:id="rId27" o:title="" croptop="17095f"/>
          </v:shape>
        </w:pict>
      </w:r>
    </w:p>
    <w:p w:rsidR="0088146B" w:rsidRPr="000F04E2" w:rsidRDefault="00607A2A" w:rsidP="0088146B">
      <w:pPr>
        <w:pStyle w:val="teksts"/>
        <w:ind w:firstLine="720"/>
        <w:jc w:val="center"/>
        <w:rPr>
          <w:rFonts w:ascii="Times New Roman" w:eastAsia="Calibri" w:hAnsi="Times New Roman"/>
          <w:szCs w:val="24"/>
        </w:rPr>
      </w:pPr>
      <w:r>
        <w:rPr>
          <w:rFonts w:ascii="Times New Roman" w:eastAsia="Calibri" w:hAnsi="Times New Roman"/>
          <w:szCs w:val="24"/>
        </w:rPr>
        <w:t>4.5</w:t>
      </w:r>
      <w:r w:rsidR="0088146B" w:rsidRPr="000F04E2">
        <w:rPr>
          <w:rFonts w:ascii="Times New Roman" w:eastAsia="Calibri" w:hAnsi="Times New Roman"/>
          <w:szCs w:val="24"/>
        </w:rPr>
        <w:t>. att. Izlaižu starpība un vispārējās valdības budžeta bilance sadalījumā pa komponentēm 2005.</w:t>
      </w:r>
      <w:r w:rsidR="0035776A">
        <w:rPr>
          <w:rFonts w:ascii="Times New Roman" w:eastAsia="Calibri" w:hAnsi="Times New Roman"/>
          <w:szCs w:val="24"/>
        </w:rPr>
        <w:t>–</w:t>
      </w:r>
      <w:r w:rsidR="0088146B" w:rsidRPr="000F04E2">
        <w:rPr>
          <w:rFonts w:ascii="Times New Roman" w:eastAsia="Calibri" w:hAnsi="Times New Roman"/>
          <w:szCs w:val="24"/>
        </w:rPr>
        <w:t>2015.</w:t>
      </w:r>
      <w:r w:rsidR="0088146B">
        <w:rPr>
          <w:rFonts w:eastAsia="Calibri"/>
        </w:rPr>
        <w:t> </w:t>
      </w:r>
      <w:r w:rsidR="0088146B" w:rsidRPr="000F04E2">
        <w:rPr>
          <w:rFonts w:ascii="Times New Roman" w:eastAsia="Calibri" w:hAnsi="Times New Roman"/>
          <w:szCs w:val="24"/>
        </w:rPr>
        <w:t>gadā, % no IKP</w:t>
      </w:r>
    </w:p>
    <w:p w:rsidR="0088146B" w:rsidRDefault="0088146B" w:rsidP="0088146B">
      <w:pPr>
        <w:spacing w:before="120"/>
        <w:ind w:firstLine="720"/>
      </w:pPr>
      <w:r>
        <w:t xml:space="preserve">Analizējot vispārējās valdības budžeta bilances struktūru, jāsecina, ka tās pamatā ir strukturālā komponente, taču straujas ekonomikas izaugsmes (2006. </w:t>
      </w:r>
      <w:r w:rsidR="0035776A">
        <w:t>–</w:t>
      </w:r>
      <w:r>
        <w:t xml:space="preserve"> 2007. gadā) un lejupslīdes (2008. </w:t>
      </w:r>
      <w:r w:rsidR="0035776A">
        <w:t>–</w:t>
      </w:r>
      <w:r>
        <w:t xml:space="preserve"> 2010. gadā) laikā palielinājusies ietekme no svārstībām ekonomikā. </w:t>
      </w:r>
      <w:r w:rsidR="00EF4A72">
        <w:t>B</w:t>
      </w:r>
      <w:r>
        <w:t>udžeta bilanci</w:t>
      </w:r>
      <w:r w:rsidR="00F43705">
        <w:t xml:space="preserve"> </w:t>
      </w:r>
      <w:r>
        <w:t>ekonomiskās izaugsmes gados uzlaboja augstāki nodokļu ieņēmumi, savukārt, ekonomiskās krīzes laikā ieņēmumi samazinājās un pieauga izdevumi sociālajiem pabalstiem, piemēram, saistībā ar bezdarba līmeņa pieaugumu.</w:t>
      </w:r>
    </w:p>
    <w:p w:rsidR="006726FB" w:rsidRPr="00566DD6" w:rsidRDefault="008206BE" w:rsidP="00F43705">
      <w:pPr>
        <w:pStyle w:val="teksts"/>
        <w:ind w:firstLine="720"/>
        <w:rPr>
          <w:rFonts w:ascii="Times New Roman" w:hAnsi="Times New Roman"/>
          <w:color w:val="000000"/>
        </w:rPr>
      </w:pPr>
      <w:r>
        <w:rPr>
          <w:rFonts w:ascii="Times New Roman" w:hAnsi="Times New Roman"/>
          <w:color w:val="000000"/>
        </w:rPr>
        <w:t>Atbilstoši Finanšu ministrijas aprēķiniem 2010. gadā strukturālais vispārējās valdības budžeta deficīts</w:t>
      </w:r>
      <w:r w:rsidRPr="00091EEC">
        <w:rPr>
          <w:rStyle w:val="FootnoteReference"/>
        </w:rPr>
        <w:footnoteReference w:id="5"/>
      </w:r>
      <w:r>
        <w:rPr>
          <w:rFonts w:ascii="Times New Roman" w:hAnsi="Times New Roman"/>
          <w:color w:val="000000"/>
        </w:rPr>
        <w:t xml:space="preserve"> bija 4,5</w:t>
      </w:r>
      <w:r w:rsidR="00607A2A">
        <w:rPr>
          <w:rFonts w:ascii="Times New Roman" w:hAnsi="Times New Roman"/>
          <w:color w:val="000000"/>
        </w:rPr>
        <w:t xml:space="preserve"> </w:t>
      </w:r>
      <w:r>
        <w:rPr>
          <w:rFonts w:ascii="Times New Roman" w:hAnsi="Times New Roman"/>
          <w:color w:val="000000"/>
        </w:rPr>
        <w:t>% no IKP, kas salīdzinājumā ar 2009. gadu tika uzlabots par 1,6</w:t>
      </w:r>
      <w:r w:rsidR="00607A2A">
        <w:rPr>
          <w:rFonts w:ascii="Times New Roman" w:hAnsi="Times New Roman"/>
          <w:color w:val="000000"/>
        </w:rPr>
        <w:t xml:space="preserve"> </w:t>
      </w:r>
      <w:r>
        <w:rPr>
          <w:rFonts w:ascii="Times New Roman" w:hAnsi="Times New Roman"/>
          <w:color w:val="000000"/>
        </w:rPr>
        <w:t>% no IKP, savukārt, 2011. gadā strukturālais deficīts bija 3,1</w:t>
      </w:r>
      <w:r w:rsidR="00607A2A">
        <w:rPr>
          <w:rFonts w:ascii="Times New Roman" w:hAnsi="Times New Roman"/>
          <w:color w:val="000000"/>
        </w:rPr>
        <w:t xml:space="preserve"> </w:t>
      </w:r>
      <w:r>
        <w:rPr>
          <w:rFonts w:ascii="Times New Roman" w:hAnsi="Times New Roman"/>
          <w:color w:val="000000"/>
        </w:rPr>
        <w:t>% no IKP, kas salīdzinājumā ar 2010. gadu ir par 1,5</w:t>
      </w:r>
      <w:r w:rsidR="00607A2A">
        <w:rPr>
          <w:rFonts w:ascii="Times New Roman" w:hAnsi="Times New Roman"/>
          <w:color w:val="000000"/>
        </w:rPr>
        <w:t xml:space="preserve"> </w:t>
      </w:r>
      <w:r>
        <w:rPr>
          <w:rFonts w:ascii="Times New Roman" w:hAnsi="Times New Roman"/>
          <w:color w:val="000000"/>
        </w:rPr>
        <w:t xml:space="preserve">% no IKP mazāk. </w:t>
      </w:r>
      <w:r w:rsidR="0088146B" w:rsidRPr="00566DD6">
        <w:rPr>
          <w:rFonts w:ascii="Times New Roman" w:hAnsi="Times New Roman"/>
          <w:color w:val="000000"/>
        </w:rPr>
        <w:t>Turklāt 2012. gadā tiek prognozēts, ka faktiskā ekonomikas izaugsme būs potenciālās izaugsmes līmenī un līdz ar to faktiskā budžeta bilance būs vienāda ar strukturālo bilanci</w:t>
      </w:r>
      <w:r w:rsidRPr="00566DD6">
        <w:rPr>
          <w:rFonts w:ascii="Times New Roman" w:hAnsi="Times New Roman"/>
          <w:color w:val="000000"/>
        </w:rPr>
        <w:t>, t.i., deficītu 2,1</w:t>
      </w:r>
      <w:r w:rsidR="00607A2A">
        <w:rPr>
          <w:rFonts w:ascii="Times New Roman" w:hAnsi="Times New Roman"/>
          <w:color w:val="000000"/>
        </w:rPr>
        <w:t xml:space="preserve"> </w:t>
      </w:r>
      <w:r w:rsidRPr="00566DD6">
        <w:rPr>
          <w:rFonts w:ascii="Times New Roman" w:hAnsi="Times New Roman"/>
          <w:color w:val="000000"/>
        </w:rPr>
        <w:t>% no IKP apmērā.</w:t>
      </w:r>
      <w:r w:rsidR="0088146B" w:rsidRPr="00566DD6">
        <w:rPr>
          <w:rFonts w:ascii="Times New Roman" w:hAnsi="Times New Roman"/>
          <w:color w:val="000000"/>
        </w:rPr>
        <w:t xml:space="preserve"> </w:t>
      </w:r>
      <w:r w:rsidR="006726FB" w:rsidRPr="00566DD6">
        <w:rPr>
          <w:rFonts w:ascii="Times New Roman" w:hAnsi="Times New Roman"/>
          <w:color w:val="000000"/>
        </w:rPr>
        <w:t>2013. </w:t>
      </w:r>
      <w:r w:rsidR="0035776A">
        <w:rPr>
          <w:rFonts w:ascii="Times New Roman" w:hAnsi="Times New Roman"/>
          <w:color w:val="000000"/>
        </w:rPr>
        <w:t>–</w:t>
      </w:r>
      <w:r w:rsidR="006726FB" w:rsidRPr="00566DD6">
        <w:rPr>
          <w:rFonts w:ascii="Times New Roman" w:hAnsi="Times New Roman"/>
          <w:color w:val="000000"/>
        </w:rPr>
        <w:t xml:space="preserve">2015. gadā tiek prognozēts, ka </w:t>
      </w:r>
      <w:r w:rsidR="00173466" w:rsidRPr="00566DD6">
        <w:rPr>
          <w:rFonts w:ascii="Times New Roman" w:hAnsi="Times New Roman"/>
          <w:color w:val="000000"/>
        </w:rPr>
        <w:t>strukturālā</w:t>
      </w:r>
      <w:r w:rsidR="006726FB" w:rsidRPr="00566DD6">
        <w:rPr>
          <w:rFonts w:ascii="Times New Roman" w:hAnsi="Times New Roman"/>
          <w:color w:val="000000"/>
        </w:rPr>
        <w:t xml:space="preserve"> vispārējās valdības budžeta bilance tiks uzlabota, ņemot vērā uzlabojuma soli 0,5</w:t>
      </w:r>
      <w:r w:rsidR="00607A2A">
        <w:rPr>
          <w:rFonts w:ascii="Times New Roman" w:hAnsi="Times New Roman"/>
          <w:color w:val="000000"/>
        </w:rPr>
        <w:t xml:space="preserve"> </w:t>
      </w:r>
      <w:r w:rsidR="006726FB" w:rsidRPr="00566DD6">
        <w:rPr>
          <w:rFonts w:ascii="Times New Roman" w:hAnsi="Times New Roman"/>
          <w:color w:val="000000"/>
        </w:rPr>
        <w:t xml:space="preserve">% no IKP apmērā katru gadu. </w:t>
      </w:r>
      <w:r w:rsidR="004A3F07" w:rsidRPr="00566DD6">
        <w:rPr>
          <w:rFonts w:ascii="Times New Roman" w:hAnsi="Times New Roman"/>
          <w:color w:val="000000"/>
        </w:rPr>
        <w:t xml:space="preserve">Strukturālās budžeta bilances uzlabojums, kā arī pozitīva bilances cikliskā komponente turpmākajos gados </w:t>
      </w:r>
      <w:r w:rsidR="006726FB" w:rsidRPr="00566DD6">
        <w:rPr>
          <w:rFonts w:ascii="Times New Roman" w:hAnsi="Times New Roman"/>
          <w:color w:val="000000"/>
        </w:rPr>
        <w:t>nodrošinās bilances uzlabojumu arī faktiskajā izteiksmē.</w:t>
      </w:r>
    </w:p>
    <w:p w:rsidR="0088146B" w:rsidRPr="009C61B1" w:rsidRDefault="0088146B" w:rsidP="0088146B">
      <w:r w:rsidRPr="009A61A2">
        <w:t xml:space="preserve">Jāatzīmē, ka budžeta bilances izmaiņas ietekmē arī procentu izdevumi </w:t>
      </w:r>
      <w:r>
        <w:t>un tiek</w:t>
      </w:r>
      <w:r w:rsidRPr="009A61A2">
        <w:t xml:space="preserve"> prognozēts, ka 2011.</w:t>
      </w:r>
      <w:r>
        <w:t xml:space="preserve"> </w:t>
      </w:r>
      <w:r w:rsidR="0035776A">
        <w:t>–</w:t>
      </w:r>
      <w:r>
        <w:t xml:space="preserve"> </w:t>
      </w:r>
      <w:r w:rsidRPr="009A61A2">
        <w:t>2015. gadā tie pieaugs no 1,5</w:t>
      </w:r>
      <w:r>
        <w:t> </w:t>
      </w:r>
      <w:r w:rsidRPr="009A61A2">
        <w:t>% no IKP līdz 2,1</w:t>
      </w:r>
      <w:r>
        <w:t> </w:t>
      </w:r>
      <w:r w:rsidRPr="009A61A2">
        <w:t>% no IKP. Cikliski koriģētās primārās budžeta bilances aprēķinos procentu izdevumi netiek ņemti vērā</w:t>
      </w:r>
      <w:r>
        <w:t xml:space="preserve"> un tādēļ, izslēdzot procentu izdevumus, </w:t>
      </w:r>
      <w:r w:rsidRPr="009A61A2">
        <w:t xml:space="preserve">budžeta bilances uzlabojums </w:t>
      </w:r>
      <w:r>
        <w:t xml:space="preserve">būtu </w:t>
      </w:r>
      <w:r w:rsidRPr="009A61A2">
        <w:t xml:space="preserve">vēl </w:t>
      </w:r>
      <w:r>
        <w:t>būtiskāks.</w:t>
      </w:r>
    </w:p>
    <w:p w:rsidR="0088146B" w:rsidRPr="00607A2A" w:rsidRDefault="0088146B" w:rsidP="0088146B">
      <w:pPr>
        <w:pStyle w:val="otrais"/>
        <w:rPr>
          <w:szCs w:val="32"/>
        </w:rPr>
      </w:pPr>
      <w:bookmarkStart w:id="45" w:name="_Toc323120288"/>
      <w:r w:rsidRPr="00607A2A">
        <w:rPr>
          <w:szCs w:val="32"/>
        </w:rPr>
        <w:lastRenderedPageBreak/>
        <w:t>4.4. Valdības parāda vidējā termiņa attīstības tendences</w:t>
      </w:r>
      <w:bookmarkEnd w:id="43"/>
      <w:bookmarkEnd w:id="45"/>
    </w:p>
    <w:p w:rsidR="0088146B" w:rsidRPr="00C15C74" w:rsidRDefault="0088146B" w:rsidP="0088146B">
      <w:pPr>
        <w:ind w:firstLine="720"/>
        <w:rPr>
          <w:szCs w:val="24"/>
        </w:rPr>
      </w:pPr>
      <w:r w:rsidRPr="00C15C74">
        <w:rPr>
          <w:szCs w:val="24"/>
        </w:rPr>
        <w:t xml:space="preserve">Saskaņā ar </w:t>
      </w:r>
      <w:r>
        <w:rPr>
          <w:szCs w:val="24"/>
        </w:rPr>
        <w:t>vispārējās valdības</w:t>
      </w:r>
      <w:r w:rsidRPr="00C15C74">
        <w:rPr>
          <w:szCs w:val="24"/>
        </w:rPr>
        <w:t xml:space="preserve"> budžeta deficīta un parāda 2012.</w:t>
      </w:r>
      <w:r>
        <w:rPr>
          <w:szCs w:val="24"/>
        </w:rPr>
        <w:t xml:space="preserve"> </w:t>
      </w:r>
      <w:r w:rsidRPr="00C15C74">
        <w:rPr>
          <w:szCs w:val="24"/>
        </w:rPr>
        <w:t>gada aprīļa notifikācijas rezultātiem, kuri sagatavoti atbilstoši EKS metodoloģijai, vispārējās valdības parāds 2011.</w:t>
      </w:r>
      <w:r>
        <w:rPr>
          <w:szCs w:val="24"/>
        </w:rPr>
        <w:t> </w:t>
      </w:r>
      <w:r w:rsidRPr="00C15C74">
        <w:rPr>
          <w:szCs w:val="24"/>
        </w:rPr>
        <w:t>gada beigās sasniedza 6 028,2 milj.latu jeb 42,6</w:t>
      </w:r>
      <w:r>
        <w:rPr>
          <w:szCs w:val="24"/>
        </w:rPr>
        <w:t> </w:t>
      </w:r>
      <w:r w:rsidRPr="00C15C74">
        <w:rPr>
          <w:szCs w:val="24"/>
        </w:rPr>
        <w:t xml:space="preserve">% no </w:t>
      </w:r>
      <w:r>
        <w:rPr>
          <w:szCs w:val="24"/>
        </w:rPr>
        <w:t>IKP</w:t>
      </w:r>
      <w:r w:rsidRPr="00C15C74">
        <w:rPr>
          <w:szCs w:val="24"/>
        </w:rPr>
        <w:t>. Vispārējās valdības parāda līmeni galvenokārt ietekmē centrālās valdības parāds, kas uz 2011.</w:t>
      </w:r>
      <w:r>
        <w:rPr>
          <w:szCs w:val="24"/>
        </w:rPr>
        <w:t> </w:t>
      </w:r>
      <w:r w:rsidRPr="00C15C74">
        <w:rPr>
          <w:szCs w:val="24"/>
        </w:rPr>
        <w:t xml:space="preserve">gada beigām bija 5 216,3 milj.latu. </w:t>
      </w:r>
    </w:p>
    <w:p w:rsidR="0088146B" w:rsidRPr="00C1672F" w:rsidRDefault="0088146B" w:rsidP="0088146B">
      <w:pPr>
        <w:ind w:firstLine="720"/>
        <w:rPr>
          <w:szCs w:val="24"/>
        </w:rPr>
      </w:pPr>
      <w:r w:rsidRPr="00C1672F">
        <w:rPr>
          <w:szCs w:val="24"/>
        </w:rPr>
        <w:t xml:space="preserve">Centrālās valdības parāda vadības mērķis ir nodrošināt nepieciešamos finanšu resursus valsts parāda pārfinansēšanai, budžeta deficīta finansēšanai un finanšu resursu rezerves uzturēšanai ar iespējami zemākām izmaksām, ierobežojot finanšu riskus un ņemot vērā Latvijas valsts makroekonomikas, kapitāla tirgus un visas finanšu sistēmas attīstību, kas vērsta uz eiro valūtas ieviešanu vidējā termiņā. </w:t>
      </w:r>
    </w:p>
    <w:p w:rsidR="0088146B" w:rsidRPr="00C1672F" w:rsidRDefault="0088146B" w:rsidP="0088146B">
      <w:pPr>
        <w:ind w:firstLine="720"/>
        <w:rPr>
          <w:szCs w:val="24"/>
        </w:rPr>
      </w:pPr>
      <w:r w:rsidRPr="00C1672F">
        <w:rPr>
          <w:szCs w:val="24"/>
        </w:rPr>
        <w:t>Centrālās valdības parāda portfeļa un aizņēmumu vadības mērķus, pamatprincipus un uzdevumus parāda vadības ietvaros vidējā termiņā nosaka Latvijas valsts parāda vadības stratēģija, kas paredz centrālās valdības parāda portfeļa struktūras optimālu rādītāju ievērošanu attiecībā uz parāda valūtu kompozīciju, dzēšanas profilu, procentu likmju vidējo svērto fiksēto periodu un fiksētās procentu likmes optimālo īpatsvaru parāda portfelī.</w:t>
      </w:r>
    </w:p>
    <w:p w:rsidR="0088146B" w:rsidRPr="00C1672F" w:rsidRDefault="0088146B" w:rsidP="0088146B">
      <w:pPr>
        <w:ind w:firstLine="720"/>
        <w:rPr>
          <w:szCs w:val="24"/>
        </w:rPr>
      </w:pPr>
      <w:r w:rsidRPr="00C1672F">
        <w:rPr>
          <w:szCs w:val="24"/>
        </w:rPr>
        <w:t>Aizņemšanās apjomu un centrālās valdības parāda līmeni ietekmē kopējā finansēšanas nepieciešamība (valsts budžeta izpildes nodrošināšanai un centrālās valdības parāda saistību atmaksai attiecīgajā periodā nepieciešamais resursu apjoms) un finanšu resursu rezerves uzturēšanai nepieciešamais finansējums.</w:t>
      </w:r>
    </w:p>
    <w:p w:rsidR="0088146B" w:rsidRPr="00C1672F" w:rsidRDefault="0088146B" w:rsidP="0088146B">
      <w:pPr>
        <w:ind w:firstLine="720"/>
        <w:rPr>
          <w:szCs w:val="24"/>
        </w:rPr>
      </w:pPr>
      <w:r w:rsidRPr="00C1672F">
        <w:rPr>
          <w:szCs w:val="24"/>
        </w:rPr>
        <w:t xml:space="preserve">Pašreizējā centrālās valdības parāda struktūrā lielāko daļu veido </w:t>
      </w:r>
      <w:r>
        <w:rPr>
          <w:szCs w:val="24"/>
        </w:rPr>
        <w:t>P</w:t>
      </w:r>
      <w:r w:rsidRPr="00C1672F">
        <w:rPr>
          <w:szCs w:val="24"/>
        </w:rPr>
        <w:t>rogrammas ietvaros no 2008.</w:t>
      </w:r>
      <w:r>
        <w:rPr>
          <w:szCs w:val="24"/>
        </w:rPr>
        <w:t> </w:t>
      </w:r>
      <w:r w:rsidRPr="00C1672F">
        <w:rPr>
          <w:szCs w:val="24"/>
        </w:rPr>
        <w:t>gada līdz 2011.</w:t>
      </w:r>
      <w:r>
        <w:rPr>
          <w:szCs w:val="24"/>
        </w:rPr>
        <w:t> </w:t>
      </w:r>
      <w:r w:rsidRPr="00C1672F">
        <w:rPr>
          <w:szCs w:val="24"/>
        </w:rPr>
        <w:t>gada beigām saņemtais finansējums 3,1 ml</w:t>
      </w:r>
      <w:r>
        <w:rPr>
          <w:szCs w:val="24"/>
        </w:rPr>
        <w:t>j</w:t>
      </w:r>
      <w:r w:rsidRPr="00C1672F">
        <w:rPr>
          <w:szCs w:val="24"/>
        </w:rPr>
        <w:t>rd.</w:t>
      </w:r>
      <w:r>
        <w:rPr>
          <w:szCs w:val="24"/>
        </w:rPr>
        <w:t xml:space="preserve"> </w:t>
      </w:r>
      <w:r w:rsidRPr="00C1672F">
        <w:rPr>
          <w:szCs w:val="24"/>
        </w:rPr>
        <w:t xml:space="preserve">latu apmērā. </w:t>
      </w:r>
      <w:r>
        <w:rPr>
          <w:szCs w:val="24"/>
        </w:rPr>
        <w:t>P</w:t>
      </w:r>
      <w:r w:rsidRPr="00C1672F">
        <w:rPr>
          <w:szCs w:val="24"/>
        </w:rPr>
        <w:t>rogrammas atbalsts bija nozīmīgs kopējās finansēšanas nepieciešamības segšanas avots līdz 2011.</w:t>
      </w:r>
      <w:r>
        <w:rPr>
          <w:szCs w:val="24"/>
        </w:rPr>
        <w:t> </w:t>
      </w:r>
      <w:r w:rsidRPr="00C1672F">
        <w:rPr>
          <w:szCs w:val="24"/>
        </w:rPr>
        <w:t xml:space="preserve">gadam, kā arī tas nodrošināja iespēju uzturēt ievērojama apjoma finanšu resursu rezervi Valsts kases kontos, kas bija viens no būtiskākajiem faktoriem valsts maksātspējas apliecināšanai, finanšu tirgus svārstību nomierināšanai un investoru uzticības atgūšanai periodā, kad, ņemot vērā Latvijas ekonomiskās attīstības tempu strauju kritumu un valsts kredītreitingu samazināšanu spekulatīvajā līmenī, valstiskās aizņemšanās iespējas finanšu tirgos bija stipri ierobežotas. Sekmīga </w:t>
      </w:r>
      <w:r>
        <w:rPr>
          <w:szCs w:val="24"/>
        </w:rPr>
        <w:t>P</w:t>
      </w:r>
      <w:r w:rsidRPr="00C1672F">
        <w:rPr>
          <w:szCs w:val="24"/>
        </w:rPr>
        <w:t>rogrammas pabeigšana 2011.</w:t>
      </w:r>
      <w:r>
        <w:rPr>
          <w:szCs w:val="24"/>
        </w:rPr>
        <w:t> </w:t>
      </w:r>
      <w:r w:rsidRPr="00C1672F">
        <w:rPr>
          <w:szCs w:val="24"/>
        </w:rPr>
        <w:t>gada beigās un Latvijas kredītreitinga palielinājums devis pozitīvu impulsu investoru pārliecības nostiprināšanai par valsts maksātspēju un turpmāku ilgtspējīgas fiskālās politikas īstenošanu.</w:t>
      </w:r>
    </w:p>
    <w:p w:rsidR="0088146B" w:rsidRPr="00C1672F" w:rsidRDefault="0088146B" w:rsidP="0088146B">
      <w:pPr>
        <w:ind w:firstLine="720"/>
        <w:rPr>
          <w:szCs w:val="24"/>
        </w:rPr>
      </w:pPr>
      <w:r w:rsidRPr="00C1672F">
        <w:rPr>
          <w:szCs w:val="24"/>
        </w:rPr>
        <w:t>Iekšējā tirgus konfidences atjaunošanās atspoguļojās latu naudas tirgus un valsts iekšējā aizņēmuma vērtspapīru likmju ievērojamā kritumā sākot jau ar 2009.</w:t>
      </w:r>
      <w:r>
        <w:rPr>
          <w:szCs w:val="24"/>
        </w:rPr>
        <w:t> </w:t>
      </w:r>
      <w:r w:rsidRPr="00C1672F">
        <w:rPr>
          <w:szCs w:val="24"/>
        </w:rPr>
        <w:t>gada pēdējo ceturksni, kā arī investoru intereses par ieguldījumiem vidējā termiņa un ilgtermiņa valsts vērtspapīros pieaugumā. Valsts kase jau 2010.</w:t>
      </w:r>
      <w:r>
        <w:rPr>
          <w:szCs w:val="24"/>
        </w:rPr>
        <w:t> </w:t>
      </w:r>
      <w:r w:rsidRPr="00C1672F">
        <w:rPr>
          <w:szCs w:val="24"/>
        </w:rPr>
        <w:t>gadā veiksmīgi papildināja valsts iekšējā aizņēmuma īstermiņa (sešu un divpadsmit mēnešu) parādzīmju izsoļu piedāvājumu ar divu, trīs un piecu, kā arī 2011.</w:t>
      </w:r>
      <w:r>
        <w:rPr>
          <w:szCs w:val="24"/>
        </w:rPr>
        <w:t> </w:t>
      </w:r>
      <w:r w:rsidRPr="00C1672F">
        <w:rPr>
          <w:szCs w:val="24"/>
        </w:rPr>
        <w:t xml:space="preserve">gadā jau ar desmit gadu obligācijām, samazinot valsts iekšējā parāda pārfinansēšanas risku un nodrošinot aizņemšanās likmju fiksēšanu vēsturiski zemākajos līmeņos. </w:t>
      </w:r>
    </w:p>
    <w:p w:rsidR="0088146B" w:rsidRPr="00C1672F" w:rsidRDefault="0088146B" w:rsidP="0088146B">
      <w:pPr>
        <w:ind w:firstLine="720"/>
        <w:rPr>
          <w:szCs w:val="24"/>
        </w:rPr>
      </w:pPr>
      <w:r w:rsidRPr="00C1672F">
        <w:rPr>
          <w:szCs w:val="24"/>
        </w:rPr>
        <w:t>Starptautiskais novērtējums par Latvijas veikumu un sasniegtajiem rezultātiem ļāva Latvijai 2011.</w:t>
      </w:r>
      <w:r>
        <w:rPr>
          <w:szCs w:val="24"/>
        </w:rPr>
        <w:t> </w:t>
      </w:r>
      <w:r w:rsidRPr="00C1672F">
        <w:rPr>
          <w:szCs w:val="24"/>
        </w:rPr>
        <w:t xml:space="preserve">gada jūnijā sekmīgi emitēt 10 gadu eiroobligācijas 500 milj. ASV dolāru apmērā, pārliecinoši demonstrējot veiksmīgu atgriešanos starptautiskajos kapitāla tirgos vēl pirms </w:t>
      </w:r>
      <w:r>
        <w:rPr>
          <w:szCs w:val="24"/>
        </w:rPr>
        <w:t>P</w:t>
      </w:r>
      <w:r w:rsidRPr="00C1672F">
        <w:rPr>
          <w:szCs w:val="24"/>
        </w:rPr>
        <w:t>rogrammas noslēguma. Veiksmīga 5 gadu obligāciju emisija 1 miljarda ASV dolāru apmērā, kas tika veikta 2012.</w:t>
      </w:r>
      <w:r>
        <w:rPr>
          <w:szCs w:val="24"/>
        </w:rPr>
        <w:t> </w:t>
      </w:r>
      <w:r w:rsidRPr="00C1672F">
        <w:rPr>
          <w:szCs w:val="24"/>
        </w:rPr>
        <w:t xml:space="preserve">gada februārī, atkārtoti apliecināja starptautisko finanšu tirgus dalībnieku, it īpaši investoru, augsto novērtējumu par paveikto Latvijas ekonomikā un uzticību valsts kredītspējai, kas nodrošina stabilu pamatu un pārliecību par </w:t>
      </w:r>
      <w:r>
        <w:rPr>
          <w:szCs w:val="24"/>
        </w:rPr>
        <w:t>P</w:t>
      </w:r>
      <w:r w:rsidRPr="00C1672F">
        <w:rPr>
          <w:szCs w:val="24"/>
        </w:rPr>
        <w:t>rogrammas sekmīgu pārfinansēšanu turpmākajos gados.</w:t>
      </w:r>
    </w:p>
    <w:p w:rsidR="0088146B" w:rsidRPr="00C1672F" w:rsidRDefault="0088146B" w:rsidP="0088146B">
      <w:pPr>
        <w:ind w:firstLine="720"/>
        <w:rPr>
          <w:szCs w:val="24"/>
        </w:rPr>
      </w:pPr>
      <w:r w:rsidRPr="00C1672F">
        <w:rPr>
          <w:szCs w:val="24"/>
        </w:rPr>
        <w:lastRenderedPageBreak/>
        <w:t>Latvijas veiksmīga atgriešanās starptautiskajos finanšu tirgos ir īpaši nozīmīgs atskaites punkts vidējā termiņa aizņemšanās stratēģijas īstenošanā, saskaņā ar kuru plānots veikt šādus pasākumus:</w:t>
      </w:r>
    </w:p>
    <w:p w:rsidR="0088146B" w:rsidRPr="00C1672F" w:rsidRDefault="0088146B" w:rsidP="00173466">
      <w:pPr>
        <w:pStyle w:val="ListParagraph"/>
        <w:numPr>
          <w:ilvl w:val="0"/>
          <w:numId w:val="19"/>
        </w:numPr>
        <w:spacing w:after="120" w:line="240" w:lineRule="auto"/>
        <w:ind w:left="993" w:hanging="284"/>
        <w:jc w:val="both"/>
        <w:rPr>
          <w:rFonts w:ascii="Times New Roman" w:hAnsi="Times New Roman"/>
          <w:sz w:val="24"/>
          <w:szCs w:val="24"/>
        </w:rPr>
      </w:pPr>
      <w:r w:rsidRPr="00C1672F">
        <w:rPr>
          <w:rFonts w:ascii="Times New Roman" w:hAnsi="Times New Roman"/>
          <w:sz w:val="24"/>
          <w:szCs w:val="24"/>
        </w:rPr>
        <w:t xml:space="preserve">veikt pakāpenisku un savlaicīgu aizņemšanos starptautiskajos finanšu tirgos, organizējot regulāras publiskas valsts parāda vērtspapīru emisijas, lai saskaņā ar noteiktiem atmaksas grafikiem nodrošinātu </w:t>
      </w:r>
      <w:r>
        <w:rPr>
          <w:rFonts w:ascii="Times New Roman" w:hAnsi="Times New Roman"/>
          <w:sz w:val="24"/>
          <w:szCs w:val="24"/>
        </w:rPr>
        <w:t>P</w:t>
      </w:r>
      <w:r w:rsidRPr="00C1672F">
        <w:rPr>
          <w:rFonts w:ascii="Times New Roman" w:hAnsi="Times New Roman"/>
          <w:sz w:val="24"/>
          <w:szCs w:val="24"/>
        </w:rPr>
        <w:t>rogrammas ietvaros uzņemto valsts parāda saistību pārfinansēšanu ar aizņēmumu likmju un termiņu ziņā labvēlīgiem nosacījumiem;</w:t>
      </w:r>
    </w:p>
    <w:p w:rsidR="0088146B" w:rsidRPr="00C1672F" w:rsidRDefault="0088146B" w:rsidP="00173466">
      <w:pPr>
        <w:pStyle w:val="ListParagraph"/>
        <w:numPr>
          <w:ilvl w:val="0"/>
          <w:numId w:val="19"/>
        </w:numPr>
        <w:spacing w:after="120" w:line="240" w:lineRule="auto"/>
        <w:ind w:left="993" w:hanging="284"/>
        <w:jc w:val="both"/>
        <w:rPr>
          <w:rFonts w:ascii="Times New Roman" w:hAnsi="Times New Roman"/>
          <w:sz w:val="24"/>
          <w:szCs w:val="24"/>
        </w:rPr>
      </w:pPr>
      <w:r w:rsidRPr="00C1672F">
        <w:rPr>
          <w:rFonts w:ascii="Times New Roman" w:hAnsi="Times New Roman"/>
          <w:sz w:val="24"/>
          <w:szCs w:val="24"/>
        </w:rPr>
        <w:t>rezervēt daļu veikto aizņēmumu resursu vidējā termiņā plānotai valsts parāda atmaksai, lai novērstu valsts parāda pārfinansēšanas risku;</w:t>
      </w:r>
    </w:p>
    <w:p w:rsidR="0088146B" w:rsidRPr="00C1672F" w:rsidRDefault="0088146B" w:rsidP="00173466">
      <w:pPr>
        <w:pStyle w:val="ListParagraph"/>
        <w:numPr>
          <w:ilvl w:val="0"/>
          <w:numId w:val="19"/>
        </w:numPr>
        <w:spacing w:after="120" w:line="240" w:lineRule="auto"/>
        <w:ind w:left="993" w:hanging="284"/>
        <w:jc w:val="both"/>
        <w:rPr>
          <w:rFonts w:ascii="Times New Roman" w:hAnsi="Times New Roman"/>
          <w:sz w:val="24"/>
          <w:szCs w:val="24"/>
        </w:rPr>
      </w:pPr>
      <w:r w:rsidRPr="00C1672F">
        <w:rPr>
          <w:rFonts w:ascii="Times New Roman" w:hAnsi="Times New Roman"/>
          <w:sz w:val="24"/>
          <w:szCs w:val="24"/>
        </w:rPr>
        <w:t>nodrošināt valsts vērtspapīru investoru loka diversifikāciju un paplašināšanu, īstenojot aktīvu investoru komunikācijas pasākumu kompleksu un panākot dažādu pasaules reģionu (Eiropas, ASV un Āzijas) investoru dalību valsts ārējā aizņēmuma vērtspapīru izsolēs;</w:t>
      </w:r>
    </w:p>
    <w:p w:rsidR="0088146B" w:rsidRPr="00C1672F" w:rsidRDefault="0088146B" w:rsidP="00173466">
      <w:pPr>
        <w:pStyle w:val="ListParagraph"/>
        <w:numPr>
          <w:ilvl w:val="0"/>
          <w:numId w:val="19"/>
        </w:numPr>
        <w:spacing w:after="120" w:line="240" w:lineRule="auto"/>
        <w:ind w:left="993" w:hanging="284"/>
        <w:jc w:val="both"/>
        <w:rPr>
          <w:rFonts w:ascii="Times New Roman" w:hAnsi="Times New Roman"/>
          <w:sz w:val="24"/>
          <w:szCs w:val="24"/>
        </w:rPr>
      </w:pPr>
      <w:r w:rsidRPr="00C1672F">
        <w:rPr>
          <w:rFonts w:ascii="Times New Roman" w:hAnsi="Times New Roman"/>
          <w:sz w:val="24"/>
          <w:szCs w:val="24"/>
        </w:rPr>
        <w:t>iekšējā finanšu tirgū finansējumu piesaistīt galvenokārt ar vidēja termiņa un ilgtermiņa parāda vērtspapīriem, īstermiņa parādzīmes izmantojot kā vērtspapīru tirgus uzturēšanas instrumentu.</w:t>
      </w:r>
    </w:p>
    <w:p w:rsidR="0088146B" w:rsidRPr="00C1672F" w:rsidRDefault="0088146B" w:rsidP="0088146B">
      <w:pPr>
        <w:ind w:firstLine="720"/>
        <w:rPr>
          <w:szCs w:val="24"/>
        </w:rPr>
      </w:pPr>
      <w:r w:rsidRPr="00C1672F">
        <w:rPr>
          <w:szCs w:val="24"/>
        </w:rPr>
        <w:t>Vidējā termiņa aizņemšanās stratēģija izstrādāta, atbilstoši Latvijas valsts parāda vadības stratēģijai optimāli sabalansējot iespējamās izmaksas ar riskiem un pamatojoties uz šādiem apsvērumiem:</w:t>
      </w:r>
    </w:p>
    <w:p w:rsidR="0088146B" w:rsidRPr="00C1672F" w:rsidRDefault="0088146B" w:rsidP="00173466">
      <w:pPr>
        <w:pStyle w:val="ListParagraph"/>
        <w:numPr>
          <w:ilvl w:val="1"/>
          <w:numId w:val="20"/>
        </w:numPr>
        <w:spacing w:after="120" w:line="240" w:lineRule="auto"/>
        <w:ind w:left="426" w:hanging="426"/>
        <w:jc w:val="both"/>
        <w:rPr>
          <w:rFonts w:ascii="Times New Roman" w:hAnsi="Times New Roman"/>
          <w:sz w:val="24"/>
          <w:szCs w:val="24"/>
        </w:rPr>
      </w:pPr>
      <w:r w:rsidRPr="00C1672F">
        <w:rPr>
          <w:rFonts w:ascii="Times New Roman" w:hAnsi="Times New Roman"/>
          <w:sz w:val="24"/>
          <w:szCs w:val="24"/>
        </w:rPr>
        <w:t>2012.</w:t>
      </w:r>
      <w:r>
        <w:rPr>
          <w:rFonts w:ascii="Times New Roman" w:hAnsi="Times New Roman"/>
          <w:sz w:val="24"/>
          <w:szCs w:val="24"/>
        </w:rPr>
        <w:t xml:space="preserve"> </w:t>
      </w:r>
      <w:r w:rsidR="0035776A">
        <w:rPr>
          <w:rFonts w:ascii="Times New Roman" w:hAnsi="Times New Roman"/>
          <w:sz w:val="24"/>
          <w:szCs w:val="24"/>
        </w:rPr>
        <w:t>–</w:t>
      </w:r>
      <w:r>
        <w:rPr>
          <w:rFonts w:ascii="Times New Roman" w:hAnsi="Times New Roman"/>
          <w:sz w:val="24"/>
          <w:szCs w:val="24"/>
        </w:rPr>
        <w:t xml:space="preserve"> </w:t>
      </w:r>
      <w:r w:rsidRPr="00C1672F">
        <w:rPr>
          <w:rFonts w:ascii="Times New Roman" w:hAnsi="Times New Roman"/>
          <w:sz w:val="24"/>
          <w:szCs w:val="24"/>
        </w:rPr>
        <w:t>2015.</w:t>
      </w:r>
      <w:r>
        <w:rPr>
          <w:rFonts w:ascii="Times New Roman" w:hAnsi="Times New Roman"/>
          <w:sz w:val="24"/>
          <w:szCs w:val="24"/>
        </w:rPr>
        <w:t> </w:t>
      </w:r>
      <w:r w:rsidRPr="00C1672F">
        <w:rPr>
          <w:rFonts w:ascii="Times New Roman" w:hAnsi="Times New Roman"/>
          <w:sz w:val="24"/>
          <w:szCs w:val="24"/>
        </w:rPr>
        <w:t>gadā jāpārfinansē centrālās valdības parāda saistības ~3,3 mlrd.</w:t>
      </w:r>
      <w:r>
        <w:rPr>
          <w:rFonts w:ascii="Times New Roman" w:hAnsi="Times New Roman"/>
          <w:sz w:val="24"/>
          <w:szCs w:val="24"/>
        </w:rPr>
        <w:t> </w:t>
      </w:r>
      <w:r w:rsidRPr="00C1672F">
        <w:rPr>
          <w:rFonts w:ascii="Times New Roman" w:hAnsi="Times New Roman"/>
          <w:sz w:val="24"/>
          <w:szCs w:val="24"/>
        </w:rPr>
        <w:t xml:space="preserve">latu </w:t>
      </w:r>
      <w:r>
        <w:rPr>
          <w:rFonts w:ascii="Times New Roman" w:hAnsi="Times New Roman"/>
          <w:sz w:val="24"/>
          <w:szCs w:val="24"/>
        </w:rPr>
        <w:t>(</w:t>
      </w:r>
      <w:r w:rsidR="00173466" w:rsidRPr="00173466">
        <w:rPr>
          <w:rFonts w:ascii="Times New Roman" w:hAnsi="Times New Roman"/>
          <w:sz w:val="24"/>
          <w:szCs w:val="24"/>
        </w:rPr>
        <w:t>4,7</w:t>
      </w:r>
      <w:r>
        <w:rPr>
          <w:rFonts w:ascii="Times New Roman" w:hAnsi="Times New Roman"/>
          <w:sz w:val="24"/>
          <w:szCs w:val="24"/>
        </w:rPr>
        <w:t xml:space="preserve"> mlrd.</w:t>
      </w:r>
      <w:r w:rsidR="00173466">
        <w:rPr>
          <w:rFonts w:ascii="Times New Roman" w:hAnsi="Times New Roman"/>
          <w:sz w:val="24"/>
          <w:szCs w:val="24"/>
          <w:lang w:val="lv-LV"/>
        </w:rPr>
        <w:t xml:space="preserve"> </w:t>
      </w:r>
      <w:r w:rsidRPr="00173466">
        <w:rPr>
          <w:rFonts w:ascii="Times New Roman" w:hAnsi="Times New Roman"/>
          <w:sz w:val="24"/>
          <w:szCs w:val="24"/>
        </w:rPr>
        <w:t>eiro</w:t>
      </w:r>
      <w:r>
        <w:rPr>
          <w:rFonts w:ascii="Times New Roman" w:hAnsi="Times New Roman"/>
          <w:sz w:val="24"/>
          <w:szCs w:val="24"/>
        </w:rPr>
        <w:t xml:space="preserve">) </w:t>
      </w:r>
      <w:r w:rsidRPr="00C1672F">
        <w:rPr>
          <w:rFonts w:ascii="Times New Roman" w:hAnsi="Times New Roman"/>
          <w:sz w:val="24"/>
          <w:szCs w:val="24"/>
        </w:rPr>
        <w:t xml:space="preserve">apmērā (sk. </w:t>
      </w:r>
      <w:r>
        <w:rPr>
          <w:rFonts w:ascii="Times New Roman" w:hAnsi="Times New Roman"/>
          <w:sz w:val="24"/>
          <w:szCs w:val="24"/>
        </w:rPr>
        <w:t>4.</w:t>
      </w:r>
      <w:r w:rsidR="00914541">
        <w:rPr>
          <w:rFonts w:ascii="Times New Roman" w:hAnsi="Times New Roman"/>
          <w:sz w:val="24"/>
          <w:szCs w:val="24"/>
          <w:lang w:val="lv-LV"/>
        </w:rPr>
        <w:t>6</w:t>
      </w:r>
      <w:r w:rsidRPr="00C1672F">
        <w:rPr>
          <w:rFonts w:ascii="Times New Roman" w:hAnsi="Times New Roman"/>
          <w:sz w:val="24"/>
          <w:szCs w:val="24"/>
        </w:rPr>
        <w:t>.</w:t>
      </w:r>
      <w:r>
        <w:rPr>
          <w:rFonts w:ascii="Times New Roman" w:hAnsi="Times New Roman"/>
          <w:sz w:val="24"/>
          <w:szCs w:val="24"/>
        </w:rPr>
        <w:t> </w:t>
      </w:r>
      <w:r w:rsidRPr="00C1672F">
        <w:rPr>
          <w:rFonts w:ascii="Times New Roman" w:hAnsi="Times New Roman"/>
          <w:sz w:val="24"/>
          <w:szCs w:val="24"/>
        </w:rPr>
        <w:t xml:space="preserve">attēlu), kas pašreiz veido vairāk kā pusi no centrālās valdības kopējā parāda apjoma (lielāko daļu no pārfinansējamā parāda apjoma veido </w:t>
      </w:r>
      <w:r>
        <w:rPr>
          <w:rFonts w:ascii="Times New Roman" w:hAnsi="Times New Roman"/>
          <w:sz w:val="24"/>
          <w:szCs w:val="24"/>
        </w:rPr>
        <w:t>P</w:t>
      </w:r>
      <w:r w:rsidRPr="00C1672F">
        <w:rPr>
          <w:rFonts w:ascii="Times New Roman" w:hAnsi="Times New Roman"/>
          <w:sz w:val="24"/>
          <w:szCs w:val="24"/>
        </w:rPr>
        <w:t xml:space="preserve">rogrammas ietvaros saņemtais finansējums no </w:t>
      </w:r>
      <w:r>
        <w:rPr>
          <w:rFonts w:ascii="Times New Roman" w:hAnsi="Times New Roman"/>
          <w:sz w:val="24"/>
          <w:szCs w:val="24"/>
        </w:rPr>
        <w:t>ES</w:t>
      </w:r>
      <w:r w:rsidRPr="00C1672F">
        <w:rPr>
          <w:rFonts w:ascii="Times New Roman" w:hAnsi="Times New Roman"/>
          <w:sz w:val="24"/>
          <w:szCs w:val="24"/>
        </w:rPr>
        <w:t xml:space="preserve"> un </w:t>
      </w:r>
      <w:r>
        <w:rPr>
          <w:rFonts w:ascii="Times New Roman" w:hAnsi="Times New Roman"/>
          <w:sz w:val="24"/>
          <w:szCs w:val="24"/>
        </w:rPr>
        <w:t>SVF</w:t>
      </w:r>
      <w:r w:rsidRPr="00C1672F">
        <w:rPr>
          <w:rFonts w:ascii="Times New Roman" w:hAnsi="Times New Roman"/>
          <w:sz w:val="24"/>
          <w:szCs w:val="24"/>
        </w:rPr>
        <w:t>). Ņemot vērā vidējā termiņā atmaksājamo valsts parāda saistību ievērojamu apjomu, jānodrošina finanšu resursu savlaicīga piesaiste, pakāpeniski uzkrājot resursus valsts parāda saistību atmaksai, lai samazinātu valsts parāda pārfinansēšanas risku.</w:t>
      </w:r>
    </w:p>
    <w:p w:rsidR="0088146B" w:rsidRPr="00C1672F" w:rsidRDefault="00BD6F38" w:rsidP="0088146B">
      <w:pPr>
        <w:spacing w:after="0"/>
        <w:ind w:firstLine="0"/>
        <w:jc w:val="center"/>
        <w:rPr>
          <w:b/>
          <w:szCs w:val="24"/>
        </w:rPr>
      </w:pPr>
      <w:r>
        <w:rPr>
          <w:b/>
          <w:noProof/>
          <w:sz w:val="26"/>
          <w:szCs w:val="26"/>
          <w:lang w:eastAsia="lv-LV"/>
        </w:rPr>
        <w:pict>
          <v:shape id="_x0000_i1035" type="#_x0000_t75" style="width:427.6pt;height:148.4pt;visibility:visible">
            <v:imagedata r:id="rId28" o:title=""/>
          </v:shape>
        </w:pict>
      </w:r>
    </w:p>
    <w:p w:rsidR="0088146B" w:rsidRPr="00C1672F" w:rsidRDefault="0088146B" w:rsidP="0088146B">
      <w:pPr>
        <w:spacing w:after="0"/>
        <w:ind w:firstLine="0"/>
        <w:jc w:val="center"/>
        <w:rPr>
          <w:szCs w:val="24"/>
        </w:rPr>
      </w:pPr>
      <w:r>
        <w:rPr>
          <w:szCs w:val="24"/>
        </w:rPr>
        <w:t>4.</w:t>
      </w:r>
      <w:r w:rsidR="00914541">
        <w:rPr>
          <w:szCs w:val="24"/>
        </w:rPr>
        <w:t>6</w:t>
      </w:r>
      <w:r w:rsidRPr="00C1672F">
        <w:rPr>
          <w:szCs w:val="24"/>
        </w:rPr>
        <w:t xml:space="preserve">.attēls. Centrālās valdības parāda atmaksas profils </w:t>
      </w:r>
    </w:p>
    <w:p w:rsidR="0088146B" w:rsidRPr="00626EF9" w:rsidRDefault="0088146B" w:rsidP="0088146B">
      <w:pPr>
        <w:ind w:left="1440" w:firstLine="0"/>
        <w:rPr>
          <w:szCs w:val="24"/>
        </w:rPr>
      </w:pPr>
      <w:r w:rsidRPr="00626EF9">
        <w:rPr>
          <w:szCs w:val="24"/>
        </w:rPr>
        <w:t>(līdz 2012.</w:t>
      </w:r>
      <w:r>
        <w:rPr>
          <w:szCs w:val="24"/>
        </w:rPr>
        <w:t> </w:t>
      </w:r>
      <w:r w:rsidRPr="00626EF9">
        <w:rPr>
          <w:szCs w:val="24"/>
        </w:rPr>
        <w:t>gada 31.</w:t>
      </w:r>
      <w:r>
        <w:rPr>
          <w:szCs w:val="24"/>
        </w:rPr>
        <w:t> </w:t>
      </w:r>
      <w:r w:rsidRPr="00626EF9">
        <w:rPr>
          <w:szCs w:val="24"/>
        </w:rPr>
        <w:t>martam uzņemtās saistības, nominālvērtībā)</w:t>
      </w:r>
    </w:p>
    <w:p w:rsidR="0088146B" w:rsidRPr="00C1672F" w:rsidRDefault="0088146B" w:rsidP="00566DD6">
      <w:pPr>
        <w:pStyle w:val="ListParagraph"/>
        <w:numPr>
          <w:ilvl w:val="1"/>
          <w:numId w:val="20"/>
        </w:numPr>
        <w:spacing w:after="120" w:line="240" w:lineRule="auto"/>
        <w:ind w:left="426" w:hanging="426"/>
        <w:jc w:val="both"/>
        <w:rPr>
          <w:rFonts w:ascii="Times New Roman" w:hAnsi="Times New Roman"/>
          <w:bCs/>
          <w:sz w:val="24"/>
          <w:szCs w:val="24"/>
        </w:rPr>
      </w:pPr>
      <w:r w:rsidRPr="00C1672F">
        <w:rPr>
          <w:rFonts w:ascii="Times New Roman" w:hAnsi="Times New Roman"/>
          <w:bCs/>
          <w:sz w:val="24"/>
          <w:szCs w:val="24"/>
        </w:rPr>
        <w:t>Aizņemoties savlaicīgi un pakāpeniski, neatliekot liela apjoma aizņemšanos uz pēdējo brīdi, tiek nodrošināta elastība attiecībā uz aizņēmumu veikšanas laika, valūtu un atmaksas termiņu izvēli. Šāda aizņemšanās stratēģija ļauj piesaistīt aizņēmumus ar pēc iespējas labvēlīgākiem nosacījumiem, t.sk. par zemākām likmēm, nekā gadījumā, ja aizņemšanās tiek veikta īsi pirms kārtējā liela apjoma parāda saistību atmaksas termiņa.</w:t>
      </w:r>
    </w:p>
    <w:p w:rsidR="0088146B" w:rsidRPr="00C1672F" w:rsidRDefault="0088146B" w:rsidP="00566DD6">
      <w:pPr>
        <w:pStyle w:val="ListParagraph"/>
        <w:numPr>
          <w:ilvl w:val="1"/>
          <w:numId w:val="20"/>
        </w:numPr>
        <w:spacing w:after="120" w:line="240" w:lineRule="auto"/>
        <w:ind w:left="426" w:hanging="426"/>
        <w:jc w:val="both"/>
        <w:rPr>
          <w:rFonts w:ascii="Times New Roman" w:hAnsi="Times New Roman"/>
          <w:bCs/>
          <w:sz w:val="24"/>
          <w:szCs w:val="24"/>
        </w:rPr>
      </w:pPr>
      <w:r w:rsidRPr="00C1672F">
        <w:rPr>
          <w:rFonts w:ascii="Times New Roman" w:hAnsi="Times New Roman"/>
          <w:bCs/>
          <w:sz w:val="24"/>
          <w:szCs w:val="24"/>
        </w:rPr>
        <w:t>Latvijas vērtspapīru investoru bāzes diversifikācija nodrošinās lielāku konkurenci investoru starpā attiecībā uz aizņēmumu likmju piedāvājumu un paplašinās reģionālo aizņemšanās iespēju spektru.</w:t>
      </w:r>
    </w:p>
    <w:p w:rsidR="0088146B" w:rsidRPr="00C1672F" w:rsidRDefault="0088146B" w:rsidP="00566DD6">
      <w:pPr>
        <w:pStyle w:val="ListParagraph"/>
        <w:numPr>
          <w:ilvl w:val="1"/>
          <w:numId w:val="20"/>
        </w:numPr>
        <w:spacing w:after="120" w:line="240" w:lineRule="auto"/>
        <w:ind w:left="426" w:hanging="426"/>
        <w:jc w:val="both"/>
        <w:rPr>
          <w:rFonts w:ascii="Times New Roman" w:hAnsi="Times New Roman"/>
          <w:bCs/>
          <w:sz w:val="24"/>
          <w:szCs w:val="24"/>
        </w:rPr>
      </w:pPr>
      <w:r w:rsidRPr="00C1672F">
        <w:rPr>
          <w:rFonts w:ascii="Times New Roman" w:hAnsi="Times New Roman"/>
          <w:bCs/>
          <w:sz w:val="24"/>
          <w:szCs w:val="24"/>
        </w:rPr>
        <w:lastRenderedPageBreak/>
        <w:t>Īstenojot konsekventu aizņemšanās stratēģiju un veicot regulārus aizņēmumus finanšu tirgos, tiek stiprināta investoru pārliecība par Latvijas kredītspēju, kas nodrošinās valstij pastāvīgas aizņemšanās iespējas finanšu tirgos arī turpmāk.</w:t>
      </w:r>
    </w:p>
    <w:p w:rsidR="0088146B" w:rsidRDefault="0088146B" w:rsidP="0088146B">
      <w:pPr>
        <w:ind w:firstLine="720"/>
        <w:rPr>
          <w:bCs/>
          <w:szCs w:val="24"/>
        </w:rPr>
      </w:pPr>
      <w:r w:rsidRPr="00C1672F">
        <w:rPr>
          <w:bCs/>
          <w:szCs w:val="24"/>
        </w:rPr>
        <w:t>Latvijas izvēlētā aizņemšanās stratēģija nodrošinās valsts parāda pārfinansēšanas riska novēršanu un iespēju optimizēt valsts parāda apkalpošanas izdevumus vidējā termiņā.</w:t>
      </w:r>
    </w:p>
    <w:p w:rsidR="0088146B" w:rsidRPr="00C1672F" w:rsidRDefault="00BD6F38" w:rsidP="0088146B">
      <w:pPr>
        <w:ind w:firstLine="0"/>
        <w:jc w:val="center"/>
        <w:rPr>
          <w:szCs w:val="24"/>
        </w:rPr>
      </w:pPr>
      <w:r>
        <w:rPr>
          <w:noProof/>
          <w:sz w:val="26"/>
          <w:szCs w:val="26"/>
          <w:lang w:eastAsia="lv-LV"/>
        </w:rPr>
        <w:pict>
          <v:shape id="_x0000_i1036" type="#_x0000_t75" style="width:399.45pt;height:174.05pt;visibility:visible">
            <v:imagedata r:id="rId29" o:title=""/>
          </v:shape>
        </w:pict>
      </w:r>
    </w:p>
    <w:p w:rsidR="0088146B" w:rsidRPr="00C1672F" w:rsidRDefault="0088146B" w:rsidP="0088146B">
      <w:pPr>
        <w:ind w:firstLine="0"/>
        <w:jc w:val="center"/>
        <w:rPr>
          <w:szCs w:val="24"/>
        </w:rPr>
      </w:pPr>
      <w:r>
        <w:rPr>
          <w:szCs w:val="24"/>
        </w:rPr>
        <w:t>4.</w:t>
      </w:r>
      <w:r w:rsidR="00914541">
        <w:rPr>
          <w:szCs w:val="24"/>
        </w:rPr>
        <w:t>7</w:t>
      </w:r>
      <w:r w:rsidRPr="00C1672F">
        <w:rPr>
          <w:szCs w:val="24"/>
        </w:rPr>
        <w:t>.attēls. Vispārējās valdīb</w:t>
      </w:r>
      <w:r>
        <w:rPr>
          <w:szCs w:val="24"/>
        </w:rPr>
        <w:t>as parāda attīstības tendences, % no IKP</w:t>
      </w:r>
    </w:p>
    <w:p w:rsidR="0088146B" w:rsidRDefault="0088146B" w:rsidP="0088146B">
      <w:pPr>
        <w:ind w:firstLine="720"/>
        <w:rPr>
          <w:szCs w:val="24"/>
        </w:rPr>
      </w:pPr>
      <w:r w:rsidRPr="00C1672F">
        <w:rPr>
          <w:szCs w:val="24"/>
        </w:rPr>
        <w:t>Veicot savlaicīgus aizņemšanās pasākumus atbilstoši izstrādātajai vidējā termiņa stratēģijai, kā arī turpinot īstenot atbildīgu fiskālo politiku, ir iespējams ar likmju un termiņu ziņā labvēlīgiem nosacījumiem pārfinansēt pašreiz uzņemtās valsts parāda saistības, kā arī ilgtermiņā panākt valsts parāda līmeņa samazināšanos un stabilizēšanos ilgtspējīgā līmenī, pārliecinoši ievērojot Māstrihtas līgumā noteikto vispārējās valdības parāda apjoma kritēriju (sk</w:t>
      </w:r>
      <w:r>
        <w:rPr>
          <w:szCs w:val="24"/>
        </w:rPr>
        <w:t>atīt</w:t>
      </w:r>
      <w:r w:rsidRPr="00C1672F">
        <w:rPr>
          <w:szCs w:val="24"/>
        </w:rPr>
        <w:t xml:space="preserve"> </w:t>
      </w:r>
      <w:r>
        <w:rPr>
          <w:szCs w:val="24"/>
        </w:rPr>
        <w:t>4.</w:t>
      </w:r>
      <w:r w:rsidR="00914541">
        <w:rPr>
          <w:szCs w:val="24"/>
        </w:rPr>
        <w:t>7</w:t>
      </w:r>
      <w:r w:rsidRPr="00C1672F">
        <w:rPr>
          <w:szCs w:val="24"/>
        </w:rPr>
        <w:t>.</w:t>
      </w:r>
      <w:r>
        <w:rPr>
          <w:szCs w:val="24"/>
        </w:rPr>
        <w:t> </w:t>
      </w:r>
      <w:r w:rsidRPr="00C1672F">
        <w:rPr>
          <w:szCs w:val="24"/>
        </w:rPr>
        <w:t>attēlu).</w:t>
      </w:r>
    </w:p>
    <w:p w:rsidR="000F6956" w:rsidRPr="009C61B1" w:rsidRDefault="00283B8B" w:rsidP="002D62B9">
      <w:pPr>
        <w:pStyle w:val="PIRMAIS"/>
      </w:pPr>
      <w:bookmarkStart w:id="46" w:name="_Toc323120289"/>
      <w:bookmarkStart w:id="47" w:name="_Toc284924054"/>
      <w:bookmarkStart w:id="48" w:name="_Toc92091188"/>
      <w:bookmarkStart w:id="49" w:name="_Toc120504687"/>
      <w:bookmarkStart w:id="50" w:name="_Toc155518728"/>
      <w:bookmarkStart w:id="51" w:name="_Toc214080403"/>
      <w:bookmarkStart w:id="52" w:name="_Toc215906646"/>
      <w:bookmarkStart w:id="53" w:name="_Toc120504688"/>
      <w:bookmarkEnd w:id="33"/>
      <w:bookmarkEnd w:id="34"/>
      <w:r>
        <w:lastRenderedPageBreak/>
        <w:t>5</w:t>
      </w:r>
      <w:r w:rsidR="000F6956" w:rsidRPr="009C61B1">
        <w:t>.</w:t>
      </w:r>
      <w:r w:rsidR="000F6956" w:rsidRPr="009C61B1">
        <w:tab/>
        <w:t>Jutīguma analīze un salīdzinājums</w:t>
      </w:r>
      <w:bookmarkEnd w:id="46"/>
      <w:r w:rsidR="000F6956" w:rsidRPr="009C61B1">
        <w:t xml:space="preserve"> </w:t>
      </w:r>
      <w:bookmarkEnd w:id="47"/>
    </w:p>
    <w:p w:rsidR="000F6956" w:rsidRPr="00914541" w:rsidRDefault="00283B8B" w:rsidP="002D62B9">
      <w:pPr>
        <w:pStyle w:val="otrais"/>
        <w:rPr>
          <w:szCs w:val="32"/>
        </w:rPr>
      </w:pPr>
      <w:bookmarkStart w:id="54" w:name="_Toc290024504"/>
      <w:bookmarkStart w:id="55" w:name="_Toc323120290"/>
      <w:bookmarkEnd w:id="48"/>
      <w:bookmarkEnd w:id="49"/>
      <w:bookmarkEnd w:id="50"/>
      <w:bookmarkEnd w:id="51"/>
      <w:bookmarkEnd w:id="52"/>
      <w:r w:rsidRPr="00914541">
        <w:rPr>
          <w:szCs w:val="32"/>
        </w:rPr>
        <w:t>5</w:t>
      </w:r>
      <w:r w:rsidR="000F6956" w:rsidRPr="00914541">
        <w:rPr>
          <w:szCs w:val="32"/>
        </w:rPr>
        <w:t>.1. Makroekonomiskā scenārija riski</w:t>
      </w:r>
      <w:bookmarkEnd w:id="54"/>
      <w:bookmarkEnd w:id="55"/>
    </w:p>
    <w:p w:rsidR="00AB0ACA" w:rsidRPr="005869E7" w:rsidRDefault="00AB0ACA" w:rsidP="002D62B9">
      <w:pPr>
        <w:ind w:firstLine="720"/>
        <w:rPr>
          <w:szCs w:val="24"/>
        </w:rPr>
      </w:pPr>
      <w:r w:rsidRPr="005869E7">
        <w:rPr>
          <w:szCs w:val="24"/>
        </w:rPr>
        <w:t>Makroekonomiskā scenārija izpildi 2012. – 2015. gadā ietekmēs ārējās vides turpmākā attīstība. Latvijas ekonomikas atkarību no ārējās vides izmaiņām nosaka augstais eksporta īpatsvars IKP un Skandināvu banku īpatsvars Latvijas banku sektorā. Galvenais risku avots pasaules ekonomikas izaugsmē ir situācijas pasliktināšanās Eiropā - satricinājumi finanšu sistēmā, atsevišķu valstu finanšu ilgtspēja un parāda apkalpošanas izmaksas, nepieciešamie fiskālās konsolidācijas pasākumi, kā arī izejvielu cenas pasaulē.</w:t>
      </w:r>
    </w:p>
    <w:p w:rsidR="00AB0ACA" w:rsidRPr="005869E7" w:rsidRDefault="00AB0ACA" w:rsidP="002D62B9">
      <w:pPr>
        <w:ind w:firstLine="720"/>
        <w:rPr>
          <w:szCs w:val="24"/>
        </w:rPr>
      </w:pPr>
      <w:r w:rsidRPr="005869E7">
        <w:rPr>
          <w:szCs w:val="24"/>
        </w:rPr>
        <w:t>Papildus ārējās vides riskiem makroekonomiskā scenārija izpildi ietekmēs arī iekšējie faktori – uzņēmumu iespējas piesaistīt un īstenot investīciju projektus, lai palielinātu ražošanas jaudas, kreditēšanas attīstība u.c. faktori, kas tiešā veidā ietekmē valsts kredītreitingu, procentu likmes, konfidences rādītājus un iekšzemes pieprasījumu.</w:t>
      </w:r>
    </w:p>
    <w:p w:rsidR="00AB0ACA" w:rsidRPr="00C5794C" w:rsidRDefault="00AB0ACA" w:rsidP="002D62B9">
      <w:pPr>
        <w:spacing w:after="0"/>
        <w:rPr>
          <w:szCs w:val="24"/>
          <w:lang w:eastAsia="lv-LV"/>
        </w:rPr>
      </w:pPr>
      <w:r w:rsidRPr="005869E7">
        <w:rPr>
          <w:szCs w:val="24"/>
        </w:rPr>
        <w:t xml:space="preserve">Makroekonomiskos riskus, kas noteiks tautsaimniecības attīstību </w:t>
      </w:r>
      <w:r>
        <w:rPr>
          <w:szCs w:val="24"/>
        </w:rPr>
        <w:t xml:space="preserve">Konverģences </w:t>
      </w:r>
      <w:r w:rsidRPr="005869E7">
        <w:rPr>
          <w:szCs w:val="24"/>
        </w:rPr>
        <w:t xml:space="preserve">programmas periodā, var iedalīt negatīvajos un pozitīvajos. Makroekonomiskās attīstības scenārijs ir </w:t>
      </w:r>
      <w:r w:rsidRPr="00C5794C">
        <w:rPr>
          <w:szCs w:val="24"/>
        </w:rPr>
        <w:t xml:space="preserve">balstīts uz konservatīviem pieņēmumiem par ārējā un iekšējā pieprasījuma pieaugumu un ņem vērā gan iekšējos, gan ārējos riskus. Jāņem vērā, ka </w:t>
      </w:r>
      <w:r w:rsidRPr="00C5794C">
        <w:rPr>
          <w:szCs w:val="24"/>
          <w:lang w:eastAsia="lv-LV"/>
        </w:rPr>
        <w:t xml:space="preserve">vairāku risku </w:t>
      </w:r>
      <w:r>
        <w:rPr>
          <w:szCs w:val="24"/>
          <w:lang w:eastAsia="lv-LV"/>
        </w:rPr>
        <w:t>vienlaicīga</w:t>
      </w:r>
      <w:r w:rsidRPr="00C5794C">
        <w:rPr>
          <w:szCs w:val="24"/>
          <w:lang w:eastAsia="lv-LV"/>
        </w:rPr>
        <w:t xml:space="preserve"> īstenošanās var pastiprināt to negatīvo efektu.</w:t>
      </w:r>
    </w:p>
    <w:p w:rsidR="00AB0ACA" w:rsidRPr="00C5794C" w:rsidRDefault="00AB0ACA" w:rsidP="002D62B9">
      <w:pPr>
        <w:rPr>
          <w:szCs w:val="24"/>
          <w:u w:val="single"/>
        </w:rPr>
      </w:pPr>
    </w:p>
    <w:p w:rsidR="00AB0ACA" w:rsidRPr="00C5794C" w:rsidRDefault="00AB0ACA" w:rsidP="002D62B9">
      <w:pPr>
        <w:rPr>
          <w:szCs w:val="24"/>
          <w:u w:val="single"/>
        </w:rPr>
      </w:pPr>
      <w:r w:rsidRPr="00C5794C">
        <w:rPr>
          <w:szCs w:val="24"/>
          <w:u w:val="single"/>
        </w:rPr>
        <w:t>Negatīvie  riski:</w:t>
      </w:r>
    </w:p>
    <w:p w:rsidR="00AB0ACA" w:rsidRPr="00C5794C" w:rsidRDefault="00AB0ACA" w:rsidP="002D62B9">
      <w:pPr>
        <w:pStyle w:val="ListParagraph"/>
        <w:numPr>
          <w:ilvl w:val="0"/>
          <w:numId w:val="15"/>
        </w:numPr>
        <w:spacing w:after="0" w:line="240" w:lineRule="auto"/>
        <w:jc w:val="both"/>
        <w:rPr>
          <w:rFonts w:ascii="Times New Roman" w:hAnsi="Times New Roman"/>
          <w:sz w:val="24"/>
          <w:szCs w:val="24"/>
          <w:lang w:eastAsia="lv-LV"/>
        </w:rPr>
      </w:pPr>
      <w:r w:rsidRPr="00C5794C">
        <w:rPr>
          <w:rFonts w:ascii="Times New Roman" w:hAnsi="Times New Roman"/>
          <w:sz w:val="24"/>
          <w:szCs w:val="24"/>
          <w:lang w:eastAsia="lv-LV"/>
        </w:rPr>
        <w:t xml:space="preserve">Eirozonas problēmu risinājumi vienreizēju monetāro stimulu un </w:t>
      </w:r>
      <w:r w:rsidRPr="00C5794C">
        <w:rPr>
          <w:rFonts w:ascii="Times New Roman" w:hAnsi="Times New Roman"/>
          <w:sz w:val="24"/>
          <w:szCs w:val="24"/>
        </w:rPr>
        <w:t>Eiropas fiskālā pakta</w:t>
      </w:r>
      <w:r w:rsidRPr="00C5794C">
        <w:rPr>
          <w:rFonts w:ascii="Times New Roman" w:hAnsi="Times New Roman"/>
          <w:sz w:val="24"/>
          <w:szCs w:val="24"/>
          <w:lang w:eastAsia="lv-LV"/>
        </w:rPr>
        <w:t xml:space="preserve"> veidā var nebūt ilgtspējīgi un rada risku Eirozonas valstīm vidējā termiņā apstāties pie zemas ekonomiskās izaugsmes. Tas nozīmētu būtisku ārējās vides pasliktināšanos Latvijas eksportētājiem un līdz ar to nozīmīgi zemākus Latvijas ekonomikas a</w:t>
      </w:r>
      <w:r w:rsidR="00914541">
        <w:rPr>
          <w:rFonts w:ascii="Times New Roman" w:hAnsi="Times New Roman"/>
          <w:sz w:val="24"/>
          <w:szCs w:val="24"/>
          <w:lang w:eastAsia="lv-LV"/>
        </w:rPr>
        <w:t>ttīstības tempus vidējā termiņā</w:t>
      </w:r>
      <w:r w:rsidR="00914541">
        <w:rPr>
          <w:rFonts w:ascii="Times New Roman" w:hAnsi="Times New Roman"/>
          <w:sz w:val="24"/>
          <w:szCs w:val="24"/>
          <w:lang w:val="lv-LV" w:eastAsia="lv-LV"/>
        </w:rPr>
        <w:t>;</w:t>
      </w:r>
    </w:p>
    <w:p w:rsidR="00AB0ACA" w:rsidRPr="00C5794C" w:rsidRDefault="00AB0ACA" w:rsidP="002D62B9">
      <w:pPr>
        <w:pStyle w:val="ListParagraph"/>
        <w:numPr>
          <w:ilvl w:val="0"/>
          <w:numId w:val="15"/>
        </w:numPr>
        <w:spacing w:after="0" w:line="240" w:lineRule="auto"/>
        <w:jc w:val="both"/>
        <w:rPr>
          <w:rFonts w:ascii="Times New Roman" w:hAnsi="Times New Roman"/>
          <w:sz w:val="24"/>
          <w:szCs w:val="24"/>
          <w:lang w:eastAsia="lv-LV"/>
        </w:rPr>
      </w:pPr>
      <w:r w:rsidRPr="00C5794C">
        <w:rPr>
          <w:rFonts w:ascii="Times New Roman" w:hAnsi="Times New Roman"/>
          <w:sz w:val="24"/>
          <w:szCs w:val="24"/>
          <w:lang w:eastAsia="lv-LV"/>
        </w:rPr>
        <w:t>Tā kā Latvijas banku sektors ir cieši saistīts ar Skandināvijas bankām, problēmas Eirozonas valstu finanšu tirgos var paātrināt kredītsaistību samazināšanu pret mātesbankām un veicināt kredītu pieejamības samazināšanos Latvijā, radot būtisku negatīvu ietekmi uz finanšu tirgu Latvijā, t.sk. samazinot uzņēmēju iespējas aizņemties investīciju projektu realizācijai (t.sk. ES fondu līdzfinansētu projektu realizācijai), kā a</w:t>
      </w:r>
      <w:r w:rsidR="00914541">
        <w:rPr>
          <w:rFonts w:ascii="Times New Roman" w:hAnsi="Times New Roman"/>
          <w:sz w:val="24"/>
          <w:szCs w:val="24"/>
          <w:lang w:eastAsia="lv-LV"/>
        </w:rPr>
        <w:t>rī sadārdzinot kredītu izmaksas</w:t>
      </w:r>
      <w:r w:rsidR="00914541">
        <w:rPr>
          <w:rFonts w:ascii="Times New Roman" w:hAnsi="Times New Roman"/>
          <w:sz w:val="24"/>
          <w:szCs w:val="24"/>
          <w:lang w:val="lv-LV" w:eastAsia="lv-LV"/>
        </w:rPr>
        <w:t>;</w:t>
      </w:r>
    </w:p>
    <w:p w:rsidR="00AB0ACA" w:rsidRPr="00C5794C" w:rsidRDefault="00AB0ACA" w:rsidP="002D62B9">
      <w:pPr>
        <w:pStyle w:val="ListParagraph"/>
        <w:numPr>
          <w:ilvl w:val="0"/>
          <w:numId w:val="15"/>
        </w:numPr>
        <w:autoSpaceDE w:val="0"/>
        <w:autoSpaceDN w:val="0"/>
        <w:adjustRightInd w:val="0"/>
        <w:spacing w:after="0" w:line="240" w:lineRule="auto"/>
        <w:jc w:val="both"/>
        <w:rPr>
          <w:rFonts w:ascii="Times New Roman" w:hAnsi="Times New Roman"/>
          <w:sz w:val="24"/>
          <w:szCs w:val="24"/>
        </w:rPr>
      </w:pPr>
      <w:r w:rsidRPr="00C5794C">
        <w:rPr>
          <w:rFonts w:ascii="Times New Roman" w:hAnsi="Times New Roman"/>
          <w:sz w:val="24"/>
          <w:szCs w:val="24"/>
        </w:rPr>
        <w:t>Nenoteiktība par Latvijas ekonomikas attīstību var ietekmēt kopējo pieprasījumu Latvijā, mājsaimniecībām izvēloties veidot uzkrājumus (atbilstoši iepriekš novērotai patērētāju cikliskai uzkrājumu veidošanai) un atliekot patēriņu. Kopējā pieprasījuma samazināšanās var attiecīgi samazināt Latvi</w:t>
      </w:r>
      <w:r w:rsidR="00914541">
        <w:rPr>
          <w:rFonts w:ascii="Times New Roman" w:hAnsi="Times New Roman"/>
          <w:sz w:val="24"/>
          <w:szCs w:val="24"/>
        </w:rPr>
        <w:t>jas ekonomikas attīstības tempu</w:t>
      </w:r>
      <w:r w:rsidR="00914541">
        <w:rPr>
          <w:rFonts w:ascii="Times New Roman" w:hAnsi="Times New Roman"/>
          <w:sz w:val="24"/>
          <w:szCs w:val="24"/>
          <w:lang w:val="lv-LV"/>
        </w:rPr>
        <w:t>;</w:t>
      </w:r>
    </w:p>
    <w:p w:rsidR="00AB0ACA" w:rsidRPr="00C5794C" w:rsidRDefault="00AB0ACA" w:rsidP="002D62B9">
      <w:pPr>
        <w:pStyle w:val="ListParagraph"/>
        <w:numPr>
          <w:ilvl w:val="0"/>
          <w:numId w:val="15"/>
        </w:numPr>
        <w:autoSpaceDE w:val="0"/>
        <w:autoSpaceDN w:val="0"/>
        <w:adjustRightInd w:val="0"/>
        <w:spacing w:after="0" w:line="240" w:lineRule="auto"/>
        <w:jc w:val="both"/>
        <w:rPr>
          <w:rFonts w:ascii="Times New Roman" w:hAnsi="Times New Roman"/>
          <w:sz w:val="24"/>
          <w:szCs w:val="24"/>
        </w:rPr>
      </w:pPr>
      <w:r w:rsidRPr="00C5794C">
        <w:rPr>
          <w:rFonts w:ascii="Times New Roman" w:hAnsi="Times New Roman"/>
          <w:sz w:val="24"/>
          <w:szCs w:val="24"/>
        </w:rPr>
        <w:t xml:space="preserve">Negatīvās ekonomikas attīstības perspektīvas Latvijas galvenajā eksporta tirgū ES var būtiski negatīvi ietekmēt uzņēmumu investīciju apjomus Latvijas ekonomikā. Turklāt papildus negatīvu efektu uz investīciju dinamiku var radīt arī kredītreitinga aģentūru Latvijas nākotnes novērtējumu un starptautisku institūciju Latvijas </w:t>
      </w:r>
      <w:r w:rsidR="00914541">
        <w:rPr>
          <w:rFonts w:ascii="Times New Roman" w:hAnsi="Times New Roman"/>
          <w:sz w:val="24"/>
          <w:szCs w:val="24"/>
        </w:rPr>
        <w:t>izaugsmes prognožu samazināšana</w:t>
      </w:r>
      <w:r w:rsidR="00914541">
        <w:rPr>
          <w:rFonts w:ascii="Times New Roman" w:hAnsi="Times New Roman"/>
          <w:sz w:val="24"/>
          <w:szCs w:val="24"/>
          <w:lang w:val="lv-LV"/>
        </w:rPr>
        <w:t>;</w:t>
      </w:r>
    </w:p>
    <w:p w:rsidR="00AB0ACA" w:rsidRPr="00C5794C" w:rsidRDefault="00AB0ACA" w:rsidP="002D62B9">
      <w:pPr>
        <w:numPr>
          <w:ilvl w:val="0"/>
          <w:numId w:val="18"/>
        </w:numPr>
        <w:spacing w:after="0"/>
        <w:rPr>
          <w:szCs w:val="24"/>
        </w:rPr>
      </w:pPr>
      <w:r w:rsidRPr="00C5794C">
        <w:rPr>
          <w:szCs w:val="24"/>
        </w:rPr>
        <w:t xml:space="preserve">Politiskā spriedze un kara draudi Tuvo Austrumu un Ziemeļāfrikas valstīs var kavēt naftas piegādi, kas būtiski palielinātu naftas cenu pasaulē. Tā kā naftas cenām ir liela ietekme uz kopējām patēriņa cenu pārmaiņām Latvijā, to kāpums mazina iedzīvotāju pirktspēju, patēriņa kāpumu un līdz ar to arī ekonomikas izaugsmi. Enerģijas izmaksas palielināšanās kāpina arī ražošanas izmaksas, kas samazina </w:t>
      </w:r>
      <w:r w:rsidR="00914541">
        <w:rPr>
          <w:szCs w:val="24"/>
        </w:rPr>
        <w:t>Latvijas eksporta konkurētspēju;</w:t>
      </w:r>
      <w:r w:rsidRPr="00C5794C">
        <w:rPr>
          <w:szCs w:val="24"/>
        </w:rPr>
        <w:t xml:space="preserve"> </w:t>
      </w:r>
    </w:p>
    <w:p w:rsidR="00AB0ACA" w:rsidRPr="00C5794C" w:rsidRDefault="00AB0ACA" w:rsidP="002D62B9">
      <w:pPr>
        <w:numPr>
          <w:ilvl w:val="0"/>
          <w:numId w:val="18"/>
        </w:numPr>
        <w:spacing w:after="0"/>
        <w:rPr>
          <w:szCs w:val="24"/>
        </w:rPr>
      </w:pPr>
      <w:r w:rsidRPr="00C5794C">
        <w:rPr>
          <w:szCs w:val="24"/>
        </w:rPr>
        <w:lastRenderedPageBreak/>
        <w:t>Ticamāk, ka pasaules izejvielu cenas vairāk ietekmēs importa vērtību, nekā eksporta ienākumu palielināšanas ie</w:t>
      </w:r>
      <w:r w:rsidR="00914541">
        <w:rPr>
          <w:szCs w:val="24"/>
        </w:rPr>
        <w:t>spējas;</w:t>
      </w:r>
    </w:p>
    <w:p w:rsidR="00AB0ACA" w:rsidRPr="00C5794C" w:rsidRDefault="00AB0ACA" w:rsidP="002D62B9">
      <w:pPr>
        <w:pStyle w:val="ListParagraph"/>
        <w:numPr>
          <w:ilvl w:val="0"/>
          <w:numId w:val="16"/>
        </w:numPr>
        <w:autoSpaceDE w:val="0"/>
        <w:autoSpaceDN w:val="0"/>
        <w:adjustRightInd w:val="0"/>
        <w:spacing w:after="0" w:line="240" w:lineRule="auto"/>
        <w:ind w:left="714" w:hanging="357"/>
        <w:contextualSpacing w:val="0"/>
        <w:jc w:val="both"/>
        <w:rPr>
          <w:rFonts w:ascii="Times New Roman" w:hAnsi="Times New Roman"/>
          <w:color w:val="FF0000"/>
          <w:sz w:val="24"/>
          <w:szCs w:val="24"/>
        </w:rPr>
      </w:pPr>
      <w:r w:rsidRPr="00C5794C">
        <w:rPr>
          <w:rFonts w:ascii="Times New Roman" w:hAnsi="Times New Roman"/>
          <w:sz w:val="24"/>
          <w:szCs w:val="24"/>
        </w:rPr>
        <w:t>Ķīnas un/vai citu attīstības valstu ekonomiku „smagā piezemēšanās” būtiski pasliktinātu ārējo vidi, samazinot pasaules kopējo pieprasījumu. Samazinoties pasaules ekonomikas izaugsmei, t.sk. mazinoties pieprasījumam pēc ES valstīs ražotām precēm un samazinoties investīciju plūsmai, būtisks neaktīvs iespaids tiktu atstāts arī</w:t>
      </w:r>
      <w:r w:rsidR="00914541">
        <w:rPr>
          <w:rFonts w:ascii="Times New Roman" w:hAnsi="Times New Roman"/>
          <w:sz w:val="24"/>
          <w:szCs w:val="24"/>
        </w:rPr>
        <w:t xml:space="preserve"> uz Latvijas eksporta attīstību</w:t>
      </w:r>
      <w:r w:rsidR="00914541">
        <w:rPr>
          <w:rFonts w:ascii="Times New Roman" w:hAnsi="Times New Roman"/>
          <w:sz w:val="24"/>
          <w:szCs w:val="24"/>
          <w:lang w:val="lv-LV"/>
        </w:rPr>
        <w:t>;</w:t>
      </w:r>
    </w:p>
    <w:p w:rsidR="00AB0ACA" w:rsidRPr="00C5794C" w:rsidRDefault="00AB0ACA" w:rsidP="002D62B9">
      <w:pPr>
        <w:pStyle w:val="ListParagraph"/>
        <w:numPr>
          <w:ilvl w:val="0"/>
          <w:numId w:val="16"/>
        </w:numPr>
        <w:spacing w:after="0" w:line="240" w:lineRule="auto"/>
        <w:jc w:val="both"/>
        <w:rPr>
          <w:rFonts w:ascii="Times New Roman" w:hAnsi="Times New Roman"/>
          <w:sz w:val="24"/>
          <w:szCs w:val="24"/>
          <w:lang w:eastAsia="lv-LV"/>
        </w:rPr>
      </w:pPr>
      <w:r w:rsidRPr="00C5794C">
        <w:rPr>
          <w:rFonts w:ascii="Times New Roman" w:hAnsi="Times New Roman"/>
          <w:sz w:val="24"/>
          <w:szCs w:val="24"/>
        </w:rPr>
        <w:t>Kādas no Eirozonas dalībvalsts nekontrolēta maksātnespēja un izstāšanās no Eirozonas, Eirozonas sadalīšanās var ļoti būtiski negatīvi ietekmēt Eiropas valstu un globālo ekonomikas attīstību, jo iepriekš pielietotās ekonomiku stimulēšanas iespējas lielā mērā būtu jau izsmeltas. Negatīvā ietekme uz Latvijas ekonomiku realizētos gan sarūkot Latvijas eksporta pieprasījum</w:t>
      </w:r>
      <w:r w:rsidR="00914541">
        <w:rPr>
          <w:rFonts w:ascii="Times New Roman" w:hAnsi="Times New Roman"/>
          <w:sz w:val="24"/>
          <w:szCs w:val="24"/>
        </w:rPr>
        <w:t>am, gan mazinoties investīcijām</w:t>
      </w:r>
      <w:r w:rsidR="00914541">
        <w:rPr>
          <w:rFonts w:ascii="Times New Roman" w:hAnsi="Times New Roman"/>
          <w:sz w:val="24"/>
          <w:szCs w:val="24"/>
          <w:lang w:val="lv-LV"/>
        </w:rPr>
        <w:t>;</w:t>
      </w:r>
    </w:p>
    <w:p w:rsidR="00AB0ACA" w:rsidRPr="00C5794C" w:rsidRDefault="00AB0ACA" w:rsidP="002D62B9">
      <w:pPr>
        <w:pStyle w:val="ListParagraph"/>
        <w:numPr>
          <w:ilvl w:val="0"/>
          <w:numId w:val="16"/>
        </w:numPr>
        <w:spacing w:after="0" w:line="240" w:lineRule="auto"/>
        <w:jc w:val="both"/>
        <w:rPr>
          <w:rFonts w:ascii="Times New Roman" w:hAnsi="Times New Roman"/>
          <w:sz w:val="24"/>
          <w:szCs w:val="24"/>
          <w:lang w:eastAsia="lv-LV"/>
        </w:rPr>
      </w:pPr>
      <w:r>
        <w:rPr>
          <w:rFonts w:ascii="Times New Roman" w:hAnsi="Times New Roman"/>
          <w:sz w:val="24"/>
          <w:szCs w:val="24"/>
        </w:rPr>
        <w:t>ECB</w:t>
      </w:r>
      <w:r w:rsidRPr="00C5794C">
        <w:rPr>
          <w:rFonts w:ascii="Times New Roman" w:hAnsi="Times New Roman"/>
          <w:sz w:val="24"/>
          <w:szCs w:val="24"/>
        </w:rPr>
        <w:t xml:space="preserve"> īstenotā trīs gadu banku refinansēšanas programma var izrādīties nepietiekama, lai pilnībā atrisinātu likviditātes problēmas Eirozonas finanšu sistēmā. Mazinoties optimismam un augot riska prēmijām, valdībām un bankām var kļūt arvien grūtāk piekļūt finansējumam.</w:t>
      </w:r>
    </w:p>
    <w:p w:rsidR="00AB0ACA" w:rsidRPr="00C5794C" w:rsidRDefault="00AB0ACA" w:rsidP="002D62B9">
      <w:pPr>
        <w:autoSpaceDE w:val="0"/>
        <w:autoSpaceDN w:val="0"/>
        <w:adjustRightInd w:val="0"/>
        <w:rPr>
          <w:szCs w:val="24"/>
          <w:u w:val="single"/>
        </w:rPr>
      </w:pPr>
    </w:p>
    <w:p w:rsidR="00AB0ACA" w:rsidRPr="00C5794C" w:rsidRDefault="00AB0ACA" w:rsidP="002D62B9">
      <w:pPr>
        <w:autoSpaceDE w:val="0"/>
        <w:autoSpaceDN w:val="0"/>
        <w:adjustRightInd w:val="0"/>
        <w:rPr>
          <w:szCs w:val="24"/>
          <w:u w:val="single"/>
        </w:rPr>
      </w:pPr>
      <w:r w:rsidRPr="00C5794C">
        <w:rPr>
          <w:szCs w:val="24"/>
          <w:u w:val="single"/>
        </w:rPr>
        <w:t>Pozitīvie riski:</w:t>
      </w:r>
    </w:p>
    <w:p w:rsidR="00AB0ACA" w:rsidRPr="00C5794C" w:rsidRDefault="00AB0ACA" w:rsidP="002D62B9">
      <w:pPr>
        <w:autoSpaceDE w:val="0"/>
        <w:autoSpaceDN w:val="0"/>
        <w:adjustRightInd w:val="0"/>
        <w:ind w:firstLine="717"/>
        <w:rPr>
          <w:szCs w:val="24"/>
        </w:rPr>
      </w:pPr>
      <w:r w:rsidRPr="00C5794C">
        <w:rPr>
          <w:szCs w:val="24"/>
        </w:rPr>
        <w:t>Galvenie pozitīvie riski Latvijas ekonomikas attīstībai saistīti ar negatīvo risku neīstenošanos.</w:t>
      </w:r>
    </w:p>
    <w:p w:rsidR="00AB0ACA" w:rsidRPr="00C5794C" w:rsidRDefault="00AB0ACA" w:rsidP="002D62B9">
      <w:pPr>
        <w:pStyle w:val="ListParagraph"/>
        <w:numPr>
          <w:ilvl w:val="0"/>
          <w:numId w:val="17"/>
        </w:numPr>
        <w:autoSpaceDE w:val="0"/>
        <w:autoSpaceDN w:val="0"/>
        <w:adjustRightInd w:val="0"/>
        <w:spacing w:after="0" w:line="240" w:lineRule="auto"/>
        <w:jc w:val="both"/>
        <w:rPr>
          <w:rFonts w:ascii="Times New Roman" w:hAnsi="Times New Roman"/>
          <w:sz w:val="24"/>
          <w:szCs w:val="24"/>
        </w:rPr>
      </w:pPr>
      <w:r w:rsidRPr="00C5794C">
        <w:rPr>
          <w:rFonts w:ascii="Times New Roman" w:hAnsi="Times New Roman"/>
          <w:sz w:val="24"/>
          <w:szCs w:val="24"/>
        </w:rPr>
        <w:t>Eirozonas parādu krīzes jau veiktie un plānotie risinājumi var dot labāku rezultātu kā sagaidāms. Finanšu tirgus atlabšana un strukturālās reformas var ātrāk uzlabot konfidences rādītājus, kas ļautu ES ekonomikai ātrāk un straujāk kā prognozēts atgriezties pie izaugsmes. Tas būtiski uzlabotu Latvijas ekonomikas attīstības perspektīvas, gan augot eksporta pieprasījumam, gan uzlabojoties patē</w:t>
      </w:r>
      <w:r w:rsidR="00914541">
        <w:rPr>
          <w:rFonts w:ascii="Times New Roman" w:hAnsi="Times New Roman"/>
          <w:sz w:val="24"/>
          <w:szCs w:val="24"/>
        </w:rPr>
        <w:t>rētāju un investoru konfidencēm</w:t>
      </w:r>
      <w:r w:rsidR="00914541">
        <w:rPr>
          <w:rFonts w:ascii="Times New Roman" w:hAnsi="Times New Roman"/>
          <w:sz w:val="24"/>
          <w:szCs w:val="24"/>
          <w:lang w:val="lv-LV"/>
        </w:rPr>
        <w:t>;</w:t>
      </w:r>
    </w:p>
    <w:p w:rsidR="00AB0ACA" w:rsidRPr="00C5794C" w:rsidRDefault="00AB0ACA" w:rsidP="002D62B9">
      <w:pPr>
        <w:pStyle w:val="ListParagraph"/>
        <w:numPr>
          <w:ilvl w:val="0"/>
          <w:numId w:val="17"/>
        </w:numPr>
        <w:autoSpaceDE w:val="0"/>
        <w:autoSpaceDN w:val="0"/>
        <w:adjustRightInd w:val="0"/>
        <w:spacing w:after="0" w:line="240" w:lineRule="auto"/>
        <w:jc w:val="both"/>
        <w:rPr>
          <w:rFonts w:ascii="Times New Roman" w:hAnsi="Times New Roman"/>
          <w:sz w:val="24"/>
          <w:szCs w:val="24"/>
        </w:rPr>
      </w:pPr>
      <w:r w:rsidRPr="00C5794C">
        <w:rPr>
          <w:rFonts w:ascii="Times New Roman" w:hAnsi="Times New Roman"/>
          <w:sz w:val="24"/>
          <w:szCs w:val="24"/>
        </w:rPr>
        <w:t>Augstāka kā prognozēts pasaules ekonomikas attīstība, t.sk. ASV un attīstības valstīs, var dot papildus stimulu augsto ienākumu valstīm, t.sk. veicin</w:t>
      </w:r>
      <w:r w:rsidR="00914541">
        <w:rPr>
          <w:rFonts w:ascii="Times New Roman" w:hAnsi="Times New Roman"/>
          <w:sz w:val="24"/>
          <w:szCs w:val="24"/>
        </w:rPr>
        <w:t>āt Eirozonas krīzes pārvarēšanu</w:t>
      </w:r>
      <w:r w:rsidR="00914541">
        <w:rPr>
          <w:rFonts w:ascii="Times New Roman" w:hAnsi="Times New Roman"/>
          <w:sz w:val="24"/>
          <w:szCs w:val="24"/>
          <w:lang w:val="lv-LV"/>
        </w:rPr>
        <w:t>;</w:t>
      </w:r>
    </w:p>
    <w:p w:rsidR="00AB0ACA" w:rsidRPr="00C5794C" w:rsidRDefault="00AB0ACA" w:rsidP="002D62B9">
      <w:pPr>
        <w:pStyle w:val="ListParagraph"/>
        <w:numPr>
          <w:ilvl w:val="0"/>
          <w:numId w:val="17"/>
        </w:numPr>
        <w:autoSpaceDE w:val="0"/>
        <w:autoSpaceDN w:val="0"/>
        <w:adjustRightInd w:val="0"/>
        <w:spacing w:after="0" w:line="240" w:lineRule="auto"/>
        <w:jc w:val="both"/>
        <w:rPr>
          <w:rFonts w:ascii="Times New Roman" w:hAnsi="Times New Roman"/>
          <w:sz w:val="24"/>
          <w:szCs w:val="24"/>
        </w:rPr>
      </w:pPr>
      <w:r w:rsidRPr="00C5794C">
        <w:rPr>
          <w:rFonts w:ascii="Times New Roman" w:hAnsi="Times New Roman"/>
          <w:sz w:val="24"/>
          <w:szCs w:val="24"/>
        </w:rPr>
        <w:t>Krievijas pievienošanās Pasaules tirdzniecības organizācijai var veicināt Latvijas eksportu uz Krieviju, bet var radīt arī konkurenci Latvij</w:t>
      </w:r>
      <w:r w:rsidR="00914541">
        <w:rPr>
          <w:rFonts w:ascii="Times New Roman" w:hAnsi="Times New Roman"/>
          <w:sz w:val="24"/>
          <w:szCs w:val="24"/>
        </w:rPr>
        <w:t>as eksportam citu valstu tirgos</w:t>
      </w:r>
      <w:r w:rsidR="00914541">
        <w:rPr>
          <w:rFonts w:ascii="Times New Roman" w:hAnsi="Times New Roman"/>
          <w:sz w:val="24"/>
          <w:szCs w:val="24"/>
          <w:lang w:val="lv-LV"/>
        </w:rPr>
        <w:t>;</w:t>
      </w:r>
    </w:p>
    <w:p w:rsidR="00AB0ACA" w:rsidRPr="00C5794C" w:rsidRDefault="00AB0ACA" w:rsidP="002D62B9">
      <w:pPr>
        <w:pStyle w:val="ListParagraph"/>
        <w:numPr>
          <w:ilvl w:val="0"/>
          <w:numId w:val="17"/>
        </w:numPr>
        <w:autoSpaceDE w:val="0"/>
        <w:autoSpaceDN w:val="0"/>
        <w:adjustRightInd w:val="0"/>
        <w:spacing w:after="0" w:line="240" w:lineRule="auto"/>
        <w:jc w:val="both"/>
        <w:rPr>
          <w:rFonts w:ascii="Times New Roman" w:hAnsi="Times New Roman"/>
          <w:sz w:val="24"/>
          <w:szCs w:val="24"/>
        </w:rPr>
      </w:pPr>
      <w:r w:rsidRPr="00C5794C">
        <w:rPr>
          <w:rFonts w:ascii="Times New Roman" w:hAnsi="Times New Roman"/>
          <w:sz w:val="24"/>
          <w:szCs w:val="24"/>
        </w:rPr>
        <w:t>Latvijas eksports var elastīgi reaģēt uz ārējās vides pasliktināšanos un būtiski neizjust pieprasījumu samazinājumu, jo nozīmīgi uzlabojusies Latvijas eksporta konkurētspēja, kā arī preču un eksporta tirgu struktūra pēc 2008.</w:t>
      </w:r>
      <w:r w:rsidR="00EB745F">
        <w:rPr>
          <w:rFonts w:ascii="Times New Roman" w:hAnsi="Times New Roman"/>
          <w:sz w:val="24"/>
          <w:szCs w:val="24"/>
        </w:rPr>
        <w:t> </w:t>
      </w:r>
      <w:r w:rsidRPr="00C5794C">
        <w:rPr>
          <w:rFonts w:ascii="Times New Roman" w:hAnsi="Times New Roman"/>
          <w:sz w:val="24"/>
          <w:szCs w:val="24"/>
        </w:rPr>
        <w:t>gada krīzes ir kļuvusi diferencētāka, pielāgota ma</w:t>
      </w:r>
      <w:r w:rsidR="00914541">
        <w:rPr>
          <w:rFonts w:ascii="Times New Roman" w:hAnsi="Times New Roman"/>
          <w:sz w:val="24"/>
          <w:szCs w:val="24"/>
        </w:rPr>
        <w:t>inīgiem ārējās vides apstākļiem</w:t>
      </w:r>
      <w:r w:rsidR="00914541">
        <w:rPr>
          <w:rFonts w:ascii="Times New Roman" w:hAnsi="Times New Roman"/>
          <w:sz w:val="24"/>
          <w:szCs w:val="24"/>
          <w:lang w:val="lv-LV"/>
        </w:rPr>
        <w:t>;</w:t>
      </w:r>
    </w:p>
    <w:p w:rsidR="00AB0ACA" w:rsidRPr="00C5794C" w:rsidRDefault="00AB0ACA" w:rsidP="002D62B9">
      <w:pPr>
        <w:pStyle w:val="ListParagraph"/>
        <w:numPr>
          <w:ilvl w:val="0"/>
          <w:numId w:val="17"/>
        </w:numPr>
        <w:spacing w:after="0" w:line="240" w:lineRule="auto"/>
        <w:ind w:left="1071" w:hanging="357"/>
        <w:jc w:val="both"/>
        <w:rPr>
          <w:rFonts w:ascii="Times New Roman" w:hAnsi="Times New Roman"/>
          <w:sz w:val="24"/>
          <w:szCs w:val="24"/>
        </w:rPr>
      </w:pPr>
      <w:r w:rsidRPr="00C5794C">
        <w:rPr>
          <w:rFonts w:ascii="Times New Roman" w:hAnsi="Times New Roman"/>
          <w:sz w:val="24"/>
          <w:szCs w:val="24"/>
        </w:rPr>
        <w:t xml:space="preserve">Starptautisko aizdevēju un </w:t>
      </w:r>
      <w:r w:rsidR="00EB745F">
        <w:rPr>
          <w:rFonts w:ascii="Times New Roman" w:hAnsi="Times New Roman"/>
          <w:sz w:val="24"/>
          <w:szCs w:val="24"/>
        </w:rPr>
        <w:t>kredīt</w:t>
      </w:r>
      <w:r w:rsidRPr="00C5794C">
        <w:rPr>
          <w:rFonts w:ascii="Times New Roman" w:hAnsi="Times New Roman"/>
          <w:sz w:val="24"/>
          <w:szCs w:val="24"/>
        </w:rPr>
        <w:t>reitinga aģentūru labvēlīgais vērtējums Latvijas tautsaimniecībai apstiprina to, ka uzņēmējdarbības vide Latvijā stabilizējas. Tas var veicināt investīciju ieplūdes, kas, iespējams, palielinās apstrādes</w:t>
      </w:r>
      <w:r w:rsidR="00914541">
        <w:rPr>
          <w:rFonts w:ascii="Times New Roman" w:hAnsi="Times New Roman"/>
          <w:sz w:val="24"/>
          <w:szCs w:val="24"/>
        </w:rPr>
        <w:t xml:space="preserve"> rūpniecības un eksporta jaudu</w:t>
      </w:r>
      <w:r w:rsidR="00914541">
        <w:rPr>
          <w:rFonts w:ascii="Times New Roman" w:hAnsi="Times New Roman"/>
          <w:sz w:val="24"/>
          <w:szCs w:val="24"/>
          <w:lang w:val="lv-LV"/>
        </w:rPr>
        <w:t>;</w:t>
      </w:r>
    </w:p>
    <w:p w:rsidR="00AB0ACA" w:rsidRPr="00C5794C" w:rsidRDefault="00AB0ACA" w:rsidP="002D62B9">
      <w:pPr>
        <w:numPr>
          <w:ilvl w:val="0"/>
          <w:numId w:val="17"/>
        </w:numPr>
        <w:spacing w:after="0"/>
        <w:ind w:left="1071" w:hanging="357"/>
        <w:rPr>
          <w:szCs w:val="24"/>
        </w:rPr>
      </w:pPr>
      <w:r w:rsidRPr="00C5794C">
        <w:rPr>
          <w:szCs w:val="24"/>
        </w:rPr>
        <w:t xml:space="preserve">Kreditēšanas apjomu straujāks pieaugums joprojām saglabājas kā pozitīvais risks, kas uzņēmējiem ļautu veikt papildus investīcijas, lai palielinātu ražošanas jaudas. Tādā veidā tiktu pozitīvi ietekmēti eksporta un investīciju apjomi. Tāpat kreditēšana var pozitīvi ietekmēt privāto patēriņu, sevišķi vidējā termiņā, jo </w:t>
      </w:r>
      <w:r w:rsidRPr="00C5794C">
        <w:rPr>
          <w:szCs w:val="24"/>
          <w:lang w:eastAsia="lv-LV"/>
        </w:rPr>
        <w:t>mājsaimniecībām izsniegto kredītu apjoms pēdējo gadu laikā ir samazinājies.</w:t>
      </w:r>
    </w:p>
    <w:p w:rsidR="00C5794C" w:rsidRPr="00914541" w:rsidRDefault="00BE5D7D" w:rsidP="002D62B9">
      <w:pPr>
        <w:pStyle w:val="H2"/>
        <w:ind w:left="0" w:firstLine="0"/>
        <w:rPr>
          <w:rFonts w:ascii="Times New Roman" w:hAnsi="Times New Roman"/>
          <w:szCs w:val="32"/>
        </w:rPr>
      </w:pPr>
      <w:bookmarkStart w:id="56" w:name="_Toc323120291"/>
      <w:r w:rsidRPr="00914541">
        <w:rPr>
          <w:rFonts w:ascii="Times New Roman" w:hAnsi="Times New Roman"/>
          <w:szCs w:val="32"/>
        </w:rPr>
        <w:lastRenderedPageBreak/>
        <w:t>5</w:t>
      </w:r>
      <w:r w:rsidR="00C5794C" w:rsidRPr="00914541">
        <w:rPr>
          <w:rFonts w:ascii="Times New Roman" w:hAnsi="Times New Roman"/>
          <w:szCs w:val="32"/>
        </w:rPr>
        <w:t>.2. Jutīguma analīze</w:t>
      </w:r>
      <w:bookmarkEnd w:id="56"/>
    </w:p>
    <w:p w:rsidR="000437CE" w:rsidRPr="001B1E4D" w:rsidRDefault="000437CE" w:rsidP="002D62B9">
      <w:r w:rsidRPr="001B1E4D">
        <w:t xml:space="preserve">Balstoties uz </w:t>
      </w:r>
      <w:r>
        <w:t>5</w:t>
      </w:r>
      <w:r w:rsidRPr="001B1E4D">
        <w:t>.1. nodaļā apskatīto makroekonomisko risku iespējamo ietekmi uz tautsaimniecību, ir izstrādāti divi alternatīvie makroekonomiskās attīstības scenāriji. Konverģences programmas centrālais makroekonomiskās attīstības scenārijs ir izstrādāts, balstoties uz konservatīviem ārējās vides pieņēmumiem</w:t>
      </w:r>
      <w:r>
        <w:t>. Tādējādi pesimistiskā scenārija iestāšanās varbūtība vērtējama kā neliela.</w:t>
      </w:r>
    </w:p>
    <w:p w:rsidR="000437CE" w:rsidRPr="004019EE" w:rsidRDefault="000437CE" w:rsidP="002D62B9">
      <w:pPr>
        <w:pStyle w:val="T"/>
        <w:ind w:left="720"/>
        <w:jc w:val="right"/>
        <w:rPr>
          <w:rFonts w:ascii="Times New Roman" w:hAnsi="Times New Roman"/>
          <w:b w:val="0"/>
          <w:highlight w:val="yellow"/>
        </w:rPr>
      </w:pPr>
      <w:r>
        <w:rPr>
          <w:rFonts w:ascii="Times New Roman" w:hAnsi="Times New Roman"/>
          <w:b w:val="0"/>
        </w:rPr>
        <w:t>5</w:t>
      </w:r>
      <w:r w:rsidRPr="004019EE">
        <w:rPr>
          <w:rFonts w:ascii="Times New Roman" w:hAnsi="Times New Roman"/>
          <w:b w:val="0"/>
        </w:rPr>
        <w:t>.1.</w:t>
      </w:r>
      <w:r w:rsidR="00EB745F">
        <w:rPr>
          <w:rFonts w:ascii="Times New Roman" w:hAnsi="Times New Roman"/>
          <w:b w:val="0"/>
        </w:rPr>
        <w:t> </w:t>
      </w:r>
      <w:r w:rsidRPr="004019EE">
        <w:rPr>
          <w:rFonts w:ascii="Times New Roman" w:hAnsi="Times New Roman"/>
          <w:b w:val="0"/>
        </w:rPr>
        <w:t>tabula. Optimistiskais makroekonomiskais scenārijs</w:t>
      </w:r>
    </w:p>
    <w:tbl>
      <w:tblPr>
        <w:tblW w:w="9090" w:type="dxa"/>
        <w:jc w:val="center"/>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2"/>
        <w:gridCol w:w="961"/>
        <w:gridCol w:w="992"/>
        <w:gridCol w:w="968"/>
        <w:gridCol w:w="980"/>
        <w:gridCol w:w="987"/>
      </w:tblGrid>
      <w:tr w:rsidR="000437CE" w:rsidRPr="001C1AC8" w:rsidTr="001878FE">
        <w:trPr>
          <w:tblHeader/>
          <w:jc w:val="center"/>
        </w:trPr>
        <w:tc>
          <w:tcPr>
            <w:tcW w:w="4202" w:type="dxa"/>
            <w:tcBorders>
              <w:top w:val="double" w:sz="4" w:space="0" w:color="auto"/>
              <w:left w:val="double" w:sz="4" w:space="0" w:color="auto"/>
              <w:bottom w:val="double" w:sz="4" w:space="0" w:color="auto"/>
              <w:right w:val="single" w:sz="4" w:space="0" w:color="auto"/>
            </w:tcBorders>
          </w:tcPr>
          <w:p w:rsidR="000437CE" w:rsidRPr="005E0525" w:rsidRDefault="000437CE" w:rsidP="002D62B9">
            <w:pPr>
              <w:pStyle w:val="tabteksts"/>
            </w:pPr>
          </w:p>
        </w:tc>
        <w:tc>
          <w:tcPr>
            <w:tcW w:w="961" w:type="dxa"/>
            <w:tcBorders>
              <w:top w:val="double" w:sz="4" w:space="0" w:color="auto"/>
              <w:left w:val="double" w:sz="4" w:space="0" w:color="auto"/>
              <w:bottom w:val="double" w:sz="4" w:space="0" w:color="auto"/>
              <w:right w:val="single" w:sz="4" w:space="0" w:color="auto"/>
            </w:tcBorders>
            <w:hideMark/>
          </w:tcPr>
          <w:p w:rsidR="000437CE" w:rsidRPr="005E0525" w:rsidRDefault="000437CE" w:rsidP="002D62B9">
            <w:pPr>
              <w:pStyle w:val="tabteksts"/>
              <w:jc w:val="center"/>
              <w:rPr>
                <w:b/>
              </w:rPr>
            </w:pPr>
            <w:r>
              <w:rPr>
                <w:b/>
              </w:rPr>
              <w:t>2011</w:t>
            </w:r>
          </w:p>
        </w:tc>
        <w:tc>
          <w:tcPr>
            <w:tcW w:w="992" w:type="dxa"/>
            <w:tcBorders>
              <w:top w:val="double" w:sz="4" w:space="0" w:color="auto"/>
              <w:left w:val="single" w:sz="4" w:space="0" w:color="auto"/>
              <w:bottom w:val="double" w:sz="4" w:space="0" w:color="auto"/>
              <w:right w:val="single" w:sz="4" w:space="0" w:color="auto"/>
            </w:tcBorders>
            <w:hideMark/>
          </w:tcPr>
          <w:p w:rsidR="000437CE" w:rsidRPr="005E0525" w:rsidRDefault="000437CE" w:rsidP="002D62B9">
            <w:pPr>
              <w:pStyle w:val="tabteksts"/>
              <w:jc w:val="center"/>
              <w:rPr>
                <w:b/>
              </w:rPr>
            </w:pPr>
            <w:r>
              <w:rPr>
                <w:b/>
              </w:rPr>
              <w:t>2012</w:t>
            </w:r>
          </w:p>
        </w:tc>
        <w:tc>
          <w:tcPr>
            <w:tcW w:w="968" w:type="dxa"/>
            <w:tcBorders>
              <w:top w:val="double" w:sz="4" w:space="0" w:color="auto"/>
              <w:left w:val="single" w:sz="4" w:space="0" w:color="auto"/>
              <w:bottom w:val="double" w:sz="4" w:space="0" w:color="auto"/>
              <w:right w:val="single" w:sz="4" w:space="0" w:color="auto"/>
            </w:tcBorders>
            <w:hideMark/>
          </w:tcPr>
          <w:p w:rsidR="000437CE" w:rsidRPr="005E0525" w:rsidRDefault="000437CE" w:rsidP="002D62B9">
            <w:pPr>
              <w:pStyle w:val="tabteksts"/>
              <w:jc w:val="center"/>
              <w:rPr>
                <w:b/>
              </w:rPr>
            </w:pPr>
            <w:r>
              <w:rPr>
                <w:b/>
              </w:rPr>
              <w:t>2013</w:t>
            </w:r>
          </w:p>
        </w:tc>
        <w:tc>
          <w:tcPr>
            <w:tcW w:w="980" w:type="dxa"/>
            <w:tcBorders>
              <w:top w:val="double" w:sz="4" w:space="0" w:color="auto"/>
              <w:left w:val="single" w:sz="4" w:space="0" w:color="auto"/>
              <w:bottom w:val="double" w:sz="4" w:space="0" w:color="auto"/>
              <w:right w:val="single" w:sz="4" w:space="0" w:color="auto"/>
            </w:tcBorders>
            <w:hideMark/>
          </w:tcPr>
          <w:p w:rsidR="000437CE" w:rsidRPr="005E0525" w:rsidRDefault="000437CE" w:rsidP="002D62B9">
            <w:pPr>
              <w:pStyle w:val="tabteksts"/>
              <w:jc w:val="center"/>
              <w:rPr>
                <w:b/>
              </w:rPr>
            </w:pPr>
            <w:r>
              <w:rPr>
                <w:b/>
              </w:rPr>
              <w:t>2014</w:t>
            </w:r>
          </w:p>
        </w:tc>
        <w:tc>
          <w:tcPr>
            <w:tcW w:w="987" w:type="dxa"/>
            <w:tcBorders>
              <w:top w:val="double" w:sz="4" w:space="0" w:color="auto"/>
              <w:left w:val="single" w:sz="4" w:space="0" w:color="auto"/>
              <w:bottom w:val="double" w:sz="4" w:space="0" w:color="auto"/>
              <w:right w:val="double" w:sz="4" w:space="0" w:color="auto"/>
            </w:tcBorders>
            <w:hideMark/>
          </w:tcPr>
          <w:p w:rsidR="000437CE" w:rsidRPr="005E0525" w:rsidRDefault="000437CE" w:rsidP="002D62B9">
            <w:pPr>
              <w:pStyle w:val="tabteksts"/>
              <w:jc w:val="center"/>
              <w:rPr>
                <w:b/>
              </w:rPr>
            </w:pPr>
            <w:r>
              <w:rPr>
                <w:b/>
              </w:rPr>
              <w:t>2015</w:t>
            </w:r>
          </w:p>
        </w:tc>
      </w:tr>
      <w:tr w:rsidR="000437CE" w:rsidRPr="001C1AC8" w:rsidTr="001878FE">
        <w:trPr>
          <w:trHeight w:val="325"/>
          <w:jc w:val="center"/>
        </w:trPr>
        <w:tc>
          <w:tcPr>
            <w:tcW w:w="4202" w:type="dxa"/>
            <w:tcBorders>
              <w:top w:val="double" w:sz="4" w:space="0" w:color="auto"/>
              <w:left w:val="double" w:sz="4" w:space="0" w:color="auto"/>
              <w:bottom w:val="single" w:sz="4" w:space="0" w:color="auto"/>
              <w:right w:val="single" w:sz="4" w:space="0" w:color="auto"/>
            </w:tcBorders>
            <w:vAlign w:val="center"/>
            <w:hideMark/>
          </w:tcPr>
          <w:p w:rsidR="000437CE" w:rsidRPr="005E0525" w:rsidRDefault="000437CE" w:rsidP="002D62B9">
            <w:pPr>
              <w:pStyle w:val="tabteksts"/>
            </w:pPr>
            <w:r w:rsidRPr="005E0525">
              <w:t>Iekšzemes kopprodukts, faktiskajās cenās, milj. Ls</w:t>
            </w:r>
          </w:p>
        </w:tc>
        <w:tc>
          <w:tcPr>
            <w:tcW w:w="961" w:type="dxa"/>
            <w:tcBorders>
              <w:top w:val="double" w:sz="4" w:space="0" w:color="auto"/>
              <w:left w:val="double" w:sz="4" w:space="0" w:color="auto"/>
              <w:bottom w:val="single" w:sz="4" w:space="0" w:color="auto"/>
              <w:right w:val="single" w:sz="4" w:space="0" w:color="auto"/>
            </w:tcBorders>
            <w:vAlign w:val="bottom"/>
            <w:hideMark/>
          </w:tcPr>
          <w:p w:rsidR="000437CE" w:rsidRPr="00DD5240" w:rsidRDefault="000437CE" w:rsidP="002D62B9">
            <w:pPr>
              <w:pStyle w:val="tabteksts"/>
              <w:jc w:val="center"/>
            </w:pPr>
            <w:r w:rsidRPr="00DD5240">
              <w:t>14161</w:t>
            </w:r>
            <w:r>
              <w:t>,</w:t>
            </w:r>
            <w:r w:rsidRPr="00DD5240">
              <w:t>0</w:t>
            </w:r>
          </w:p>
        </w:tc>
        <w:tc>
          <w:tcPr>
            <w:tcW w:w="992" w:type="dxa"/>
            <w:tcBorders>
              <w:top w:val="double" w:sz="4" w:space="0" w:color="auto"/>
              <w:left w:val="single" w:sz="4" w:space="0" w:color="auto"/>
              <w:bottom w:val="single" w:sz="4" w:space="0" w:color="auto"/>
              <w:right w:val="single" w:sz="4" w:space="0" w:color="auto"/>
            </w:tcBorders>
            <w:vAlign w:val="bottom"/>
            <w:hideMark/>
          </w:tcPr>
          <w:p w:rsidR="000437CE" w:rsidRPr="00DD5240" w:rsidRDefault="000437CE" w:rsidP="002D62B9">
            <w:pPr>
              <w:pStyle w:val="tabteksts"/>
              <w:jc w:val="center"/>
            </w:pPr>
            <w:r w:rsidRPr="00DD5240">
              <w:t>15095</w:t>
            </w:r>
            <w:r>
              <w:t>,</w:t>
            </w:r>
            <w:r w:rsidRPr="00DD5240">
              <w:t>1</w:t>
            </w:r>
          </w:p>
        </w:tc>
        <w:tc>
          <w:tcPr>
            <w:tcW w:w="968" w:type="dxa"/>
            <w:tcBorders>
              <w:top w:val="double" w:sz="4" w:space="0" w:color="auto"/>
              <w:left w:val="single" w:sz="4" w:space="0" w:color="auto"/>
              <w:bottom w:val="single" w:sz="4" w:space="0" w:color="auto"/>
              <w:right w:val="single" w:sz="4" w:space="0" w:color="auto"/>
            </w:tcBorders>
            <w:vAlign w:val="bottom"/>
            <w:hideMark/>
          </w:tcPr>
          <w:p w:rsidR="000437CE" w:rsidRPr="00DD5240" w:rsidRDefault="000437CE" w:rsidP="002D62B9">
            <w:pPr>
              <w:pStyle w:val="tabteksts"/>
              <w:jc w:val="center"/>
            </w:pPr>
            <w:r w:rsidRPr="00DD5240">
              <w:t>16243</w:t>
            </w:r>
            <w:r>
              <w:t>,</w:t>
            </w:r>
            <w:r w:rsidRPr="00DD5240">
              <w:t>0</w:t>
            </w:r>
          </w:p>
        </w:tc>
        <w:tc>
          <w:tcPr>
            <w:tcW w:w="980" w:type="dxa"/>
            <w:tcBorders>
              <w:top w:val="double" w:sz="4" w:space="0" w:color="auto"/>
              <w:left w:val="single" w:sz="4" w:space="0" w:color="auto"/>
              <w:bottom w:val="single" w:sz="4" w:space="0" w:color="auto"/>
              <w:right w:val="single" w:sz="4" w:space="0" w:color="auto"/>
            </w:tcBorders>
            <w:vAlign w:val="bottom"/>
            <w:hideMark/>
          </w:tcPr>
          <w:p w:rsidR="000437CE" w:rsidRPr="00DD5240" w:rsidRDefault="000437CE" w:rsidP="002D62B9">
            <w:pPr>
              <w:pStyle w:val="tabteksts"/>
              <w:jc w:val="center"/>
            </w:pPr>
            <w:r w:rsidRPr="00DD5240">
              <w:t>17482</w:t>
            </w:r>
            <w:r>
              <w:t>,</w:t>
            </w:r>
            <w:r w:rsidRPr="00DD5240">
              <w:t>8</w:t>
            </w:r>
          </w:p>
        </w:tc>
        <w:tc>
          <w:tcPr>
            <w:tcW w:w="987" w:type="dxa"/>
            <w:tcBorders>
              <w:top w:val="double" w:sz="4" w:space="0" w:color="auto"/>
              <w:left w:val="single" w:sz="4" w:space="0" w:color="auto"/>
              <w:bottom w:val="single" w:sz="4" w:space="0" w:color="auto"/>
              <w:right w:val="double" w:sz="4" w:space="0" w:color="auto"/>
            </w:tcBorders>
            <w:vAlign w:val="bottom"/>
            <w:hideMark/>
          </w:tcPr>
          <w:p w:rsidR="000437CE" w:rsidRPr="00DD5240" w:rsidRDefault="000437CE" w:rsidP="002D62B9">
            <w:pPr>
              <w:pStyle w:val="tabteksts"/>
              <w:jc w:val="center"/>
            </w:pPr>
            <w:r w:rsidRPr="00DD5240">
              <w:t>18816</w:t>
            </w:r>
            <w:r>
              <w:t>,</w:t>
            </w:r>
            <w:r w:rsidRPr="00DD5240">
              <w:t>9</w:t>
            </w:r>
          </w:p>
        </w:tc>
      </w:tr>
      <w:tr w:rsidR="000437CE" w:rsidRPr="001C1AC8" w:rsidTr="001878FE">
        <w:trPr>
          <w:jc w:val="center"/>
        </w:trPr>
        <w:tc>
          <w:tcPr>
            <w:tcW w:w="4202" w:type="dxa"/>
            <w:tcBorders>
              <w:top w:val="single" w:sz="4" w:space="0" w:color="auto"/>
              <w:left w:val="double" w:sz="4" w:space="0" w:color="auto"/>
              <w:bottom w:val="single" w:sz="4" w:space="0" w:color="auto"/>
              <w:right w:val="single" w:sz="4" w:space="0" w:color="auto"/>
            </w:tcBorders>
            <w:vAlign w:val="center"/>
            <w:hideMark/>
          </w:tcPr>
          <w:p w:rsidR="000437CE" w:rsidRPr="005E0525" w:rsidRDefault="000437CE" w:rsidP="002D62B9">
            <w:pPr>
              <w:pStyle w:val="tabteksts"/>
              <w:ind w:left="457"/>
            </w:pPr>
            <w:r w:rsidRPr="005E0525">
              <w:t>Pieaugums faktiskajās cenās, %</w:t>
            </w:r>
          </w:p>
        </w:tc>
        <w:tc>
          <w:tcPr>
            <w:tcW w:w="961" w:type="dxa"/>
            <w:tcBorders>
              <w:top w:val="single" w:sz="4" w:space="0" w:color="auto"/>
              <w:left w:val="double" w:sz="4" w:space="0" w:color="auto"/>
              <w:bottom w:val="single" w:sz="4" w:space="0" w:color="auto"/>
              <w:right w:val="single" w:sz="4" w:space="0" w:color="auto"/>
            </w:tcBorders>
            <w:vAlign w:val="bottom"/>
            <w:hideMark/>
          </w:tcPr>
          <w:p w:rsidR="000437CE" w:rsidRPr="00DD5240" w:rsidRDefault="000437CE" w:rsidP="002D62B9">
            <w:pPr>
              <w:pStyle w:val="tabteksts"/>
              <w:jc w:val="center"/>
            </w:pPr>
            <w:r w:rsidRPr="00DD5240">
              <w:t>11</w:t>
            </w:r>
            <w:r>
              <w:t>,</w:t>
            </w:r>
            <w:r w:rsidRPr="00DD5240">
              <w:t>2</w:t>
            </w:r>
          </w:p>
        </w:tc>
        <w:tc>
          <w:tcPr>
            <w:tcW w:w="992" w:type="dxa"/>
            <w:tcBorders>
              <w:top w:val="single" w:sz="4" w:space="0" w:color="auto"/>
              <w:left w:val="single" w:sz="4" w:space="0" w:color="auto"/>
              <w:bottom w:val="single" w:sz="4" w:space="0" w:color="auto"/>
              <w:right w:val="single" w:sz="4" w:space="0" w:color="auto"/>
            </w:tcBorders>
            <w:vAlign w:val="bottom"/>
            <w:hideMark/>
          </w:tcPr>
          <w:p w:rsidR="000437CE" w:rsidRPr="00DD5240" w:rsidRDefault="000437CE" w:rsidP="002D62B9">
            <w:pPr>
              <w:pStyle w:val="tabteksts"/>
              <w:jc w:val="center"/>
            </w:pPr>
            <w:r w:rsidRPr="00DD5240">
              <w:t>6</w:t>
            </w:r>
            <w:r>
              <w:t>,</w:t>
            </w:r>
            <w:r w:rsidRPr="00DD5240">
              <w:t>6</w:t>
            </w:r>
          </w:p>
        </w:tc>
        <w:tc>
          <w:tcPr>
            <w:tcW w:w="968" w:type="dxa"/>
            <w:tcBorders>
              <w:top w:val="single" w:sz="4" w:space="0" w:color="auto"/>
              <w:left w:val="single" w:sz="4" w:space="0" w:color="auto"/>
              <w:bottom w:val="single" w:sz="4" w:space="0" w:color="auto"/>
              <w:right w:val="single" w:sz="4" w:space="0" w:color="auto"/>
            </w:tcBorders>
            <w:vAlign w:val="bottom"/>
            <w:hideMark/>
          </w:tcPr>
          <w:p w:rsidR="000437CE" w:rsidRPr="00DD5240" w:rsidRDefault="000437CE" w:rsidP="002D62B9">
            <w:pPr>
              <w:pStyle w:val="tabteksts"/>
              <w:jc w:val="center"/>
            </w:pPr>
            <w:r w:rsidRPr="00DD5240">
              <w:t>7</w:t>
            </w:r>
            <w:r>
              <w:t>,</w:t>
            </w:r>
            <w:r w:rsidRPr="00DD5240">
              <w:t>6</w:t>
            </w:r>
          </w:p>
        </w:tc>
        <w:tc>
          <w:tcPr>
            <w:tcW w:w="980" w:type="dxa"/>
            <w:tcBorders>
              <w:top w:val="single" w:sz="4" w:space="0" w:color="auto"/>
              <w:left w:val="single" w:sz="4" w:space="0" w:color="auto"/>
              <w:bottom w:val="single" w:sz="4" w:space="0" w:color="auto"/>
              <w:right w:val="single" w:sz="4" w:space="0" w:color="auto"/>
            </w:tcBorders>
            <w:vAlign w:val="bottom"/>
            <w:hideMark/>
          </w:tcPr>
          <w:p w:rsidR="000437CE" w:rsidRPr="00DD5240" w:rsidRDefault="000437CE" w:rsidP="002D62B9">
            <w:pPr>
              <w:pStyle w:val="tabteksts"/>
              <w:jc w:val="center"/>
            </w:pPr>
            <w:r w:rsidRPr="00DD5240">
              <w:t>7</w:t>
            </w:r>
            <w:r>
              <w:t>,</w:t>
            </w:r>
            <w:r w:rsidRPr="00DD5240">
              <w:t>6</w:t>
            </w:r>
          </w:p>
        </w:tc>
        <w:tc>
          <w:tcPr>
            <w:tcW w:w="987" w:type="dxa"/>
            <w:tcBorders>
              <w:top w:val="single" w:sz="4" w:space="0" w:color="auto"/>
              <w:left w:val="single" w:sz="4" w:space="0" w:color="auto"/>
              <w:bottom w:val="single" w:sz="4" w:space="0" w:color="auto"/>
              <w:right w:val="double" w:sz="4" w:space="0" w:color="auto"/>
            </w:tcBorders>
            <w:vAlign w:val="bottom"/>
            <w:hideMark/>
          </w:tcPr>
          <w:p w:rsidR="000437CE" w:rsidRPr="00DD5240" w:rsidRDefault="000437CE" w:rsidP="002D62B9">
            <w:pPr>
              <w:pStyle w:val="tabteksts"/>
              <w:jc w:val="center"/>
            </w:pPr>
            <w:r w:rsidRPr="00DD5240">
              <w:t>7</w:t>
            </w:r>
            <w:r>
              <w:t>,</w:t>
            </w:r>
            <w:r w:rsidRPr="00DD5240">
              <w:t>6</w:t>
            </w:r>
          </w:p>
        </w:tc>
      </w:tr>
      <w:tr w:rsidR="000437CE" w:rsidRPr="001C1AC8" w:rsidTr="001878FE">
        <w:trPr>
          <w:jc w:val="center"/>
        </w:trPr>
        <w:tc>
          <w:tcPr>
            <w:tcW w:w="4202" w:type="dxa"/>
            <w:tcBorders>
              <w:top w:val="single" w:sz="4" w:space="0" w:color="auto"/>
              <w:left w:val="double" w:sz="4" w:space="0" w:color="auto"/>
              <w:bottom w:val="single" w:sz="4" w:space="0" w:color="auto"/>
              <w:right w:val="single" w:sz="4" w:space="0" w:color="auto"/>
            </w:tcBorders>
            <w:vAlign w:val="center"/>
            <w:hideMark/>
          </w:tcPr>
          <w:p w:rsidR="000437CE" w:rsidRPr="005E0525" w:rsidRDefault="000437CE" w:rsidP="002D62B9">
            <w:pPr>
              <w:pStyle w:val="tabteksts"/>
              <w:ind w:left="457"/>
            </w:pPr>
            <w:r w:rsidRPr="005E0525">
              <w:t>Pieaugums salīdzināmajās cenās, %</w:t>
            </w:r>
          </w:p>
        </w:tc>
        <w:tc>
          <w:tcPr>
            <w:tcW w:w="961" w:type="dxa"/>
            <w:tcBorders>
              <w:top w:val="single" w:sz="4" w:space="0" w:color="auto"/>
              <w:left w:val="double" w:sz="4" w:space="0" w:color="auto"/>
              <w:bottom w:val="single" w:sz="4" w:space="0" w:color="auto"/>
              <w:right w:val="single" w:sz="4" w:space="0" w:color="auto"/>
            </w:tcBorders>
            <w:vAlign w:val="bottom"/>
            <w:hideMark/>
          </w:tcPr>
          <w:p w:rsidR="000437CE" w:rsidRPr="005E0525" w:rsidRDefault="000437CE" w:rsidP="002D62B9">
            <w:pPr>
              <w:pStyle w:val="tabteksts"/>
              <w:jc w:val="center"/>
            </w:pPr>
            <w:r w:rsidRPr="005E0525">
              <w:t>5,5</w:t>
            </w:r>
          </w:p>
        </w:tc>
        <w:tc>
          <w:tcPr>
            <w:tcW w:w="992" w:type="dxa"/>
            <w:tcBorders>
              <w:top w:val="single" w:sz="4" w:space="0" w:color="auto"/>
              <w:left w:val="single" w:sz="4" w:space="0" w:color="auto"/>
              <w:bottom w:val="single" w:sz="4" w:space="0" w:color="auto"/>
              <w:right w:val="single" w:sz="4" w:space="0" w:color="auto"/>
            </w:tcBorders>
            <w:vAlign w:val="bottom"/>
            <w:hideMark/>
          </w:tcPr>
          <w:p w:rsidR="000437CE" w:rsidRPr="005E0525" w:rsidRDefault="000437CE" w:rsidP="002D62B9">
            <w:pPr>
              <w:pStyle w:val="tabteksts"/>
              <w:jc w:val="center"/>
            </w:pPr>
            <w:r w:rsidRPr="005E0525">
              <w:t>4,0</w:t>
            </w:r>
          </w:p>
        </w:tc>
        <w:tc>
          <w:tcPr>
            <w:tcW w:w="968" w:type="dxa"/>
            <w:tcBorders>
              <w:top w:val="single" w:sz="4" w:space="0" w:color="auto"/>
              <w:left w:val="single" w:sz="4" w:space="0" w:color="auto"/>
              <w:bottom w:val="single" w:sz="4" w:space="0" w:color="auto"/>
              <w:right w:val="single" w:sz="4" w:space="0" w:color="auto"/>
            </w:tcBorders>
            <w:vAlign w:val="bottom"/>
            <w:hideMark/>
          </w:tcPr>
          <w:p w:rsidR="000437CE" w:rsidRPr="005E0525" w:rsidRDefault="000437CE" w:rsidP="002D62B9">
            <w:pPr>
              <w:pStyle w:val="tabteksts"/>
              <w:jc w:val="center"/>
            </w:pPr>
            <w:r w:rsidRPr="005E0525">
              <w:t>5,0</w:t>
            </w:r>
          </w:p>
        </w:tc>
        <w:tc>
          <w:tcPr>
            <w:tcW w:w="980" w:type="dxa"/>
            <w:tcBorders>
              <w:top w:val="single" w:sz="4" w:space="0" w:color="auto"/>
              <w:left w:val="single" w:sz="4" w:space="0" w:color="auto"/>
              <w:bottom w:val="single" w:sz="4" w:space="0" w:color="auto"/>
              <w:right w:val="single" w:sz="4" w:space="0" w:color="auto"/>
            </w:tcBorders>
            <w:vAlign w:val="bottom"/>
            <w:hideMark/>
          </w:tcPr>
          <w:p w:rsidR="000437CE" w:rsidRPr="005E0525" w:rsidRDefault="000437CE" w:rsidP="002D62B9">
            <w:pPr>
              <w:pStyle w:val="tabteksts"/>
              <w:jc w:val="center"/>
            </w:pPr>
            <w:r w:rsidRPr="005E0525">
              <w:t>5,0</w:t>
            </w:r>
          </w:p>
        </w:tc>
        <w:tc>
          <w:tcPr>
            <w:tcW w:w="987" w:type="dxa"/>
            <w:tcBorders>
              <w:top w:val="single" w:sz="4" w:space="0" w:color="auto"/>
              <w:left w:val="single" w:sz="4" w:space="0" w:color="auto"/>
              <w:bottom w:val="single" w:sz="4" w:space="0" w:color="auto"/>
              <w:right w:val="double" w:sz="4" w:space="0" w:color="auto"/>
            </w:tcBorders>
            <w:vAlign w:val="bottom"/>
            <w:hideMark/>
          </w:tcPr>
          <w:p w:rsidR="000437CE" w:rsidRPr="005E0525" w:rsidRDefault="000437CE" w:rsidP="002D62B9">
            <w:pPr>
              <w:pStyle w:val="tabteksts"/>
              <w:jc w:val="center"/>
            </w:pPr>
            <w:r w:rsidRPr="005E0525">
              <w:t>5,0</w:t>
            </w:r>
          </w:p>
        </w:tc>
      </w:tr>
      <w:tr w:rsidR="000437CE" w:rsidRPr="001C1AC8" w:rsidTr="001878FE">
        <w:trPr>
          <w:jc w:val="center"/>
        </w:trPr>
        <w:tc>
          <w:tcPr>
            <w:tcW w:w="4202" w:type="dxa"/>
            <w:tcBorders>
              <w:top w:val="single" w:sz="4" w:space="0" w:color="auto"/>
              <w:left w:val="double" w:sz="4" w:space="0" w:color="auto"/>
              <w:bottom w:val="single" w:sz="4" w:space="0" w:color="auto"/>
              <w:right w:val="single" w:sz="4" w:space="0" w:color="auto"/>
            </w:tcBorders>
            <w:vAlign w:val="center"/>
            <w:hideMark/>
          </w:tcPr>
          <w:p w:rsidR="000437CE" w:rsidRPr="005E0525" w:rsidRDefault="000437CE" w:rsidP="002D62B9">
            <w:pPr>
              <w:pStyle w:val="tabteksts"/>
            </w:pPr>
            <w:r w:rsidRPr="005E0525">
              <w:t>PCI, (gada vidējā), %</w:t>
            </w:r>
          </w:p>
        </w:tc>
        <w:tc>
          <w:tcPr>
            <w:tcW w:w="961" w:type="dxa"/>
            <w:tcBorders>
              <w:top w:val="single" w:sz="4" w:space="0" w:color="auto"/>
              <w:left w:val="double" w:sz="4" w:space="0" w:color="auto"/>
              <w:bottom w:val="single" w:sz="4" w:space="0" w:color="auto"/>
              <w:right w:val="single" w:sz="4" w:space="0" w:color="auto"/>
            </w:tcBorders>
            <w:vAlign w:val="bottom"/>
            <w:hideMark/>
          </w:tcPr>
          <w:p w:rsidR="000437CE" w:rsidRPr="005E0525" w:rsidRDefault="000437CE" w:rsidP="002D62B9">
            <w:pPr>
              <w:pStyle w:val="tabteksts"/>
              <w:jc w:val="center"/>
            </w:pPr>
            <w:r w:rsidRPr="005E0525">
              <w:t>4,4</w:t>
            </w:r>
          </w:p>
        </w:tc>
        <w:tc>
          <w:tcPr>
            <w:tcW w:w="992" w:type="dxa"/>
            <w:tcBorders>
              <w:top w:val="single" w:sz="4" w:space="0" w:color="auto"/>
              <w:left w:val="single" w:sz="4" w:space="0" w:color="auto"/>
              <w:bottom w:val="single" w:sz="4" w:space="0" w:color="auto"/>
              <w:right w:val="single" w:sz="4" w:space="0" w:color="auto"/>
            </w:tcBorders>
            <w:vAlign w:val="bottom"/>
            <w:hideMark/>
          </w:tcPr>
          <w:p w:rsidR="000437CE" w:rsidRPr="005E0525" w:rsidRDefault="000437CE" w:rsidP="002D62B9">
            <w:pPr>
              <w:pStyle w:val="tabteksts"/>
              <w:jc w:val="center"/>
            </w:pPr>
            <w:r w:rsidRPr="005E0525">
              <w:t>3,0</w:t>
            </w:r>
          </w:p>
        </w:tc>
        <w:tc>
          <w:tcPr>
            <w:tcW w:w="968" w:type="dxa"/>
            <w:tcBorders>
              <w:top w:val="single" w:sz="4" w:space="0" w:color="auto"/>
              <w:left w:val="single" w:sz="4" w:space="0" w:color="auto"/>
              <w:bottom w:val="single" w:sz="4" w:space="0" w:color="auto"/>
              <w:right w:val="single" w:sz="4" w:space="0" w:color="auto"/>
            </w:tcBorders>
            <w:vAlign w:val="bottom"/>
            <w:hideMark/>
          </w:tcPr>
          <w:p w:rsidR="000437CE" w:rsidRPr="005E0525" w:rsidRDefault="000437CE" w:rsidP="002D62B9">
            <w:pPr>
              <w:pStyle w:val="tabteksts"/>
              <w:jc w:val="center"/>
            </w:pPr>
            <w:r w:rsidRPr="005E0525">
              <w:t>2,5</w:t>
            </w:r>
          </w:p>
        </w:tc>
        <w:tc>
          <w:tcPr>
            <w:tcW w:w="980" w:type="dxa"/>
            <w:tcBorders>
              <w:top w:val="single" w:sz="4" w:space="0" w:color="auto"/>
              <w:left w:val="single" w:sz="4" w:space="0" w:color="auto"/>
              <w:bottom w:val="single" w:sz="4" w:space="0" w:color="auto"/>
              <w:right w:val="single" w:sz="4" w:space="0" w:color="auto"/>
            </w:tcBorders>
            <w:vAlign w:val="bottom"/>
            <w:hideMark/>
          </w:tcPr>
          <w:p w:rsidR="000437CE" w:rsidRPr="005E0525" w:rsidRDefault="000437CE" w:rsidP="002D62B9">
            <w:pPr>
              <w:pStyle w:val="tabteksts"/>
              <w:jc w:val="center"/>
            </w:pPr>
            <w:r w:rsidRPr="005E0525">
              <w:t>2,5</w:t>
            </w:r>
          </w:p>
        </w:tc>
        <w:tc>
          <w:tcPr>
            <w:tcW w:w="987" w:type="dxa"/>
            <w:tcBorders>
              <w:top w:val="single" w:sz="4" w:space="0" w:color="auto"/>
              <w:left w:val="single" w:sz="4" w:space="0" w:color="auto"/>
              <w:bottom w:val="single" w:sz="4" w:space="0" w:color="auto"/>
              <w:right w:val="double" w:sz="4" w:space="0" w:color="auto"/>
            </w:tcBorders>
            <w:vAlign w:val="bottom"/>
            <w:hideMark/>
          </w:tcPr>
          <w:p w:rsidR="000437CE" w:rsidRPr="005E0525" w:rsidRDefault="000437CE" w:rsidP="002D62B9">
            <w:pPr>
              <w:pStyle w:val="tabteksts"/>
              <w:jc w:val="center"/>
            </w:pPr>
            <w:r w:rsidRPr="005E0525">
              <w:t>2,5</w:t>
            </w:r>
          </w:p>
        </w:tc>
      </w:tr>
      <w:tr w:rsidR="000437CE" w:rsidRPr="001C1AC8" w:rsidTr="001878FE">
        <w:trPr>
          <w:jc w:val="center"/>
        </w:trPr>
        <w:tc>
          <w:tcPr>
            <w:tcW w:w="4202" w:type="dxa"/>
            <w:tcBorders>
              <w:top w:val="single" w:sz="4" w:space="0" w:color="auto"/>
              <w:left w:val="double" w:sz="4" w:space="0" w:color="auto"/>
              <w:bottom w:val="single" w:sz="4" w:space="0" w:color="auto"/>
              <w:right w:val="single" w:sz="4" w:space="0" w:color="auto"/>
            </w:tcBorders>
            <w:vAlign w:val="center"/>
            <w:hideMark/>
          </w:tcPr>
          <w:p w:rsidR="000437CE" w:rsidRPr="005E0525" w:rsidRDefault="000437CE" w:rsidP="002D62B9">
            <w:pPr>
              <w:pStyle w:val="tabteksts"/>
            </w:pPr>
            <w:r w:rsidRPr="005E0525">
              <w:t>Vidējā darba samaksa tautsaimniecība, latos</w:t>
            </w:r>
          </w:p>
        </w:tc>
        <w:tc>
          <w:tcPr>
            <w:tcW w:w="961" w:type="dxa"/>
            <w:tcBorders>
              <w:top w:val="single" w:sz="4" w:space="0" w:color="auto"/>
              <w:left w:val="double" w:sz="4" w:space="0" w:color="auto"/>
              <w:bottom w:val="single" w:sz="4" w:space="0" w:color="auto"/>
              <w:right w:val="single" w:sz="4" w:space="0" w:color="auto"/>
            </w:tcBorders>
            <w:vAlign w:val="bottom"/>
            <w:hideMark/>
          </w:tcPr>
          <w:p w:rsidR="000437CE" w:rsidRPr="005E0525" w:rsidRDefault="000437CE" w:rsidP="002D62B9">
            <w:pPr>
              <w:pStyle w:val="tabteksts"/>
              <w:jc w:val="center"/>
            </w:pPr>
            <w:r w:rsidRPr="005E0525">
              <w:t>464</w:t>
            </w:r>
          </w:p>
        </w:tc>
        <w:tc>
          <w:tcPr>
            <w:tcW w:w="992" w:type="dxa"/>
            <w:tcBorders>
              <w:top w:val="single" w:sz="4" w:space="0" w:color="auto"/>
              <w:left w:val="single" w:sz="4" w:space="0" w:color="auto"/>
              <w:bottom w:val="single" w:sz="4" w:space="0" w:color="auto"/>
              <w:right w:val="single" w:sz="4" w:space="0" w:color="auto"/>
            </w:tcBorders>
            <w:vAlign w:val="bottom"/>
            <w:hideMark/>
          </w:tcPr>
          <w:p w:rsidR="000437CE" w:rsidRPr="005E0525" w:rsidRDefault="000437CE" w:rsidP="002D62B9">
            <w:pPr>
              <w:pStyle w:val="tabteksts"/>
              <w:jc w:val="center"/>
            </w:pPr>
            <w:r w:rsidRPr="005E0525">
              <w:t>483</w:t>
            </w:r>
          </w:p>
        </w:tc>
        <w:tc>
          <w:tcPr>
            <w:tcW w:w="968" w:type="dxa"/>
            <w:tcBorders>
              <w:top w:val="single" w:sz="4" w:space="0" w:color="auto"/>
              <w:left w:val="single" w:sz="4" w:space="0" w:color="auto"/>
              <w:bottom w:val="single" w:sz="4" w:space="0" w:color="auto"/>
              <w:right w:val="single" w:sz="4" w:space="0" w:color="auto"/>
            </w:tcBorders>
            <w:vAlign w:val="bottom"/>
            <w:hideMark/>
          </w:tcPr>
          <w:p w:rsidR="000437CE" w:rsidRPr="005E0525" w:rsidRDefault="000437CE" w:rsidP="002D62B9">
            <w:pPr>
              <w:pStyle w:val="tabteksts"/>
              <w:jc w:val="center"/>
            </w:pPr>
            <w:r w:rsidRPr="005E0525">
              <w:t>506</w:t>
            </w:r>
          </w:p>
        </w:tc>
        <w:tc>
          <w:tcPr>
            <w:tcW w:w="980" w:type="dxa"/>
            <w:tcBorders>
              <w:top w:val="single" w:sz="4" w:space="0" w:color="auto"/>
              <w:left w:val="single" w:sz="4" w:space="0" w:color="auto"/>
              <w:bottom w:val="single" w:sz="4" w:space="0" w:color="auto"/>
              <w:right w:val="single" w:sz="4" w:space="0" w:color="auto"/>
            </w:tcBorders>
            <w:vAlign w:val="bottom"/>
            <w:hideMark/>
          </w:tcPr>
          <w:p w:rsidR="000437CE" w:rsidRPr="005E0525" w:rsidRDefault="000437CE" w:rsidP="002D62B9">
            <w:pPr>
              <w:pStyle w:val="tabteksts"/>
              <w:jc w:val="center"/>
            </w:pPr>
            <w:r w:rsidRPr="005E0525">
              <w:t>532</w:t>
            </w:r>
          </w:p>
        </w:tc>
        <w:tc>
          <w:tcPr>
            <w:tcW w:w="987" w:type="dxa"/>
            <w:tcBorders>
              <w:top w:val="single" w:sz="4" w:space="0" w:color="auto"/>
              <w:left w:val="single" w:sz="4" w:space="0" w:color="auto"/>
              <w:bottom w:val="single" w:sz="4" w:space="0" w:color="auto"/>
              <w:right w:val="double" w:sz="4" w:space="0" w:color="auto"/>
            </w:tcBorders>
            <w:vAlign w:val="bottom"/>
            <w:hideMark/>
          </w:tcPr>
          <w:p w:rsidR="000437CE" w:rsidRPr="005E0525" w:rsidRDefault="000437CE" w:rsidP="002D62B9">
            <w:pPr>
              <w:pStyle w:val="tabteksts"/>
              <w:jc w:val="center"/>
            </w:pPr>
            <w:r w:rsidRPr="005E0525">
              <w:t>563</w:t>
            </w:r>
          </w:p>
        </w:tc>
      </w:tr>
      <w:tr w:rsidR="000437CE" w:rsidRPr="001C1AC8" w:rsidTr="001878FE">
        <w:trPr>
          <w:jc w:val="center"/>
        </w:trPr>
        <w:tc>
          <w:tcPr>
            <w:tcW w:w="4202" w:type="dxa"/>
            <w:tcBorders>
              <w:top w:val="single" w:sz="4" w:space="0" w:color="auto"/>
              <w:left w:val="double" w:sz="4" w:space="0" w:color="auto"/>
              <w:bottom w:val="single" w:sz="4" w:space="0" w:color="auto"/>
              <w:right w:val="single" w:sz="4" w:space="0" w:color="auto"/>
            </w:tcBorders>
            <w:vAlign w:val="center"/>
            <w:hideMark/>
          </w:tcPr>
          <w:p w:rsidR="000437CE" w:rsidRPr="005E0525" w:rsidRDefault="000437CE" w:rsidP="002D62B9">
            <w:pPr>
              <w:pStyle w:val="tabteksts"/>
              <w:ind w:left="457"/>
            </w:pPr>
            <w:r w:rsidRPr="005E0525">
              <w:t>Pieaugums faktiskajās cenās, %</w:t>
            </w:r>
          </w:p>
        </w:tc>
        <w:tc>
          <w:tcPr>
            <w:tcW w:w="961" w:type="dxa"/>
            <w:tcBorders>
              <w:top w:val="single" w:sz="4" w:space="0" w:color="auto"/>
              <w:left w:val="double" w:sz="4" w:space="0" w:color="auto"/>
              <w:bottom w:val="single" w:sz="4" w:space="0" w:color="auto"/>
              <w:right w:val="single" w:sz="4" w:space="0" w:color="auto"/>
            </w:tcBorders>
            <w:vAlign w:val="bottom"/>
            <w:hideMark/>
          </w:tcPr>
          <w:p w:rsidR="000437CE" w:rsidRPr="005E0525" w:rsidRDefault="000437CE" w:rsidP="002D62B9">
            <w:pPr>
              <w:pStyle w:val="tabteksts"/>
              <w:jc w:val="center"/>
            </w:pPr>
            <w:r w:rsidRPr="005E0525">
              <w:t>4,3</w:t>
            </w:r>
          </w:p>
        </w:tc>
        <w:tc>
          <w:tcPr>
            <w:tcW w:w="992" w:type="dxa"/>
            <w:tcBorders>
              <w:top w:val="single" w:sz="4" w:space="0" w:color="auto"/>
              <w:left w:val="single" w:sz="4" w:space="0" w:color="auto"/>
              <w:bottom w:val="single" w:sz="4" w:space="0" w:color="auto"/>
              <w:right w:val="single" w:sz="4" w:space="0" w:color="auto"/>
            </w:tcBorders>
            <w:vAlign w:val="bottom"/>
            <w:hideMark/>
          </w:tcPr>
          <w:p w:rsidR="000437CE" w:rsidRPr="005E0525" w:rsidRDefault="000437CE" w:rsidP="002D62B9">
            <w:pPr>
              <w:pStyle w:val="tabteksts"/>
              <w:jc w:val="center"/>
            </w:pPr>
            <w:r w:rsidRPr="005E0525">
              <w:t>4,1</w:t>
            </w:r>
          </w:p>
        </w:tc>
        <w:tc>
          <w:tcPr>
            <w:tcW w:w="968" w:type="dxa"/>
            <w:tcBorders>
              <w:top w:val="single" w:sz="4" w:space="0" w:color="auto"/>
              <w:left w:val="single" w:sz="4" w:space="0" w:color="auto"/>
              <w:bottom w:val="single" w:sz="4" w:space="0" w:color="auto"/>
              <w:right w:val="single" w:sz="4" w:space="0" w:color="auto"/>
            </w:tcBorders>
            <w:vAlign w:val="bottom"/>
            <w:hideMark/>
          </w:tcPr>
          <w:p w:rsidR="000437CE" w:rsidRPr="005E0525" w:rsidRDefault="000437CE" w:rsidP="002D62B9">
            <w:pPr>
              <w:pStyle w:val="tabteksts"/>
              <w:jc w:val="center"/>
            </w:pPr>
            <w:r w:rsidRPr="005E0525">
              <w:t>4,7</w:t>
            </w:r>
          </w:p>
        </w:tc>
        <w:tc>
          <w:tcPr>
            <w:tcW w:w="980" w:type="dxa"/>
            <w:tcBorders>
              <w:top w:val="single" w:sz="4" w:space="0" w:color="auto"/>
              <w:left w:val="single" w:sz="4" w:space="0" w:color="auto"/>
              <w:bottom w:val="single" w:sz="4" w:space="0" w:color="auto"/>
              <w:right w:val="single" w:sz="4" w:space="0" w:color="auto"/>
            </w:tcBorders>
            <w:vAlign w:val="bottom"/>
            <w:hideMark/>
          </w:tcPr>
          <w:p w:rsidR="000437CE" w:rsidRPr="005E0525" w:rsidRDefault="000437CE" w:rsidP="002D62B9">
            <w:pPr>
              <w:pStyle w:val="tabteksts"/>
              <w:jc w:val="center"/>
            </w:pPr>
            <w:r w:rsidRPr="005E0525">
              <w:t>5,3</w:t>
            </w:r>
          </w:p>
        </w:tc>
        <w:tc>
          <w:tcPr>
            <w:tcW w:w="987" w:type="dxa"/>
            <w:tcBorders>
              <w:top w:val="single" w:sz="4" w:space="0" w:color="auto"/>
              <w:left w:val="single" w:sz="4" w:space="0" w:color="auto"/>
              <w:bottom w:val="single" w:sz="4" w:space="0" w:color="auto"/>
              <w:right w:val="double" w:sz="4" w:space="0" w:color="auto"/>
            </w:tcBorders>
            <w:vAlign w:val="bottom"/>
            <w:hideMark/>
          </w:tcPr>
          <w:p w:rsidR="000437CE" w:rsidRPr="005E0525" w:rsidRDefault="000437CE" w:rsidP="002D62B9">
            <w:pPr>
              <w:pStyle w:val="tabteksts"/>
              <w:jc w:val="center"/>
            </w:pPr>
            <w:r w:rsidRPr="005E0525">
              <w:t>5,8</w:t>
            </w:r>
          </w:p>
        </w:tc>
      </w:tr>
      <w:tr w:rsidR="000437CE" w:rsidRPr="001C1AC8" w:rsidTr="001878FE">
        <w:trPr>
          <w:jc w:val="center"/>
        </w:trPr>
        <w:tc>
          <w:tcPr>
            <w:tcW w:w="4202" w:type="dxa"/>
            <w:tcBorders>
              <w:top w:val="single" w:sz="4" w:space="0" w:color="auto"/>
              <w:left w:val="double" w:sz="4" w:space="0" w:color="auto"/>
              <w:bottom w:val="single" w:sz="4" w:space="0" w:color="auto"/>
              <w:right w:val="single" w:sz="4" w:space="0" w:color="auto"/>
            </w:tcBorders>
            <w:vAlign w:val="center"/>
            <w:hideMark/>
          </w:tcPr>
          <w:p w:rsidR="000437CE" w:rsidRPr="005E0525" w:rsidRDefault="000437CE" w:rsidP="002D62B9">
            <w:pPr>
              <w:pStyle w:val="tabteksts"/>
            </w:pPr>
            <w:r w:rsidRPr="005E0525">
              <w:t xml:space="preserve">Nodarbinātība, tūkst. cilvēku </w:t>
            </w:r>
          </w:p>
        </w:tc>
        <w:tc>
          <w:tcPr>
            <w:tcW w:w="961" w:type="dxa"/>
            <w:tcBorders>
              <w:top w:val="single" w:sz="4" w:space="0" w:color="auto"/>
              <w:left w:val="double" w:sz="4" w:space="0" w:color="auto"/>
              <w:bottom w:val="single" w:sz="4" w:space="0" w:color="auto"/>
              <w:right w:val="single" w:sz="4" w:space="0" w:color="auto"/>
            </w:tcBorders>
            <w:vAlign w:val="bottom"/>
            <w:hideMark/>
          </w:tcPr>
          <w:p w:rsidR="000437CE" w:rsidRPr="005E0525" w:rsidRDefault="000437CE" w:rsidP="002D62B9">
            <w:pPr>
              <w:pStyle w:val="tabteksts"/>
              <w:jc w:val="center"/>
            </w:pPr>
            <w:r w:rsidRPr="005E0525">
              <w:t>970,5</w:t>
            </w:r>
          </w:p>
        </w:tc>
        <w:tc>
          <w:tcPr>
            <w:tcW w:w="992" w:type="dxa"/>
            <w:tcBorders>
              <w:top w:val="single" w:sz="4" w:space="0" w:color="auto"/>
              <w:left w:val="single" w:sz="4" w:space="0" w:color="auto"/>
              <w:bottom w:val="single" w:sz="4" w:space="0" w:color="auto"/>
              <w:right w:val="single" w:sz="4" w:space="0" w:color="auto"/>
            </w:tcBorders>
            <w:vAlign w:val="bottom"/>
            <w:hideMark/>
          </w:tcPr>
          <w:p w:rsidR="000437CE" w:rsidRPr="005E0525" w:rsidRDefault="000437CE" w:rsidP="002D62B9">
            <w:pPr>
              <w:pStyle w:val="tabteksts"/>
              <w:jc w:val="center"/>
            </w:pPr>
            <w:r w:rsidRPr="005E0525">
              <w:t>983,0</w:t>
            </w:r>
          </w:p>
        </w:tc>
        <w:tc>
          <w:tcPr>
            <w:tcW w:w="968" w:type="dxa"/>
            <w:tcBorders>
              <w:top w:val="single" w:sz="4" w:space="0" w:color="auto"/>
              <w:left w:val="single" w:sz="4" w:space="0" w:color="auto"/>
              <w:bottom w:val="single" w:sz="4" w:space="0" w:color="auto"/>
              <w:right w:val="single" w:sz="4" w:space="0" w:color="auto"/>
            </w:tcBorders>
            <w:vAlign w:val="bottom"/>
            <w:hideMark/>
          </w:tcPr>
          <w:p w:rsidR="000437CE" w:rsidRPr="005E0525" w:rsidRDefault="000437CE" w:rsidP="002D62B9">
            <w:pPr>
              <w:pStyle w:val="tabteksts"/>
              <w:jc w:val="center"/>
            </w:pPr>
            <w:r w:rsidRPr="005E0525">
              <w:t>1000,9</w:t>
            </w:r>
          </w:p>
        </w:tc>
        <w:tc>
          <w:tcPr>
            <w:tcW w:w="980" w:type="dxa"/>
            <w:tcBorders>
              <w:top w:val="single" w:sz="4" w:space="0" w:color="auto"/>
              <w:left w:val="single" w:sz="4" w:space="0" w:color="auto"/>
              <w:bottom w:val="single" w:sz="4" w:space="0" w:color="auto"/>
              <w:right w:val="single" w:sz="4" w:space="0" w:color="auto"/>
            </w:tcBorders>
            <w:vAlign w:val="bottom"/>
            <w:hideMark/>
          </w:tcPr>
          <w:p w:rsidR="000437CE" w:rsidRPr="005E0525" w:rsidRDefault="000437CE" w:rsidP="002D62B9">
            <w:pPr>
              <w:pStyle w:val="tabteksts"/>
              <w:jc w:val="center"/>
            </w:pPr>
            <w:r w:rsidRPr="005E0525">
              <w:t>1019,3</w:t>
            </w:r>
          </w:p>
        </w:tc>
        <w:tc>
          <w:tcPr>
            <w:tcW w:w="987" w:type="dxa"/>
            <w:tcBorders>
              <w:top w:val="single" w:sz="4" w:space="0" w:color="auto"/>
              <w:left w:val="single" w:sz="4" w:space="0" w:color="auto"/>
              <w:bottom w:val="single" w:sz="4" w:space="0" w:color="auto"/>
              <w:right w:val="double" w:sz="4" w:space="0" w:color="auto"/>
            </w:tcBorders>
            <w:vAlign w:val="bottom"/>
            <w:hideMark/>
          </w:tcPr>
          <w:p w:rsidR="000437CE" w:rsidRPr="005E0525" w:rsidRDefault="000437CE" w:rsidP="002D62B9">
            <w:pPr>
              <w:pStyle w:val="tabteksts"/>
              <w:jc w:val="center"/>
            </w:pPr>
            <w:r w:rsidRPr="005E0525">
              <w:t>1038,0</w:t>
            </w:r>
          </w:p>
        </w:tc>
      </w:tr>
      <w:tr w:rsidR="000437CE" w:rsidRPr="001C1AC8" w:rsidTr="001878FE">
        <w:trPr>
          <w:jc w:val="center"/>
        </w:trPr>
        <w:tc>
          <w:tcPr>
            <w:tcW w:w="4202" w:type="dxa"/>
            <w:tcBorders>
              <w:top w:val="single" w:sz="4" w:space="0" w:color="auto"/>
              <w:left w:val="double" w:sz="4" w:space="0" w:color="auto"/>
              <w:bottom w:val="single" w:sz="4" w:space="0" w:color="auto"/>
              <w:right w:val="single" w:sz="4" w:space="0" w:color="auto"/>
            </w:tcBorders>
            <w:vAlign w:val="center"/>
            <w:hideMark/>
          </w:tcPr>
          <w:p w:rsidR="000437CE" w:rsidRPr="005E0525" w:rsidRDefault="000437CE" w:rsidP="002D62B9">
            <w:pPr>
              <w:pStyle w:val="tabteksts"/>
              <w:ind w:left="457"/>
            </w:pPr>
            <w:r w:rsidRPr="005E0525">
              <w:t>Pieaugums, %</w:t>
            </w:r>
          </w:p>
        </w:tc>
        <w:tc>
          <w:tcPr>
            <w:tcW w:w="961" w:type="dxa"/>
            <w:tcBorders>
              <w:top w:val="single" w:sz="4" w:space="0" w:color="auto"/>
              <w:left w:val="double" w:sz="4" w:space="0" w:color="auto"/>
              <w:bottom w:val="single" w:sz="4" w:space="0" w:color="auto"/>
              <w:right w:val="single" w:sz="4" w:space="0" w:color="auto"/>
            </w:tcBorders>
            <w:vAlign w:val="bottom"/>
            <w:hideMark/>
          </w:tcPr>
          <w:p w:rsidR="000437CE" w:rsidRPr="005E0525" w:rsidRDefault="000437CE" w:rsidP="002D62B9">
            <w:pPr>
              <w:pStyle w:val="tabteksts"/>
              <w:jc w:val="center"/>
            </w:pPr>
            <w:r w:rsidRPr="005E0525">
              <w:t>3,1</w:t>
            </w:r>
          </w:p>
        </w:tc>
        <w:tc>
          <w:tcPr>
            <w:tcW w:w="992" w:type="dxa"/>
            <w:tcBorders>
              <w:top w:val="single" w:sz="4" w:space="0" w:color="auto"/>
              <w:left w:val="single" w:sz="4" w:space="0" w:color="auto"/>
              <w:bottom w:val="single" w:sz="4" w:space="0" w:color="auto"/>
              <w:right w:val="single" w:sz="4" w:space="0" w:color="auto"/>
            </w:tcBorders>
            <w:vAlign w:val="bottom"/>
            <w:hideMark/>
          </w:tcPr>
          <w:p w:rsidR="000437CE" w:rsidRPr="005E0525" w:rsidRDefault="000437CE" w:rsidP="002D62B9">
            <w:pPr>
              <w:pStyle w:val="tabteksts"/>
              <w:jc w:val="center"/>
            </w:pPr>
            <w:r w:rsidRPr="005E0525">
              <w:t>1,3</w:t>
            </w:r>
          </w:p>
        </w:tc>
        <w:tc>
          <w:tcPr>
            <w:tcW w:w="968" w:type="dxa"/>
            <w:tcBorders>
              <w:top w:val="single" w:sz="4" w:space="0" w:color="auto"/>
              <w:left w:val="single" w:sz="4" w:space="0" w:color="auto"/>
              <w:bottom w:val="single" w:sz="4" w:space="0" w:color="auto"/>
              <w:right w:val="single" w:sz="4" w:space="0" w:color="auto"/>
            </w:tcBorders>
            <w:vAlign w:val="bottom"/>
            <w:hideMark/>
          </w:tcPr>
          <w:p w:rsidR="000437CE" w:rsidRPr="005E0525" w:rsidRDefault="000437CE" w:rsidP="002D62B9">
            <w:pPr>
              <w:pStyle w:val="tabteksts"/>
              <w:jc w:val="center"/>
            </w:pPr>
            <w:r w:rsidRPr="005E0525">
              <w:t>1,8</w:t>
            </w:r>
          </w:p>
        </w:tc>
        <w:tc>
          <w:tcPr>
            <w:tcW w:w="980" w:type="dxa"/>
            <w:tcBorders>
              <w:top w:val="single" w:sz="4" w:space="0" w:color="auto"/>
              <w:left w:val="single" w:sz="4" w:space="0" w:color="auto"/>
              <w:bottom w:val="single" w:sz="4" w:space="0" w:color="auto"/>
              <w:right w:val="single" w:sz="4" w:space="0" w:color="auto"/>
            </w:tcBorders>
            <w:vAlign w:val="bottom"/>
            <w:hideMark/>
          </w:tcPr>
          <w:p w:rsidR="000437CE" w:rsidRPr="005E0525" w:rsidRDefault="000437CE" w:rsidP="002D62B9">
            <w:pPr>
              <w:pStyle w:val="tabteksts"/>
              <w:jc w:val="center"/>
            </w:pPr>
            <w:r w:rsidRPr="005E0525">
              <w:t>1,8</w:t>
            </w:r>
          </w:p>
        </w:tc>
        <w:tc>
          <w:tcPr>
            <w:tcW w:w="987" w:type="dxa"/>
            <w:tcBorders>
              <w:top w:val="single" w:sz="4" w:space="0" w:color="auto"/>
              <w:left w:val="single" w:sz="4" w:space="0" w:color="auto"/>
              <w:bottom w:val="single" w:sz="4" w:space="0" w:color="auto"/>
              <w:right w:val="double" w:sz="4" w:space="0" w:color="auto"/>
            </w:tcBorders>
            <w:vAlign w:val="bottom"/>
            <w:hideMark/>
          </w:tcPr>
          <w:p w:rsidR="000437CE" w:rsidRPr="005E0525" w:rsidRDefault="000437CE" w:rsidP="002D62B9">
            <w:pPr>
              <w:pStyle w:val="tabteksts"/>
              <w:jc w:val="center"/>
            </w:pPr>
            <w:r w:rsidRPr="005E0525">
              <w:t>1,8</w:t>
            </w:r>
          </w:p>
        </w:tc>
      </w:tr>
      <w:tr w:rsidR="000437CE" w:rsidRPr="001C1AC8" w:rsidTr="001878FE">
        <w:trPr>
          <w:jc w:val="center"/>
        </w:trPr>
        <w:tc>
          <w:tcPr>
            <w:tcW w:w="4202" w:type="dxa"/>
            <w:tcBorders>
              <w:top w:val="single" w:sz="4" w:space="0" w:color="auto"/>
              <w:left w:val="double" w:sz="4" w:space="0" w:color="auto"/>
              <w:bottom w:val="single" w:sz="4" w:space="0" w:color="auto"/>
              <w:right w:val="single" w:sz="4" w:space="0" w:color="auto"/>
            </w:tcBorders>
            <w:vAlign w:val="center"/>
            <w:hideMark/>
          </w:tcPr>
          <w:p w:rsidR="000437CE" w:rsidRPr="005E0525" w:rsidRDefault="000437CE" w:rsidP="002D62B9">
            <w:pPr>
              <w:pStyle w:val="tabteksts"/>
            </w:pPr>
            <w:r w:rsidRPr="005E0525">
              <w:t>Eksporta pieauguma tempi faktiskajās cenās, %</w:t>
            </w:r>
          </w:p>
        </w:tc>
        <w:tc>
          <w:tcPr>
            <w:tcW w:w="961" w:type="dxa"/>
            <w:tcBorders>
              <w:top w:val="single" w:sz="4" w:space="0" w:color="auto"/>
              <w:left w:val="double" w:sz="4" w:space="0" w:color="auto"/>
              <w:bottom w:val="single" w:sz="4" w:space="0" w:color="auto"/>
              <w:right w:val="single" w:sz="4" w:space="0" w:color="auto"/>
            </w:tcBorders>
            <w:vAlign w:val="bottom"/>
            <w:hideMark/>
          </w:tcPr>
          <w:p w:rsidR="000437CE" w:rsidRPr="005E0525" w:rsidRDefault="000437CE" w:rsidP="002D62B9">
            <w:pPr>
              <w:pStyle w:val="tabteksts"/>
              <w:jc w:val="center"/>
            </w:pPr>
            <w:r w:rsidRPr="005E0525">
              <w:t>22,6</w:t>
            </w:r>
          </w:p>
        </w:tc>
        <w:tc>
          <w:tcPr>
            <w:tcW w:w="992" w:type="dxa"/>
            <w:tcBorders>
              <w:top w:val="single" w:sz="4" w:space="0" w:color="auto"/>
              <w:left w:val="single" w:sz="4" w:space="0" w:color="auto"/>
              <w:bottom w:val="single" w:sz="4" w:space="0" w:color="auto"/>
              <w:right w:val="single" w:sz="4" w:space="0" w:color="auto"/>
            </w:tcBorders>
            <w:vAlign w:val="bottom"/>
            <w:hideMark/>
          </w:tcPr>
          <w:p w:rsidR="000437CE" w:rsidRPr="005E0525" w:rsidRDefault="000437CE" w:rsidP="002D62B9">
            <w:pPr>
              <w:pStyle w:val="tabteksts"/>
              <w:jc w:val="center"/>
            </w:pPr>
            <w:r w:rsidRPr="005E0525">
              <w:t>7,8</w:t>
            </w:r>
          </w:p>
        </w:tc>
        <w:tc>
          <w:tcPr>
            <w:tcW w:w="968" w:type="dxa"/>
            <w:tcBorders>
              <w:top w:val="single" w:sz="4" w:space="0" w:color="auto"/>
              <w:left w:val="single" w:sz="4" w:space="0" w:color="auto"/>
              <w:bottom w:val="single" w:sz="4" w:space="0" w:color="auto"/>
              <w:right w:val="single" w:sz="4" w:space="0" w:color="auto"/>
            </w:tcBorders>
            <w:vAlign w:val="bottom"/>
            <w:hideMark/>
          </w:tcPr>
          <w:p w:rsidR="000437CE" w:rsidRPr="005E0525" w:rsidRDefault="000437CE" w:rsidP="002D62B9">
            <w:pPr>
              <w:pStyle w:val="tabteksts"/>
              <w:jc w:val="center"/>
            </w:pPr>
            <w:r w:rsidRPr="005E0525">
              <w:t>8,0</w:t>
            </w:r>
          </w:p>
        </w:tc>
        <w:tc>
          <w:tcPr>
            <w:tcW w:w="980" w:type="dxa"/>
            <w:tcBorders>
              <w:top w:val="single" w:sz="4" w:space="0" w:color="auto"/>
              <w:left w:val="single" w:sz="4" w:space="0" w:color="auto"/>
              <w:bottom w:val="single" w:sz="4" w:space="0" w:color="auto"/>
              <w:right w:val="single" w:sz="4" w:space="0" w:color="auto"/>
            </w:tcBorders>
            <w:vAlign w:val="bottom"/>
            <w:hideMark/>
          </w:tcPr>
          <w:p w:rsidR="000437CE" w:rsidRPr="005E0525" w:rsidRDefault="000437CE" w:rsidP="002D62B9">
            <w:pPr>
              <w:pStyle w:val="tabteksts"/>
              <w:jc w:val="center"/>
            </w:pPr>
            <w:r w:rsidRPr="005E0525">
              <w:t>7,9</w:t>
            </w:r>
          </w:p>
        </w:tc>
        <w:tc>
          <w:tcPr>
            <w:tcW w:w="987" w:type="dxa"/>
            <w:tcBorders>
              <w:top w:val="single" w:sz="4" w:space="0" w:color="auto"/>
              <w:left w:val="single" w:sz="4" w:space="0" w:color="auto"/>
              <w:bottom w:val="single" w:sz="4" w:space="0" w:color="auto"/>
              <w:right w:val="double" w:sz="4" w:space="0" w:color="auto"/>
            </w:tcBorders>
            <w:vAlign w:val="bottom"/>
            <w:hideMark/>
          </w:tcPr>
          <w:p w:rsidR="000437CE" w:rsidRPr="005E0525" w:rsidRDefault="000437CE" w:rsidP="002D62B9">
            <w:pPr>
              <w:pStyle w:val="tabteksts"/>
              <w:jc w:val="center"/>
            </w:pPr>
            <w:r w:rsidRPr="005E0525">
              <w:t>7,8</w:t>
            </w:r>
          </w:p>
        </w:tc>
      </w:tr>
      <w:tr w:rsidR="000437CE" w:rsidRPr="001C1AC8" w:rsidTr="001878FE">
        <w:trPr>
          <w:jc w:val="center"/>
        </w:trPr>
        <w:tc>
          <w:tcPr>
            <w:tcW w:w="4202" w:type="dxa"/>
            <w:tcBorders>
              <w:top w:val="single" w:sz="4" w:space="0" w:color="auto"/>
              <w:left w:val="double" w:sz="4" w:space="0" w:color="auto"/>
              <w:bottom w:val="double" w:sz="4" w:space="0" w:color="auto"/>
              <w:right w:val="single" w:sz="4" w:space="0" w:color="auto"/>
            </w:tcBorders>
            <w:vAlign w:val="center"/>
            <w:hideMark/>
          </w:tcPr>
          <w:p w:rsidR="000437CE" w:rsidRPr="005E0525" w:rsidRDefault="000437CE" w:rsidP="002D62B9">
            <w:pPr>
              <w:pStyle w:val="tabteksts"/>
            </w:pPr>
            <w:r w:rsidRPr="005E0525">
              <w:t>Importa pieauguma tempi faktiskajās cenās, %</w:t>
            </w:r>
          </w:p>
        </w:tc>
        <w:tc>
          <w:tcPr>
            <w:tcW w:w="961" w:type="dxa"/>
            <w:tcBorders>
              <w:top w:val="single" w:sz="4" w:space="0" w:color="auto"/>
              <w:left w:val="double" w:sz="4" w:space="0" w:color="auto"/>
              <w:bottom w:val="double" w:sz="4" w:space="0" w:color="auto"/>
              <w:right w:val="single" w:sz="4" w:space="0" w:color="auto"/>
            </w:tcBorders>
            <w:vAlign w:val="bottom"/>
            <w:hideMark/>
          </w:tcPr>
          <w:p w:rsidR="000437CE" w:rsidRPr="005E0525" w:rsidRDefault="000437CE" w:rsidP="002D62B9">
            <w:pPr>
              <w:pStyle w:val="tabteksts"/>
              <w:jc w:val="center"/>
            </w:pPr>
            <w:r w:rsidRPr="005E0525">
              <w:t>27,2</w:t>
            </w:r>
          </w:p>
        </w:tc>
        <w:tc>
          <w:tcPr>
            <w:tcW w:w="992" w:type="dxa"/>
            <w:tcBorders>
              <w:top w:val="single" w:sz="4" w:space="0" w:color="auto"/>
              <w:left w:val="single" w:sz="4" w:space="0" w:color="auto"/>
              <w:bottom w:val="double" w:sz="4" w:space="0" w:color="auto"/>
              <w:right w:val="single" w:sz="4" w:space="0" w:color="auto"/>
            </w:tcBorders>
            <w:vAlign w:val="bottom"/>
            <w:hideMark/>
          </w:tcPr>
          <w:p w:rsidR="000437CE" w:rsidRPr="005E0525" w:rsidRDefault="000437CE" w:rsidP="002D62B9">
            <w:pPr>
              <w:pStyle w:val="tabteksts"/>
              <w:jc w:val="center"/>
            </w:pPr>
            <w:r w:rsidRPr="005E0525">
              <w:t>9,2</w:t>
            </w:r>
          </w:p>
        </w:tc>
        <w:tc>
          <w:tcPr>
            <w:tcW w:w="968" w:type="dxa"/>
            <w:tcBorders>
              <w:top w:val="single" w:sz="4" w:space="0" w:color="auto"/>
              <w:left w:val="single" w:sz="4" w:space="0" w:color="auto"/>
              <w:bottom w:val="double" w:sz="4" w:space="0" w:color="auto"/>
              <w:right w:val="single" w:sz="4" w:space="0" w:color="auto"/>
            </w:tcBorders>
            <w:vAlign w:val="bottom"/>
            <w:hideMark/>
          </w:tcPr>
          <w:p w:rsidR="000437CE" w:rsidRPr="005E0525" w:rsidRDefault="000437CE" w:rsidP="002D62B9">
            <w:pPr>
              <w:pStyle w:val="tabteksts"/>
              <w:jc w:val="center"/>
            </w:pPr>
            <w:r w:rsidRPr="005E0525">
              <w:t>8,4</w:t>
            </w:r>
          </w:p>
        </w:tc>
        <w:tc>
          <w:tcPr>
            <w:tcW w:w="980" w:type="dxa"/>
            <w:tcBorders>
              <w:top w:val="single" w:sz="4" w:space="0" w:color="auto"/>
              <w:left w:val="single" w:sz="4" w:space="0" w:color="auto"/>
              <w:bottom w:val="double" w:sz="4" w:space="0" w:color="auto"/>
              <w:right w:val="single" w:sz="4" w:space="0" w:color="auto"/>
            </w:tcBorders>
            <w:vAlign w:val="bottom"/>
            <w:hideMark/>
          </w:tcPr>
          <w:p w:rsidR="000437CE" w:rsidRPr="005E0525" w:rsidRDefault="000437CE" w:rsidP="002D62B9">
            <w:pPr>
              <w:pStyle w:val="tabteksts"/>
              <w:jc w:val="center"/>
            </w:pPr>
            <w:r w:rsidRPr="005E0525">
              <w:t>8,2</w:t>
            </w:r>
          </w:p>
        </w:tc>
        <w:tc>
          <w:tcPr>
            <w:tcW w:w="987" w:type="dxa"/>
            <w:tcBorders>
              <w:top w:val="single" w:sz="4" w:space="0" w:color="auto"/>
              <w:left w:val="single" w:sz="4" w:space="0" w:color="auto"/>
              <w:bottom w:val="double" w:sz="4" w:space="0" w:color="auto"/>
              <w:right w:val="double" w:sz="4" w:space="0" w:color="auto"/>
            </w:tcBorders>
            <w:vAlign w:val="bottom"/>
            <w:hideMark/>
          </w:tcPr>
          <w:p w:rsidR="000437CE" w:rsidRPr="005E0525" w:rsidRDefault="000437CE" w:rsidP="002D62B9">
            <w:pPr>
              <w:pStyle w:val="tabteksts"/>
              <w:jc w:val="center"/>
            </w:pPr>
            <w:r w:rsidRPr="005E0525">
              <w:t>8,1</w:t>
            </w:r>
          </w:p>
        </w:tc>
      </w:tr>
    </w:tbl>
    <w:p w:rsidR="000437CE" w:rsidRPr="001C1AC8" w:rsidRDefault="000437CE" w:rsidP="002D62B9">
      <w:pPr>
        <w:spacing w:before="120"/>
        <w:rPr>
          <w:highlight w:val="yellow"/>
        </w:rPr>
      </w:pPr>
      <w:r w:rsidRPr="007614B0">
        <w:t>Op</w:t>
      </w:r>
      <w:r>
        <w:t>timistiskā scenārija īstenošanās</w:t>
      </w:r>
      <w:r w:rsidRPr="007614B0">
        <w:t xml:space="preserve"> iespējama, ja </w:t>
      </w:r>
      <w:r>
        <w:t>ES un eirozonas valstu ekonomikas attīstība īstermiņā un</w:t>
      </w:r>
      <w:r w:rsidRPr="007614B0">
        <w:t xml:space="preserve"> vidējā termiņā noritēs labāk nekā šobrīd tiek prognozēts.</w:t>
      </w:r>
      <w:r w:rsidRPr="001B1E4D">
        <w:t xml:space="preserve"> Īstenojoties optimistiskajam scenārijam, salīdzinājumā ar bāzes scenāriju palielinātos Latvijas investīciju un eksporta pieauguma tempi, kas pozitīvi ietekmētu arī privāto patēriņu. Pozitīvāki pieauguma tempi balstītos gan uz produktivitātes pieaugumu, gan uzlabojumi</w:t>
      </w:r>
      <w:r>
        <w:t>em</w:t>
      </w:r>
      <w:r w:rsidRPr="001B1E4D">
        <w:t xml:space="preserve"> nodarbinātībā. Neskatoties uz straujāku izaugsmi, bezdarbs vidējā termiņā joprojām saglabātos salīdzinoši augstā līmenī un algu pieaugums nepārsniegtu produktivitātes pieaugumu. </w:t>
      </w:r>
      <w:r>
        <w:t>Tomēr līdz ar straujāku iekšējā pieprasījumu pieaugumu, palielinātos spiediens uz inflāciju, kā rezultātā patēriņa cenas 2012.</w:t>
      </w:r>
      <w:r w:rsidR="00EB745F">
        <w:t> </w:t>
      </w:r>
      <w:r>
        <w:t>gadā pieaugtu par 3</w:t>
      </w:r>
      <w:r w:rsidR="00EB745F">
        <w:t> </w:t>
      </w:r>
      <w:r>
        <w:t>% un par 2,5</w:t>
      </w:r>
      <w:r w:rsidR="00EB745F">
        <w:t> </w:t>
      </w:r>
      <w:r w:rsidRPr="00C472E8">
        <w:t>%</w:t>
      </w:r>
      <w:r>
        <w:t xml:space="preserve"> ik gadu</w:t>
      </w:r>
      <w:r w:rsidRPr="00C472E8">
        <w:t xml:space="preserve"> vidējā termiņā.</w:t>
      </w:r>
      <w:r>
        <w:t xml:space="preserve"> </w:t>
      </w:r>
      <w:r w:rsidRPr="001B1E4D">
        <w:t>Optimistiskais makroekonomiskās attīstības scenārijs paredz iekšzemes kopprodukta salīdzināmajās cenās pieaugumu 2012. gadā par 4,0</w:t>
      </w:r>
      <w:r w:rsidR="00EB745F">
        <w:t> </w:t>
      </w:r>
      <w:r w:rsidRPr="001B1E4D">
        <w:t>%, bet vidējā termiņā augstāks investīciju un produktivitātes līmenis ļautu IKP pieaugt par 5,0</w:t>
      </w:r>
      <w:r w:rsidR="00EB745F">
        <w:t> </w:t>
      </w:r>
      <w:r w:rsidRPr="001B1E4D">
        <w:t>% gadā.</w:t>
      </w:r>
    </w:p>
    <w:p w:rsidR="000437CE" w:rsidRPr="00914541" w:rsidRDefault="000437CE" w:rsidP="00914541">
      <w:r w:rsidRPr="004B7F7B">
        <w:t>Optimistiskā makroekonomiskā scenārija gadījumā, kas paredz straujāku IKP izaugsmi, nekā centrālajā scenārijā un nosaka pozitīvākus patēriņa un darba tirgus rādītājus, ievērojami tiktu uzlabota arī budžeta ieņēmumu bāze. Gadījumā, ja ekonomikas attīstība noritēs atbilstoši optimistiskajam scenārijam, budžeta ieņēmumi, salīdzinot ar centrālo scenāriju, 2012. gadā būs 0,8</w:t>
      </w:r>
      <w:r w:rsidR="00EB745F">
        <w:t> </w:t>
      </w:r>
      <w:r w:rsidRPr="004B7F7B">
        <w:t>% par no IKP lielāki, savukārt 2013. gadā par 1,3</w:t>
      </w:r>
      <w:r w:rsidR="00EB745F">
        <w:t> </w:t>
      </w:r>
      <w:r w:rsidRPr="004B7F7B">
        <w:t>%.</w:t>
      </w:r>
      <w:r w:rsidR="00914541">
        <w:t xml:space="preserve"> </w:t>
      </w:r>
    </w:p>
    <w:p w:rsidR="000437CE" w:rsidRPr="00923996" w:rsidRDefault="000437CE" w:rsidP="002D62B9">
      <w:pPr>
        <w:spacing w:before="120"/>
      </w:pPr>
      <w:r w:rsidRPr="00DF3959">
        <w:t>Pesimistiskā makroekonomiskā scenārija pamatā ir ārējās vides risku īstenošanās. Par galveno ārējās vides risku uzskatāms ilgstoš</w:t>
      </w:r>
      <w:r w:rsidR="004D0E25">
        <w:t>s</w:t>
      </w:r>
      <w:r w:rsidRPr="00DF3959">
        <w:t xml:space="preserve"> nestabilitātes period</w:t>
      </w:r>
      <w:r w:rsidR="004D0E25">
        <w:t>s</w:t>
      </w:r>
      <w:r w:rsidRPr="00DF3959">
        <w:t xml:space="preserve"> eirozonā, kur dalībvalstu īstenotā fiskālā konsolidācija un strukturālās reformas ir nepietiekamas, lai atgriezt</w:t>
      </w:r>
      <w:r w:rsidR="004D0E25">
        <w:t>u</w:t>
      </w:r>
      <w:r w:rsidRPr="00DF3959">
        <w:t xml:space="preserve"> finanšu tirgus uzticību. Tā rezultātā izaugsme visā reģionā saglabājas vāja, tādējādi negatīvi ietekmējot arī Latvijas ekonomikas attīstību vidējā termiņā.</w:t>
      </w:r>
      <w:r>
        <w:t xml:space="preserve"> Šo risku var pastiprināt atsevišķi īstermiņa ārējās vides šoki, tādējādi būtiski samazinot izaugsmi arī 2012.</w:t>
      </w:r>
      <w:r w:rsidR="00EB745F">
        <w:t> </w:t>
      </w:r>
      <w:r>
        <w:t xml:space="preserve">gadā. </w:t>
      </w:r>
      <w:r w:rsidRPr="00923996">
        <w:t>Īstenojoties pesimistiskaj</w:t>
      </w:r>
      <w:r w:rsidR="004D0E25">
        <w:t>a</w:t>
      </w:r>
      <w:r w:rsidRPr="00923996">
        <w:t xml:space="preserve">m scenārijam, negatīvi tiktu ietekmētas Latvijas galvenās tirdzniecības partnervalstis un samazinātos pieprasījums pēc Latvijas eksporta. Rezultātā samazinātos eksports un ienākošās naudas daudzums Latvijas ekonomikā, kas negatīvi skartu arī privāto patēriņu. Nestabilitāte finanšu tirgos un vājais pieprasījums pēc Latvijas eksporta precēm būtiski palēninātu investīciju ieplūdi, tādējādi samazinot izaugsmi ne tikai īsā, bet arī vidējā termiņā. Īstenojoties šādam scenārijam, mazinātos nodarbinātības un algu pieaugums. </w:t>
      </w:r>
      <w:r w:rsidRPr="00C472E8">
        <w:t xml:space="preserve">Pesimistiskā makroekonomiskā scenārija attīstība paredz, ka 2012. gadā IKP nepieaugtu, </w:t>
      </w:r>
      <w:r>
        <w:t xml:space="preserve">bet </w:t>
      </w:r>
      <w:r>
        <w:lastRenderedPageBreak/>
        <w:t xml:space="preserve">sākot ar </w:t>
      </w:r>
      <w:r w:rsidRPr="00C472E8">
        <w:t>2013</w:t>
      </w:r>
      <w:r>
        <w:t>. gadu</w:t>
      </w:r>
      <w:r w:rsidRPr="00C472E8">
        <w:t xml:space="preserve"> palielinātos </w:t>
      </w:r>
      <w:r w:rsidR="005E45EB">
        <w:t>tikai</w:t>
      </w:r>
      <w:r w:rsidR="005E45EB" w:rsidRPr="00C472E8">
        <w:t xml:space="preserve"> </w:t>
      </w:r>
      <w:r w:rsidRPr="00C472E8">
        <w:t>par 2,</w:t>
      </w:r>
      <w:r>
        <w:t>0</w:t>
      </w:r>
      <w:r w:rsidR="00B974CA">
        <w:t> </w:t>
      </w:r>
      <w:r w:rsidRPr="00C472E8">
        <w:t>%</w:t>
      </w:r>
      <w:r>
        <w:t xml:space="preserve"> gadā</w:t>
      </w:r>
      <w:r w:rsidRPr="00C472E8">
        <w:t>.</w:t>
      </w:r>
      <w:r>
        <w:t xml:space="preserve"> Līdz ar zemāku izaugsmi mazinātos arī inflācijas spiediens un cenu pieaugums vidējā termiņā būtu 1,5</w:t>
      </w:r>
      <w:r w:rsidR="00B974CA">
        <w:t> </w:t>
      </w:r>
      <w:r>
        <w:t>% gadā.</w:t>
      </w:r>
    </w:p>
    <w:p w:rsidR="0087768C" w:rsidRDefault="0087768C" w:rsidP="002D62B9"/>
    <w:p w:rsidR="0087768C" w:rsidRPr="004019EE" w:rsidRDefault="0087768C" w:rsidP="0087768C">
      <w:pPr>
        <w:pStyle w:val="T"/>
        <w:ind w:left="720"/>
        <w:jc w:val="right"/>
        <w:rPr>
          <w:rFonts w:ascii="Times New Roman" w:hAnsi="Times New Roman"/>
          <w:b w:val="0"/>
        </w:rPr>
      </w:pPr>
      <w:r>
        <w:rPr>
          <w:rFonts w:ascii="Times New Roman" w:hAnsi="Times New Roman"/>
          <w:b w:val="0"/>
        </w:rPr>
        <w:t>5</w:t>
      </w:r>
      <w:r w:rsidRPr="004019EE">
        <w:rPr>
          <w:rFonts w:ascii="Times New Roman" w:hAnsi="Times New Roman"/>
          <w:b w:val="0"/>
        </w:rPr>
        <w:t>.2.</w:t>
      </w:r>
      <w:r>
        <w:rPr>
          <w:rFonts w:ascii="Times New Roman" w:hAnsi="Times New Roman"/>
          <w:b w:val="0"/>
        </w:rPr>
        <w:t> </w:t>
      </w:r>
      <w:r w:rsidRPr="004019EE">
        <w:rPr>
          <w:rFonts w:ascii="Times New Roman" w:hAnsi="Times New Roman"/>
          <w:b w:val="0"/>
        </w:rPr>
        <w:t>tabula. Pesimistiskais makroekonomiskais scenārijs</w:t>
      </w:r>
    </w:p>
    <w:tbl>
      <w:tblPr>
        <w:tblW w:w="9109" w:type="dxa"/>
        <w:jc w:val="center"/>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1"/>
        <w:gridCol w:w="961"/>
        <w:gridCol w:w="992"/>
        <w:gridCol w:w="968"/>
        <w:gridCol w:w="980"/>
        <w:gridCol w:w="987"/>
      </w:tblGrid>
      <w:tr w:rsidR="0087768C" w:rsidRPr="00DF3959" w:rsidTr="00F103CF">
        <w:trPr>
          <w:tblHeader/>
          <w:jc w:val="center"/>
        </w:trPr>
        <w:tc>
          <w:tcPr>
            <w:tcW w:w="4221" w:type="dxa"/>
            <w:tcBorders>
              <w:top w:val="double" w:sz="4" w:space="0" w:color="auto"/>
              <w:left w:val="double" w:sz="4" w:space="0" w:color="auto"/>
              <w:bottom w:val="double" w:sz="4" w:space="0" w:color="auto"/>
              <w:right w:val="single" w:sz="4" w:space="0" w:color="auto"/>
            </w:tcBorders>
          </w:tcPr>
          <w:p w:rsidR="0087768C" w:rsidRPr="00DF3959" w:rsidRDefault="0087768C" w:rsidP="00F103CF">
            <w:pPr>
              <w:pStyle w:val="tabteksts"/>
            </w:pPr>
          </w:p>
        </w:tc>
        <w:tc>
          <w:tcPr>
            <w:tcW w:w="961" w:type="dxa"/>
            <w:tcBorders>
              <w:top w:val="double" w:sz="4" w:space="0" w:color="auto"/>
              <w:left w:val="double" w:sz="4" w:space="0" w:color="auto"/>
              <w:bottom w:val="double" w:sz="4" w:space="0" w:color="auto"/>
              <w:right w:val="single" w:sz="4" w:space="0" w:color="auto"/>
            </w:tcBorders>
            <w:hideMark/>
          </w:tcPr>
          <w:p w:rsidR="0087768C" w:rsidRPr="00DF3959" w:rsidRDefault="0087768C" w:rsidP="00F103CF">
            <w:pPr>
              <w:pStyle w:val="tabteksts"/>
              <w:jc w:val="center"/>
              <w:rPr>
                <w:b/>
              </w:rPr>
            </w:pPr>
            <w:r w:rsidRPr="00DF3959">
              <w:rPr>
                <w:b/>
              </w:rPr>
              <w:t>2011</w:t>
            </w:r>
          </w:p>
        </w:tc>
        <w:tc>
          <w:tcPr>
            <w:tcW w:w="992" w:type="dxa"/>
            <w:tcBorders>
              <w:top w:val="double" w:sz="4" w:space="0" w:color="auto"/>
              <w:left w:val="single" w:sz="4" w:space="0" w:color="auto"/>
              <w:bottom w:val="double" w:sz="4" w:space="0" w:color="auto"/>
              <w:right w:val="single" w:sz="4" w:space="0" w:color="auto"/>
            </w:tcBorders>
            <w:hideMark/>
          </w:tcPr>
          <w:p w:rsidR="0087768C" w:rsidRPr="00DF3959" w:rsidRDefault="0087768C" w:rsidP="00F103CF">
            <w:pPr>
              <w:pStyle w:val="tabteksts"/>
              <w:jc w:val="center"/>
              <w:rPr>
                <w:b/>
              </w:rPr>
            </w:pPr>
            <w:r w:rsidRPr="00DF3959">
              <w:rPr>
                <w:b/>
              </w:rPr>
              <w:t>2012</w:t>
            </w:r>
          </w:p>
        </w:tc>
        <w:tc>
          <w:tcPr>
            <w:tcW w:w="968" w:type="dxa"/>
            <w:tcBorders>
              <w:top w:val="double" w:sz="4" w:space="0" w:color="auto"/>
              <w:left w:val="single" w:sz="4" w:space="0" w:color="auto"/>
              <w:bottom w:val="double" w:sz="4" w:space="0" w:color="auto"/>
              <w:right w:val="single" w:sz="4" w:space="0" w:color="auto"/>
            </w:tcBorders>
            <w:hideMark/>
          </w:tcPr>
          <w:p w:rsidR="0087768C" w:rsidRPr="00DF3959" w:rsidRDefault="0087768C" w:rsidP="00F103CF">
            <w:pPr>
              <w:pStyle w:val="tabteksts"/>
              <w:jc w:val="center"/>
              <w:rPr>
                <w:b/>
              </w:rPr>
            </w:pPr>
            <w:r w:rsidRPr="00DF3959">
              <w:rPr>
                <w:b/>
              </w:rPr>
              <w:t>2013</w:t>
            </w:r>
          </w:p>
        </w:tc>
        <w:tc>
          <w:tcPr>
            <w:tcW w:w="980" w:type="dxa"/>
            <w:tcBorders>
              <w:top w:val="double" w:sz="4" w:space="0" w:color="auto"/>
              <w:left w:val="single" w:sz="4" w:space="0" w:color="auto"/>
              <w:bottom w:val="double" w:sz="4" w:space="0" w:color="auto"/>
              <w:right w:val="single" w:sz="4" w:space="0" w:color="auto"/>
            </w:tcBorders>
            <w:hideMark/>
          </w:tcPr>
          <w:p w:rsidR="0087768C" w:rsidRPr="00DF3959" w:rsidRDefault="0087768C" w:rsidP="00F103CF">
            <w:pPr>
              <w:pStyle w:val="tabteksts"/>
              <w:jc w:val="center"/>
              <w:rPr>
                <w:b/>
              </w:rPr>
            </w:pPr>
            <w:r w:rsidRPr="00DF3959">
              <w:rPr>
                <w:b/>
              </w:rPr>
              <w:t>2014</w:t>
            </w:r>
          </w:p>
        </w:tc>
        <w:tc>
          <w:tcPr>
            <w:tcW w:w="987" w:type="dxa"/>
            <w:tcBorders>
              <w:top w:val="double" w:sz="4" w:space="0" w:color="auto"/>
              <w:left w:val="single" w:sz="4" w:space="0" w:color="auto"/>
              <w:bottom w:val="double" w:sz="4" w:space="0" w:color="auto"/>
              <w:right w:val="double" w:sz="4" w:space="0" w:color="auto"/>
            </w:tcBorders>
            <w:hideMark/>
          </w:tcPr>
          <w:p w:rsidR="0087768C" w:rsidRPr="00DF3959" w:rsidRDefault="0087768C" w:rsidP="00F103CF">
            <w:pPr>
              <w:pStyle w:val="tabteksts"/>
              <w:jc w:val="center"/>
              <w:rPr>
                <w:b/>
              </w:rPr>
            </w:pPr>
            <w:r w:rsidRPr="00DF3959">
              <w:rPr>
                <w:b/>
              </w:rPr>
              <w:t>2015</w:t>
            </w:r>
          </w:p>
        </w:tc>
      </w:tr>
      <w:tr w:rsidR="0087768C" w:rsidRPr="00DF3959" w:rsidTr="00F103CF">
        <w:trPr>
          <w:trHeight w:val="325"/>
          <w:jc w:val="center"/>
        </w:trPr>
        <w:tc>
          <w:tcPr>
            <w:tcW w:w="4221" w:type="dxa"/>
            <w:tcBorders>
              <w:top w:val="double" w:sz="4" w:space="0" w:color="auto"/>
              <w:left w:val="double" w:sz="4" w:space="0" w:color="auto"/>
              <w:bottom w:val="single" w:sz="4" w:space="0" w:color="auto"/>
              <w:right w:val="single" w:sz="4" w:space="0" w:color="auto"/>
            </w:tcBorders>
            <w:vAlign w:val="center"/>
            <w:hideMark/>
          </w:tcPr>
          <w:p w:rsidR="0087768C" w:rsidRPr="00DF3959" w:rsidRDefault="0087768C" w:rsidP="00F103CF">
            <w:pPr>
              <w:pStyle w:val="tabteksts"/>
            </w:pPr>
            <w:r w:rsidRPr="00DF3959">
              <w:t>Iekšzemes kopprodukts, faktiskajās cenās, milj. Ls</w:t>
            </w:r>
          </w:p>
        </w:tc>
        <w:tc>
          <w:tcPr>
            <w:tcW w:w="961" w:type="dxa"/>
            <w:tcBorders>
              <w:top w:val="double" w:sz="4" w:space="0" w:color="auto"/>
              <w:left w:val="doub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14161,0</w:t>
            </w:r>
          </w:p>
        </w:tc>
        <w:tc>
          <w:tcPr>
            <w:tcW w:w="992" w:type="dxa"/>
            <w:tcBorders>
              <w:top w:val="double" w:sz="4" w:space="0" w:color="auto"/>
              <w:left w:val="sing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14296,4</w:t>
            </w:r>
          </w:p>
        </w:tc>
        <w:tc>
          <w:tcPr>
            <w:tcW w:w="968" w:type="dxa"/>
            <w:tcBorders>
              <w:top w:val="double" w:sz="4" w:space="0" w:color="auto"/>
              <w:left w:val="sing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14796,8</w:t>
            </w:r>
          </w:p>
        </w:tc>
        <w:tc>
          <w:tcPr>
            <w:tcW w:w="980" w:type="dxa"/>
            <w:tcBorders>
              <w:top w:val="double" w:sz="4" w:space="0" w:color="auto"/>
              <w:left w:val="sing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15317,4</w:t>
            </w:r>
          </w:p>
        </w:tc>
        <w:tc>
          <w:tcPr>
            <w:tcW w:w="987" w:type="dxa"/>
            <w:tcBorders>
              <w:top w:val="double" w:sz="4" w:space="0" w:color="auto"/>
              <w:left w:val="single" w:sz="4" w:space="0" w:color="auto"/>
              <w:bottom w:val="single" w:sz="4" w:space="0" w:color="auto"/>
              <w:right w:val="double" w:sz="4" w:space="0" w:color="auto"/>
            </w:tcBorders>
            <w:vAlign w:val="bottom"/>
            <w:hideMark/>
          </w:tcPr>
          <w:p w:rsidR="0087768C" w:rsidRPr="00DF3959" w:rsidRDefault="0087768C" w:rsidP="00F103CF">
            <w:pPr>
              <w:pStyle w:val="tabteksts"/>
              <w:jc w:val="center"/>
            </w:pPr>
            <w:r w:rsidRPr="00DF3959">
              <w:t>15856,7</w:t>
            </w:r>
          </w:p>
        </w:tc>
      </w:tr>
      <w:tr w:rsidR="0087768C" w:rsidRPr="00DF3959" w:rsidTr="00F103CF">
        <w:trPr>
          <w:jc w:val="center"/>
        </w:trPr>
        <w:tc>
          <w:tcPr>
            <w:tcW w:w="4221" w:type="dxa"/>
            <w:tcBorders>
              <w:top w:val="single" w:sz="4" w:space="0" w:color="auto"/>
              <w:left w:val="double" w:sz="4" w:space="0" w:color="auto"/>
              <w:bottom w:val="single" w:sz="4" w:space="0" w:color="auto"/>
              <w:right w:val="single" w:sz="4" w:space="0" w:color="auto"/>
            </w:tcBorders>
            <w:vAlign w:val="center"/>
            <w:hideMark/>
          </w:tcPr>
          <w:p w:rsidR="0087768C" w:rsidRPr="00DF3959" w:rsidRDefault="0087768C" w:rsidP="00F103CF">
            <w:pPr>
              <w:pStyle w:val="tabteksts"/>
              <w:ind w:left="457"/>
            </w:pPr>
            <w:r w:rsidRPr="00DF3959">
              <w:t>Pieaugums faktiskajās cenās, %</w:t>
            </w:r>
          </w:p>
        </w:tc>
        <w:tc>
          <w:tcPr>
            <w:tcW w:w="961" w:type="dxa"/>
            <w:tcBorders>
              <w:top w:val="single" w:sz="4" w:space="0" w:color="auto"/>
              <w:left w:val="doub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11,2</w:t>
            </w:r>
          </w:p>
        </w:tc>
        <w:tc>
          <w:tcPr>
            <w:tcW w:w="992" w:type="dxa"/>
            <w:tcBorders>
              <w:top w:val="single" w:sz="4" w:space="0" w:color="auto"/>
              <w:left w:val="sing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1,0</w:t>
            </w:r>
          </w:p>
        </w:tc>
        <w:tc>
          <w:tcPr>
            <w:tcW w:w="968" w:type="dxa"/>
            <w:tcBorders>
              <w:top w:val="single" w:sz="4" w:space="0" w:color="auto"/>
              <w:left w:val="sing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3,5</w:t>
            </w:r>
          </w:p>
        </w:tc>
        <w:tc>
          <w:tcPr>
            <w:tcW w:w="980" w:type="dxa"/>
            <w:tcBorders>
              <w:top w:val="single" w:sz="4" w:space="0" w:color="auto"/>
              <w:left w:val="sing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3,5</w:t>
            </w:r>
          </w:p>
        </w:tc>
        <w:tc>
          <w:tcPr>
            <w:tcW w:w="987" w:type="dxa"/>
            <w:tcBorders>
              <w:top w:val="single" w:sz="4" w:space="0" w:color="auto"/>
              <w:left w:val="single" w:sz="4" w:space="0" w:color="auto"/>
              <w:bottom w:val="single" w:sz="4" w:space="0" w:color="auto"/>
              <w:right w:val="double" w:sz="4" w:space="0" w:color="auto"/>
            </w:tcBorders>
            <w:vAlign w:val="bottom"/>
            <w:hideMark/>
          </w:tcPr>
          <w:p w:rsidR="0087768C" w:rsidRPr="00DF3959" w:rsidRDefault="0087768C" w:rsidP="00F103CF">
            <w:pPr>
              <w:pStyle w:val="tabteksts"/>
              <w:jc w:val="center"/>
            </w:pPr>
            <w:r w:rsidRPr="00DF3959">
              <w:t>3,5</w:t>
            </w:r>
          </w:p>
        </w:tc>
      </w:tr>
      <w:tr w:rsidR="0087768C" w:rsidRPr="00DF3959" w:rsidTr="00F103CF">
        <w:trPr>
          <w:jc w:val="center"/>
        </w:trPr>
        <w:tc>
          <w:tcPr>
            <w:tcW w:w="4221" w:type="dxa"/>
            <w:tcBorders>
              <w:top w:val="single" w:sz="4" w:space="0" w:color="auto"/>
              <w:left w:val="double" w:sz="4" w:space="0" w:color="auto"/>
              <w:bottom w:val="single" w:sz="4" w:space="0" w:color="auto"/>
              <w:right w:val="single" w:sz="4" w:space="0" w:color="auto"/>
            </w:tcBorders>
            <w:vAlign w:val="center"/>
            <w:hideMark/>
          </w:tcPr>
          <w:p w:rsidR="0087768C" w:rsidRPr="00DF3959" w:rsidRDefault="0087768C" w:rsidP="00F103CF">
            <w:pPr>
              <w:pStyle w:val="tabteksts"/>
              <w:ind w:left="457"/>
            </w:pPr>
            <w:r w:rsidRPr="00DF3959">
              <w:t>Pieaugums salīdzināmajās cenās, %</w:t>
            </w:r>
          </w:p>
        </w:tc>
        <w:tc>
          <w:tcPr>
            <w:tcW w:w="961" w:type="dxa"/>
            <w:tcBorders>
              <w:top w:val="single" w:sz="4" w:space="0" w:color="auto"/>
              <w:left w:val="doub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5,5</w:t>
            </w:r>
          </w:p>
        </w:tc>
        <w:tc>
          <w:tcPr>
            <w:tcW w:w="992" w:type="dxa"/>
            <w:tcBorders>
              <w:top w:val="single" w:sz="4" w:space="0" w:color="auto"/>
              <w:left w:val="sing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0,0</w:t>
            </w:r>
          </w:p>
        </w:tc>
        <w:tc>
          <w:tcPr>
            <w:tcW w:w="968" w:type="dxa"/>
            <w:tcBorders>
              <w:top w:val="single" w:sz="4" w:space="0" w:color="auto"/>
              <w:left w:val="sing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2,0</w:t>
            </w:r>
          </w:p>
        </w:tc>
        <w:tc>
          <w:tcPr>
            <w:tcW w:w="980" w:type="dxa"/>
            <w:tcBorders>
              <w:top w:val="single" w:sz="4" w:space="0" w:color="auto"/>
              <w:left w:val="sing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2,0</w:t>
            </w:r>
          </w:p>
        </w:tc>
        <w:tc>
          <w:tcPr>
            <w:tcW w:w="987" w:type="dxa"/>
            <w:tcBorders>
              <w:top w:val="single" w:sz="4" w:space="0" w:color="auto"/>
              <w:left w:val="single" w:sz="4" w:space="0" w:color="auto"/>
              <w:bottom w:val="single" w:sz="4" w:space="0" w:color="auto"/>
              <w:right w:val="double" w:sz="4" w:space="0" w:color="auto"/>
            </w:tcBorders>
            <w:vAlign w:val="bottom"/>
            <w:hideMark/>
          </w:tcPr>
          <w:p w:rsidR="0087768C" w:rsidRPr="00DF3959" w:rsidRDefault="0087768C" w:rsidP="00F103CF">
            <w:pPr>
              <w:pStyle w:val="tabteksts"/>
              <w:jc w:val="center"/>
            </w:pPr>
            <w:r w:rsidRPr="00DF3959">
              <w:t>2,0</w:t>
            </w:r>
          </w:p>
        </w:tc>
      </w:tr>
      <w:tr w:rsidR="0087768C" w:rsidRPr="00DF3959" w:rsidTr="00F103CF">
        <w:trPr>
          <w:jc w:val="center"/>
        </w:trPr>
        <w:tc>
          <w:tcPr>
            <w:tcW w:w="4221" w:type="dxa"/>
            <w:tcBorders>
              <w:top w:val="single" w:sz="4" w:space="0" w:color="auto"/>
              <w:left w:val="double" w:sz="4" w:space="0" w:color="auto"/>
              <w:bottom w:val="single" w:sz="4" w:space="0" w:color="auto"/>
              <w:right w:val="single" w:sz="4" w:space="0" w:color="auto"/>
            </w:tcBorders>
            <w:vAlign w:val="center"/>
            <w:hideMark/>
          </w:tcPr>
          <w:p w:rsidR="0087768C" w:rsidRPr="00DF3959" w:rsidRDefault="0087768C" w:rsidP="00F103CF">
            <w:pPr>
              <w:pStyle w:val="tabteksts"/>
            </w:pPr>
            <w:r w:rsidRPr="00DF3959">
              <w:t>PCI, (gada vidējā), %</w:t>
            </w:r>
          </w:p>
        </w:tc>
        <w:tc>
          <w:tcPr>
            <w:tcW w:w="961" w:type="dxa"/>
            <w:tcBorders>
              <w:top w:val="single" w:sz="4" w:space="0" w:color="auto"/>
              <w:left w:val="doub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4,4</w:t>
            </w:r>
          </w:p>
        </w:tc>
        <w:tc>
          <w:tcPr>
            <w:tcW w:w="992" w:type="dxa"/>
            <w:tcBorders>
              <w:top w:val="single" w:sz="4" w:space="0" w:color="auto"/>
              <w:left w:val="sing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2,0</w:t>
            </w:r>
          </w:p>
        </w:tc>
        <w:tc>
          <w:tcPr>
            <w:tcW w:w="968" w:type="dxa"/>
            <w:tcBorders>
              <w:top w:val="single" w:sz="4" w:space="0" w:color="auto"/>
              <w:left w:val="sing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1,5</w:t>
            </w:r>
          </w:p>
        </w:tc>
        <w:tc>
          <w:tcPr>
            <w:tcW w:w="980" w:type="dxa"/>
            <w:tcBorders>
              <w:top w:val="single" w:sz="4" w:space="0" w:color="auto"/>
              <w:left w:val="sing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1,5</w:t>
            </w:r>
          </w:p>
        </w:tc>
        <w:tc>
          <w:tcPr>
            <w:tcW w:w="987" w:type="dxa"/>
            <w:tcBorders>
              <w:top w:val="single" w:sz="4" w:space="0" w:color="auto"/>
              <w:left w:val="single" w:sz="4" w:space="0" w:color="auto"/>
              <w:bottom w:val="single" w:sz="4" w:space="0" w:color="auto"/>
              <w:right w:val="double" w:sz="4" w:space="0" w:color="auto"/>
            </w:tcBorders>
            <w:vAlign w:val="bottom"/>
            <w:hideMark/>
          </w:tcPr>
          <w:p w:rsidR="0087768C" w:rsidRPr="00DF3959" w:rsidRDefault="0087768C" w:rsidP="00F103CF">
            <w:pPr>
              <w:pStyle w:val="tabteksts"/>
              <w:jc w:val="center"/>
            </w:pPr>
            <w:r w:rsidRPr="00DF3959">
              <w:t>1,5</w:t>
            </w:r>
          </w:p>
        </w:tc>
      </w:tr>
      <w:tr w:rsidR="0087768C" w:rsidRPr="00DF3959" w:rsidTr="00F103CF">
        <w:trPr>
          <w:jc w:val="center"/>
        </w:trPr>
        <w:tc>
          <w:tcPr>
            <w:tcW w:w="4221" w:type="dxa"/>
            <w:tcBorders>
              <w:top w:val="single" w:sz="4" w:space="0" w:color="auto"/>
              <w:left w:val="double" w:sz="4" w:space="0" w:color="auto"/>
              <w:bottom w:val="single" w:sz="4" w:space="0" w:color="auto"/>
              <w:right w:val="single" w:sz="4" w:space="0" w:color="auto"/>
            </w:tcBorders>
            <w:vAlign w:val="center"/>
            <w:hideMark/>
          </w:tcPr>
          <w:p w:rsidR="0087768C" w:rsidRPr="00DF3959" w:rsidRDefault="0087768C" w:rsidP="00F103CF">
            <w:pPr>
              <w:pStyle w:val="tabteksts"/>
            </w:pPr>
            <w:r w:rsidRPr="00DF3959">
              <w:t>Vidējā darba samaksa tautsaimniecība, latos</w:t>
            </w:r>
          </w:p>
        </w:tc>
        <w:tc>
          <w:tcPr>
            <w:tcW w:w="961" w:type="dxa"/>
            <w:tcBorders>
              <w:top w:val="single" w:sz="4" w:space="0" w:color="auto"/>
              <w:left w:val="doub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464</w:t>
            </w:r>
          </w:p>
        </w:tc>
        <w:tc>
          <w:tcPr>
            <w:tcW w:w="992" w:type="dxa"/>
            <w:tcBorders>
              <w:top w:val="single" w:sz="4" w:space="0" w:color="auto"/>
              <w:left w:val="sing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473</w:t>
            </w:r>
          </w:p>
        </w:tc>
        <w:tc>
          <w:tcPr>
            <w:tcW w:w="968" w:type="dxa"/>
            <w:tcBorders>
              <w:top w:val="single" w:sz="4" w:space="0" w:color="auto"/>
              <w:left w:val="sing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483</w:t>
            </w:r>
          </w:p>
        </w:tc>
        <w:tc>
          <w:tcPr>
            <w:tcW w:w="980" w:type="dxa"/>
            <w:tcBorders>
              <w:top w:val="single" w:sz="4" w:space="0" w:color="auto"/>
              <w:left w:val="sing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495</w:t>
            </w:r>
          </w:p>
        </w:tc>
        <w:tc>
          <w:tcPr>
            <w:tcW w:w="987" w:type="dxa"/>
            <w:tcBorders>
              <w:top w:val="single" w:sz="4" w:space="0" w:color="auto"/>
              <w:left w:val="single" w:sz="4" w:space="0" w:color="auto"/>
              <w:bottom w:val="single" w:sz="4" w:space="0" w:color="auto"/>
              <w:right w:val="double" w:sz="4" w:space="0" w:color="auto"/>
            </w:tcBorders>
            <w:vAlign w:val="bottom"/>
            <w:hideMark/>
          </w:tcPr>
          <w:p w:rsidR="0087768C" w:rsidRPr="00DF3959" w:rsidRDefault="0087768C" w:rsidP="00F103CF">
            <w:pPr>
              <w:pStyle w:val="tabteksts"/>
              <w:jc w:val="center"/>
            </w:pPr>
            <w:r w:rsidRPr="00DF3959">
              <w:t>508</w:t>
            </w:r>
          </w:p>
        </w:tc>
      </w:tr>
      <w:tr w:rsidR="0087768C" w:rsidRPr="00DF3959" w:rsidTr="00F103CF">
        <w:trPr>
          <w:jc w:val="center"/>
        </w:trPr>
        <w:tc>
          <w:tcPr>
            <w:tcW w:w="4221" w:type="dxa"/>
            <w:tcBorders>
              <w:top w:val="single" w:sz="4" w:space="0" w:color="auto"/>
              <w:left w:val="double" w:sz="4" w:space="0" w:color="auto"/>
              <w:bottom w:val="single" w:sz="4" w:space="0" w:color="auto"/>
              <w:right w:val="single" w:sz="4" w:space="0" w:color="auto"/>
            </w:tcBorders>
            <w:vAlign w:val="center"/>
            <w:hideMark/>
          </w:tcPr>
          <w:p w:rsidR="0087768C" w:rsidRPr="00DF3959" w:rsidRDefault="0087768C" w:rsidP="00F103CF">
            <w:pPr>
              <w:pStyle w:val="tabteksts"/>
              <w:ind w:left="457"/>
            </w:pPr>
            <w:r w:rsidRPr="00DF3959">
              <w:t>Pieaugums faktiskajās cenās, %</w:t>
            </w:r>
          </w:p>
        </w:tc>
        <w:tc>
          <w:tcPr>
            <w:tcW w:w="961" w:type="dxa"/>
            <w:tcBorders>
              <w:top w:val="single" w:sz="4" w:space="0" w:color="auto"/>
              <w:left w:val="doub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4,3</w:t>
            </w:r>
          </w:p>
        </w:tc>
        <w:tc>
          <w:tcPr>
            <w:tcW w:w="992" w:type="dxa"/>
            <w:tcBorders>
              <w:top w:val="single" w:sz="4" w:space="0" w:color="auto"/>
              <w:left w:val="sing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2,0</w:t>
            </w:r>
          </w:p>
        </w:tc>
        <w:tc>
          <w:tcPr>
            <w:tcW w:w="968" w:type="dxa"/>
            <w:tcBorders>
              <w:top w:val="single" w:sz="4" w:space="0" w:color="auto"/>
              <w:left w:val="sing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2,1</w:t>
            </w:r>
          </w:p>
        </w:tc>
        <w:tc>
          <w:tcPr>
            <w:tcW w:w="980" w:type="dxa"/>
            <w:tcBorders>
              <w:top w:val="single" w:sz="4" w:space="0" w:color="auto"/>
              <w:left w:val="sing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2,5</w:t>
            </w:r>
          </w:p>
        </w:tc>
        <w:tc>
          <w:tcPr>
            <w:tcW w:w="987" w:type="dxa"/>
            <w:tcBorders>
              <w:top w:val="single" w:sz="4" w:space="0" w:color="auto"/>
              <w:left w:val="single" w:sz="4" w:space="0" w:color="auto"/>
              <w:bottom w:val="single" w:sz="4" w:space="0" w:color="auto"/>
              <w:right w:val="double" w:sz="4" w:space="0" w:color="auto"/>
            </w:tcBorders>
            <w:vAlign w:val="bottom"/>
            <w:hideMark/>
          </w:tcPr>
          <w:p w:rsidR="0087768C" w:rsidRPr="00DF3959" w:rsidRDefault="0087768C" w:rsidP="00F103CF">
            <w:pPr>
              <w:pStyle w:val="tabteksts"/>
              <w:jc w:val="center"/>
            </w:pPr>
            <w:r w:rsidRPr="00DF3959">
              <w:t>2,6</w:t>
            </w:r>
          </w:p>
        </w:tc>
      </w:tr>
      <w:tr w:rsidR="0087768C" w:rsidRPr="00DF3959" w:rsidTr="00F103CF">
        <w:trPr>
          <w:jc w:val="center"/>
        </w:trPr>
        <w:tc>
          <w:tcPr>
            <w:tcW w:w="4221" w:type="dxa"/>
            <w:tcBorders>
              <w:top w:val="single" w:sz="4" w:space="0" w:color="auto"/>
              <w:left w:val="double" w:sz="4" w:space="0" w:color="auto"/>
              <w:bottom w:val="single" w:sz="4" w:space="0" w:color="auto"/>
              <w:right w:val="single" w:sz="4" w:space="0" w:color="auto"/>
            </w:tcBorders>
            <w:vAlign w:val="center"/>
            <w:hideMark/>
          </w:tcPr>
          <w:p w:rsidR="0087768C" w:rsidRPr="00DF3959" w:rsidRDefault="0087768C" w:rsidP="00F103CF">
            <w:pPr>
              <w:pStyle w:val="tabteksts"/>
            </w:pPr>
            <w:r w:rsidRPr="00DF3959">
              <w:t xml:space="preserve">Nodarbinātība, tūkst. cilvēku </w:t>
            </w:r>
          </w:p>
        </w:tc>
        <w:tc>
          <w:tcPr>
            <w:tcW w:w="961" w:type="dxa"/>
            <w:tcBorders>
              <w:top w:val="single" w:sz="4" w:space="0" w:color="auto"/>
              <w:left w:val="doub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970,5</w:t>
            </w:r>
          </w:p>
        </w:tc>
        <w:tc>
          <w:tcPr>
            <w:tcW w:w="992" w:type="dxa"/>
            <w:tcBorders>
              <w:top w:val="single" w:sz="4" w:space="0" w:color="auto"/>
              <w:left w:val="sing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969,9</w:t>
            </w:r>
          </w:p>
        </w:tc>
        <w:tc>
          <w:tcPr>
            <w:tcW w:w="968" w:type="dxa"/>
            <w:tcBorders>
              <w:top w:val="single" w:sz="4" w:space="0" w:color="auto"/>
              <w:left w:val="sing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975,1</w:t>
            </w:r>
          </w:p>
        </w:tc>
        <w:tc>
          <w:tcPr>
            <w:tcW w:w="980" w:type="dxa"/>
            <w:tcBorders>
              <w:top w:val="single" w:sz="4" w:space="0" w:color="auto"/>
              <w:left w:val="sing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980,4</w:t>
            </w:r>
          </w:p>
        </w:tc>
        <w:tc>
          <w:tcPr>
            <w:tcW w:w="987" w:type="dxa"/>
            <w:tcBorders>
              <w:top w:val="single" w:sz="4" w:space="0" w:color="auto"/>
              <w:left w:val="single" w:sz="4" w:space="0" w:color="auto"/>
              <w:bottom w:val="single" w:sz="4" w:space="0" w:color="auto"/>
              <w:right w:val="double" w:sz="4" w:space="0" w:color="auto"/>
            </w:tcBorders>
            <w:vAlign w:val="bottom"/>
            <w:hideMark/>
          </w:tcPr>
          <w:p w:rsidR="0087768C" w:rsidRPr="00DF3959" w:rsidRDefault="0087768C" w:rsidP="00F103CF">
            <w:pPr>
              <w:pStyle w:val="tabteksts"/>
              <w:jc w:val="center"/>
            </w:pPr>
            <w:r w:rsidRPr="00DF3959">
              <w:t>986,8</w:t>
            </w:r>
          </w:p>
        </w:tc>
      </w:tr>
      <w:tr w:rsidR="0087768C" w:rsidRPr="00DF3959" w:rsidTr="00F103CF">
        <w:trPr>
          <w:jc w:val="center"/>
        </w:trPr>
        <w:tc>
          <w:tcPr>
            <w:tcW w:w="4221" w:type="dxa"/>
            <w:tcBorders>
              <w:top w:val="single" w:sz="4" w:space="0" w:color="auto"/>
              <w:left w:val="double" w:sz="4" w:space="0" w:color="auto"/>
              <w:bottom w:val="single" w:sz="4" w:space="0" w:color="auto"/>
              <w:right w:val="single" w:sz="4" w:space="0" w:color="auto"/>
            </w:tcBorders>
            <w:vAlign w:val="center"/>
            <w:hideMark/>
          </w:tcPr>
          <w:p w:rsidR="0087768C" w:rsidRPr="00DF3959" w:rsidRDefault="0087768C" w:rsidP="00F103CF">
            <w:pPr>
              <w:pStyle w:val="tabteksts"/>
              <w:ind w:left="457"/>
            </w:pPr>
            <w:r w:rsidRPr="00DF3959">
              <w:t>Pieaugums, %</w:t>
            </w:r>
          </w:p>
        </w:tc>
        <w:tc>
          <w:tcPr>
            <w:tcW w:w="961" w:type="dxa"/>
            <w:tcBorders>
              <w:top w:val="single" w:sz="4" w:space="0" w:color="auto"/>
              <w:left w:val="doub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3,1</w:t>
            </w:r>
          </w:p>
        </w:tc>
        <w:tc>
          <w:tcPr>
            <w:tcW w:w="992" w:type="dxa"/>
            <w:tcBorders>
              <w:top w:val="single" w:sz="4" w:space="0" w:color="auto"/>
              <w:left w:val="sing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-0,1</w:t>
            </w:r>
          </w:p>
        </w:tc>
        <w:tc>
          <w:tcPr>
            <w:tcW w:w="968" w:type="dxa"/>
            <w:tcBorders>
              <w:top w:val="single" w:sz="4" w:space="0" w:color="auto"/>
              <w:left w:val="sing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0,5</w:t>
            </w:r>
          </w:p>
        </w:tc>
        <w:tc>
          <w:tcPr>
            <w:tcW w:w="980" w:type="dxa"/>
            <w:tcBorders>
              <w:top w:val="single" w:sz="4" w:space="0" w:color="auto"/>
              <w:left w:val="sing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0,5</w:t>
            </w:r>
          </w:p>
        </w:tc>
        <w:tc>
          <w:tcPr>
            <w:tcW w:w="987" w:type="dxa"/>
            <w:tcBorders>
              <w:top w:val="single" w:sz="4" w:space="0" w:color="auto"/>
              <w:left w:val="single" w:sz="4" w:space="0" w:color="auto"/>
              <w:bottom w:val="single" w:sz="4" w:space="0" w:color="auto"/>
              <w:right w:val="double" w:sz="4" w:space="0" w:color="auto"/>
            </w:tcBorders>
            <w:vAlign w:val="bottom"/>
            <w:hideMark/>
          </w:tcPr>
          <w:p w:rsidR="0087768C" w:rsidRPr="00DF3959" w:rsidRDefault="0087768C" w:rsidP="00F103CF">
            <w:pPr>
              <w:pStyle w:val="tabteksts"/>
              <w:jc w:val="center"/>
            </w:pPr>
            <w:r w:rsidRPr="00DF3959">
              <w:t>0,6</w:t>
            </w:r>
          </w:p>
        </w:tc>
      </w:tr>
      <w:tr w:rsidR="0087768C" w:rsidRPr="00DF3959" w:rsidTr="00F103CF">
        <w:trPr>
          <w:jc w:val="center"/>
        </w:trPr>
        <w:tc>
          <w:tcPr>
            <w:tcW w:w="4221" w:type="dxa"/>
            <w:tcBorders>
              <w:top w:val="single" w:sz="4" w:space="0" w:color="auto"/>
              <w:left w:val="double" w:sz="4" w:space="0" w:color="auto"/>
              <w:bottom w:val="single" w:sz="4" w:space="0" w:color="auto"/>
              <w:right w:val="single" w:sz="4" w:space="0" w:color="auto"/>
            </w:tcBorders>
            <w:vAlign w:val="center"/>
            <w:hideMark/>
          </w:tcPr>
          <w:p w:rsidR="0087768C" w:rsidRPr="00DF3959" w:rsidRDefault="0087768C" w:rsidP="00F103CF">
            <w:pPr>
              <w:pStyle w:val="tabteksts"/>
            </w:pPr>
            <w:r w:rsidRPr="00DF3959">
              <w:t>Eksporta pieauguma tempi faktiskajās cenās, %</w:t>
            </w:r>
          </w:p>
        </w:tc>
        <w:tc>
          <w:tcPr>
            <w:tcW w:w="961" w:type="dxa"/>
            <w:tcBorders>
              <w:top w:val="single" w:sz="4" w:space="0" w:color="auto"/>
              <w:left w:val="doub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22,6</w:t>
            </w:r>
          </w:p>
        </w:tc>
        <w:tc>
          <w:tcPr>
            <w:tcW w:w="992" w:type="dxa"/>
            <w:tcBorders>
              <w:top w:val="single" w:sz="4" w:space="0" w:color="auto"/>
              <w:left w:val="sing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2,9</w:t>
            </w:r>
          </w:p>
        </w:tc>
        <w:tc>
          <w:tcPr>
            <w:tcW w:w="968" w:type="dxa"/>
            <w:tcBorders>
              <w:top w:val="single" w:sz="4" w:space="0" w:color="auto"/>
              <w:left w:val="sing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3,2</w:t>
            </w:r>
          </w:p>
        </w:tc>
        <w:tc>
          <w:tcPr>
            <w:tcW w:w="980" w:type="dxa"/>
            <w:tcBorders>
              <w:top w:val="single" w:sz="4" w:space="0" w:color="auto"/>
              <w:left w:val="single" w:sz="4" w:space="0" w:color="auto"/>
              <w:bottom w:val="single" w:sz="4" w:space="0" w:color="auto"/>
              <w:right w:val="single" w:sz="4" w:space="0" w:color="auto"/>
            </w:tcBorders>
            <w:vAlign w:val="bottom"/>
            <w:hideMark/>
          </w:tcPr>
          <w:p w:rsidR="0087768C" w:rsidRPr="00DF3959" w:rsidRDefault="0087768C" w:rsidP="00F103CF">
            <w:pPr>
              <w:pStyle w:val="tabteksts"/>
              <w:jc w:val="center"/>
            </w:pPr>
            <w:r w:rsidRPr="00DF3959">
              <w:t>3,5</w:t>
            </w:r>
          </w:p>
        </w:tc>
        <w:tc>
          <w:tcPr>
            <w:tcW w:w="987" w:type="dxa"/>
            <w:tcBorders>
              <w:top w:val="single" w:sz="4" w:space="0" w:color="auto"/>
              <w:left w:val="single" w:sz="4" w:space="0" w:color="auto"/>
              <w:bottom w:val="single" w:sz="4" w:space="0" w:color="auto"/>
              <w:right w:val="double" w:sz="4" w:space="0" w:color="auto"/>
            </w:tcBorders>
            <w:vAlign w:val="bottom"/>
            <w:hideMark/>
          </w:tcPr>
          <w:p w:rsidR="0087768C" w:rsidRPr="00DF3959" w:rsidRDefault="0087768C" w:rsidP="00F103CF">
            <w:pPr>
              <w:pStyle w:val="tabteksts"/>
              <w:jc w:val="center"/>
            </w:pPr>
            <w:r w:rsidRPr="00DF3959">
              <w:t>3,5</w:t>
            </w:r>
          </w:p>
        </w:tc>
      </w:tr>
      <w:tr w:rsidR="0087768C" w:rsidRPr="00795312" w:rsidTr="00F103CF">
        <w:trPr>
          <w:jc w:val="center"/>
        </w:trPr>
        <w:tc>
          <w:tcPr>
            <w:tcW w:w="4221" w:type="dxa"/>
            <w:tcBorders>
              <w:top w:val="single" w:sz="4" w:space="0" w:color="auto"/>
              <w:left w:val="double" w:sz="4" w:space="0" w:color="auto"/>
              <w:bottom w:val="double" w:sz="4" w:space="0" w:color="auto"/>
              <w:right w:val="single" w:sz="4" w:space="0" w:color="auto"/>
            </w:tcBorders>
            <w:vAlign w:val="center"/>
            <w:hideMark/>
          </w:tcPr>
          <w:p w:rsidR="0087768C" w:rsidRPr="00DF3959" w:rsidRDefault="0087768C" w:rsidP="00F103CF">
            <w:pPr>
              <w:pStyle w:val="tabteksts"/>
            </w:pPr>
            <w:r w:rsidRPr="00DF3959">
              <w:t>Importa pieauguma tempi faktiskajās cenās, %</w:t>
            </w:r>
          </w:p>
        </w:tc>
        <w:tc>
          <w:tcPr>
            <w:tcW w:w="961" w:type="dxa"/>
            <w:tcBorders>
              <w:top w:val="single" w:sz="4" w:space="0" w:color="auto"/>
              <w:left w:val="double" w:sz="4" w:space="0" w:color="auto"/>
              <w:bottom w:val="double" w:sz="4" w:space="0" w:color="auto"/>
              <w:right w:val="single" w:sz="4" w:space="0" w:color="auto"/>
            </w:tcBorders>
            <w:vAlign w:val="bottom"/>
            <w:hideMark/>
          </w:tcPr>
          <w:p w:rsidR="0087768C" w:rsidRPr="00DF3959" w:rsidRDefault="0087768C" w:rsidP="00F103CF">
            <w:pPr>
              <w:pStyle w:val="tabteksts"/>
              <w:jc w:val="center"/>
            </w:pPr>
            <w:r w:rsidRPr="00DF3959">
              <w:t>27,2</w:t>
            </w:r>
          </w:p>
        </w:tc>
        <w:tc>
          <w:tcPr>
            <w:tcW w:w="992" w:type="dxa"/>
            <w:tcBorders>
              <w:top w:val="single" w:sz="4" w:space="0" w:color="auto"/>
              <w:left w:val="single" w:sz="4" w:space="0" w:color="auto"/>
              <w:bottom w:val="double" w:sz="4" w:space="0" w:color="auto"/>
              <w:right w:val="single" w:sz="4" w:space="0" w:color="auto"/>
            </w:tcBorders>
            <w:vAlign w:val="bottom"/>
            <w:hideMark/>
          </w:tcPr>
          <w:p w:rsidR="0087768C" w:rsidRPr="00DF3959" w:rsidRDefault="0087768C" w:rsidP="00F103CF">
            <w:pPr>
              <w:pStyle w:val="tabteksts"/>
              <w:jc w:val="center"/>
            </w:pPr>
            <w:r w:rsidRPr="00DF3959">
              <w:t>3,7</w:t>
            </w:r>
          </w:p>
        </w:tc>
        <w:tc>
          <w:tcPr>
            <w:tcW w:w="968" w:type="dxa"/>
            <w:tcBorders>
              <w:top w:val="single" w:sz="4" w:space="0" w:color="auto"/>
              <w:left w:val="single" w:sz="4" w:space="0" w:color="auto"/>
              <w:bottom w:val="double" w:sz="4" w:space="0" w:color="auto"/>
              <w:right w:val="single" w:sz="4" w:space="0" w:color="auto"/>
            </w:tcBorders>
            <w:vAlign w:val="bottom"/>
            <w:hideMark/>
          </w:tcPr>
          <w:p w:rsidR="0087768C" w:rsidRPr="00DF3959" w:rsidRDefault="0087768C" w:rsidP="00F103CF">
            <w:pPr>
              <w:pStyle w:val="tabteksts"/>
              <w:jc w:val="center"/>
            </w:pPr>
            <w:r w:rsidRPr="00DF3959">
              <w:t>3,2</w:t>
            </w:r>
          </w:p>
        </w:tc>
        <w:tc>
          <w:tcPr>
            <w:tcW w:w="980" w:type="dxa"/>
            <w:tcBorders>
              <w:top w:val="single" w:sz="4" w:space="0" w:color="auto"/>
              <w:left w:val="single" w:sz="4" w:space="0" w:color="auto"/>
              <w:bottom w:val="double" w:sz="4" w:space="0" w:color="auto"/>
              <w:right w:val="single" w:sz="4" w:space="0" w:color="auto"/>
            </w:tcBorders>
            <w:vAlign w:val="bottom"/>
            <w:hideMark/>
          </w:tcPr>
          <w:p w:rsidR="0087768C" w:rsidRPr="00DF3959" w:rsidRDefault="0087768C" w:rsidP="00F103CF">
            <w:pPr>
              <w:pStyle w:val="tabteksts"/>
              <w:jc w:val="center"/>
            </w:pPr>
            <w:r w:rsidRPr="00DF3959">
              <w:t>3,5</w:t>
            </w:r>
          </w:p>
        </w:tc>
        <w:tc>
          <w:tcPr>
            <w:tcW w:w="987" w:type="dxa"/>
            <w:tcBorders>
              <w:top w:val="single" w:sz="4" w:space="0" w:color="auto"/>
              <w:left w:val="single" w:sz="4" w:space="0" w:color="auto"/>
              <w:bottom w:val="double" w:sz="4" w:space="0" w:color="auto"/>
              <w:right w:val="double" w:sz="4" w:space="0" w:color="auto"/>
            </w:tcBorders>
            <w:vAlign w:val="bottom"/>
            <w:hideMark/>
          </w:tcPr>
          <w:p w:rsidR="0087768C" w:rsidRPr="00DF3959" w:rsidRDefault="0087768C" w:rsidP="00F103CF">
            <w:pPr>
              <w:pStyle w:val="tabteksts"/>
              <w:jc w:val="center"/>
            </w:pPr>
            <w:r w:rsidRPr="00DF3959">
              <w:t>3,6</w:t>
            </w:r>
          </w:p>
        </w:tc>
      </w:tr>
    </w:tbl>
    <w:p w:rsidR="0087768C" w:rsidRDefault="0087768C" w:rsidP="00905DA5">
      <w:pPr>
        <w:ind w:firstLine="0"/>
      </w:pPr>
    </w:p>
    <w:p w:rsidR="000437CE" w:rsidRPr="004D1910" w:rsidRDefault="000437CE" w:rsidP="002D62B9">
      <w:r w:rsidRPr="004B7F7B">
        <w:t>Lēnāks IKP pieaugums nekā centrālajā scenārijā, kas balstās uz sliktākiem ārējās vides pieņēmumiem un zemāku privāto patēriņu, kā arī vājākiem darba tirgus rādītāj</w:t>
      </w:r>
      <w:r w:rsidR="004D0E25">
        <w:t>iem</w:t>
      </w:r>
      <w:r w:rsidRPr="004B7F7B">
        <w:t>, negatīvi ietekmēs arī budžeta ieņēmumus. Situācij</w:t>
      </w:r>
      <w:r w:rsidR="004D0E25">
        <w:t>ā</w:t>
      </w:r>
      <w:r w:rsidRPr="004B7F7B">
        <w:t>, ja ekonomikas attīstība noritēs atbilstoši pesimistiskajam scenārijam, budžeta ieņēmumi, salīdzinot ar centrālo scenāriju, 2012. gadā samazināsies par 0,8</w:t>
      </w:r>
      <w:r w:rsidR="00B974CA">
        <w:t> </w:t>
      </w:r>
      <w:r w:rsidRPr="004B7F7B">
        <w:t>% no IKP, 2013. gadā par 1,</w:t>
      </w:r>
      <w:r>
        <w:t>3</w:t>
      </w:r>
      <w:r w:rsidR="00B974CA">
        <w:t> </w:t>
      </w:r>
      <w:r w:rsidRPr="004B7F7B">
        <w:t>% no IKP</w:t>
      </w:r>
      <w:r>
        <w:t xml:space="preserve">, </w:t>
      </w:r>
      <w:r w:rsidRPr="004B7F7B">
        <w:t>savukārt</w:t>
      </w:r>
      <w:r>
        <w:t xml:space="preserve"> 2014. un 2015.</w:t>
      </w:r>
      <w:r w:rsidR="00B974CA">
        <w:t> </w:t>
      </w:r>
      <w:r>
        <w:t>gados attiecīgi 2,0</w:t>
      </w:r>
      <w:r w:rsidR="00B974CA">
        <w:t> </w:t>
      </w:r>
      <w:r>
        <w:t>% un 2,6</w:t>
      </w:r>
      <w:r w:rsidR="00B974CA">
        <w:t> </w:t>
      </w:r>
      <w:r>
        <w:t>%</w:t>
      </w:r>
      <w:r w:rsidRPr="004B7F7B">
        <w:t>.</w:t>
      </w:r>
      <w:r w:rsidRPr="00773C12">
        <w:t xml:space="preserve"> </w:t>
      </w:r>
    </w:p>
    <w:p w:rsidR="00EF6BF3" w:rsidRPr="00B64633" w:rsidRDefault="00EF6BF3" w:rsidP="002D62B9">
      <w:pPr>
        <w:pStyle w:val="otrais"/>
      </w:pPr>
    </w:p>
    <w:p w:rsidR="00C53CDD" w:rsidRPr="009C61B1" w:rsidRDefault="00283B8B" w:rsidP="002D62B9">
      <w:pPr>
        <w:pStyle w:val="PIRMAIS"/>
        <w:ind w:left="0" w:firstLine="0"/>
      </w:pPr>
      <w:bookmarkStart w:id="57" w:name="_Toc323120292"/>
      <w:bookmarkStart w:id="58" w:name="_Toc284924057"/>
      <w:r>
        <w:lastRenderedPageBreak/>
        <w:t>6</w:t>
      </w:r>
      <w:r w:rsidR="00AC1A6A">
        <w:t xml:space="preserve">. </w:t>
      </w:r>
      <w:r w:rsidR="00C53CDD">
        <w:t>S</w:t>
      </w:r>
      <w:r w:rsidR="00C53CDD" w:rsidRPr="009C61B1">
        <w:t xml:space="preserve">alīdzinājums ar </w:t>
      </w:r>
      <w:r w:rsidR="0087768C">
        <w:t xml:space="preserve">Latvijas Konverģences programmu </w:t>
      </w:r>
      <w:r w:rsidR="00DF5F16">
        <w:t>2011</w:t>
      </w:r>
      <w:r w:rsidR="00C53CDD">
        <w:t>.</w:t>
      </w:r>
      <w:r w:rsidR="0087768C">
        <w:t xml:space="preserve"> – 2014. </w:t>
      </w:r>
      <w:r w:rsidR="00C53CDD">
        <w:t>gada</w:t>
      </w:r>
      <w:r w:rsidR="0087768C">
        <w:t>m</w:t>
      </w:r>
      <w:bookmarkEnd w:id="57"/>
    </w:p>
    <w:bookmarkEnd w:id="58"/>
    <w:p w:rsidR="00C53CDD" w:rsidRDefault="00C53CDD" w:rsidP="002D62B9">
      <w:pPr>
        <w:rPr>
          <w:szCs w:val="24"/>
        </w:rPr>
      </w:pPr>
    </w:p>
    <w:p w:rsidR="0087768C" w:rsidRPr="008B3132" w:rsidRDefault="0087768C" w:rsidP="0087768C">
      <w:pPr>
        <w:pStyle w:val="H2"/>
        <w:tabs>
          <w:tab w:val="clear" w:pos="1134"/>
        </w:tabs>
        <w:ind w:left="567"/>
        <w:rPr>
          <w:rFonts w:ascii="Times New Roman" w:hAnsi="Times New Roman"/>
          <w:szCs w:val="32"/>
        </w:rPr>
      </w:pPr>
      <w:bookmarkStart w:id="59" w:name="_Toc323120293"/>
      <w:r>
        <w:rPr>
          <w:rFonts w:ascii="Times New Roman" w:hAnsi="Times New Roman"/>
          <w:szCs w:val="32"/>
        </w:rPr>
        <w:t>6.1</w:t>
      </w:r>
      <w:r w:rsidRPr="008B3132">
        <w:rPr>
          <w:rFonts w:ascii="Times New Roman" w:hAnsi="Times New Roman"/>
          <w:szCs w:val="32"/>
        </w:rPr>
        <w:t xml:space="preserve">. </w:t>
      </w:r>
      <w:r w:rsidR="00984AE5" w:rsidRPr="00096D57">
        <w:rPr>
          <w:rFonts w:ascii="Times New Roman" w:hAnsi="Times New Roman"/>
          <w:szCs w:val="32"/>
        </w:rPr>
        <w:t>Vispārējās valdības budžeta bilance</w:t>
      </w:r>
      <w:r w:rsidR="00096D57">
        <w:rPr>
          <w:rFonts w:ascii="Times New Roman" w:hAnsi="Times New Roman"/>
          <w:szCs w:val="32"/>
        </w:rPr>
        <w:t>s</w:t>
      </w:r>
      <w:r w:rsidR="00984AE5" w:rsidRPr="00096D57">
        <w:rPr>
          <w:rFonts w:ascii="Times New Roman" w:hAnsi="Times New Roman"/>
          <w:szCs w:val="32"/>
        </w:rPr>
        <w:t xml:space="preserve"> un parād</w:t>
      </w:r>
      <w:r w:rsidR="00096D57">
        <w:rPr>
          <w:rFonts w:ascii="Times New Roman" w:hAnsi="Times New Roman"/>
          <w:szCs w:val="32"/>
        </w:rPr>
        <w:t>a prognožu salīdzinājums</w:t>
      </w:r>
      <w:bookmarkEnd w:id="59"/>
    </w:p>
    <w:p w:rsidR="0087768C" w:rsidRPr="00F34BEB" w:rsidRDefault="0087768C" w:rsidP="0087768C">
      <w:pPr>
        <w:pStyle w:val="teksts"/>
        <w:spacing w:after="240"/>
        <w:ind w:firstLine="720"/>
        <w:rPr>
          <w:rFonts w:ascii="Times New Roman" w:eastAsia="Calibri" w:hAnsi="Times New Roman"/>
          <w:szCs w:val="24"/>
        </w:rPr>
      </w:pPr>
      <w:r>
        <w:rPr>
          <w:rFonts w:ascii="Times New Roman" w:eastAsia="Calibri" w:hAnsi="Times New Roman"/>
          <w:szCs w:val="24"/>
        </w:rPr>
        <w:t>IKP</w:t>
      </w:r>
      <w:r w:rsidRPr="00F34BEB">
        <w:rPr>
          <w:rFonts w:ascii="Times New Roman" w:eastAsia="Calibri" w:hAnsi="Times New Roman"/>
          <w:szCs w:val="24"/>
        </w:rPr>
        <w:t xml:space="preserve"> pieaugums 2011. gadā ir bijis straujāks, nekā to paredzēja 2011. gada Konverģences programmas scenārijs. Neskatoties uz situācijas pasliktināšanos ārējos tirgos, rūpniecībā un eksportā saglabājās augsti pieauguma tempi, savukārt iekšzemes pieprasījuma atjaunošanās notika straujāk nekā prognozēts, nodrošinot kopējo IKP pieaugumu 5,5</w:t>
      </w:r>
      <w:r w:rsidR="00914541">
        <w:rPr>
          <w:rFonts w:ascii="Times New Roman" w:eastAsia="Calibri" w:hAnsi="Times New Roman"/>
          <w:szCs w:val="24"/>
        </w:rPr>
        <w:t xml:space="preserve"> </w:t>
      </w:r>
      <w:r w:rsidRPr="00F34BEB">
        <w:rPr>
          <w:rFonts w:ascii="Times New Roman" w:eastAsia="Calibri" w:hAnsi="Times New Roman"/>
          <w:szCs w:val="24"/>
        </w:rPr>
        <w:t>% apmērā pretstatā prognozētajiem 3,3</w:t>
      </w:r>
      <w:r w:rsidR="00914541">
        <w:rPr>
          <w:rFonts w:ascii="Times New Roman" w:eastAsia="Calibri" w:hAnsi="Times New Roman"/>
          <w:szCs w:val="24"/>
        </w:rPr>
        <w:t xml:space="preserve"> </w:t>
      </w:r>
      <w:r w:rsidRPr="00F34BEB">
        <w:rPr>
          <w:rFonts w:ascii="Times New Roman" w:eastAsia="Calibri" w:hAnsi="Times New Roman"/>
          <w:szCs w:val="24"/>
        </w:rPr>
        <w:t>%.</w:t>
      </w:r>
    </w:p>
    <w:p w:rsidR="0087768C" w:rsidRPr="00F34BEB" w:rsidRDefault="0087768C" w:rsidP="0087768C">
      <w:pPr>
        <w:pStyle w:val="teksts"/>
        <w:ind w:firstLine="720"/>
        <w:rPr>
          <w:rFonts w:ascii="Times New Roman" w:eastAsia="Calibri" w:hAnsi="Times New Roman"/>
          <w:szCs w:val="24"/>
        </w:rPr>
      </w:pPr>
      <w:r w:rsidRPr="00F34BEB">
        <w:rPr>
          <w:rFonts w:ascii="Times New Roman" w:eastAsia="Calibri" w:hAnsi="Times New Roman"/>
          <w:szCs w:val="24"/>
        </w:rPr>
        <w:t>Savukārt, 2012. gadā ekonomikas izaugsme tiek prognozēta zemāka nekā iepriekšējās Konverģences programmas scenārijā, un šādas izmaiņas saistītas</w:t>
      </w:r>
      <w:r>
        <w:rPr>
          <w:rFonts w:ascii="Times New Roman" w:eastAsia="Calibri" w:hAnsi="Times New Roman"/>
          <w:szCs w:val="24"/>
        </w:rPr>
        <w:t>,</w:t>
      </w:r>
      <w:r w:rsidRPr="00F34BEB">
        <w:rPr>
          <w:rFonts w:ascii="Times New Roman" w:eastAsia="Calibri" w:hAnsi="Times New Roman"/>
          <w:szCs w:val="24"/>
        </w:rPr>
        <w:t xml:space="preserve"> galvenokārt</w:t>
      </w:r>
      <w:r>
        <w:rPr>
          <w:rFonts w:ascii="Times New Roman" w:eastAsia="Calibri" w:hAnsi="Times New Roman"/>
          <w:szCs w:val="24"/>
        </w:rPr>
        <w:t>,</w:t>
      </w:r>
      <w:r w:rsidRPr="00F34BEB">
        <w:rPr>
          <w:rFonts w:ascii="Times New Roman" w:eastAsia="Calibri" w:hAnsi="Times New Roman"/>
          <w:szCs w:val="24"/>
        </w:rPr>
        <w:t xml:space="preserve"> ar pasaules ekonomiskās attīstības palēnināšanos eiro zonas finanšu krīzes ietekmē. Arī 2013. gadam prognozētais IKP pieaugums salīdzinājumā ar iepriekšējo Konverģences programmas scenāriju ir nedaudz samazināts.</w:t>
      </w:r>
    </w:p>
    <w:p w:rsidR="0087768C" w:rsidRPr="00BB4ED3" w:rsidRDefault="0087768C" w:rsidP="0087768C">
      <w:pPr>
        <w:pStyle w:val="T"/>
        <w:ind w:left="0"/>
        <w:jc w:val="right"/>
        <w:rPr>
          <w:rFonts w:ascii="Times New Roman" w:hAnsi="Times New Roman"/>
          <w:b w:val="0"/>
        </w:rPr>
      </w:pPr>
      <w:r>
        <w:rPr>
          <w:rFonts w:ascii="Times New Roman" w:hAnsi="Times New Roman"/>
          <w:b w:val="0"/>
        </w:rPr>
        <w:t xml:space="preserve">6. </w:t>
      </w:r>
      <w:r w:rsidR="00A34AEB">
        <w:rPr>
          <w:rFonts w:ascii="Times New Roman" w:hAnsi="Times New Roman"/>
          <w:b w:val="0"/>
        </w:rPr>
        <w:t>1</w:t>
      </w:r>
      <w:r>
        <w:rPr>
          <w:rFonts w:ascii="Times New Roman" w:hAnsi="Times New Roman"/>
          <w:b w:val="0"/>
        </w:rPr>
        <w:t xml:space="preserve">. </w:t>
      </w:r>
      <w:r w:rsidRPr="00BB4ED3">
        <w:rPr>
          <w:rFonts w:ascii="Times New Roman" w:hAnsi="Times New Roman"/>
          <w:b w:val="0"/>
        </w:rPr>
        <w:t xml:space="preserve">tabula. </w:t>
      </w:r>
      <w:r>
        <w:rPr>
          <w:rFonts w:ascii="Times New Roman" w:hAnsi="Times New Roman"/>
          <w:b w:val="0"/>
        </w:rPr>
        <w:t xml:space="preserve">Salīdzinājums ar 2011. </w:t>
      </w:r>
      <w:r w:rsidR="00914541">
        <w:rPr>
          <w:rFonts w:ascii="Times New Roman" w:hAnsi="Times New Roman"/>
          <w:b w:val="0"/>
        </w:rPr>
        <w:t xml:space="preserve"> </w:t>
      </w:r>
      <w:r>
        <w:rPr>
          <w:rFonts w:ascii="Times New Roman" w:hAnsi="Times New Roman"/>
          <w:b w:val="0"/>
        </w:rPr>
        <w:t>– 2014. </w:t>
      </w:r>
      <w:r w:rsidRPr="00BB4ED3">
        <w:rPr>
          <w:rFonts w:ascii="Times New Roman" w:hAnsi="Times New Roman"/>
          <w:b w:val="0"/>
        </w:rPr>
        <w:t>gada Konverģences programmas prognozēm</w:t>
      </w:r>
    </w:p>
    <w:tbl>
      <w:tblPr>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992"/>
        <w:gridCol w:w="709"/>
        <w:gridCol w:w="850"/>
        <w:gridCol w:w="851"/>
        <w:gridCol w:w="850"/>
        <w:gridCol w:w="851"/>
      </w:tblGrid>
      <w:tr w:rsidR="0050658A" w:rsidRPr="005869E7" w:rsidTr="002B225F">
        <w:tc>
          <w:tcPr>
            <w:tcW w:w="3119" w:type="dxa"/>
          </w:tcPr>
          <w:p w:rsidR="0087768C" w:rsidRPr="005869E7" w:rsidRDefault="0087768C" w:rsidP="00F103CF">
            <w:pPr>
              <w:pStyle w:val="tabteksts"/>
            </w:pPr>
          </w:p>
        </w:tc>
        <w:tc>
          <w:tcPr>
            <w:tcW w:w="992" w:type="dxa"/>
          </w:tcPr>
          <w:p w:rsidR="0087768C" w:rsidRPr="005869E7" w:rsidRDefault="0087768C" w:rsidP="00F103CF">
            <w:pPr>
              <w:pStyle w:val="tabteksts"/>
            </w:pPr>
            <w:r w:rsidRPr="005869E7">
              <w:t>EKS kods</w:t>
            </w:r>
          </w:p>
        </w:tc>
        <w:tc>
          <w:tcPr>
            <w:tcW w:w="709" w:type="dxa"/>
          </w:tcPr>
          <w:p w:rsidR="0087768C" w:rsidRPr="005869E7" w:rsidRDefault="0087768C" w:rsidP="00F103CF">
            <w:pPr>
              <w:pStyle w:val="tabteksts"/>
              <w:jc w:val="center"/>
              <w:rPr>
                <w:b/>
              </w:rPr>
            </w:pPr>
            <w:r w:rsidRPr="005869E7">
              <w:rPr>
                <w:b/>
              </w:rPr>
              <w:t>2011</w:t>
            </w:r>
          </w:p>
        </w:tc>
        <w:tc>
          <w:tcPr>
            <w:tcW w:w="850" w:type="dxa"/>
          </w:tcPr>
          <w:p w:rsidR="0087768C" w:rsidRPr="005869E7" w:rsidRDefault="0087768C" w:rsidP="00F103CF">
            <w:pPr>
              <w:pStyle w:val="tabteksts"/>
              <w:jc w:val="center"/>
              <w:rPr>
                <w:b/>
              </w:rPr>
            </w:pPr>
            <w:r w:rsidRPr="005869E7">
              <w:rPr>
                <w:b/>
              </w:rPr>
              <w:t>2012</w:t>
            </w:r>
          </w:p>
        </w:tc>
        <w:tc>
          <w:tcPr>
            <w:tcW w:w="851" w:type="dxa"/>
          </w:tcPr>
          <w:p w:rsidR="0087768C" w:rsidRPr="005869E7" w:rsidRDefault="0087768C" w:rsidP="00F103CF">
            <w:pPr>
              <w:pStyle w:val="tabteksts"/>
              <w:jc w:val="center"/>
              <w:rPr>
                <w:b/>
              </w:rPr>
            </w:pPr>
            <w:r w:rsidRPr="005869E7">
              <w:rPr>
                <w:b/>
              </w:rPr>
              <w:t>2013</w:t>
            </w:r>
          </w:p>
        </w:tc>
        <w:tc>
          <w:tcPr>
            <w:tcW w:w="850" w:type="dxa"/>
          </w:tcPr>
          <w:p w:rsidR="0087768C" w:rsidRPr="005869E7" w:rsidRDefault="0087768C" w:rsidP="00F103CF">
            <w:pPr>
              <w:pStyle w:val="tabteksts"/>
              <w:jc w:val="center"/>
              <w:rPr>
                <w:b/>
              </w:rPr>
            </w:pPr>
            <w:r w:rsidRPr="005869E7">
              <w:rPr>
                <w:b/>
              </w:rPr>
              <w:t>2014</w:t>
            </w:r>
          </w:p>
        </w:tc>
        <w:tc>
          <w:tcPr>
            <w:tcW w:w="851" w:type="dxa"/>
          </w:tcPr>
          <w:p w:rsidR="0087768C" w:rsidRPr="005869E7" w:rsidRDefault="0087768C" w:rsidP="00F103CF">
            <w:pPr>
              <w:pStyle w:val="tabteksts"/>
              <w:jc w:val="center"/>
              <w:rPr>
                <w:b/>
              </w:rPr>
            </w:pPr>
            <w:r w:rsidRPr="005869E7">
              <w:rPr>
                <w:b/>
              </w:rPr>
              <w:t>2015</w:t>
            </w:r>
          </w:p>
        </w:tc>
      </w:tr>
      <w:tr w:rsidR="0050658A" w:rsidRPr="005869E7" w:rsidTr="002B225F">
        <w:tc>
          <w:tcPr>
            <w:tcW w:w="3119" w:type="dxa"/>
            <w:vAlign w:val="center"/>
          </w:tcPr>
          <w:p w:rsidR="0087768C" w:rsidRPr="005869E7" w:rsidRDefault="0087768C" w:rsidP="00F103CF">
            <w:pPr>
              <w:pStyle w:val="tabteksts"/>
              <w:rPr>
                <w:snapToGrid w:val="0"/>
              </w:rPr>
            </w:pPr>
            <w:r w:rsidRPr="005869E7">
              <w:rPr>
                <w:b/>
              </w:rPr>
              <w:t>IKP pieaugums (%)</w:t>
            </w:r>
          </w:p>
        </w:tc>
        <w:tc>
          <w:tcPr>
            <w:tcW w:w="992" w:type="dxa"/>
            <w:vAlign w:val="center"/>
          </w:tcPr>
          <w:p w:rsidR="0087768C" w:rsidRPr="005869E7" w:rsidRDefault="0087768C" w:rsidP="00F103CF">
            <w:pPr>
              <w:pStyle w:val="tabteksts"/>
            </w:pPr>
            <w:r w:rsidRPr="005869E7">
              <w:t>B1g</w:t>
            </w:r>
          </w:p>
        </w:tc>
        <w:tc>
          <w:tcPr>
            <w:tcW w:w="709" w:type="dxa"/>
            <w:vAlign w:val="center"/>
          </w:tcPr>
          <w:p w:rsidR="0087768C" w:rsidRPr="005869E7" w:rsidRDefault="0087768C" w:rsidP="00F103CF">
            <w:pPr>
              <w:pStyle w:val="tabteksts"/>
            </w:pPr>
          </w:p>
        </w:tc>
        <w:tc>
          <w:tcPr>
            <w:tcW w:w="850" w:type="dxa"/>
            <w:vAlign w:val="center"/>
          </w:tcPr>
          <w:p w:rsidR="0087768C" w:rsidRPr="005869E7" w:rsidRDefault="0087768C" w:rsidP="00F103CF">
            <w:pPr>
              <w:pStyle w:val="tabteksts"/>
            </w:pPr>
          </w:p>
        </w:tc>
        <w:tc>
          <w:tcPr>
            <w:tcW w:w="851" w:type="dxa"/>
            <w:vAlign w:val="center"/>
          </w:tcPr>
          <w:p w:rsidR="0087768C" w:rsidRPr="005869E7" w:rsidRDefault="0087768C" w:rsidP="00F103CF">
            <w:pPr>
              <w:pStyle w:val="tabteksts"/>
            </w:pPr>
          </w:p>
        </w:tc>
        <w:tc>
          <w:tcPr>
            <w:tcW w:w="850" w:type="dxa"/>
            <w:vAlign w:val="center"/>
          </w:tcPr>
          <w:p w:rsidR="0087768C" w:rsidRPr="005869E7" w:rsidRDefault="0087768C" w:rsidP="00F103CF">
            <w:pPr>
              <w:pStyle w:val="tabteksts"/>
              <w:rPr>
                <w:rFonts w:eastAsia="Arial Unicode MS"/>
              </w:rPr>
            </w:pPr>
          </w:p>
        </w:tc>
        <w:tc>
          <w:tcPr>
            <w:tcW w:w="851" w:type="dxa"/>
            <w:vAlign w:val="center"/>
          </w:tcPr>
          <w:p w:rsidR="0087768C" w:rsidRPr="005869E7" w:rsidRDefault="0087768C" w:rsidP="00F103CF">
            <w:pPr>
              <w:pStyle w:val="tabteksts"/>
            </w:pPr>
          </w:p>
        </w:tc>
      </w:tr>
      <w:tr w:rsidR="0050658A" w:rsidRPr="005869E7" w:rsidTr="002B225F">
        <w:tc>
          <w:tcPr>
            <w:tcW w:w="3119" w:type="dxa"/>
            <w:vAlign w:val="center"/>
          </w:tcPr>
          <w:p w:rsidR="0087768C" w:rsidRPr="005869E7" w:rsidRDefault="0087768C" w:rsidP="00F103CF">
            <w:pPr>
              <w:pStyle w:val="tabteksts"/>
              <w:jc w:val="right"/>
            </w:pPr>
            <w:r w:rsidRPr="005869E7">
              <w:t>2011. gads</w:t>
            </w:r>
          </w:p>
        </w:tc>
        <w:tc>
          <w:tcPr>
            <w:tcW w:w="992" w:type="dxa"/>
            <w:vAlign w:val="center"/>
          </w:tcPr>
          <w:p w:rsidR="0087768C" w:rsidRPr="005869E7" w:rsidRDefault="0087768C" w:rsidP="00F103CF">
            <w:pPr>
              <w:pStyle w:val="tabteksts"/>
              <w:jc w:val="center"/>
            </w:pPr>
          </w:p>
        </w:tc>
        <w:tc>
          <w:tcPr>
            <w:tcW w:w="709" w:type="dxa"/>
          </w:tcPr>
          <w:p w:rsidR="0087768C" w:rsidRPr="005869E7" w:rsidRDefault="0087768C" w:rsidP="00F103CF">
            <w:pPr>
              <w:spacing w:after="0"/>
              <w:ind w:firstLine="0"/>
              <w:jc w:val="center"/>
              <w:rPr>
                <w:color w:val="000000"/>
                <w:sz w:val="20"/>
              </w:rPr>
            </w:pPr>
            <w:r w:rsidRPr="005869E7">
              <w:rPr>
                <w:color w:val="000000"/>
                <w:sz w:val="20"/>
              </w:rPr>
              <w:t>3,3</w:t>
            </w:r>
          </w:p>
        </w:tc>
        <w:tc>
          <w:tcPr>
            <w:tcW w:w="850" w:type="dxa"/>
          </w:tcPr>
          <w:p w:rsidR="0087768C" w:rsidRPr="005869E7" w:rsidRDefault="0087768C" w:rsidP="00F103CF">
            <w:pPr>
              <w:spacing w:after="0"/>
              <w:ind w:firstLine="0"/>
              <w:jc w:val="center"/>
              <w:rPr>
                <w:color w:val="000000"/>
                <w:sz w:val="20"/>
              </w:rPr>
            </w:pPr>
            <w:r w:rsidRPr="005869E7">
              <w:rPr>
                <w:color w:val="000000"/>
                <w:sz w:val="20"/>
              </w:rPr>
              <w:t>4,0</w:t>
            </w:r>
          </w:p>
        </w:tc>
        <w:tc>
          <w:tcPr>
            <w:tcW w:w="851" w:type="dxa"/>
          </w:tcPr>
          <w:p w:rsidR="0087768C" w:rsidRPr="005869E7" w:rsidRDefault="0087768C" w:rsidP="00F103CF">
            <w:pPr>
              <w:spacing w:after="0"/>
              <w:ind w:firstLine="0"/>
              <w:jc w:val="center"/>
              <w:rPr>
                <w:color w:val="000000"/>
                <w:sz w:val="20"/>
              </w:rPr>
            </w:pPr>
            <w:r w:rsidRPr="005869E7">
              <w:rPr>
                <w:color w:val="000000"/>
                <w:sz w:val="20"/>
              </w:rPr>
              <w:t>4,0</w:t>
            </w:r>
          </w:p>
        </w:tc>
        <w:tc>
          <w:tcPr>
            <w:tcW w:w="850" w:type="dxa"/>
          </w:tcPr>
          <w:p w:rsidR="0087768C" w:rsidRPr="005869E7" w:rsidRDefault="0087768C" w:rsidP="00F103CF">
            <w:pPr>
              <w:spacing w:after="0"/>
              <w:ind w:firstLine="0"/>
              <w:jc w:val="center"/>
              <w:rPr>
                <w:color w:val="000000"/>
                <w:sz w:val="20"/>
              </w:rPr>
            </w:pPr>
            <w:r w:rsidRPr="005869E7">
              <w:rPr>
                <w:color w:val="000000"/>
                <w:sz w:val="20"/>
              </w:rPr>
              <w:t>4,0</w:t>
            </w:r>
          </w:p>
        </w:tc>
        <w:tc>
          <w:tcPr>
            <w:tcW w:w="851" w:type="dxa"/>
            <w:vAlign w:val="center"/>
          </w:tcPr>
          <w:p w:rsidR="0087768C" w:rsidRPr="005869E7" w:rsidRDefault="0087768C" w:rsidP="00F103CF">
            <w:pPr>
              <w:spacing w:after="0"/>
              <w:ind w:firstLine="0"/>
              <w:jc w:val="center"/>
              <w:rPr>
                <w:rFonts w:eastAsia="Arial Unicode MS"/>
              </w:rPr>
            </w:pPr>
            <w:r w:rsidRPr="005869E7">
              <w:rPr>
                <w:color w:val="000000"/>
                <w:sz w:val="20"/>
              </w:rPr>
              <w:t>-</w:t>
            </w:r>
          </w:p>
        </w:tc>
      </w:tr>
      <w:tr w:rsidR="0050658A" w:rsidRPr="005869E7" w:rsidTr="002B225F">
        <w:tc>
          <w:tcPr>
            <w:tcW w:w="3119" w:type="dxa"/>
            <w:vAlign w:val="center"/>
          </w:tcPr>
          <w:p w:rsidR="0087768C" w:rsidRPr="005869E7" w:rsidRDefault="0087768C" w:rsidP="00F103CF">
            <w:pPr>
              <w:pStyle w:val="tabteksts"/>
              <w:jc w:val="right"/>
            </w:pPr>
            <w:r w:rsidRPr="005869E7">
              <w:t>2012. gads</w:t>
            </w:r>
          </w:p>
        </w:tc>
        <w:tc>
          <w:tcPr>
            <w:tcW w:w="992" w:type="dxa"/>
            <w:vAlign w:val="center"/>
          </w:tcPr>
          <w:p w:rsidR="0087768C" w:rsidRPr="005869E7" w:rsidRDefault="0087768C" w:rsidP="00F103CF">
            <w:pPr>
              <w:pStyle w:val="tabteksts"/>
              <w:jc w:val="center"/>
            </w:pPr>
          </w:p>
        </w:tc>
        <w:tc>
          <w:tcPr>
            <w:tcW w:w="709" w:type="dxa"/>
            <w:vAlign w:val="center"/>
          </w:tcPr>
          <w:p w:rsidR="0087768C" w:rsidRPr="005869E7" w:rsidRDefault="0087768C" w:rsidP="00F103CF">
            <w:pPr>
              <w:spacing w:after="0"/>
              <w:ind w:firstLine="0"/>
              <w:jc w:val="center"/>
              <w:rPr>
                <w:color w:val="000000"/>
                <w:sz w:val="20"/>
              </w:rPr>
            </w:pPr>
            <w:r w:rsidRPr="005869E7">
              <w:rPr>
                <w:color w:val="000000"/>
                <w:sz w:val="20"/>
              </w:rPr>
              <w:t>5,5</w:t>
            </w:r>
          </w:p>
        </w:tc>
        <w:tc>
          <w:tcPr>
            <w:tcW w:w="850" w:type="dxa"/>
            <w:vAlign w:val="center"/>
          </w:tcPr>
          <w:p w:rsidR="0087768C" w:rsidRPr="005869E7" w:rsidRDefault="0087768C" w:rsidP="00F103CF">
            <w:pPr>
              <w:spacing w:after="0"/>
              <w:ind w:firstLine="0"/>
              <w:jc w:val="center"/>
              <w:rPr>
                <w:color w:val="000000"/>
                <w:sz w:val="20"/>
              </w:rPr>
            </w:pPr>
            <w:r w:rsidRPr="005869E7">
              <w:rPr>
                <w:color w:val="000000"/>
                <w:sz w:val="20"/>
              </w:rPr>
              <w:t>2,0</w:t>
            </w:r>
          </w:p>
        </w:tc>
        <w:tc>
          <w:tcPr>
            <w:tcW w:w="851" w:type="dxa"/>
            <w:vAlign w:val="center"/>
          </w:tcPr>
          <w:p w:rsidR="0087768C" w:rsidRPr="005869E7" w:rsidRDefault="0087768C" w:rsidP="00F103CF">
            <w:pPr>
              <w:spacing w:after="0"/>
              <w:ind w:firstLine="0"/>
              <w:jc w:val="center"/>
              <w:rPr>
                <w:color w:val="000000"/>
                <w:sz w:val="20"/>
              </w:rPr>
            </w:pPr>
            <w:r w:rsidRPr="005869E7">
              <w:rPr>
                <w:color w:val="000000"/>
                <w:sz w:val="20"/>
              </w:rPr>
              <w:t>3,7</w:t>
            </w:r>
          </w:p>
        </w:tc>
        <w:tc>
          <w:tcPr>
            <w:tcW w:w="850" w:type="dxa"/>
            <w:vAlign w:val="center"/>
          </w:tcPr>
          <w:p w:rsidR="0087768C" w:rsidRPr="005869E7" w:rsidRDefault="0087768C" w:rsidP="00F103CF">
            <w:pPr>
              <w:spacing w:after="0"/>
              <w:ind w:firstLine="0"/>
              <w:jc w:val="center"/>
              <w:rPr>
                <w:color w:val="000000"/>
                <w:sz w:val="20"/>
              </w:rPr>
            </w:pPr>
            <w:r w:rsidRPr="005869E7">
              <w:rPr>
                <w:color w:val="000000"/>
                <w:sz w:val="20"/>
              </w:rPr>
              <w:t>4,0</w:t>
            </w:r>
          </w:p>
        </w:tc>
        <w:tc>
          <w:tcPr>
            <w:tcW w:w="851" w:type="dxa"/>
            <w:vAlign w:val="center"/>
          </w:tcPr>
          <w:p w:rsidR="0087768C" w:rsidRPr="005869E7" w:rsidRDefault="0087768C" w:rsidP="00F103CF">
            <w:pPr>
              <w:spacing w:after="0"/>
              <w:ind w:firstLine="0"/>
              <w:jc w:val="center"/>
              <w:rPr>
                <w:color w:val="000000"/>
                <w:sz w:val="20"/>
              </w:rPr>
            </w:pPr>
            <w:r w:rsidRPr="005869E7">
              <w:rPr>
                <w:color w:val="000000"/>
                <w:sz w:val="20"/>
              </w:rPr>
              <w:t>4,0</w:t>
            </w:r>
          </w:p>
        </w:tc>
      </w:tr>
      <w:tr w:rsidR="0050658A" w:rsidRPr="005869E7" w:rsidTr="002B225F">
        <w:tc>
          <w:tcPr>
            <w:tcW w:w="3119" w:type="dxa"/>
            <w:vAlign w:val="center"/>
          </w:tcPr>
          <w:p w:rsidR="0087768C" w:rsidRPr="005869E7" w:rsidRDefault="0087768C" w:rsidP="00F103CF">
            <w:pPr>
              <w:pStyle w:val="tabteksts"/>
              <w:jc w:val="right"/>
              <w:rPr>
                <w:snapToGrid w:val="0"/>
              </w:rPr>
            </w:pPr>
            <w:r w:rsidRPr="005869E7">
              <w:rPr>
                <w:snapToGrid w:val="0"/>
              </w:rPr>
              <w:t>Izmaiņas</w:t>
            </w:r>
          </w:p>
        </w:tc>
        <w:tc>
          <w:tcPr>
            <w:tcW w:w="992" w:type="dxa"/>
            <w:vAlign w:val="center"/>
          </w:tcPr>
          <w:p w:rsidR="0087768C" w:rsidRPr="005869E7" w:rsidRDefault="0087768C" w:rsidP="00F103CF">
            <w:pPr>
              <w:pStyle w:val="tabteksts"/>
              <w:jc w:val="center"/>
            </w:pPr>
          </w:p>
        </w:tc>
        <w:tc>
          <w:tcPr>
            <w:tcW w:w="709" w:type="dxa"/>
            <w:vAlign w:val="center"/>
          </w:tcPr>
          <w:p w:rsidR="0087768C" w:rsidRPr="005869E7" w:rsidRDefault="0087768C" w:rsidP="00F103CF">
            <w:pPr>
              <w:spacing w:after="0"/>
              <w:ind w:firstLine="0"/>
              <w:jc w:val="center"/>
              <w:rPr>
                <w:color w:val="000000"/>
                <w:sz w:val="20"/>
              </w:rPr>
            </w:pPr>
            <w:r w:rsidRPr="005869E7">
              <w:rPr>
                <w:color w:val="000000"/>
                <w:sz w:val="20"/>
              </w:rPr>
              <w:t>2,2</w:t>
            </w:r>
          </w:p>
        </w:tc>
        <w:tc>
          <w:tcPr>
            <w:tcW w:w="850" w:type="dxa"/>
            <w:vAlign w:val="center"/>
          </w:tcPr>
          <w:p w:rsidR="0087768C" w:rsidRPr="005869E7" w:rsidRDefault="0087768C" w:rsidP="00F103CF">
            <w:pPr>
              <w:spacing w:after="0"/>
              <w:ind w:firstLine="0"/>
              <w:jc w:val="center"/>
              <w:rPr>
                <w:color w:val="000000"/>
                <w:sz w:val="20"/>
              </w:rPr>
            </w:pPr>
            <w:r w:rsidRPr="005869E7">
              <w:rPr>
                <w:color w:val="000000"/>
                <w:sz w:val="20"/>
              </w:rPr>
              <w:t>-2,0</w:t>
            </w:r>
          </w:p>
        </w:tc>
        <w:tc>
          <w:tcPr>
            <w:tcW w:w="851" w:type="dxa"/>
            <w:vAlign w:val="center"/>
          </w:tcPr>
          <w:p w:rsidR="0087768C" w:rsidRPr="005869E7" w:rsidRDefault="0087768C" w:rsidP="00F103CF">
            <w:pPr>
              <w:spacing w:after="0"/>
              <w:ind w:firstLine="0"/>
              <w:jc w:val="center"/>
              <w:rPr>
                <w:color w:val="000000"/>
                <w:sz w:val="20"/>
              </w:rPr>
            </w:pPr>
            <w:r w:rsidRPr="005869E7">
              <w:rPr>
                <w:color w:val="000000"/>
                <w:sz w:val="20"/>
              </w:rPr>
              <w:t>-0,3</w:t>
            </w:r>
          </w:p>
        </w:tc>
        <w:tc>
          <w:tcPr>
            <w:tcW w:w="850" w:type="dxa"/>
            <w:vAlign w:val="center"/>
          </w:tcPr>
          <w:p w:rsidR="0087768C" w:rsidRPr="005869E7" w:rsidRDefault="0087768C" w:rsidP="00F103CF">
            <w:pPr>
              <w:spacing w:after="0"/>
              <w:ind w:firstLine="0"/>
              <w:jc w:val="center"/>
              <w:rPr>
                <w:color w:val="000000"/>
                <w:sz w:val="20"/>
              </w:rPr>
            </w:pPr>
            <w:r w:rsidRPr="005869E7">
              <w:rPr>
                <w:color w:val="000000"/>
                <w:sz w:val="20"/>
              </w:rPr>
              <w:t>0,0</w:t>
            </w:r>
          </w:p>
        </w:tc>
        <w:tc>
          <w:tcPr>
            <w:tcW w:w="851" w:type="dxa"/>
            <w:vAlign w:val="center"/>
          </w:tcPr>
          <w:p w:rsidR="0087768C" w:rsidRPr="005869E7" w:rsidRDefault="0087768C" w:rsidP="00F103CF">
            <w:pPr>
              <w:spacing w:after="0"/>
              <w:ind w:firstLine="0"/>
              <w:jc w:val="center"/>
              <w:rPr>
                <w:color w:val="000000"/>
                <w:sz w:val="20"/>
              </w:rPr>
            </w:pPr>
            <w:r w:rsidRPr="005869E7">
              <w:rPr>
                <w:color w:val="000000"/>
                <w:sz w:val="20"/>
              </w:rPr>
              <w:t>-</w:t>
            </w:r>
          </w:p>
        </w:tc>
      </w:tr>
      <w:tr w:rsidR="0050658A" w:rsidRPr="005869E7" w:rsidTr="002B225F">
        <w:tc>
          <w:tcPr>
            <w:tcW w:w="3119" w:type="dxa"/>
            <w:vAlign w:val="center"/>
          </w:tcPr>
          <w:p w:rsidR="0087768C" w:rsidRDefault="0087768C" w:rsidP="00F103CF">
            <w:pPr>
              <w:pStyle w:val="tabteksts"/>
              <w:rPr>
                <w:b/>
              </w:rPr>
            </w:pPr>
            <w:r>
              <w:rPr>
                <w:b/>
              </w:rPr>
              <w:t>Faktiskā budžeta bilance</w:t>
            </w:r>
          </w:p>
          <w:p w:rsidR="0087768C" w:rsidRPr="005869E7" w:rsidRDefault="0087768C" w:rsidP="00F103CF">
            <w:pPr>
              <w:pStyle w:val="tabteksts"/>
              <w:rPr>
                <w:snapToGrid w:val="0"/>
              </w:rPr>
            </w:pPr>
            <w:r w:rsidRPr="005869E7">
              <w:rPr>
                <w:b/>
              </w:rPr>
              <w:t>(% no IKP)</w:t>
            </w:r>
          </w:p>
        </w:tc>
        <w:tc>
          <w:tcPr>
            <w:tcW w:w="992" w:type="dxa"/>
            <w:vAlign w:val="center"/>
          </w:tcPr>
          <w:p w:rsidR="0087768C" w:rsidRPr="005869E7" w:rsidRDefault="0087768C" w:rsidP="00F103CF">
            <w:pPr>
              <w:pStyle w:val="tabteksts"/>
            </w:pPr>
            <w:r w:rsidRPr="005869E7">
              <w:t>B.9</w:t>
            </w:r>
          </w:p>
        </w:tc>
        <w:tc>
          <w:tcPr>
            <w:tcW w:w="709" w:type="dxa"/>
            <w:vAlign w:val="center"/>
          </w:tcPr>
          <w:p w:rsidR="0087768C" w:rsidRPr="005869E7" w:rsidRDefault="0087768C" w:rsidP="00F103CF">
            <w:pPr>
              <w:pStyle w:val="tabteksts"/>
              <w:tabs>
                <w:tab w:val="decimal" w:pos="330"/>
              </w:tabs>
              <w:jc w:val="center"/>
            </w:pPr>
          </w:p>
        </w:tc>
        <w:tc>
          <w:tcPr>
            <w:tcW w:w="850" w:type="dxa"/>
            <w:vAlign w:val="center"/>
          </w:tcPr>
          <w:p w:rsidR="0087768C" w:rsidRPr="005869E7" w:rsidRDefault="0087768C" w:rsidP="00F103CF">
            <w:pPr>
              <w:pStyle w:val="tabteksts"/>
              <w:tabs>
                <w:tab w:val="decimal" w:pos="330"/>
              </w:tabs>
              <w:jc w:val="center"/>
            </w:pPr>
          </w:p>
        </w:tc>
        <w:tc>
          <w:tcPr>
            <w:tcW w:w="851" w:type="dxa"/>
            <w:vAlign w:val="center"/>
          </w:tcPr>
          <w:p w:rsidR="0087768C" w:rsidRPr="005869E7" w:rsidRDefault="0087768C" w:rsidP="00F103CF">
            <w:pPr>
              <w:pStyle w:val="tabteksts"/>
              <w:tabs>
                <w:tab w:val="decimal" w:pos="330"/>
              </w:tabs>
              <w:jc w:val="center"/>
            </w:pPr>
          </w:p>
        </w:tc>
        <w:tc>
          <w:tcPr>
            <w:tcW w:w="850" w:type="dxa"/>
            <w:vAlign w:val="center"/>
          </w:tcPr>
          <w:p w:rsidR="0087768C" w:rsidRPr="005869E7" w:rsidRDefault="0087768C" w:rsidP="00F103CF">
            <w:pPr>
              <w:pStyle w:val="tabteksts"/>
              <w:tabs>
                <w:tab w:val="decimal" w:pos="330"/>
              </w:tabs>
              <w:jc w:val="center"/>
              <w:rPr>
                <w:rFonts w:eastAsia="Arial Unicode MS"/>
              </w:rPr>
            </w:pPr>
          </w:p>
        </w:tc>
        <w:tc>
          <w:tcPr>
            <w:tcW w:w="851" w:type="dxa"/>
            <w:vAlign w:val="center"/>
          </w:tcPr>
          <w:p w:rsidR="0087768C" w:rsidRPr="005869E7" w:rsidRDefault="0087768C" w:rsidP="00F103CF">
            <w:pPr>
              <w:pStyle w:val="tabteksts"/>
              <w:tabs>
                <w:tab w:val="decimal" w:pos="330"/>
              </w:tabs>
              <w:jc w:val="center"/>
            </w:pPr>
          </w:p>
        </w:tc>
      </w:tr>
      <w:tr w:rsidR="0050658A" w:rsidRPr="005869E7" w:rsidTr="002B225F">
        <w:tc>
          <w:tcPr>
            <w:tcW w:w="3119" w:type="dxa"/>
            <w:vAlign w:val="center"/>
          </w:tcPr>
          <w:p w:rsidR="0087768C" w:rsidRPr="005869E7" w:rsidRDefault="0087768C" w:rsidP="00F103CF">
            <w:pPr>
              <w:pStyle w:val="tabteksts"/>
              <w:jc w:val="right"/>
            </w:pPr>
            <w:r w:rsidRPr="005869E7">
              <w:t>2011. gads</w:t>
            </w:r>
          </w:p>
        </w:tc>
        <w:tc>
          <w:tcPr>
            <w:tcW w:w="992" w:type="dxa"/>
            <w:vAlign w:val="center"/>
          </w:tcPr>
          <w:p w:rsidR="0087768C" w:rsidRPr="005869E7" w:rsidRDefault="0087768C" w:rsidP="00F103CF">
            <w:pPr>
              <w:pStyle w:val="tabteksts"/>
            </w:pPr>
          </w:p>
        </w:tc>
        <w:tc>
          <w:tcPr>
            <w:tcW w:w="709" w:type="dxa"/>
            <w:vAlign w:val="center"/>
          </w:tcPr>
          <w:p w:rsidR="0087768C" w:rsidRPr="005869E7" w:rsidRDefault="0087768C" w:rsidP="00F103CF">
            <w:pPr>
              <w:pStyle w:val="tabteksts"/>
              <w:jc w:val="center"/>
            </w:pPr>
            <w:r>
              <w:t>-4,5</w:t>
            </w:r>
          </w:p>
        </w:tc>
        <w:tc>
          <w:tcPr>
            <w:tcW w:w="850" w:type="dxa"/>
            <w:vAlign w:val="center"/>
          </w:tcPr>
          <w:p w:rsidR="0087768C" w:rsidRPr="005869E7" w:rsidRDefault="0087768C" w:rsidP="00F103CF">
            <w:pPr>
              <w:pStyle w:val="tabteksts"/>
              <w:jc w:val="center"/>
            </w:pPr>
            <w:r>
              <w:t>-2,5</w:t>
            </w:r>
          </w:p>
        </w:tc>
        <w:tc>
          <w:tcPr>
            <w:tcW w:w="851" w:type="dxa"/>
            <w:vAlign w:val="center"/>
          </w:tcPr>
          <w:p w:rsidR="0087768C" w:rsidRPr="005869E7" w:rsidRDefault="0087768C" w:rsidP="00F103CF">
            <w:pPr>
              <w:pStyle w:val="tabteksts"/>
              <w:jc w:val="center"/>
            </w:pPr>
            <w:r>
              <w:t>-1,9</w:t>
            </w:r>
          </w:p>
        </w:tc>
        <w:tc>
          <w:tcPr>
            <w:tcW w:w="850" w:type="dxa"/>
            <w:vAlign w:val="center"/>
          </w:tcPr>
          <w:p w:rsidR="0087768C" w:rsidRPr="005869E7" w:rsidRDefault="0087768C" w:rsidP="00F103CF">
            <w:pPr>
              <w:pStyle w:val="tabteksts"/>
              <w:jc w:val="center"/>
              <w:rPr>
                <w:rFonts w:eastAsia="Arial Unicode MS"/>
              </w:rPr>
            </w:pPr>
            <w:r>
              <w:rPr>
                <w:rFonts w:eastAsia="Arial Unicode MS"/>
              </w:rPr>
              <w:t>-1,1</w:t>
            </w:r>
          </w:p>
        </w:tc>
        <w:tc>
          <w:tcPr>
            <w:tcW w:w="851" w:type="dxa"/>
            <w:vAlign w:val="center"/>
          </w:tcPr>
          <w:p w:rsidR="0087768C" w:rsidRPr="005869E7" w:rsidRDefault="0087768C" w:rsidP="00F103CF">
            <w:pPr>
              <w:pStyle w:val="tabteksts"/>
              <w:jc w:val="center"/>
              <w:rPr>
                <w:rFonts w:eastAsia="Arial Unicode MS"/>
              </w:rPr>
            </w:pPr>
            <w:r>
              <w:rPr>
                <w:rFonts w:eastAsia="Arial Unicode MS"/>
              </w:rPr>
              <w:t>-</w:t>
            </w:r>
          </w:p>
        </w:tc>
      </w:tr>
      <w:tr w:rsidR="0050658A" w:rsidRPr="005869E7" w:rsidTr="002B225F">
        <w:tc>
          <w:tcPr>
            <w:tcW w:w="3119" w:type="dxa"/>
            <w:vAlign w:val="center"/>
          </w:tcPr>
          <w:p w:rsidR="0087768C" w:rsidRPr="005869E7" w:rsidRDefault="0087768C" w:rsidP="00F103CF">
            <w:pPr>
              <w:pStyle w:val="tabteksts"/>
              <w:jc w:val="right"/>
            </w:pPr>
            <w:r w:rsidRPr="005869E7">
              <w:t>2012. gads</w:t>
            </w:r>
          </w:p>
        </w:tc>
        <w:tc>
          <w:tcPr>
            <w:tcW w:w="992" w:type="dxa"/>
            <w:vAlign w:val="center"/>
          </w:tcPr>
          <w:p w:rsidR="0087768C" w:rsidRPr="005869E7" w:rsidRDefault="0087768C" w:rsidP="00F103CF">
            <w:pPr>
              <w:pStyle w:val="tabteksts"/>
            </w:pPr>
          </w:p>
        </w:tc>
        <w:tc>
          <w:tcPr>
            <w:tcW w:w="709" w:type="dxa"/>
            <w:vAlign w:val="center"/>
          </w:tcPr>
          <w:p w:rsidR="0087768C" w:rsidRPr="005869E7" w:rsidRDefault="0087768C" w:rsidP="00F103CF">
            <w:pPr>
              <w:pStyle w:val="tabteksts"/>
              <w:jc w:val="center"/>
              <w:rPr>
                <w:rFonts w:eastAsia="Arial Unicode MS"/>
              </w:rPr>
            </w:pPr>
            <w:r>
              <w:rPr>
                <w:rFonts w:eastAsia="Arial Unicode MS"/>
              </w:rPr>
              <w:t>-3,5</w:t>
            </w:r>
          </w:p>
        </w:tc>
        <w:tc>
          <w:tcPr>
            <w:tcW w:w="850" w:type="dxa"/>
            <w:vAlign w:val="center"/>
          </w:tcPr>
          <w:p w:rsidR="0087768C" w:rsidRPr="005869E7" w:rsidRDefault="0087768C" w:rsidP="00F103CF">
            <w:pPr>
              <w:pStyle w:val="tabteksts"/>
              <w:jc w:val="center"/>
              <w:rPr>
                <w:rFonts w:eastAsia="Arial Unicode MS"/>
              </w:rPr>
            </w:pPr>
            <w:r>
              <w:rPr>
                <w:rFonts w:eastAsia="Arial Unicode MS"/>
              </w:rPr>
              <w:t>-2,1</w:t>
            </w:r>
          </w:p>
        </w:tc>
        <w:tc>
          <w:tcPr>
            <w:tcW w:w="851" w:type="dxa"/>
            <w:vAlign w:val="center"/>
          </w:tcPr>
          <w:p w:rsidR="0087768C" w:rsidRPr="005869E7" w:rsidRDefault="0087768C" w:rsidP="00F103CF">
            <w:pPr>
              <w:pStyle w:val="tabteksts"/>
              <w:jc w:val="center"/>
              <w:rPr>
                <w:rFonts w:eastAsia="Arial Unicode MS"/>
              </w:rPr>
            </w:pPr>
            <w:r>
              <w:rPr>
                <w:rFonts w:eastAsia="Arial Unicode MS"/>
              </w:rPr>
              <w:t>-1,4</w:t>
            </w:r>
          </w:p>
        </w:tc>
        <w:tc>
          <w:tcPr>
            <w:tcW w:w="850" w:type="dxa"/>
            <w:vAlign w:val="center"/>
          </w:tcPr>
          <w:p w:rsidR="0087768C" w:rsidRPr="005869E7" w:rsidRDefault="0087768C" w:rsidP="00F103CF">
            <w:pPr>
              <w:pStyle w:val="tabteksts"/>
              <w:jc w:val="center"/>
              <w:rPr>
                <w:rFonts w:eastAsia="Arial Unicode MS"/>
              </w:rPr>
            </w:pPr>
            <w:r>
              <w:rPr>
                <w:rFonts w:eastAsia="Arial Unicode MS"/>
              </w:rPr>
              <w:t>-0,8</w:t>
            </w:r>
          </w:p>
        </w:tc>
        <w:tc>
          <w:tcPr>
            <w:tcW w:w="851" w:type="dxa"/>
            <w:vAlign w:val="center"/>
          </w:tcPr>
          <w:p w:rsidR="0087768C" w:rsidRPr="005869E7" w:rsidRDefault="00173466" w:rsidP="00F103CF">
            <w:pPr>
              <w:pStyle w:val="tabteksts"/>
              <w:jc w:val="center"/>
              <w:rPr>
                <w:rFonts w:eastAsia="Arial Unicode MS"/>
              </w:rPr>
            </w:pPr>
            <w:r>
              <w:rPr>
                <w:rFonts w:eastAsia="Arial Unicode MS"/>
              </w:rPr>
              <w:t>-</w:t>
            </w:r>
            <w:r w:rsidR="0087768C">
              <w:rPr>
                <w:rFonts w:eastAsia="Arial Unicode MS"/>
              </w:rPr>
              <w:t>0,3</w:t>
            </w:r>
          </w:p>
        </w:tc>
      </w:tr>
      <w:tr w:rsidR="00BE0A51" w:rsidRPr="005869E7" w:rsidTr="00173466">
        <w:tc>
          <w:tcPr>
            <w:tcW w:w="3119" w:type="dxa"/>
          </w:tcPr>
          <w:p w:rsidR="00BE0A51" w:rsidRPr="005869E7" w:rsidRDefault="00BE0A51" w:rsidP="00391B7D">
            <w:pPr>
              <w:pStyle w:val="tabteksts"/>
              <w:jc w:val="right"/>
              <w:rPr>
                <w:snapToGrid w:val="0"/>
              </w:rPr>
            </w:pPr>
            <w:r w:rsidRPr="005869E7">
              <w:rPr>
                <w:snapToGrid w:val="0"/>
              </w:rPr>
              <w:t>Izmaiņas</w:t>
            </w:r>
          </w:p>
        </w:tc>
        <w:tc>
          <w:tcPr>
            <w:tcW w:w="992" w:type="dxa"/>
          </w:tcPr>
          <w:p w:rsidR="00BE0A51" w:rsidRPr="005869E7" w:rsidRDefault="00BE0A51" w:rsidP="00391B7D">
            <w:pPr>
              <w:pStyle w:val="tabteksts"/>
            </w:pPr>
          </w:p>
        </w:tc>
        <w:tc>
          <w:tcPr>
            <w:tcW w:w="709" w:type="dxa"/>
          </w:tcPr>
          <w:p w:rsidR="00BE0A51" w:rsidRPr="005869E7" w:rsidRDefault="00BE0A51" w:rsidP="00391B7D">
            <w:pPr>
              <w:pStyle w:val="tabteksts"/>
              <w:jc w:val="center"/>
              <w:rPr>
                <w:rFonts w:eastAsia="Arial Unicode MS"/>
              </w:rPr>
            </w:pPr>
            <w:r>
              <w:rPr>
                <w:rFonts w:eastAsia="Arial Unicode MS"/>
              </w:rPr>
              <w:t>1,0</w:t>
            </w:r>
          </w:p>
        </w:tc>
        <w:tc>
          <w:tcPr>
            <w:tcW w:w="850" w:type="dxa"/>
          </w:tcPr>
          <w:p w:rsidR="00BE0A51" w:rsidRPr="005869E7" w:rsidRDefault="00BE0A51" w:rsidP="00391B7D">
            <w:pPr>
              <w:pStyle w:val="tabteksts"/>
              <w:jc w:val="center"/>
              <w:rPr>
                <w:rFonts w:eastAsia="Arial Unicode MS"/>
              </w:rPr>
            </w:pPr>
            <w:r>
              <w:rPr>
                <w:rFonts w:eastAsia="Arial Unicode MS"/>
              </w:rPr>
              <w:t>0,4</w:t>
            </w:r>
          </w:p>
        </w:tc>
        <w:tc>
          <w:tcPr>
            <w:tcW w:w="851" w:type="dxa"/>
          </w:tcPr>
          <w:p w:rsidR="00BE0A51" w:rsidRPr="005869E7" w:rsidRDefault="00BE0A51" w:rsidP="00391B7D">
            <w:pPr>
              <w:pStyle w:val="tabteksts"/>
              <w:jc w:val="center"/>
              <w:rPr>
                <w:rFonts w:eastAsia="Arial Unicode MS"/>
              </w:rPr>
            </w:pPr>
            <w:r>
              <w:rPr>
                <w:rFonts w:eastAsia="Arial Unicode MS"/>
              </w:rPr>
              <w:t>0,5</w:t>
            </w:r>
          </w:p>
        </w:tc>
        <w:tc>
          <w:tcPr>
            <w:tcW w:w="850" w:type="dxa"/>
          </w:tcPr>
          <w:p w:rsidR="00BE0A51" w:rsidRPr="005869E7" w:rsidRDefault="00BE0A51" w:rsidP="00391B7D">
            <w:pPr>
              <w:pStyle w:val="tabteksts"/>
              <w:jc w:val="center"/>
              <w:rPr>
                <w:rFonts w:eastAsia="Arial Unicode MS"/>
              </w:rPr>
            </w:pPr>
            <w:r>
              <w:rPr>
                <w:rFonts w:eastAsia="Arial Unicode MS"/>
              </w:rPr>
              <w:t>0,3</w:t>
            </w:r>
          </w:p>
        </w:tc>
        <w:tc>
          <w:tcPr>
            <w:tcW w:w="851" w:type="dxa"/>
          </w:tcPr>
          <w:p w:rsidR="00BE0A51" w:rsidRPr="005869E7" w:rsidRDefault="00BE0A51" w:rsidP="00391B7D">
            <w:pPr>
              <w:pStyle w:val="tabteksts"/>
              <w:jc w:val="center"/>
              <w:rPr>
                <w:rFonts w:eastAsia="Arial Unicode MS"/>
              </w:rPr>
            </w:pPr>
            <w:r>
              <w:rPr>
                <w:rFonts w:eastAsia="Arial Unicode MS"/>
              </w:rPr>
              <w:t>-</w:t>
            </w:r>
          </w:p>
        </w:tc>
      </w:tr>
      <w:tr w:rsidR="00BE0A51" w:rsidRPr="005869E7" w:rsidTr="00173466">
        <w:tc>
          <w:tcPr>
            <w:tcW w:w="3119" w:type="dxa"/>
          </w:tcPr>
          <w:p w:rsidR="00BE0A51" w:rsidRPr="005869E7" w:rsidRDefault="00BE0A51" w:rsidP="00391B7D">
            <w:pPr>
              <w:pStyle w:val="tabteksts"/>
              <w:rPr>
                <w:snapToGrid w:val="0"/>
              </w:rPr>
            </w:pPr>
            <w:r w:rsidRPr="005869E7">
              <w:rPr>
                <w:b/>
              </w:rPr>
              <w:t>Vispārējās valdības kopējais parāds (% no IKP)</w:t>
            </w:r>
          </w:p>
        </w:tc>
        <w:tc>
          <w:tcPr>
            <w:tcW w:w="992" w:type="dxa"/>
          </w:tcPr>
          <w:p w:rsidR="00BE0A51" w:rsidRPr="005869E7" w:rsidRDefault="00BE0A51" w:rsidP="00391B7D">
            <w:pPr>
              <w:pStyle w:val="tabteksts"/>
            </w:pPr>
          </w:p>
        </w:tc>
        <w:tc>
          <w:tcPr>
            <w:tcW w:w="709" w:type="dxa"/>
          </w:tcPr>
          <w:p w:rsidR="00BE0A51" w:rsidRPr="005869E7" w:rsidRDefault="00BE0A51" w:rsidP="00391B7D">
            <w:pPr>
              <w:pStyle w:val="tabteksts"/>
              <w:tabs>
                <w:tab w:val="decimal" w:pos="330"/>
              </w:tabs>
              <w:jc w:val="center"/>
            </w:pPr>
          </w:p>
        </w:tc>
        <w:tc>
          <w:tcPr>
            <w:tcW w:w="850" w:type="dxa"/>
          </w:tcPr>
          <w:p w:rsidR="00BE0A51" w:rsidRPr="005869E7" w:rsidRDefault="00BE0A51" w:rsidP="00391B7D">
            <w:pPr>
              <w:pStyle w:val="tabteksts"/>
              <w:tabs>
                <w:tab w:val="decimal" w:pos="330"/>
              </w:tabs>
              <w:jc w:val="center"/>
            </w:pPr>
          </w:p>
        </w:tc>
        <w:tc>
          <w:tcPr>
            <w:tcW w:w="851" w:type="dxa"/>
          </w:tcPr>
          <w:p w:rsidR="00BE0A51" w:rsidRPr="005869E7" w:rsidRDefault="00BE0A51" w:rsidP="00391B7D">
            <w:pPr>
              <w:pStyle w:val="tabteksts"/>
              <w:tabs>
                <w:tab w:val="decimal" w:pos="330"/>
              </w:tabs>
              <w:jc w:val="center"/>
            </w:pPr>
          </w:p>
        </w:tc>
        <w:tc>
          <w:tcPr>
            <w:tcW w:w="850" w:type="dxa"/>
          </w:tcPr>
          <w:p w:rsidR="00BE0A51" w:rsidRPr="005869E7" w:rsidRDefault="00BE0A51" w:rsidP="00391B7D">
            <w:pPr>
              <w:pStyle w:val="tabteksts"/>
              <w:tabs>
                <w:tab w:val="decimal" w:pos="330"/>
              </w:tabs>
              <w:jc w:val="center"/>
              <w:rPr>
                <w:rFonts w:eastAsia="Arial Unicode MS"/>
              </w:rPr>
            </w:pPr>
          </w:p>
        </w:tc>
        <w:tc>
          <w:tcPr>
            <w:tcW w:w="851" w:type="dxa"/>
          </w:tcPr>
          <w:p w:rsidR="00BE0A51" w:rsidRPr="005869E7" w:rsidRDefault="00BE0A51" w:rsidP="00391B7D">
            <w:pPr>
              <w:pStyle w:val="tabteksts"/>
              <w:jc w:val="center"/>
            </w:pPr>
          </w:p>
        </w:tc>
      </w:tr>
      <w:tr w:rsidR="00BE0A51" w:rsidRPr="005869E7" w:rsidTr="00173466">
        <w:tc>
          <w:tcPr>
            <w:tcW w:w="3119" w:type="dxa"/>
          </w:tcPr>
          <w:p w:rsidR="00BE0A51" w:rsidRPr="005869E7" w:rsidRDefault="00BE0A51" w:rsidP="00391B7D">
            <w:pPr>
              <w:pStyle w:val="tabteksts"/>
              <w:jc w:val="right"/>
            </w:pPr>
            <w:r w:rsidRPr="005869E7">
              <w:t>2011. gads</w:t>
            </w:r>
          </w:p>
        </w:tc>
        <w:tc>
          <w:tcPr>
            <w:tcW w:w="992" w:type="dxa"/>
          </w:tcPr>
          <w:p w:rsidR="00BE0A51" w:rsidRPr="005869E7" w:rsidRDefault="00BE0A51" w:rsidP="00391B7D">
            <w:pPr>
              <w:pStyle w:val="tabteksts"/>
            </w:pPr>
          </w:p>
        </w:tc>
        <w:tc>
          <w:tcPr>
            <w:tcW w:w="709" w:type="dxa"/>
          </w:tcPr>
          <w:p w:rsidR="00BE0A51" w:rsidRPr="005869E7" w:rsidRDefault="00BE0A51" w:rsidP="00391B7D">
            <w:pPr>
              <w:pStyle w:val="tabteksts"/>
              <w:jc w:val="center"/>
            </w:pPr>
            <w:r>
              <w:t>48,3</w:t>
            </w:r>
          </w:p>
        </w:tc>
        <w:tc>
          <w:tcPr>
            <w:tcW w:w="850" w:type="dxa"/>
          </w:tcPr>
          <w:p w:rsidR="00BE0A51" w:rsidRPr="005869E7" w:rsidRDefault="00BE0A51" w:rsidP="00391B7D">
            <w:pPr>
              <w:pStyle w:val="tabteksts"/>
              <w:jc w:val="center"/>
            </w:pPr>
            <w:r>
              <w:t>48,1</w:t>
            </w:r>
          </w:p>
        </w:tc>
        <w:tc>
          <w:tcPr>
            <w:tcW w:w="851" w:type="dxa"/>
          </w:tcPr>
          <w:p w:rsidR="00BE0A51" w:rsidRPr="005869E7" w:rsidRDefault="00BE0A51" w:rsidP="00391B7D">
            <w:pPr>
              <w:pStyle w:val="tabteksts"/>
              <w:jc w:val="center"/>
            </w:pPr>
            <w:r>
              <w:t>49,9</w:t>
            </w:r>
          </w:p>
        </w:tc>
        <w:tc>
          <w:tcPr>
            <w:tcW w:w="850" w:type="dxa"/>
          </w:tcPr>
          <w:p w:rsidR="00BE0A51" w:rsidRPr="005869E7" w:rsidRDefault="00BE0A51" w:rsidP="00391B7D">
            <w:pPr>
              <w:pStyle w:val="tabteksts"/>
              <w:jc w:val="center"/>
            </w:pPr>
            <w:r>
              <w:t>51,9</w:t>
            </w:r>
          </w:p>
        </w:tc>
        <w:tc>
          <w:tcPr>
            <w:tcW w:w="851" w:type="dxa"/>
          </w:tcPr>
          <w:p w:rsidR="00BE0A51" w:rsidRPr="005869E7" w:rsidRDefault="00BE0A51" w:rsidP="00391B7D">
            <w:pPr>
              <w:pStyle w:val="tabteksts"/>
              <w:tabs>
                <w:tab w:val="decimal" w:pos="330"/>
              </w:tabs>
              <w:jc w:val="center"/>
            </w:pPr>
            <w:r>
              <w:t>-</w:t>
            </w:r>
          </w:p>
        </w:tc>
      </w:tr>
      <w:tr w:rsidR="00BE0A51" w:rsidRPr="005869E7" w:rsidTr="00173466">
        <w:trPr>
          <w:trHeight w:val="70"/>
        </w:trPr>
        <w:tc>
          <w:tcPr>
            <w:tcW w:w="3119" w:type="dxa"/>
          </w:tcPr>
          <w:p w:rsidR="00BE0A51" w:rsidRPr="005869E7" w:rsidRDefault="00BE0A51" w:rsidP="00391B7D">
            <w:pPr>
              <w:pStyle w:val="tabteksts"/>
              <w:jc w:val="right"/>
            </w:pPr>
            <w:r w:rsidRPr="005869E7">
              <w:t>2012. gads</w:t>
            </w:r>
          </w:p>
        </w:tc>
        <w:tc>
          <w:tcPr>
            <w:tcW w:w="992" w:type="dxa"/>
          </w:tcPr>
          <w:p w:rsidR="00BE0A51" w:rsidRPr="005869E7" w:rsidRDefault="00BE0A51" w:rsidP="00391B7D">
            <w:pPr>
              <w:pStyle w:val="tabteksts"/>
            </w:pPr>
          </w:p>
        </w:tc>
        <w:tc>
          <w:tcPr>
            <w:tcW w:w="709" w:type="dxa"/>
          </w:tcPr>
          <w:p w:rsidR="00BE0A51" w:rsidRPr="005869E7" w:rsidRDefault="00BE0A51" w:rsidP="00391B7D">
            <w:pPr>
              <w:pStyle w:val="tabteksts"/>
              <w:jc w:val="center"/>
            </w:pPr>
            <w:r>
              <w:t>42,6</w:t>
            </w:r>
          </w:p>
        </w:tc>
        <w:tc>
          <w:tcPr>
            <w:tcW w:w="850" w:type="dxa"/>
          </w:tcPr>
          <w:p w:rsidR="00BE0A51" w:rsidRPr="005869E7" w:rsidRDefault="00BE0A51" w:rsidP="00391B7D">
            <w:pPr>
              <w:pStyle w:val="tabteksts"/>
              <w:jc w:val="center"/>
            </w:pPr>
            <w:r>
              <w:t>44,5</w:t>
            </w:r>
          </w:p>
        </w:tc>
        <w:tc>
          <w:tcPr>
            <w:tcW w:w="851" w:type="dxa"/>
          </w:tcPr>
          <w:p w:rsidR="00BE0A51" w:rsidRPr="005869E7" w:rsidRDefault="00BE0A51" w:rsidP="00391B7D">
            <w:pPr>
              <w:pStyle w:val="tabteksts"/>
              <w:jc w:val="center"/>
            </w:pPr>
            <w:r>
              <w:t>45,8</w:t>
            </w:r>
          </w:p>
        </w:tc>
        <w:tc>
          <w:tcPr>
            <w:tcW w:w="850" w:type="dxa"/>
          </w:tcPr>
          <w:p w:rsidR="00BE0A51" w:rsidRPr="005869E7" w:rsidRDefault="00BE0A51" w:rsidP="00391B7D">
            <w:pPr>
              <w:pStyle w:val="tabteksts"/>
              <w:jc w:val="center"/>
            </w:pPr>
            <w:r>
              <w:t>46,7</w:t>
            </w:r>
          </w:p>
        </w:tc>
        <w:tc>
          <w:tcPr>
            <w:tcW w:w="851" w:type="dxa"/>
          </w:tcPr>
          <w:p w:rsidR="00BE0A51" w:rsidRPr="005869E7" w:rsidRDefault="00BE0A51" w:rsidP="00391B7D">
            <w:pPr>
              <w:pStyle w:val="tabteksts"/>
              <w:jc w:val="center"/>
            </w:pPr>
            <w:r>
              <w:t>38,9</w:t>
            </w:r>
          </w:p>
        </w:tc>
      </w:tr>
      <w:tr w:rsidR="00BE0A51" w:rsidRPr="005869E7" w:rsidTr="00173466">
        <w:tc>
          <w:tcPr>
            <w:tcW w:w="3119" w:type="dxa"/>
          </w:tcPr>
          <w:p w:rsidR="00BE0A51" w:rsidRPr="005869E7" w:rsidRDefault="00BE0A51" w:rsidP="00391B7D">
            <w:pPr>
              <w:pStyle w:val="tabteksts"/>
              <w:jc w:val="right"/>
              <w:rPr>
                <w:snapToGrid w:val="0"/>
              </w:rPr>
            </w:pPr>
            <w:r w:rsidRPr="005869E7">
              <w:rPr>
                <w:snapToGrid w:val="0"/>
              </w:rPr>
              <w:t>Izmaiņas</w:t>
            </w:r>
          </w:p>
        </w:tc>
        <w:tc>
          <w:tcPr>
            <w:tcW w:w="992" w:type="dxa"/>
          </w:tcPr>
          <w:p w:rsidR="00BE0A51" w:rsidRPr="005869E7" w:rsidRDefault="00BE0A51" w:rsidP="00391B7D">
            <w:pPr>
              <w:pStyle w:val="tabteksts"/>
            </w:pPr>
          </w:p>
        </w:tc>
        <w:tc>
          <w:tcPr>
            <w:tcW w:w="709" w:type="dxa"/>
          </w:tcPr>
          <w:p w:rsidR="00BE0A51" w:rsidRPr="005869E7" w:rsidRDefault="00BE0A51" w:rsidP="00391B7D">
            <w:pPr>
              <w:pStyle w:val="tabteksts"/>
              <w:tabs>
                <w:tab w:val="decimal" w:pos="330"/>
              </w:tabs>
              <w:jc w:val="center"/>
            </w:pPr>
            <w:r>
              <w:t>-5,7</w:t>
            </w:r>
          </w:p>
        </w:tc>
        <w:tc>
          <w:tcPr>
            <w:tcW w:w="850" w:type="dxa"/>
          </w:tcPr>
          <w:p w:rsidR="00BE0A51" w:rsidRPr="005869E7" w:rsidRDefault="00BE0A51" w:rsidP="00391B7D">
            <w:pPr>
              <w:pStyle w:val="tabteksts"/>
              <w:tabs>
                <w:tab w:val="decimal" w:pos="330"/>
              </w:tabs>
              <w:jc w:val="center"/>
            </w:pPr>
            <w:r>
              <w:t>-3,6</w:t>
            </w:r>
          </w:p>
        </w:tc>
        <w:tc>
          <w:tcPr>
            <w:tcW w:w="851" w:type="dxa"/>
          </w:tcPr>
          <w:p w:rsidR="00BE0A51" w:rsidRPr="005869E7" w:rsidRDefault="00BE0A51" w:rsidP="00391B7D">
            <w:pPr>
              <w:pStyle w:val="tabteksts"/>
              <w:tabs>
                <w:tab w:val="decimal" w:pos="330"/>
              </w:tabs>
              <w:jc w:val="center"/>
            </w:pPr>
            <w:r>
              <w:t>-4,1</w:t>
            </w:r>
          </w:p>
        </w:tc>
        <w:tc>
          <w:tcPr>
            <w:tcW w:w="850" w:type="dxa"/>
          </w:tcPr>
          <w:p w:rsidR="00BE0A51" w:rsidRPr="005869E7" w:rsidRDefault="00BE0A51" w:rsidP="00391B7D">
            <w:pPr>
              <w:pStyle w:val="tabteksts"/>
              <w:tabs>
                <w:tab w:val="decimal" w:pos="330"/>
              </w:tabs>
              <w:jc w:val="center"/>
            </w:pPr>
            <w:r>
              <w:t>-5,2</w:t>
            </w:r>
          </w:p>
        </w:tc>
        <w:tc>
          <w:tcPr>
            <w:tcW w:w="851" w:type="dxa"/>
          </w:tcPr>
          <w:p w:rsidR="00BE0A51" w:rsidRPr="005869E7" w:rsidRDefault="00BE0A51" w:rsidP="00391B7D">
            <w:pPr>
              <w:pStyle w:val="tabteksts"/>
              <w:tabs>
                <w:tab w:val="decimal" w:pos="330"/>
              </w:tabs>
              <w:jc w:val="center"/>
            </w:pPr>
            <w:r>
              <w:t>-</w:t>
            </w:r>
          </w:p>
        </w:tc>
      </w:tr>
    </w:tbl>
    <w:p w:rsidR="00BE0A51" w:rsidRPr="00F34BEB" w:rsidRDefault="00BE0A51" w:rsidP="00BE0A51">
      <w:pPr>
        <w:pStyle w:val="teksts"/>
        <w:spacing w:before="240"/>
        <w:ind w:firstLine="720"/>
        <w:rPr>
          <w:rFonts w:ascii="Times New Roman" w:eastAsia="Calibri" w:hAnsi="Times New Roman"/>
          <w:szCs w:val="24"/>
        </w:rPr>
      </w:pPr>
      <w:r w:rsidRPr="00F34BEB">
        <w:rPr>
          <w:rFonts w:ascii="Times New Roman" w:eastAsia="Calibri" w:hAnsi="Times New Roman"/>
          <w:szCs w:val="24"/>
        </w:rPr>
        <w:t>Ņemot vērā straujāku ekonomikas attīstību 2011. gadā, kā rezultātā straujāk nekā prognozēts pieauga budžeta ieņēmumi, 2011. gada vispārējās valdības budžeta deficīts bija 3,5</w:t>
      </w:r>
      <w:r>
        <w:rPr>
          <w:rFonts w:ascii="Times New Roman" w:eastAsia="Calibri" w:hAnsi="Times New Roman"/>
          <w:szCs w:val="24"/>
        </w:rPr>
        <w:t> </w:t>
      </w:r>
      <w:r w:rsidRPr="00F34BEB">
        <w:rPr>
          <w:rFonts w:ascii="Times New Roman" w:eastAsia="Calibri" w:hAnsi="Times New Roman"/>
          <w:szCs w:val="24"/>
        </w:rPr>
        <w:t>% no IKP, kas ir būtiski zemāks salīdzinājumā ar iepriekšējā Konverģences programmā noteikto deficīta prognozi 4,5</w:t>
      </w:r>
      <w:r>
        <w:rPr>
          <w:rFonts w:ascii="Times New Roman" w:eastAsia="Calibri" w:hAnsi="Times New Roman"/>
          <w:szCs w:val="24"/>
        </w:rPr>
        <w:t> </w:t>
      </w:r>
      <w:r w:rsidRPr="00F34BEB">
        <w:rPr>
          <w:rFonts w:ascii="Times New Roman" w:eastAsia="Calibri" w:hAnsi="Times New Roman"/>
          <w:szCs w:val="24"/>
        </w:rPr>
        <w:t>% no IKP. Labāka fiskālā situācija 2011. gadā, kā arī plānotā bilances uzlabošana strukturālā izteiksmē sekmē vispārējās valdības budžeta deficīta samazināšanos nākamajos gados.</w:t>
      </w:r>
    </w:p>
    <w:p w:rsidR="00BE0A51" w:rsidRPr="001A77E7" w:rsidRDefault="00BE0A51" w:rsidP="00BE0A51">
      <w:pPr>
        <w:spacing w:before="120"/>
      </w:pPr>
      <w:r>
        <w:rPr>
          <w:sz w:val="23"/>
          <w:szCs w:val="23"/>
        </w:rPr>
        <w:t>Aktualizētā vispārējās valdības parāda prognoze ir pozitīvāka, salīdzinot ar 2011. gada Konverģences programmas prognozēm, ko noteica galvenokārt faktiskā un prognozētā IKP izaugsme, īstenotā fiskālā konsolidācija, precizēta aizņemšanas stratēģija, kā arī mazāki neto aizņemšanas apjomi 2011. gadā iekšējā finanšu tirgū.</w:t>
      </w:r>
    </w:p>
    <w:p w:rsidR="0087768C" w:rsidRDefault="0087768C" w:rsidP="002D62B9">
      <w:pPr>
        <w:rPr>
          <w:b/>
          <w:sz w:val="32"/>
          <w:szCs w:val="32"/>
        </w:rPr>
      </w:pPr>
    </w:p>
    <w:p w:rsidR="0087768C" w:rsidRDefault="0087768C" w:rsidP="002D62B9">
      <w:pPr>
        <w:rPr>
          <w:b/>
          <w:sz w:val="32"/>
          <w:szCs w:val="32"/>
        </w:rPr>
      </w:pPr>
    </w:p>
    <w:p w:rsidR="00F37E17" w:rsidRPr="0067268A" w:rsidRDefault="008B3132" w:rsidP="0067268A">
      <w:pPr>
        <w:pStyle w:val="otrais"/>
      </w:pPr>
      <w:bookmarkStart w:id="60" w:name="_Toc323120294"/>
      <w:r w:rsidRPr="0067268A">
        <w:lastRenderedPageBreak/>
        <w:t>6.</w:t>
      </w:r>
      <w:r w:rsidR="00984AE5" w:rsidRPr="0067268A">
        <w:t>2</w:t>
      </w:r>
      <w:r w:rsidRPr="0067268A">
        <w:t xml:space="preserve">. </w:t>
      </w:r>
      <w:r w:rsidR="00443A2C" w:rsidRPr="0067268A">
        <w:t>Latvijas rīcība attiecībā uz ES Padomes ieteikumu ieviešanu</w:t>
      </w:r>
      <w:bookmarkEnd w:id="60"/>
    </w:p>
    <w:p w:rsidR="00F37E17" w:rsidRDefault="00F37E17" w:rsidP="002D62B9">
      <w:pPr>
        <w:rPr>
          <w:szCs w:val="24"/>
        </w:rPr>
      </w:pPr>
      <w:bookmarkStart w:id="61" w:name="_Toc290024506"/>
      <w:r>
        <w:rPr>
          <w:szCs w:val="24"/>
        </w:rPr>
        <w:t>Par Latvijas sagatavoto Konve</w:t>
      </w:r>
      <w:r w:rsidR="006546CA">
        <w:rPr>
          <w:szCs w:val="24"/>
        </w:rPr>
        <w:t xml:space="preserve">rģences programmu 2011. </w:t>
      </w:r>
      <w:r w:rsidR="0035776A">
        <w:rPr>
          <w:szCs w:val="24"/>
        </w:rPr>
        <w:t>–</w:t>
      </w:r>
      <w:r w:rsidR="006546CA">
        <w:rPr>
          <w:szCs w:val="24"/>
        </w:rPr>
        <w:t xml:space="preserve"> 2014. </w:t>
      </w:r>
      <w:r>
        <w:rPr>
          <w:szCs w:val="24"/>
        </w:rPr>
        <w:t>gadam, 2011.</w:t>
      </w:r>
      <w:r w:rsidR="006546CA">
        <w:rPr>
          <w:szCs w:val="24"/>
        </w:rPr>
        <w:t> </w:t>
      </w:r>
      <w:r>
        <w:rPr>
          <w:szCs w:val="24"/>
        </w:rPr>
        <w:t>gada 12.</w:t>
      </w:r>
      <w:r w:rsidR="006546CA">
        <w:rPr>
          <w:szCs w:val="24"/>
        </w:rPr>
        <w:t> </w:t>
      </w:r>
      <w:r>
        <w:rPr>
          <w:szCs w:val="24"/>
        </w:rPr>
        <w:t xml:space="preserve">jūlijā Eiropas padome izteica Latvijai rekomendāciju turpināt īstenot pasākumus, kas noteikti </w:t>
      </w:r>
      <w:r w:rsidR="00A83FEC">
        <w:rPr>
          <w:szCs w:val="24"/>
        </w:rPr>
        <w:t>S</w:t>
      </w:r>
      <w:r>
        <w:rPr>
          <w:szCs w:val="24"/>
        </w:rPr>
        <w:t>aprašanās memorandā un tā turpmākajos papildinājumos. Pēdējais Saprašanās memoranda papi</w:t>
      </w:r>
      <w:r w:rsidR="006546CA">
        <w:rPr>
          <w:szCs w:val="24"/>
        </w:rPr>
        <w:t>ldinājums tika parakstīts 2011. gada 21. </w:t>
      </w:r>
      <w:r>
        <w:rPr>
          <w:szCs w:val="24"/>
        </w:rPr>
        <w:t>decembrī. Tajā ir iekļauti pasākumi, kurus Latvija ir apņēmusies realizēt.</w:t>
      </w:r>
    </w:p>
    <w:p w:rsidR="00F37E17" w:rsidRDefault="00F37E17" w:rsidP="002D62B9">
      <w:pPr>
        <w:rPr>
          <w:szCs w:val="24"/>
        </w:rPr>
      </w:pPr>
      <w:r>
        <w:rPr>
          <w:szCs w:val="24"/>
        </w:rPr>
        <w:t>Vienlaicīgi Latvija, īstenojot Saprašanās memorandā iekļautos pasākumus, ievēro Ikgadējā izaugsmes ziņojumā un makroekonomiskajās un fiskālajās vadlīnijās noteikto, kā arī Eiro Plus pakta nospraustās apņemšanās.</w:t>
      </w:r>
    </w:p>
    <w:p w:rsidR="00F37E17" w:rsidRDefault="00F37E17" w:rsidP="002D62B9">
      <w:pPr>
        <w:rPr>
          <w:b/>
          <w:szCs w:val="24"/>
        </w:rPr>
      </w:pPr>
    </w:p>
    <w:p w:rsidR="00F37E17" w:rsidRPr="00677FB9" w:rsidRDefault="00F37E17" w:rsidP="002D62B9">
      <w:pPr>
        <w:rPr>
          <w:b/>
          <w:szCs w:val="24"/>
        </w:rPr>
      </w:pPr>
      <w:r w:rsidRPr="00213C84">
        <w:rPr>
          <w:b/>
          <w:szCs w:val="24"/>
        </w:rPr>
        <w:t xml:space="preserve">I </w:t>
      </w:r>
      <w:r>
        <w:rPr>
          <w:b/>
          <w:szCs w:val="24"/>
        </w:rPr>
        <w:t xml:space="preserve"> I</w:t>
      </w:r>
      <w:r w:rsidRPr="00213C84">
        <w:rPr>
          <w:b/>
          <w:szCs w:val="24"/>
        </w:rPr>
        <w:t>lgtspējīg</w:t>
      </w:r>
      <w:r w:rsidR="00613A06">
        <w:rPr>
          <w:b/>
          <w:szCs w:val="24"/>
        </w:rPr>
        <w:t>u</w:t>
      </w:r>
      <w:r>
        <w:rPr>
          <w:b/>
          <w:szCs w:val="24"/>
        </w:rPr>
        <w:t xml:space="preserve"> valsts finanšu nodrošināšana</w:t>
      </w:r>
      <w:r w:rsidRPr="00213C84">
        <w:rPr>
          <w:b/>
          <w:szCs w:val="24"/>
        </w:rPr>
        <w:t xml:space="preserve"> (Eiro Plus pakta apņ</w:t>
      </w:r>
      <w:r>
        <w:rPr>
          <w:b/>
          <w:szCs w:val="24"/>
        </w:rPr>
        <w:t>emšanās) un izaugsmei draudzīga</w:t>
      </w:r>
      <w:r w:rsidRPr="00213C84">
        <w:rPr>
          <w:b/>
          <w:szCs w:val="24"/>
        </w:rPr>
        <w:t xml:space="preserve"> </w:t>
      </w:r>
      <w:r>
        <w:rPr>
          <w:b/>
          <w:szCs w:val="24"/>
        </w:rPr>
        <w:t>fiskālā</w:t>
      </w:r>
      <w:r w:rsidRPr="00213C84">
        <w:rPr>
          <w:b/>
          <w:szCs w:val="24"/>
        </w:rPr>
        <w:t xml:space="preserve"> </w:t>
      </w:r>
      <w:r>
        <w:rPr>
          <w:b/>
          <w:szCs w:val="24"/>
        </w:rPr>
        <w:t>konsolidācija</w:t>
      </w:r>
      <w:r w:rsidRPr="00213C84">
        <w:rPr>
          <w:b/>
          <w:szCs w:val="24"/>
        </w:rPr>
        <w:t xml:space="preserve"> (Ikgadējā Izaugsmes ziņojuma prioritāte).</w:t>
      </w:r>
    </w:p>
    <w:p w:rsidR="00F37E17" w:rsidRPr="00213C84" w:rsidRDefault="00F37E17" w:rsidP="002D62B9">
      <w:pPr>
        <w:rPr>
          <w:i/>
          <w:szCs w:val="24"/>
        </w:rPr>
      </w:pPr>
      <w:r w:rsidRPr="00213C84">
        <w:rPr>
          <w:i/>
          <w:szCs w:val="24"/>
        </w:rPr>
        <w:t>Pasākumi, nodrošinot vispārīgos programmas nosacījumus un fiskālo disciplīnu:</w:t>
      </w:r>
    </w:p>
    <w:p w:rsidR="00F37E17" w:rsidRPr="00F37E17" w:rsidRDefault="00F37E17" w:rsidP="002D62B9">
      <w:pPr>
        <w:autoSpaceDE w:val="0"/>
        <w:autoSpaceDN w:val="0"/>
        <w:adjustRightInd w:val="0"/>
        <w:spacing w:after="0"/>
        <w:rPr>
          <w:rFonts w:eastAsia="Calibri"/>
          <w:bCs/>
          <w:szCs w:val="24"/>
        </w:rPr>
      </w:pPr>
      <w:r w:rsidRPr="00DD32E6">
        <w:rPr>
          <w:szCs w:val="24"/>
        </w:rPr>
        <w:t>Saskaņā ar vispārējās valdības budžeta deficīta un parāda 2012.</w:t>
      </w:r>
      <w:r w:rsidR="008E348B">
        <w:rPr>
          <w:szCs w:val="24"/>
        </w:rPr>
        <w:t> </w:t>
      </w:r>
      <w:r w:rsidRPr="00DD32E6">
        <w:rPr>
          <w:szCs w:val="24"/>
        </w:rPr>
        <w:t xml:space="preserve">gada aprīļa notifikācijas datiem vispārējās </w:t>
      </w:r>
      <w:r w:rsidR="008E348B">
        <w:rPr>
          <w:szCs w:val="24"/>
        </w:rPr>
        <w:t>valdības budžeta deficīts 2011. </w:t>
      </w:r>
      <w:r w:rsidRPr="00DD32E6">
        <w:rPr>
          <w:szCs w:val="24"/>
        </w:rPr>
        <w:t xml:space="preserve">gadā </w:t>
      </w:r>
      <w:r w:rsidRPr="00417399">
        <w:rPr>
          <w:szCs w:val="24"/>
        </w:rPr>
        <w:t>ir 3,5</w:t>
      </w:r>
      <w:r w:rsidR="008E348B">
        <w:rPr>
          <w:szCs w:val="24"/>
        </w:rPr>
        <w:t> </w:t>
      </w:r>
      <w:r w:rsidRPr="00417399">
        <w:rPr>
          <w:szCs w:val="24"/>
        </w:rPr>
        <w:t>% no</w:t>
      </w:r>
      <w:r w:rsidRPr="00DD32E6">
        <w:rPr>
          <w:szCs w:val="24"/>
        </w:rPr>
        <w:t xml:space="preserve"> IKP (saskaņā ar E</w:t>
      </w:r>
      <w:r w:rsidR="001E1F67">
        <w:rPr>
          <w:szCs w:val="24"/>
        </w:rPr>
        <w:t>KS</w:t>
      </w:r>
      <w:r w:rsidRPr="00DD32E6">
        <w:rPr>
          <w:szCs w:val="24"/>
        </w:rPr>
        <w:t xml:space="preserve"> metodoloģiju). Savukārt, 2012. gada </w:t>
      </w:r>
      <w:r w:rsidR="008E348B">
        <w:rPr>
          <w:szCs w:val="24"/>
        </w:rPr>
        <w:t xml:space="preserve">valsts </w:t>
      </w:r>
      <w:r w:rsidRPr="00DD32E6">
        <w:rPr>
          <w:szCs w:val="24"/>
        </w:rPr>
        <w:t xml:space="preserve">budžets ir </w:t>
      </w:r>
      <w:r w:rsidR="008E1F30" w:rsidRPr="00DD32E6">
        <w:rPr>
          <w:szCs w:val="24"/>
        </w:rPr>
        <w:t>sa</w:t>
      </w:r>
      <w:r w:rsidR="008E1F30">
        <w:rPr>
          <w:szCs w:val="24"/>
        </w:rPr>
        <w:t>gatavots</w:t>
      </w:r>
      <w:r w:rsidR="008E348B">
        <w:rPr>
          <w:szCs w:val="24"/>
        </w:rPr>
        <w:t>, nodrošinot</w:t>
      </w:r>
      <w:r w:rsidRPr="00DD32E6">
        <w:rPr>
          <w:szCs w:val="24"/>
        </w:rPr>
        <w:t xml:space="preserve"> vispārējās vadības budžeta deficītu 2</w:t>
      </w:r>
      <w:r w:rsidR="001E1F67">
        <w:rPr>
          <w:szCs w:val="24"/>
        </w:rPr>
        <w:t>,</w:t>
      </w:r>
      <w:r w:rsidRPr="00DD32E6">
        <w:rPr>
          <w:szCs w:val="24"/>
        </w:rPr>
        <w:t>1</w:t>
      </w:r>
      <w:r w:rsidR="00914541">
        <w:rPr>
          <w:szCs w:val="24"/>
        </w:rPr>
        <w:t xml:space="preserve"> </w:t>
      </w:r>
      <w:r w:rsidRPr="00DD32E6">
        <w:rPr>
          <w:szCs w:val="24"/>
        </w:rPr>
        <w:t xml:space="preserve">% apmērā no IKP (saskaņā ar </w:t>
      </w:r>
      <w:r w:rsidR="001E1F67">
        <w:rPr>
          <w:szCs w:val="24"/>
        </w:rPr>
        <w:t>EKS</w:t>
      </w:r>
      <w:r w:rsidRPr="00DD32E6">
        <w:rPr>
          <w:szCs w:val="24"/>
        </w:rPr>
        <w:t xml:space="preserve"> metodoloģiju). Latvija </w:t>
      </w:r>
      <w:r w:rsidRPr="00417399">
        <w:rPr>
          <w:szCs w:val="24"/>
        </w:rPr>
        <w:t>Programmas</w:t>
      </w:r>
      <w:r w:rsidRPr="00DD32E6">
        <w:rPr>
          <w:szCs w:val="24"/>
        </w:rPr>
        <w:t xml:space="preserve"> laikā ar atbildīgu pieeju ir nodrošinājusi Programmā nosprausto</w:t>
      </w:r>
      <w:r w:rsidR="008E348B">
        <w:rPr>
          <w:szCs w:val="24"/>
        </w:rPr>
        <w:t xml:space="preserve"> vispārējās valdības</w:t>
      </w:r>
      <w:r w:rsidRPr="00DD32E6">
        <w:rPr>
          <w:szCs w:val="24"/>
        </w:rPr>
        <w:t xml:space="preserve"> budžeta mērķu sasniegšanu. Vēl vairāk, Latvija ir tiekusies nodrošināt zemāku budžeta deficītu, nekā noteikts Programmā, lai ātrāk un veiksmīgāk nodrošinātu budžeta deficīta Māstrihtas kritēriju ievērošanu un nodrošinātu pārmērīga budžeta deficīta procedūras pārtraukšanu. </w:t>
      </w:r>
      <w:r w:rsidR="008E1F30">
        <w:rPr>
          <w:szCs w:val="24"/>
        </w:rPr>
        <w:t>Programmas</w:t>
      </w:r>
      <w:r w:rsidRPr="00DD32E6">
        <w:rPr>
          <w:szCs w:val="24"/>
        </w:rPr>
        <w:t xml:space="preserve"> laikā ir noritējusi aktīva sadarbība ar EK</w:t>
      </w:r>
      <w:r w:rsidR="008E1F30">
        <w:rPr>
          <w:szCs w:val="24"/>
        </w:rPr>
        <w:t xml:space="preserve"> un SVF</w:t>
      </w:r>
      <w:r w:rsidRPr="00DD32E6">
        <w:rPr>
          <w:szCs w:val="24"/>
        </w:rPr>
        <w:t>, būtiski lēmumi un lēmumi ar fiskālo ietekmi, ir tikuši apspriesti ar EK un SVF</w:t>
      </w:r>
      <w:r>
        <w:rPr>
          <w:szCs w:val="24"/>
        </w:rPr>
        <w:t xml:space="preserve">. Izveidojusies kārtība tika </w:t>
      </w:r>
      <w:r w:rsidRPr="00DD32E6">
        <w:rPr>
          <w:szCs w:val="24"/>
        </w:rPr>
        <w:t xml:space="preserve"> </w:t>
      </w:r>
      <w:r>
        <w:rPr>
          <w:szCs w:val="24"/>
        </w:rPr>
        <w:t>formalizēta</w:t>
      </w:r>
      <w:r w:rsidRPr="00DD32E6">
        <w:rPr>
          <w:szCs w:val="24"/>
        </w:rPr>
        <w:t xml:space="preserve"> ar Finanšu ministrijas </w:t>
      </w:r>
      <w:r>
        <w:rPr>
          <w:szCs w:val="24"/>
        </w:rPr>
        <w:t>2011.</w:t>
      </w:r>
      <w:r w:rsidR="001E1F67">
        <w:rPr>
          <w:szCs w:val="24"/>
        </w:rPr>
        <w:t xml:space="preserve"> </w:t>
      </w:r>
      <w:r>
        <w:rPr>
          <w:szCs w:val="24"/>
        </w:rPr>
        <w:t>gada 12.</w:t>
      </w:r>
      <w:r w:rsidR="001E1F67">
        <w:rPr>
          <w:szCs w:val="24"/>
        </w:rPr>
        <w:t xml:space="preserve"> </w:t>
      </w:r>
      <w:r>
        <w:rPr>
          <w:szCs w:val="24"/>
        </w:rPr>
        <w:t>august</w:t>
      </w:r>
      <w:r w:rsidR="005B41A0">
        <w:rPr>
          <w:szCs w:val="24"/>
        </w:rPr>
        <w:t>a</w:t>
      </w:r>
      <w:r>
        <w:rPr>
          <w:szCs w:val="24"/>
        </w:rPr>
        <w:t xml:space="preserve"> </w:t>
      </w:r>
      <w:r w:rsidRPr="00DD32E6">
        <w:rPr>
          <w:szCs w:val="24"/>
        </w:rPr>
        <w:t>iekšējo kārtību Nr.</w:t>
      </w:r>
      <w:r w:rsidR="008E348B" w:rsidRPr="00EB3E19">
        <w:rPr>
          <w:szCs w:val="24"/>
          <w:lang w:eastAsia="de-DE"/>
        </w:rPr>
        <w:t> </w:t>
      </w:r>
      <w:r w:rsidRPr="00EB3E19">
        <w:rPr>
          <w:szCs w:val="24"/>
          <w:lang w:eastAsia="de-DE"/>
        </w:rPr>
        <w:t>12-29/33 “</w:t>
      </w:r>
      <w:r w:rsidRPr="00F37E17">
        <w:rPr>
          <w:rFonts w:eastAsia="Calibri"/>
          <w:bCs/>
          <w:szCs w:val="24"/>
        </w:rPr>
        <w:t>Pēc gadskārtējā valsts budžeta izsludināšanas plānoto vai pieņemto pasākumu ar fiskālo ietekmi izvērtēšana un saskaņošana ar starptautiskā aizņēmuma programmas partneriem”.</w:t>
      </w:r>
      <w:r>
        <w:rPr>
          <w:szCs w:val="24"/>
        </w:rPr>
        <w:t xml:space="preserve"> </w:t>
      </w:r>
      <w:r w:rsidRPr="00ED4264">
        <w:rPr>
          <w:szCs w:val="24"/>
        </w:rPr>
        <w:t xml:space="preserve">Arī turpmāk visi būtiskie politikas nodomi, kas atspoguļoti </w:t>
      </w:r>
      <w:r w:rsidR="008E348B" w:rsidRPr="00ED4264">
        <w:rPr>
          <w:szCs w:val="24"/>
        </w:rPr>
        <w:t>Programmā</w:t>
      </w:r>
      <w:r w:rsidRPr="00ED4264">
        <w:rPr>
          <w:szCs w:val="24"/>
        </w:rPr>
        <w:t>, tiks apspriesti ar Programmas partneriem.</w:t>
      </w:r>
      <w:r w:rsidRPr="00DD32E6">
        <w:rPr>
          <w:szCs w:val="24"/>
        </w:rPr>
        <w:t xml:space="preserve"> </w:t>
      </w:r>
    </w:p>
    <w:p w:rsidR="00F37E17" w:rsidRDefault="00F37E17" w:rsidP="002D62B9">
      <w:pPr>
        <w:ind w:right="74" w:firstLine="720"/>
        <w:rPr>
          <w:szCs w:val="24"/>
        </w:rPr>
      </w:pPr>
      <w:r w:rsidRPr="00DD32E6">
        <w:rPr>
          <w:szCs w:val="24"/>
        </w:rPr>
        <w:t>2012.</w:t>
      </w:r>
      <w:r w:rsidR="008E348B">
        <w:rPr>
          <w:szCs w:val="24"/>
        </w:rPr>
        <w:t> </w:t>
      </w:r>
      <w:r w:rsidRPr="00DD32E6">
        <w:rPr>
          <w:szCs w:val="24"/>
        </w:rPr>
        <w:t>gada budžeta sagatavošanas periodā</w:t>
      </w:r>
      <w:r>
        <w:rPr>
          <w:szCs w:val="24"/>
        </w:rPr>
        <w:t xml:space="preserve"> tika izstrādāts budžeta deficītu samazinošu pasākumu saraksts</w:t>
      </w:r>
      <w:r w:rsidR="00372FDF">
        <w:rPr>
          <w:szCs w:val="24"/>
        </w:rPr>
        <w:t xml:space="preserve"> un </w:t>
      </w:r>
      <w:r w:rsidR="008E348B">
        <w:rPr>
          <w:szCs w:val="24"/>
        </w:rPr>
        <w:t>2012. </w:t>
      </w:r>
      <w:r w:rsidR="00372FDF">
        <w:rPr>
          <w:szCs w:val="24"/>
        </w:rPr>
        <w:t>gada budžeta likuma projekts Saeimā tika iesniegts novembra sākumā, nevis septembra beigās, kā sākotnēji tika plānots</w:t>
      </w:r>
      <w:r w:rsidR="00CE19FF">
        <w:rPr>
          <w:szCs w:val="24"/>
        </w:rPr>
        <w:t>,</w:t>
      </w:r>
      <w:r w:rsidR="00372FDF">
        <w:rPr>
          <w:szCs w:val="24"/>
        </w:rPr>
        <w:t xml:space="preserve"> </w:t>
      </w:r>
      <w:r>
        <w:rPr>
          <w:szCs w:val="24"/>
        </w:rPr>
        <w:t>ņemot vērā 2011.</w:t>
      </w:r>
      <w:r w:rsidR="001E1F67">
        <w:rPr>
          <w:szCs w:val="24"/>
        </w:rPr>
        <w:t xml:space="preserve"> </w:t>
      </w:r>
      <w:r>
        <w:rPr>
          <w:szCs w:val="24"/>
        </w:rPr>
        <w:t>gada oktobrī notikušās Saeimas ārkārtas vēlēšanas</w:t>
      </w:r>
      <w:r w:rsidR="00372FDF">
        <w:rPr>
          <w:szCs w:val="24"/>
        </w:rPr>
        <w:t>.</w:t>
      </w:r>
    </w:p>
    <w:p w:rsidR="00F37E17" w:rsidRPr="000E12DD" w:rsidRDefault="00F37E17" w:rsidP="002D62B9">
      <w:pPr>
        <w:ind w:right="76" w:firstLine="720"/>
        <w:rPr>
          <w:szCs w:val="24"/>
        </w:rPr>
      </w:pPr>
      <w:r>
        <w:rPr>
          <w:szCs w:val="24"/>
        </w:rPr>
        <w:t xml:space="preserve">Ņemot vērā augstāk minēto, ir izpildīts gan Saprašanās memoranda papildinājumā noteiktais, gan arī Ikgadējā izaugsmes ziņojumā un Eiro Plus Paktā noteiktais attiecībā uz budžeta mērķu sasniegšanu. </w:t>
      </w:r>
    </w:p>
    <w:p w:rsidR="00F37E17" w:rsidRDefault="00A0175C" w:rsidP="002D62B9">
      <w:pPr>
        <w:spacing w:after="0"/>
        <w:ind w:firstLine="720"/>
        <w:rPr>
          <w:szCs w:val="24"/>
        </w:rPr>
      </w:pPr>
      <w:r>
        <w:rPr>
          <w:szCs w:val="24"/>
        </w:rPr>
        <w:t>FDL</w:t>
      </w:r>
      <w:r w:rsidR="00F37E17">
        <w:rPr>
          <w:szCs w:val="24"/>
        </w:rPr>
        <w:t xml:space="preserve"> saturiski ir saskaņots ar EK un SVF, kā arī aizdevēji ir informēti par būtiskākajām izmaiņām. </w:t>
      </w:r>
      <w:r>
        <w:rPr>
          <w:szCs w:val="24"/>
        </w:rPr>
        <w:t>FDL</w:t>
      </w:r>
      <w:r w:rsidR="00F37E17">
        <w:rPr>
          <w:szCs w:val="24"/>
        </w:rPr>
        <w:t xml:space="preserve"> un Satversmes grozījumi 20</w:t>
      </w:r>
      <w:r w:rsidR="008E348B">
        <w:rPr>
          <w:szCs w:val="24"/>
        </w:rPr>
        <w:t>11. gada 29. </w:t>
      </w:r>
      <w:r w:rsidR="00F37E17">
        <w:rPr>
          <w:szCs w:val="24"/>
        </w:rPr>
        <w:t>novembrī tika apstiprināti Ministru kabinetā (</w:t>
      </w:r>
      <w:r w:rsidR="008E348B">
        <w:t>prot. Nr. </w:t>
      </w:r>
      <w:r w:rsidR="00F37E17">
        <w:t>70, 57.</w:t>
      </w:r>
      <w:r w:rsidR="008E348B">
        <w:t> </w:t>
      </w:r>
      <w:r w:rsidR="00F37E17">
        <w:t xml:space="preserve">§) </w:t>
      </w:r>
      <w:r w:rsidR="008E348B">
        <w:rPr>
          <w:szCs w:val="24"/>
        </w:rPr>
        <w:t>un 2011. gada 6. </w:t>
      </w:r>
      <w:r w:rsidR="00F37E17">
        <w:rPr>
          <w:szCs w:val="24"/>
        </w:rPr>
        <w:t xml:space="preserve">decembrī iesniegti Saeimā. </w:t>
      </w:r>
      <w:r>
        <w:rPr>
          <w:szCs w:val="24"/>
        </w:rPr>
        <w:t>FDL</w:t>
      </w:r>
      <w:r w:rsidR="008E348B">
        <w:rPr>
          <w:szCs w:val="24"/>
        </w:rPr>
        <w:t xml:space="preserve"> 2012. gada 12. </w:t>
      </w:r>
      <w:r w:rsidR="00F37E17">
        <w:rPr>
          <w:szCs w:val="24"/>
        </w:rPr>
        <w:t>janvārī tika izska</w:t>
      </w:r>
      <w:r w:rsidR="008E348B">
        <w:rPr>
          <w:szCs w:val="24"/>
        </w:rPr>
        <w:t>tīts un apstiprināts Saeimas 1. </w:t>
      </w:r>
      <w:r w:rsidR="00F37E17">
        <w:rPr>
          <w:szCs w:val="24"/>
        </w:rPr>
        <w:t>lasījumā</w:t>
      </w:r>
      <w:r w:rsidR="008E348B">
        <w:rPr>
          <w:szCs w:val="24"/>
        </w:rPr>
        <w:t>, 2012. gada 2. </w:t>
      </w:r>
      <w:r w:rsidR="00F37E17" w:rsidRPr="00694429">
        <w:rPr>
          <w:szCs w:val="24"/>
        </w:rPr>
        <w:t>aprīl</w:t>
      </w:r>
      <w:r w:rsidR="00F37E17">
        <w:rPr>
          <w:szCs w:val="24"/>
        </w:rPr>
        <w:t>ī</w:t>
      </w:r>
      <w:r w:rsidR="00F37E17" w:rsidRPr="00694429">
        <w:rPr>
          <w:szCs w:val="24"/>
        </w:rPr>
        <w:t xml:space="preserve"> </w:t>
      </w:r>
      <w:r w:rsidR="00F37E17">
        <w:rPr>
          <w:szCs w:val="24"/>
        </w:rPr>
        <w:t>beidzās</w:t>
      </w:r>
      <w:r w:rsidR="00F37E17" w:rsidRPr="00694429">
        <w:rPr>
          <w:szCs w:val="24"/>
        </w:rPr>
        <w:t xml:space="preserve"> priekšlikumu sagatavošana likumprojekta izskatīšanai Saeimas 2. lasījumā.</w:t>
      </w:r>
      <w:r w:rsidR="00F37E17">
        <w:rPr>
          <w:szCs w:val="24"/>
        </w:rPr>
        <w:t xml:space="preserve"> </w:t>
      </w:r>
      <w:r w:rsidR="00F37E17">
        <w:rPr>
          <w:color w:val="000000"/>
          <w:szCs w:val="24"/>
        </w:rPr>
        <w:t>Likumprojektā</w:t>
      </w:r>
      <w:r w:rsidR="00F37E17" w:rsidRPr="00797BEC">
        <w:rPr>
          <w:color w:val="000000"/>
          <w:szCs w:val="24"/>
        </w:rPr>
        <w:t xml:space="preserve"> ir iestrādātas </w:t>
      </w:r>
      <w:r w:rsidR="00421E54">
        <w:rPr>
          <w:color w:val="000000"/>
          <w:szCs w:val="24"/>
        </w:rPr>
        <w:t>EK</w:t>
      </w:r>
      <w:r w:rsidR="00F37E17" w:rsidRPr="00797BEC">
        <w:rPr>
          <w:color w:val="000000"/>
          <w:szCs w:val="24"/>
        </w:rPr>
        <w:t xml:space="preserve"> 2011.</w:t>
      </w:r>
      <w:r w:rsidR="008E348B">
        <w:rPr>
          <w:color w:val="000000"/>
          <w:szCs w:val="24"/>
        </w:rPr>
        <w:t> </w:t>
      </w:r>
      <w:r w:rsidR="00F37E17" w:rsidRPr="00797BEC">
        <w:rPr>
          <w:color w:val="000000"/>
          <w:szCs w:val="24"/>
        </w:rPr>
        <w:t>gada 8. novembrī pieņemtās direktīvas (2011/85/EU) par ES dalībvalstu budžeta iet</w:t>
      </w:r>
      <w:r w:rsidR="00F37E17">
        <w:rPr>
          <w:color w:val="000000"/>
          <w:szCs w:val="24"/>
        </w:rPr>
        <w:t>variem prasības. U</w:t>
      </w:r>
      <w:r w:rsidR="00F37E17" w:rsidRPr="00797BEC">
        <w:rPr>
          <w:color w:val="000000"/>
          <w:szCs w:val="24"/>
        </w:rPr>
        <w:t>z 2.</w:t>
      </w:r>
      <w:r w:rsidR="00F37E17">
        <w:rPr>
          <w:color w:val="000000"/>
          <w:szCs w:val="24"/>
        </w:rPr>
        <w:t xml:space="preserve"> </w:t>
      </w:r>
      <w:r w:rsidR="00F37E17" w:rsidRPr="00797BEC">
        <w:rPr>
          <w:color w:val="000000"/>
          <w:szCs w:val="24"/>
        </w:rPr>
        <w:t>lasījumu Sae</w:t>
      </w:r>
      <w:r w:rsidR="00F37E17">
        <w:rPr>
          <w:color w:val="000000"/>
          <w:szCs w:val="24"/>
        </w:rPr>
        <w:t xml:space="preserve">imā, </w:t>
      </w:r>
      <w:r w:rsidR="009D0EDE">
        <w:rPr>
          <w:color w:val="000000"/>
          <w:szCs w:val="24"/>
        </w:rPr>
        <w:t>FDL</w:t>
      </w:r>
      <w:r w:rsidR="00F37E17" w:rsidRPr="00797BEC">
        <w:rPr>
          <w:color w:val="000000"/>
          <w:szCs w:val="24"/>
        </w:rPr>
        <w:t xml:space="preserve"> </w:t>
      </w:r>
      <w:r w:rsidR="00F37E17">
        <w:rPr>
          <w:color w:val="000000"/>
          <w:szCs w:val="24"/>
        </w:rPr>
        <w:t>ir</w:t>
      </w:r>
      <w:r w:rsidR="00F37E17" w:rsidRPr="00797BEC">
        <w:rPr>
          <w:color w:val="000000"/>
          <w:szCs w:val="24"/>
        </w:rPr>
        <w:t xml:space="preserve"> iestrādātas arī </w:t>
      </w:r>
      <w:r w:rsidR="00F37E17" w:rsidRPr="00694429">
        <w:rPr>
          <w:color w:val="000000"/>
          <w:szCs w:val="24"/>
        </w:rPr>
        <w:t xml:space="preserve">jaunā </w:t>
      </w:r>
      <w:r w:rsidR="008E348B">
        <w:rPr>
          <w:lang w:eastAsia="lv-LV"/>
        </w:rPr>
        <w:t>fiskālā līguma</w:t>
      </w:r>
      <w:r w:rsidR="00F37E17">
        <w:rPr>
          <w:i/>
          <w:lang w:eastAsia="lv-LV"/>
        </w:rPr>
        <w:t xml:space="preserve"> </w:t>
      </w:r>
      <w:r w:rsidR="00F37E17" w:rsidRPr="00797BEC">
        <w:rPr>
          <w:color w:val="000000"/>
          <w:szCs w:val="24"/>
        </w:rPr>
        <w:t xml:space="preserve">prasības, tādējādi nodrošinot arī pilnīgāku Latvijas sistēmas atbilstību ES līmeņa prasībām.  </w:t>
      </w:r>
    </w:p>
    <w:p w:rsidR="00F37E17" w:rsidRDefault="00F37E17" w:rsidP="002D62B9">
      <w:pPr>
        <w:ind w:firstLine="720"/>
        <w:rPr>
          <w:szCs w:val="24"/>
        </w:rPr>
      </w:pPr>
      <w:r>
        <w:t xml:space="preserve">Savukārt, likumprojektu „Grozījums Latvijas Republikas Satversmē” turpina skatīt Saeimas </w:t>
      </w:r>
      <w:r w:rsidRPr="00110E71">
        <w:rPr>
          <w:szCs w:val="24"/>
        </w:rPr>
        <w:t xml:space="preserve">komisijās. 2011. gada 17. janvārī tas tika skatīts Saeimas Juridiskajā komisijā, kā rezultātā Satversmes grozījumu virzīšana tālākai izskatīšanai ir atlikta uz laiku, kamēr darbu </w:t>
      </w:r>
      <w:r w:rsidRPr="00110E71">
        <w:rPr>
          <w:szCs w:val="24"/>
        </w:rPr>
        <w:lastRenderedPageBreak/>
        <w:t>pabeigs</w:t>
      </w:r>
      <w:r>
        <w:rPr>
          <w:szCs w:val="24"/>
        </w:rPr>
        <w:t xml:space="preserve"> Saeimas</w:t>
      </w:r>
      <w:r w:rsidRPr="00110E71">
        <w:rPr>
          <w:szCs w:val="24"/>
        </w:rPr>
        <w:t xml:space="preserve"> Juridiskās komisijas pārraudzībā izveidota darba grupa, kas </w:t>
      </w:r>
      <w:r w:rsidRPr="00110E71">
        <w:rPr>
          <w:color w:val="000000"/>
          <w:szCs w:val="24"/>
        </w:rPr>
        <w:t>strādās pie pašreiz iesniegto valsts pamatlikuma grozījumu projektu alternatīvām.</w:t>
      </w:r>
    </w:p>
    <w:p w:rsidR="00F3052A" w:rsidRPr="00914541" w:rsidRDefault="00F37E17" w:rsidP="00914541">
      <w:pPr>
        <w:ind w:firstLine="720"/>
        <w:rPr>
          <w:color w:val="000000"/>
          <w:szCs w:val="24"/>
        </w:rPr>
      </w:pPr>
      <w:r>
        <w:rPr>
          <w:noProof/>
          <w:szCs w:val="24"/>
        </w:rPr>
        <w:t xml:space="preserve">Tāpat, lai nodrošinātu vidēja termiņa budžeta plānošanu, Likumā par budžetu un </w:t>
      </w:r>
      <w:r w:rsidRPr="002050FA">
        <w:rPr>
          <w:noProof/>
          <w:szCs w:val="24"/>
        </w:rPr>
        <w:t xml:space="preserve">finanšu vadību ir veikti grozījumi, </w:t>
      </w:r>
      <w:r>
        <w:rPr>
          <w:noProof/>
          <w:szCs w:val="24"/>
        </w:rPr>
        <w:t xml:space="preserve">kas </w:t>
      </w:r>
      <w:r>
        <w:t xml:space="preserve">paredz, ka turpmāk katru gadu tiks gatavots </w:t>
      </w:r>
      <w:r w:rsidRPr="00946391">
        <w:t xml:space="preserve">Vidēja termiņa budžeta ietvara likums </w:t>
      </w:r>
      <w:r w:rsidR="00A83FEC">
        <w:t xml:space="preserve">(turpmāk – Ietvara likums) </w:t>
      </w:r>
      <w:r>
        <w:t>trijiem gadiem, kurā tiks iekļauti galvenie vidēja termiņa budžeta mērķi un prioritārie attīstības virzieni, kā arī galvenie valsts makroekonomiskie un budžeta rādītāji. Ir noteikti arī plānojamo finanšu radītāju pārmantošanas principi, tādā veidā nodrošinot juridiski saistošu vidēja termiņa plānošanas normatīvo bāzi.</w:t>
      </w:r>
      <w:r w:rsidRPr="002050FA">
        <w:rPr>
          <w:color w:val="000000"/>
          <w:szCs w:val="24"/>
        </w:rPr>
        <w:t xml:space="preserve"> </w:t>
      </w:r>
      <w:r>
        <w:rPr>
          <w:color w:val="000000"/>
          <w:szCs w:val="24"/>
        </w:rPr>
        <w:t>Ietvara likums 2013.</w:t>
      </w:r>
      <w:r w:rsidR="00914541">
        <w:rPr>
          <w:color w:val="000000"/>
          <w:szCs w:val="24"/>
        </w:rPr>
        <w:t xml:space="preserve"> </w:t>
      </w:r>
      <w:r w:rsidR="0035776A">
        <w:rPr>
          <w:color w:val="000000"/>
          <w:szCs w:val="24"/>
        </w:rPr>
        <w:t>–</w:t>
      </w:r>
      <w:r w:rsidR="00914541">
        <w:rPr>
          <w:color w:val="000000"/>
          <w:szCs w:val="24"/>
        </w:rPr>
        <w:t xml:space="preserve"> </w:t>
      </w:r>
      <w:r>
        <w:rPr>
          <w:color w:val="000000"/>
          <w:szCs w:val="24"/>
        </w:rPr>
        <w:t>2015.</w:t>
      </w:r>
      <w:r w:rsidR="001E1F67">
        <w:rPr>
          <w:color w:val="000000"/>
          <w:szCs w:val="24"/>
        </w:rPr>
        <w:t xml:space="preserve"> </w:t>
      </w:r>
      <w:r>
        <w:rPr>
          <w:color w:val="000000"/>
          <w:szCs w:val="24"/>
        </w:rPr>
        <w:t>gadam pirmo reizi tiks izstrādāts kopā ar 2013. gada gadskārtējo valsts budžeta likumprojektu un tiks iesniegts Saeimā līdz š.g. 1. oktobrim. Sākot ar 2014.</w:t>
      </w:r>
      <w:r w:rsidR="001E1F67">
        <w:rPr>
          <w:color w:val="000000"/>
          <w:szCs w:val="24"/>
        </w:rPr>
        <w:t xml:space="preserve"> </w:t>
      </w:r>
      <w:r w:rsidR="0035776A">
        <w:rPr>
          <w:color w:val="000000"/>
          <w:szCs w:val="24"/>
        </w:rPr>
        <w:t>–</w:t>
      </w:r>
      <w:r w:rsidR="001E1F67">
        <w:rPr>
          <w:color w:val="000000"/>
          <w:szCs w:val="24"/>
        </w:rPr>
        <w:t xml:space="preserve"> </w:t>
      </w:r>
      <w:r>
        <w:rPr>
          <w:color w:val="000000"/>
          <w:szCs w:val="24"/>
        </w:rPr>
        <w:t>2016.</w:t>
      </w:r>
      <w:r w:rsidR="001E1F67">
        <w:rPr>
          <w:color w:val="000000"/>
          <w:szCs w:val="24"/>
        </w:rPr>
        <w:t xml:space="preserve"> </w:t>
      </w:r>
      <w:r>
        <w:rPr>
          <w:color w:val="000000"/>
          <w:szCs w:val="24"/>
        </w:rPr>
        <w:t>gada periodu, Ietvara likums tiks gatavots ikgadēji līdz 30.</w:t>
      </w:r>
      <w:r w:rsidR="001E1F67">
        <w:rPr>
          <w:color w:val="000000"/>
          <w:szCs w:val="24"/>
        </w:rPr>
        <w:t xml:space="preserve"> </w:t>
      </w:r>
      <w:r>
        <w:rPr>
          <w:color w:val="000000"/>
          <w:szCs w:val="24"/>
        </w:rPr>
        <w:t>aprīlim</w:t>
      </w:r>
      <w:r w:rsidR="008E348B">
        <w:rPr>
          <w:color w:val="000000"/>
          <w:szCs w:val="24"/>
        </w:rPr>
        <w:t xml:space="preserve"> un</w:t>
      </w:r>
      <w:r w:rsidRPr="00ED4264">
        <w:rPr>
          <w:color w:val="000000"/>
          <w:szCs w:val="24"/>
        </w:rPr>
        <w:t xml:space="preserve"> saskaņā ar FDL iestrādātajiem nosacījumiem</w:t>
      </w:r>
      <w:r w:rsidR="00514688">
        <w:rPr>
          <w:color w:val="000000"/>
          <w:szCs w:val="24"/>
        </w:rPr>
        <w:t>.</w:t>
      </w:r>
      <w:r w:rsidRPr="00ED4264">
        <w:rPr>
          <w:color w:val="000000"/>
          <w:szCs w:val="24"/>
        </w:rPr>
        <w:t xml:space="preserve"> </w:t>
      </w:r>
    </w:p>
    <w:p w:rsidR="00F37E17" w:rsidRPr="00ED4264" w:rsidRDefault="00F37E17" w:rsidP="00914541">
      <w:pPr>
        <w:rPr>
          <w:rFonts w:eastAsia="Calibri"/>
          <w:szCs w:val="24"/>
        </w:rPr>
      </w:pPr>
      <w:r w:rsidRPr="00ED4264">
        <w:t>Attiecībā uz iemaksu apmēra atjaunošanu pensiju 2.</w:t>
      </w:r>
      <w:r w:rsidR="007F0410">
        <w:t xml:space="preserve"> </w:t>
      </w:r>
      <w:r w:rsidRPr="00ED4264">
        <w:t>līmenī 6</w:t>
      </w:r>
      <w:r w:rsidR="007F0410">
        <w:t xml:space="preserve"> </w:t>
      </w:r>
      <w:r w:rsidRPr="00ED4264">
        <w:t>% apmērā,</w:t>
      </w:r>
      <w:r w:rsidRPr="00ED4264">
        <w:rPr>
          <w:rFonts w:eastAsia="Calibri"/>
          <w:szCs w:val="24"/>
        </w:rPr>
        <w:t xml:space="preserve"> sākot ar 2013. gadu sociālās apdrošināšanas iemaksu likm</w:t>
      </w:r>
      <w:r w:rsidR="001E7F5F">
        <w:rPr>
          <w:rFonts w:eastAsia="Calibri"/>
          <w:szCs w:val="24"/>
        </w:rPr>
        <w:t>i</w:t>
      </w:r>
      <w:r w:rsidRPr="00ED4264">
        <w:rPr>
          <w:rFonts w:eastAsia="Calibri"/>
          <w:szCs w:val="24"/>
        </w:rPr>
        <w:t xml:space="preserve"> valsts fondēto pensiju shēmā tiek</w:t>
      </w:r>
      <w:r w:rsidR="001E7F5F">
        <w:rPr>
          <w:rFonts w:eastAsia="Calibri"/>
          <w:szCs w:val="24"/>
        </w:rPr>
        <w:t xml:space="preserve"> plānots</w:t>
      </w:r>
      <w:r w:rsidRPr="00ED4264">
        <w:rPr>
          <w:rFonts w:eastAsia="Calibri"/>
          <w:szCs w:val="24"/>
        </w:rPr>
        <w:t xml:space="preserve"> paaugstināt no 2</w:t>
      </w:r>
      <w:r w:rsidR="007F0410">
        <w:rPr>
          <w:rFonts w:eastAsia="Calibri"/>
          <w:szCs w:val="24"/>
        </w:rPr>
        <w:t xml:space="preserve"> </w:t>
      </w:r>
      <w:r w:rsidRPr="00ED4264">
        <w:rPr>
          <w:rFonts w:eastAsia="Calibri"/>
          <w:szCs w:val="24"/>
        </w:rPr>
        <w:t>% uz 6</w:t>
      </w:r>
      <w:r w:rsidR="007F0410">
        <w:rPr>
          <w:rFonts w:eastAsia="Calibri"/>
          <w:szCs w:val="24"/>
        </w:rPr>
        <w:t xml:space="preserve"> </w:t>
      </w:r>
      <w:r w:rsidRPr="00ED4264">
        <w:rPr>
          <w:rFonts w:eastAsia="Calibri"/>
          <w:szCs w:val="24"/>
        </w:rPr>
        <w:t>%</w:t>
      </w:r>
      <w:r w:rsidR="00DF346D">
        <w:rPr>
          <w:rFonts w:eastAsia="Calibri"/>
          <w:szCs w:val="24"/>
        </w:rPr>
        <w:t>,</w:t>
      </w:r>
      <w:r w:rsidR="004839C7">
        <w:rPr>
          <w:rFonts w:eastAsia="Calibri"/>
          <w:szCs w:val="24"/>
        </w:rPr>
        <w:t xml:space="preserve"> </w:t>
      </w:r>
      <w:r w:rsidR="00DF346D">
        <w:rPr>
          <w:rFonts w:eastAsia="Calibri"/>
          <w:szCs w:val="24"/>
        </w:rPr>
        <w:t>atbilstoši šobrīd likumdošanā plānotajam.</w:t>
      </w:r>
    </w:p>
    <w:p w:rsidR="00F37E17" w:rsidRPr="00ED4264" w:rsidRDefault="00F37E17" w:rsidP="002D62B9">
      <w:pPr>
        <w:pStyle w:val="Default"/>
        <w:spacing w:after="120"/>
        <w:ind w:firstLine="567"/>
        <w:jc w:val="both"/>
      </w:pPr>
      <w:r>
        <w:t>Papildus, lai nodrošinātu sociālās apdrošināšanas sistēmas ilgtspēju, kas ir arī Latvijas Eiro Plus paktā noteiktā apņemšanās, tiek plānots veikt pensionēšanās vecuma paaugstināšanu līdz 65 gadiem, paaugstināt priekšlaicīgās pensionēšanās vecumu, kā arī palielināt m</w:t>
      </w:r>
      <w:r w:rsidRPr="00500EE2">
        <w:t>inimāl</w:t>
      </w:r>
      <w:r>
        <w:t>o</w:t>
      </w:r>
      <w:r w:rsidRPr="00500EE2">
        <w:t xml:space="preserve"> apdrošināšanas stāž</w:t>
      </w:r>
      <w:r>
        <w:t>u</w:t>
      </w:r>
      <w:r w:rsidRPr="00500EE2">
        <w:t xml:space="preserve"> tiesībām uz valsts vecuma pensiju </w:t>
      </w:r>
      <w:r>
        <w:t>līdz 15 </w:t>
      </w:r>
      <w:r w:rsidRPr="00500EE2">
        <w:t>gadiem</w:t>
      </w:r>
      <w:r>
        <w:t xml:space="preserve"> (sīkāk, lūdzu skatīt 3.1.</w:t>
      </w:r>
      <w:r w:rsidR="000467C2">
        <w:t> apakš</w:t>
      </w:r>
      <w:r w:rsidRPr="00ED4264">
        <w:t xml:space="preserve">sadaļu). </w:t>
      </w:r>
    </w:p>
    <w:p w:rsidR="00F37E17" w:rsidRDefault="00F37E17" w:rsidP="002D62B9">
      <w:pPr>
        <w:pStyle w:val="Default"/>
        <w:spacing w:after="120"/>
        <w:ind w:firstLine="567"/>
        <w:jc w:val="both"/>
      </w:pPr>
      <w:r w:rsidRPr="00ED4264">
        <w:t xml:space="preserve">Tāpat, ņemot vērā to, ka tiek veiktas reformas arī izglītības un zinātnes jomā, nodarbinātības jomā, valsts pārvaldē, kā arī uzņēmējdarbības jomā (sīkāk, lūdzu skatīt 3.sadaļu un </w:t>
      </w:r>
      <w:r w:rsidR="00A83FEC">
        <w:t>NRP</w:t>
      </w:r>
      <w:r w:rsidRPr="00ED4264">
        <w:t xml:space="preserve">), tās rada ietekmi uz izaugsmei draudzīgas izdevumu politikas veidošanu. </w:t>
      </w:r>
      <w:r w:rsidRPr="00566DD6">
        <w:t xml:space="preserve">Savukārt, turpmākos gados, palielinoties ekonomikas izaugsmei un palielinoties </w:t>
      </w:r>
      <w:r w:rsidR="000A6FF8" w:rsidRPr="00566DD6">
        <w:t>ieņēmumiem</w:t>
      </w:r>
      <w:r w:rsidRPr="00566DD6">
        <w:t xml:space="preserve">, tie tiks izmantoti vērtējot </w:t>
      </w:r>
      <w:r w:rsidR="00B27B60" w:rsidRPr="00566DD6">
        <w:t xml:space="preserve">to atbilstību esošām apņemšanām </w:t>
      </w:r>
      <w:r w:rsidRPr="00566DD6">
        <w:t>un saistīb</w:t>
      </w:r>
      <w:r w:rsidR="00B27B60" w:rsidRPr="00566DD6">
        <w:t>ām</w:t>
      </w:r>
      <w:r w:rsidRPr="00566DD6">
        <w:t>. Savukārt jaunas politikas iniciatīvas tiks atbalstītas vērtējot to nepieciešamību, kā arī izaugsmei draudzīgas izdevumu politikas principu.</w:t>
      </w:r>
    </w:p>
    <w:p w:rsidR="007F0410" w:rsidRDefault="007F0410" w:rsidP="002D62B9">
      <w:pPr>
        <w:rPr>
          <w:i/>
          <w:szCs w:val="24"/>
        </w:rPr>
      </w:pPr>
    </w:p>
    <w:p w:rsidR="00F37E17" w:rsidRPr="00F93551" w:rsidRDefault="00F37E17" w:rsidP="002D62B9">
      <w:pPr>
        <w:rPr>
          <w:i/>
          <w:szCs w:val="24"/>
        </w:rPr>
      </w:pPr>
      <w:r w:rsidRPr="004A54B9">
        <w:rPr>
          <w:i/>
          <w:szCs w:val="24"/>
        </w:rPr>
        <w:t xml:space="preserve">Pasākumi cīņai ar ēnu ekonomiku: </w:t>
      </w:r>
    </w:p>
    <w:p w:rsidR="00F37E17" w:rsidRDefault="00F37E17" w:rsidP="00627EFB">
      <w:pPr>
        <w:ind w:firstLine="709"/>
      </w:pPr>
      <w:r w:rsidRPr="00627EFB">
        <w:tab/>
        <w:t>Ir izstrādāts „Pasākumu plāns ēnu ekonomikas apkarošanai un godīgas konkurences nodrošināšanai 2010.</w:t>
      </w:r>
      <w:r w:rsidR="0035776A">
        <w:t>–</w:t>
      </w:r>
      <w:r w:rsidRPr="00627EFB">
        <w:t xml:space="preserve">2013. gadam”. Kopā plānā šobrīd ir iekļauti 66 pasākumi, no kuriem </w:t>
      </w:r>
      <w:r w:rsidR="000A6FF8">
        <w:t>līdz</w:t>
      </w:r>
      <w:r w:rsidR="000A6FF8" w:rsidRPr="00627EFB">
        <w:t xml:space="preserve"> </w:t>
      </w:r>
      <w:r w:rsidRPr="00627EFB">
        <w:t xml:space="preserve">2012. gada </w:t>
      </w:r>
      <w:r w:rsidR="009E4416">
        <w:t>23</w:t>
      </w:r>
      <w:r w:rsidRPr="00627EFB">
        <w:t>. </w:t>
      </w:r>
      <w:r w:rsidR="009E4416">
        <w:t>martam</w:t>
      </w:r>
      <w:r w:rsidR="009E4416" w:rsidRPr="00627EFB">
        <w:t xml:space="preserve"> </w:t>
      </w:r>
      <w:r w:rsidRPr="00627EFB">
        <w:t>4</w:t>
      </w:r>
      <w:r w:rsidR="009E4416">
        <w:t>8</w:t>
      </w:r>
      <w:r w:rsidRPr="00627EFB">
        <w:t> pasākumi ir izpildīti pilnībā, pārējo izpilde tiek turpināta. Līdz šim veiktie pasākumi atbilst arī Eiro plus paktā noteiktajiem virzieniem cīņai ar ēnu ekonomiku.</w:t>
      </w:r>
    </w:p>
    <w:p w:rsidR="009E4416" w:rsidRPr="00F916DB" w:rsidRDefault="009E4416" w:rsidP="009E4416">
      <w:pPr>
        <w:pStyle w:val="ListParagraph"/>
        <w:numPr>
          <w:ilvl w:val="0"/>
          <w:numId w:val="43"/>
        </w:numPr>
        <w:spacing w:after="0" w:line="240" w:lineRule="auto"/>
        <w:ind w:left="426" w:hanging="426"/>
        <w:jc w:val="both"/>
        <w:rPr>
          <w:rFonts w:ascii="Times New Roman" w:hAnsi="Times New Roman"/>
          <w:sz w:val="24"/>
          <w:szCs w:val="24"/>
        </w:rPr>
      </w:pPr>
      <w:r w:rsidRPr="00F916DB">
        <w:rPr>
          <w:rFonts w:ascii="Times New Roman" w:hAnsi="Times New Roman"/>
          <w:sz w:val="24"/>
          <w:szCs w:val="24"/>
        </w:rPr>
        <w:t>ar 2012.</w:t>
      </w:r>
      <w:r w:rsidR="000467C2">
        <w:rPr>
          <w:rFonts w:ascii="Times New Roman" w:hAnsi="Times New Roman"/>
          <w:sz w:val="24"/>
          <w:szCs w:val="24"/>
        </w:rPr>
        <w:t> </w:t>
      </w:r>
      <w:r w:rsidRPr="00F916DB">
        <w:rPr>
          <w:rFonts w:ascii="Times New Roman" w:hAnsi="Times New Roman"/>
          <w:sz w:val="24"/>
          <w:szCs w:val="24"/>
        </w:rPr>
        <w:t>gada 1.</w:t>
      </w:r>
      <w:r w:rsidR="000467C2">
        <w:rPr>
          <w:rFonts w:ascii="Times New Roman" w:hAnsi="Times New Roman"/>
          <w:sz w:val="24"/>
          <w:szCs w:val="24"/>
        </w:rPr>
        <w:t> </w:t>
      </w:r>
      <w:r w:rsidRPr="00F916DB">
        <w:rPr>
          <w:rFonts w:ascii="Times New Roman" w:hAnsi="Times New Roman"/>
          <w:sz w:val="24"/>
          <w:szCs w:val="24"/>
        </w:rPr>
        <w:t>janvāri visos gadījumos fiziskām personām, nododot metāllūžņus, ienākuma izmaksātājs ietur iedzīvotāju ienākuma nodokli pēc 10% likmes;</w:t>
      </w:r>
    </w:p>
    <w:p w:rsidR="009E4416" w:rsidRPr="00F916DB" w:rsidRDefault="009E4416" w:rsidP="009E4416">
      <w:pPr>
        <w:pStyle w:val="ListParagraph"/>
        <w:numPr>
          <w:ilvl w:val="0"/>
          <w:numId w:val="43"/>
        </w:numPr>
        <w:spacing w:after="0" w:line="240" w:lineRule="auto"/>
        <w:ind w:left="425" w:hanging="425"/>
        <w:jc w:val="both"/>
        <w:rPr>
          <w:rFonts w:ascii="Times New Roman" w:hAnsi="Times New Roman"/>
          <w:sz w:val="24"/>
          <w:szCs w:val="24"/>
        </w:rPr>
      </w:pPr>
      <w:r w:rsidRPr="00F916DB">
        <w:rPr>
          <w:rFonts w:ascii="Times New Roman" w:hAnsi="Times New Roman"/>
          <w:sz w:val="24"/>
          <w:szCs w:val="24"/>
        </w:rPr>
        <w:t>ar 2012.</w:t>
      </w:r>
      <w:r w:rsidR="000467C2">
        <w:rPr>
          <w:rFonts w:ascii="Times New Roman" w:hAnsi="Times New Roman"/>
          <w:sz w:val="24"/>
          <w:szCs w:val="24"/>
        </w:rPr>
        <w:t> </w:t>
      </w:r>
      <w:r w:rsidRPr="00F916DB">
        <w:rPr>
          <w:rFonts w:ascii="Times New Roman" w:hAnsi="Times New Roman"/>
          <w:sz w:val="24"/>
          <w:szCs w:val="24"/>
        </w:rPr>
        <w:t>gada 1.</w:t>
      </w:r>
      <w:r w:rsidR="000467C2">
        <w:rPr>
          <w:rFonts w:ascii="Times New Roman" w:hAnsi="Times New Roman"/>
          <w:sz w:val="24"/>
          <w:szCs w:val="24"/>
        </w:rPr>
        <w:t> </w:t>
      </w:r>
      <w:r w:rsidRPr="00F916DB">
        <w:rPr>
          <w:rFonts w:ascii="Times New Roman" w:hAnsi="Times New Roman"/>
          <w:sz w:val="24"/>
          <w:szCs w:val="24"/>
        </w:rPr>
        <w:t xml:space="preserve">janvāri Valsts ieņēmumu dienestam </w:t>
      </w:r>
      <w:r>
        <w:rPr>
          <w:rFonts w:ascii="Times New Roman" w:hAnsi="Times New Roman"/>
          <w:sz w:val="24"/>
          <w:szCs w:val="24"/>
        </w:rPr>
        <w:t>(</w:t>
      </w:r>
      <w:r w:rsidR="007F0410">
        <w:rPr>
          <w:rFonts w:ascii="Times New Roman" w:hAnsi="Times New Roman"/>
          <w:sz w:val="24"/>
          <w:szCs w:val="24"/>
          <w:lang w:val="lv-LV"/>
        </w:rPr>
        <w:t xml:space="preserve">turpmāk - </w:t>
      </w:r>
      <w:r>
        <w:rPr>
          <w:rFonts w:ascii="Times New Roman" w:hAnsi="Times New Roman"/>
          <w:sz w:val="24"/>
          <w:szCs w:val="24"/>
        </w:rPr>
        <w:t xml:space="preserve">VID) </w:t>
      </w:r>
      <w:r w:rsidRPr="00F916DB">
        <w:rPr>
          <w:rFonts w:ascii="Times New Roman" w:hAnsi="Times New Roman"/>
          <w:sz w:val="24"/>
          <w:szCs w:val="24"/>
        </w:rPr>
        <w:t xml:space="preserve">dotas tiesības piedzīt no darba devēja soda naudu trīskāršā nodokļa apmērā, kas noteikts atbilstoši no Valsts ieņēmumu dienesta rīcībā esošās informācijas par personai aprēķināmo atlīdzību, ja tā ir lielāka par </w:t>
      </w:r>
      <w:r w:rsidR="007F0410">
        <w:rPr>
          <w:rFonts w:ascii="Times New Roman" w:hAnsi="Times New Roman"/>
          <w:sz w:val="24"/>
          <w:szCs w:val="24"/>
          <w:lang w:val="lv-LV"/>
        </w:rPr>
        <w:t>MK</w:t>
      </w:r>
      <w:r w:rsidRPr="00F916DB">
        <w:rPr>
          <w:rFonts w:ascii="Times New Roman" w:hAnsi="Times New Roman"/>
          <w:sz w:val="24"/>
          <w:szCs w:val="24"/>
        </w:rPr>
        <w:t xml:space="preserve"> noteiktās minimālās mēnešalgas apmēru, vai no </w:t>
      </w:r>
      <w:r w:rsidR="007F0410">
        <w:rPr>
          <w:rFonts w:ascii="Times New Roman" w:hAnsi="Times New Roman"/>
          <w:sz w:val="24"/>
          <w:szCs w:val="24"/>
          <w:lang w:val="lv-LV"/>
        </w:rPr>
        <w:t>MK</w:t>
      </w:r>
      <w:r w:rsidRPr="00F916DB">
        <w:rPr>
          <w:rFonts w:ascii="Times New Roman" w:hAnsi="Times New Roman"/>
          <w:sz w:val="24"/>
          <w:szCs w:val="24"/>
        </w:rPr>
        <w:t xml:space="preserve"> noteiktā minimālās mēnešalgas apmēra, ja aprēķināmā atlīdzība ir vienāda vai mazāka, vai ja tās lielumu nav iespējams noteikt. Gadījumos, kad nodarbinātības ilgums nav zināms, dalībvalstis pieņem, ka nodarbinātības attiecību ilgums ir vismaz trīs mēneši, ja vien darba devējs vai darbinieks nevar pierādīt pretējo;</w:t>
      </w:r>
    </w:p>
    <w:p w:rsidR="009E4416" w:rsidRPr="00F916DB" w:rsidRDefault="009E4416" w:rsidP="009E4416">
      <w:pPr>
        <w:pStyle w:val="ListParagraph"/>
        <w:numPr>
          <w:ilvl w:val="0"/>
          <w:numId w:val="43"/>
        </w:numPr>
        <w:spacing w:after="0" w:line="240" w:lineRule="auto"/>
        <w:ind w:left="426" w:hanging="426"/>
        <w:jc w:val="both"/>
        <w:rPr>
          <w:rFonts w:ascii="Times New Roman" w:hAnsi="Times New Roman"/>
          <w:sz w:val="24"/>
          <w:szCs w:val="24"/>
        </w:rPr>
      </w:pPr>
      <w:r w:rsidRPr="00F916DB">
        <w:rPr>
          <w:rFonts w:ascii="Times New Roman" w:hAnsi="Times New Roman"/>
          <w:sz w:val="24"/>
          <w:szCs w:val="24"/>
        </w:rPr>
        <w:t>ar 2012.</w:t>
      </w:r>
      <w:r w:rsidR="000467C2">
        <w:rPr>
          <w:rFonts w:ascii="Times New Roman" w:hAnsi="Times New Roman"/>
          <w:sz w:val="24"/>
          <w:szCs w:val="24"/>
        </w:rPr>
        <w:t> </w:t>
      </w:r>
      <w:r w:rsidRPr="00F916DB">
        <w:rPr>
          <w:rFonts w:ascii="Times New Roman" w:hAnsi="Times New Roman"/>
          <w:sz w:val="24"/>
          <w:szCs w:val="24"/>
        </w:rPr>
        <w:t>gada 1.</w:t>
      </w:r>
      <w:r w:rsidR="000467C2">
        <w:rPr>
          <w:rFonts w:ascii="Times New Roman" w:hAnsi="Times New Roman"/>
          <w:sz w:val="24"/>
          <w:szCs w:val="24"/>
        </w:rPr>
        <w:t> </w:t>
      </w:r>
      <w:r w:rsidRPr="00F916DB">
        <w:rPr>
          <w:rFonts w:ascii="Times New Roman" w:hAnsi="Times New Roman"/>
          <w:sz w:val="24"/>
          <w:szCs w:val="24"/>
        </w:rPr>
        <w:t xml:space="preserve">janvāri akcīzes preču ievešanu, tajā skaitā ar sauszemes bezsliežu transportlīdzekli, kas nav komerciāls transportlīdzeklis, neuzskata par komerciālu, ja tā </w:t>
      </w:r>
      <w:r w:rsidRPr="00F916DB">
        <w:rPr>
          <w:rFonts w:ascii="Times New Roman" w:hAnsi="Times New Roman"/>
          <w:sz w:val="24"/>
          <w:szCs w:val="24"/>
        </w:rPr>
        <w:lastRenderedPageBreak/>
        <w:t>nenotiek regulāri (ne biežāk kā vienu reizi septiņās dienās), tādējādi samazinot risku, ka personas normatīvajos aktos noteiktos nodokļa atbrīvojumus izmanto ļaunprātīgi;</w:t>
      </w:r>
    </w:p>
    <w:p w:rsidR="009E4416" w:rsidRPr="00F916DB" w:rsidRDefault="009E4416" w:rsidP="009E4416">
      <w:pPr>
        <w:pStyle w:val="ListParagraph"/>
        <w:numPr>
          <w:ilvl w:val="0"/>
          <w:numId w:val="43"/>
        </w:numPr>
        <w:spacing w:after="0" w:line="240" w:lineRule="auto"/>
        <w:ind w:left="426" w:hanging="426"/>
        <w:jc w:val="both"/>
        <w:rPr>
          <w:rFonts w:ascii="Times New Roman" w:hAnsi="Times New Roman"/>
          <w:sz w:val="24"/>
          <w:szCs w:val="24"/>
        </w:rPr>
      </w:pPr>
      <w:r w:rsidRPr="00F916DB">
        <w:rPr>
          <w:rFonts w:ascii="Times New Roman" w:hAnsi="Times New Roman"/>
          <w:sz w:val="24"/>
          <w:szCs w:val="24"/>
        </w:rPr>
        <w:t>ar 2012.</w:t>
      </w:r>
      <w:r w:rsidR="000467C2">
        <w:rPr>
          <w:rFonts w:ascii="Times New Roman" w:hAnsi="Times New Roman"/>
          <w:sz w:val="24"/>
          <w:szCs w:val="24"/>
        </w:rPr>
        <w:t> </w:t>
      </w:r>
      <w:r w:rsidRPr="00F916DB">
        <w:rPr>
          <w:rFonts w:ascii="Times New Roman" w:hAnsi="Times New Roman"/>
          <w:sz w:val="24"/>
          <w:szCs w:val="24"/>
        </w:rPr>
        <w:t>gada 1.</w:t>
      </w:r>
      <w:r w:rsidR="000467C2">
        <w:rPr>
          <w:rFonts w:ascii="Times New Roman" w:hAnsi="Times New Roman"/>
          <w:sz w:val="24"/>
          <w:szCs w:val="24"/>
        </w:rPr>
        <w:t> </w:t>
      </w:r>
      <w:r w:rsidRPr="00F916DB">
        <w:rPr>
          <w:rFonts w:ascii="Times New Roman" w:hAnsi="Times New Roman"/>
          <w:sz w:val="24"/>
          <w:szCs w:val="24"/>
        </w:rPr>
        <w:t>februāri akcīzes nodokli piemēro noteiktām eļļas grupām, piemēram, metālapstrādes vielām, veidņu eļļām, pretkorozijas eļļām, citādām ziežeļļām un citādām eļļām, kas atbilst Kombinētās nomenklatūras (</w:t>
      </w:r>
      <w:r w:rsidR="007F0410">
        <w:rPr>
          <w:rFonts w:ascii="Times New Roman" w:hAnsi="Times New Roman"/>
          <w:sz w:val="24"/>
          <w:szCs w:val="24"/>
          <w:lang w:val="lv-LV"/>
        </w:rPr>
        <w:t xml:space="preserve">turpmāk - </w:t>
      </w:r>
      <w:r w:rsidRPr="00F916DB">
        <w:rPr>
          <w:rFonts w:ascii="Times New Roman" w:hAnsi="Times New Roman"/>
          <w:sz w:val="24"/>
          <w:szCs w:val="24"/>
        </w:rPr>
        <w:t>KN) kodam 27101991 un KN 27101999 kodam, izņemot gadījumus, ja šie produkti ir iepildīti slēgtā iepakojumā, kuras tilpums nepārsniedz 250 litrus. Tādējādi tiek novērsts risks, ja šie produkti (eļļas) ar KN kodu 27101991 un KN kodu 27101999 tiek izmantoti par degvielu vai kurināmo, tādējādi izvairoties no atbilstoša akcīzes nodokļa nomaksāšanas.</w:t>
      </w:r>
    </w:p>
    <w:p w:rsidR="009E4416" w:rsidRPr="00F916DB" w:rsidRDefault="009E4416" w:rsidP="009E4416">
      <w:pPr>
        <w:pStyle w:val="ListParagraph"/>
        <w:numPr>
          <w:ilvl w:val="0"/>
          <w:numId w:val="43"/>
        </w:numPr>
        <w:spacing w:after="0" w:line="240" w:lineRule="auto"/>
        <w:ind w:left="426" w:hanging="426"/>
        <w:jc w:val="both"/>
        <w:rPr>
          <w:rFonts w:ascii="Times New Roman" w:hAnsi="Times New Roman"/>
          <w:sz w:val="24"/>
          <w:szCs w:val="24"/>
        </w:rPr>
      </w:pPr>
      <w:r w:rsidRPr="00F916DB">
        <w:rPr>
          <w:rFonts w:ascii="Times New Roman" w:hAnsi="Times New Roman"/>
          <w:sz w:val="24"/>
          <w:szCs w:val="24"/>
        </w:rPr>
        <w:t>ar 2012.</w:t>
      </w:r>
      <w:r w:rsidR="000467C2">
        <w:rPr>
          <w:rFonts w:ascii="Times New Roman" w:hAnsi="Times New Roman"/>
          <w:sz w:val="24"/>
          <w:szCs w:val="24"/>
        </w:rPr>
        <w:t> </w:t>
      </w:r>
      <w:r w:rsidRPr="00F916DB">
        <w:rPr>
          <w:rFonts w:ascii="Times New Roman" w:hAnsi="Times New Roman"/>
          <w:sz w:val="24"/>
          <w:szCs w:val="24"/>
        </w:rPr>
        <w:t>gada 1.</w:t>
      </w:r>
      <w:r w:rsidR="000467C2">
        <w:rPr>
          <w:rFonts w:ascii="Times New Roman" w:hAnsi="Times New Roman"/>
          <w:sz w:val="24"/>
          <w:szCs w:val="24"/>
        </w:rPr>
        <w:t> </w:t>
      </w:r>
      <w:r w:rsidRPr="00F916DB">
        <w:rPr>
          <w:rFonts w:ascii="Times New Roman" w:hAnsi="Times New Roman"/>
          <w:sz w:val="24"/>
          <w:szCs w:val="24"/>
        </w:rPr>
        <w:t>janvāri stājas spēkā tiesību normas, kas novērš mikrouzņēmumu nodokļa režīma izmantošanu nodokļu plānošanai;</w:t>
      </w:r>
    </w:p>
    <w:p w:rsidR="009E4416" w:rsidRPr="00F916DB" w:rsidRDefault="009E4416" w:rsidP="009E4416">
      <w:pPr>
        <w:pStyle w:val="ListParagraph"/>
        <w:numPr>
          <w:ilvl w:val="0"/>
          <w:numId w:val="43"/>
        </w:numPr>
        <w:spacing w:after="0" w:line="240" w:lineRule="auto"/>
        <w:ind w:left="426" w:hanging="426"/>
        <w:jc w:val="both"/>
        <w:rPr>
          <w:rFonts w:ascii="Times New Roman" w:hAnsi="Times New Roman"/>
          <w:sz w:val="24"/>
          <w:szCs w:val="24"/>
        </w:rPr>
      </w:pPr>
      <w:r w:rsidRPr="00F916DB">
        <w:rPr>
          <w:rFonts w:ascii="Times New Roman" w:hAnsi="Times New Roman"/>
          <w:sz w:val="24"/>
          <w:szCs w:val="24"/>
        </w:rPr>
        <w:t>2011.</w:t>
      </w:r>
      <w:r w:rsidR="000467C2">
        <w:t> </w:t>
      </w:r>
      <w:r w:rsidRPr="00F916DB">
        <w:rPr>
          <w:rFonts w:ascii="Times New Roman" w:hAnsi="Times New Roman"/>
          <w:sz w:val="24"/>
          <w:szCs w:val="24"/>
        </w:rPr>
        <w:t>gada 15.</w:t>
      </w:r>
      <w:r w:rsidR="000467C2">
        <w:rPr>
          <w:rFonts w:ascii="Times New Roman" w:hAnsi="Times New Roman"/>
          <w:sz w:val="24"/>
          <w:szCs w:val="24"/>
        </w:rPr>
        <w:t> </w:t>
      </w:r>
      <w:r w:rsidRPr="00F916DB">
        <w:rPr>
          <w:rFonts w:ascii="Times New Roman" w:hAnsi="Times New Roman"/>
          <w:sz w:val="24"/>
          <w:szCs w:val="24"/>
        </w:rPr>
        <w:t>decembrī stājas spēkā Fizisko personu mantiskā stāvokļa un nedeklarēto ienākumu deklarēšanas likums, kas paredz no 2012.</w:t>
      </w:r>
      <w:r w:rsidR="000467C2">
        <w:rPr>
          <w:rFonts w:ascii="Times New Roman" w:hAnsi="Times New Roman"/>
          <w:sz w:val="24"/>
          <w:szCs w:val="24"/>
        </w:rPr>
        <w:t> </w:t>
      </w:r>
      <w:r w:rsidRPr="00F916DB">
        <w:rPr>
          <w:rFonts w:ascii="Times New Roman" w:hAnsi="Times New Roman"/>
          <w:sz w:val="24"/>
          <w:szCs w:val="24"/>
        </w:rPr>
        <w:t>gada 1.</w:t>
      </w:r>
      <w:r w:rsidR="000467C2">
        <w:rPr>
          <w:rFonts w:ascii="Times New Roman" w:hAnsi="Times New Roman"/>
          <w:sz w:val="24"/>
          <w:szCs w:val="24"/>
        </w:rPr>
        <w:t> </w:t>
      </w:r>
      <w:r w:rsidRPr="00F916DB">
        <w:rPr>
          <w:rFonts w:ascii="Times New Roman" w:hAnsi="Times New Roman"/>
          <w:sz w:val="24"/>
          <w:szCs w:val="24"/>
        </w:rPr>
        <w:t>marta līdz 2012.</w:t>
      </w:r>
      <w:r w:rsidR="000467C2">
        <w:t> </w:t>
      </w:r>
      <w:r w:rsidRPr="00F916DB">
        <w:rPr>
          <w:rFonts w:ascii="Times New Roman" w:hAnsi="Times New Roman"/>
          <w:sz w:val="24"/>
          <w:szCs w:val="24"/>
        </w:rPr>
        <w:t>gada 1.</w:t>
      </w:r>
      <w:r w:rsidR="007F0410">
        <w:rPr>
          <w:rFonts w:ascii="Times New Roman" w:hAnsi="Times New Roman"/>
          <w:sz w:val="24"/>
          <w:szCs w:val="24"/>
          <w:lang w:val="lv-LV"/>
        </w:rPr>
        <w:t xml:space="preserve"> </w:t>
      </w:r>
      <w:r w:rsidRPr="00F916DB">
        <w:rPr>
          <w:rFonts w:ascii="Times New Roman" w:hAnsi="Times New Roman"/>
          <w:sz w:val="24"/>
          <w:szCs w:val="24"/>
        </w:rPr>
        <w:t>jūnija</w:t>
      </w:r>
      <w:r>
        <w:rPr>
          <w:rFonts w:ascii="Times New Roman" w:hAnsi="Times New Roman"/>
          <w:sz w:val="24"/>
          <w:szCs w:val="24"/>
        </w:rPr>
        <w:t>m</w:t>
      </w:r>
      <w:r w:rsidRPr="00F916DB">
        <w:rPr>
          <w:rFonts w:ascii="Times New Roman" w:hAnsi="Times New Roman"/>
          <w:sz w:val="24"/>
          <w:szCs w:val="24"/>
        </w:rPr>
        <w:t xml:space="preserve"> fiziskām personām, kuras atbilst likumā noteiktiem kritērijiem, iesniegt mantiskā stāvokļa deklarāciju un dod iespēju fiziskām personām deklarēt iepriekš nedeklarētos ienākumus, paredzot tiem piemērot iedzīvotāju ienākuma nodokļa likmi 15 procentu apmērā. Vienlaikus ir pieņemti noteikumi, ka personām skaidras naudas uzkrājums, kas pārsniedz likumā noteikto slieksni, ir jāieskaita kontā kredītiestādē, lai valsts institūcijām būtu iespēja pārliecināties par deklarēto skaidras naudas līdzekļu esamību;</w:t>
      </w:r>
    </w:p>
    <w:p w:rsidR="009E4416" w:rsidRPr="00F916DB" w:rsidRDefault="009E4416" w:rsidP="009E4416">
      <w:pPr>
        <w:pStyle w:val="ListParagraph"/>
        <w:numPr>
          <w:ilvl w:val="0"/>
          <w:numId w:val="43"/>
        </w:numPr>
        <w:spacing w:after="0" w:line="240" w:lineRule="auto"/>
        <w:ind w:left="426" w:hanging="426"/>
        <w:jc w:val="both"/>
        <w:rPr>
          <w:rFonts w:ascii="Times New Roman" w:hAnsi="Times New Roman"/>
          <w:sz w:val="24"/>
          <w:szCs w:val="24"/>
        </w:rPr>
      </w:pPr>
      <w:r>
        <w:rPr>
          <w:rFonts w:ascii="Times New Roman" w:hAnsi="Times New Roman"/>
          <w:sz w:val="24"/>
          <w:szCs w:val="24"/>
        </w:rPr>
        <w:t>a</w:t>
      </w:r>
      <w:r w:rsidRPr="00F916DB">
        <w:rPr>
          <w:rFonts w:ascii="Times New Roman" w:hAnsi="Times New Roman"/>
          <w:sz w:val="24"/>
          <w:szCs w:val="24"/>
        </w:rPr>
        <w:t>r 2011.</w:t>
      </w:r>
      <w:r w:rsidR="000467C2">
        <w:rPr>
          <w:rFonts w:ascii="Times New Roman" w:hAnsi="Times New Roman"/>
          <w:sz w:val="24"/>
          <w:szCs w:val="24"/>
        </w:rPr>
        <w:t> </w:t>
      </w:r>
      <w:r w:rsidRPr="00F916DB">
        <w:rPr>
          <w:rFonts w:ascii="Times New Roman" w:hAnsi="Times New Roman"/>
          <w:sz w:val="24"/>
          <w:szCs w:val="24"/>
        </w:rPr>
        <w:t>gada 9.</w:t>
      </w:r>
      <w:r w:rsidR="000467C2">
        <w:rPr>
          <w:rFonts w:ascii="Times New Roman" w:hAnsi="Times New Roman"/>
          <w:sz w:val="24"/>
          <w:szCs w:val="24"/>
        </w:rPr>
        <w:t> </w:t>
      </w:r>
      <w:r w:rsidRPr="00F916DB">
        <w:rPr>
          <w:rFonts w:ascii="Times New Roman" w:hAnsi="Times New Roman"/>
          <w:sz w:val="24"/>
          <w:szCs w:val="24"/>
        </w:rPr>
        <w:t>novembri nodokļu maksātājiem, kas pārdod preces vai piedāvā pakalpojumus internetā, savas tīmekļa vietas ir jāreģistrē kā nodokļu maksātāja struktūrvienības;</w:t>
      </w:r>
    </w:p>
    <w:p w:rsidR="009E4416" w:rsidRPr="007F0410" w:rsidRDefault="009E4416" w:rsidP="007F0410">
      <w:pPr>
        <w:pStyle w:val="ListParagraph"/>
        <w:numPr>
          <w:ilvl w:val="0"/>
          <w:numId w:val="43"/>
        </w:numPr>
        <w:spacing w:after="120" w:line="240" w:lineRule="auto"/>
        <w:ind w:left="426" w:hanging="426"/>
        <w:jc w:val="both"/>
        <w:rPr>
          <w:rFonts w:ascii="Times New Roman" w:hAnsi="Times New Roman"/>
          <w:sz w:val="24"/>
          <w:szCs w:val="24"/>
        </w:rPr>
      </w:pPr>
      <w:r w:rsidRPr="00F916DB">
        <w:rPr>
          <w:rFonts w:ascii="Times New Roman" w:hAnsi="Times New Roman"/>
          <w:sz w:val="24"/>
          <w:szCs w:val="24"/>
        </w:rPr>
        <w:t>ar 2012.</w:t>
      </w:r>
      <w:r w:rsidR="000467C2">
        <w:rPr>
          <w:rFonts w:ascii="Times New Roman" w:hAnsi="Times New Roman"/>
          <w:sz w:val="24"/>
          <w:szCs w:val="24"/>
        </w:rPr>
        <w:t> </w:t>
      </w:r>
      <w:r w:rsidRPr="00F916DB">
        <w:rPr>
          <w:rFonts w:ascii="Times New Roman" w:hAnsi="Times New Roman"/>
          <w:sz w:val="24"/>
          <w:szCs w:val="24"/>
        </w:rPr>
        <w:t>gada 1.</w:t>
      </w:r>
      <w:r w:rsidR="000467C2">
        <w:rPr>
          <w:rFonts w:ascii="Times New Roman" w:hAnsi="Times New Roman"/>
          <w:sz w:val="24"/>
          <w:szCs w:val="24"/>
        </w:rPr>
        <w:t> </w:t>
      </w:r>
      <w:r w:rsidRPr="00F916DB">
        <w:rPr>
          <w:rFonts w:ascii="Times New Roman" w:hAnsi="Times New Roman"/>
          <w:sz w:val="24"/>
          <w:szCs w:val="24"/>
        </w:rPr>
        <w:t>janvāri ir ieviesta „reversā” (apgrieztā) pievienotās vērtības nodokļa piemērošanas kārtība būvniecības pakalpojumiem, kas sniegti iekšzemē.</w:t>
      </w:r>
    </w:p>
    <w:p w:rsidR="00F37E17" w:rsidRDefault="00421E54" w:rsidP="007F0410">
      <w:pPr>
        <w:ind w:firstLine="709"/>
      </w:pPr>
      <w:r>
        <w:t>M</w:t>
      </w:r>
      <w:r w:rsidR="00F37E17" w:rsidRPr="00627EFB">
        <w:t>K sēdē 2011.</w:t>
      </w:r>
      <w:r w:rsidR="00512E99" w:rsidRPr="00627EFB">
        <w:t xml:space="preserve"> </w:t>
      </w:r>
      <w:r w:rsidR="00F37E17" w:rsidRPr="00627EFB">
        <w:t>gada 12.</w:t>
      </w:r>
      <w:r w:rsidR="00512E99" w:rsidRPr="00627EFB">
        <w:t xml:space="preserve"> </w:t>
      </w:r>
      <w:r w:rsidR="00F37E17" w:rsidRPr="00627EFB">
        <w:t>jūlijā izskatīts informatīvais ziņojums „Par pastāvošo uzņēmumu ienākuma nodokļa atvieglojumu izvērtējumu no to efektivitātes un nodokļu administrēšanas viedokļa” un informatīvais ziņojums „Par Pasākumu plāna ēnu ekonomikas apkarošanai un godīgas konkurences nodrošināšanai 2010.</w:t>
      </w:r>
      <w:r w:rsidR="0035776A">
        <w:t>–</w:t>
      </w:r>
      <w:r w:rsidR="00F37E17" w:rsidRPr="00627EFB">
        <w:t>2013.</w:t>
      </w:r>
      <w:r w:rsidR="000467C2">
        <w:t> </w:t>
      </w:r>
      <w:r w:rsidR="00F37E17" w:rsidRPr="00627EFB">
        <w:t>gadam 3.</w:t>
      </w:r>
      <w:r w:rsidR="000467C2">
        <w:t> </w:t>
      </w:r>
      <w:r w:rsidR="00F37E17" w:rsidRPr="00627EFB">
        <w:t xml:space="preserve">pasākuma – izvērtēt pastāvošos </w:t>
      </w:r>
      <w:r w:rsidR="00A83FEC">
        <w:t xml:space="preserve">iedzīvotāju ienākuma nodokļa (turpmāk – </w:t>
      </w:r>
      <w:r w:rsidR="00F37E17" w:rsidRPr="00627EFB">
        <w:t>IIN</w:t>
      </w:r>
      <w:r w:rsidR="00A83FEC">
        <w:t>)</w:t>
      </w:r>
      <w:r w:rsidR="00F37E17" w:rsidRPr="00627EFB">
        <w:t xml:space="preserve"> atvieglojumus no to efektivitātes un nodokļu administrēšanas viedokļa – izpildi” (MK sēdes protokols Nr.</w:t>
      </w:r>
      <w:r w:rsidR="000467C2">
        <w:t> </w:t>
      </w:r>
      <w:r w:rsidR="00F37E17" w:rsidRPr="00627EFB">
        <w:t>43, 28.</w:t>
      </w:r>
      <w:r w:rsidR="000467C2">
        <w:t> </w:t>
      </w:r>
      <w:r w:rsidR="00F37E17" w:rsidRPr="00627EFB">
        <w:t>§ un 29.</w:t>
      </w:r>
      <w:r w:rsidR="000467C2">
        <w:t> </w:t>
      </w:r>
      <w:r w:rsidR="00F37E17" w:rsidRPr="00627EFB">
        <w:t>§). Informatīvajos ziņojumos izvērtēti</w:t>
      </w:r>
      <w:r w:rsidR="00F37E17">
        <w:t xml:space="preserve"> konkrētie </w:t>
      </w:r>
      <w:r>
        <w:t xml:space="preserve">uzņēmuma ienākuma nodokļa (turpmāk – </w:t>
      </w:r>
      <w:r w:rsidR="00F37E17">
        <w:t>UIN</w:t>
      </w:r>
      <w:r>
        <w:t>)</w:t>
      </w:r>
      <w:r w:rsidR="00F37E17">
        <w:t xml:space="preserve"> un IIN atvieglojumi un nolemts </w:t>
      </w:r>
      <w:r w:rsidR="0045002A">
        <w:t>FM</w:t>
      </w:r>
      <w:r w:rsidR="00F37E17">
        <w:t>, izstrādājot nodokļu politiku un 2012.</w:t>
      </w:r>
      <w:r w:rsidR="00512E99">
        <w:t xml:space="preserve"> </w:t>
      </w:r>
      <w:r w:rsidR="0035776A">
        <w:t>–</w:t>
      </w:r>
      <w:r w:rsidR="00512E99">
        <w:t xml:space="preserve"> </w:t>
      </w:r>
      <w:r w:rsidR="00F37E17">
        <w:t>2014.</w:t>
      </w:r>
      <w:r w:rsidR="00512E99">
        <w:t xml:space="preserve"> </w:t>
      </w:r>
      <w:r w:rsidR="00F37E17">
        <w:t xml:space="preserve">gada valsts budžeta projektus, ņemt vērā informatīvajā ziņojumā ietvertos secinājumus, balstoties uz valsts un pašvaldību budžeta iespējām un saskaņojot ar Latvijas Pašvaldību savienību </w:t>
      </w:r>
      <w:r w:rsidR="007E0A14">
        <w:t xml:space="preserve">(turpmāk – LPS) </w:t>
      </w:r>
      <w:r w:rsidR="00F37E17">
        <w:t>un sociālajiem partneriem.</w:t>
      </w:r>
    </w:p>
    <w:p w:rsidR="00F37E17" w:rsidRDefault="00F37E17" w:rsidP="002D62B9">
      <w:pPr>
        <w:ind w:firstLine="720"/>
      </w:pPr>
      <w:r>
        <w:t>Ar MK 2011.</w:t>
      </w:r>
      <w:r w:rsidR="00512E99">
        <w:t xml:space="preserve"> </w:t>
      </w:r>
      <w:r>
        <w:t>gada 19.</w:t>
      </w:r>
      <w:r w:rsidR="007F0410">
        <w:t xml:space="preserve"> </w:t>
      </w:r>
      <w:r>
        <w:t>decembra rīkojumu Nr.</w:t>
      </w:r>
      <w:r w:rsidR="007F0410">
        <w:t xml:space="preserve"> </w:t>
      </w:r>
      <w:r>
        <w:t>673 apstiprināta koncepcija "Par Padziļinātās sadarbības programmu"</w:t>
      </w:r>
      <w:r w:rsidR="009E4416">
        <w:t xml:space="preserve">, </w:t>
      </w:r>
      <w:r w:rsidR="009E4416">
        <w:rPr>
          <w:szCs w:val="24"/>
        </w:rPr>
        <w:t>2012.</w:t>
      </w:r>
      <w:r w:rsidR="007F0410">
        <w:rPr>
          <w:szCs w:val="24"/>
        </w:rPr>
        <w:t xml:space="preserve"> </w:t>
      </w:r>
      <w:r w:rsidR="009E4416">
        <w:rPr>
          <w:szCs w:val="24"/>
        </w:rPr>
        <w:t>gada 22.</w:t>
      </w:r>
      <w:r w:rsidR="007F0410">
        <w:rPr>
          <w:szCs w:val="24"/>
        </w:rPr>
        <w:t xml:space="preserve"> </w:t>
      </w:r>
      <w:r w:rsidR="009E4416">
        <w:rPr>
          <w:szCs w:val="24"/>
        </w:rPr>
        <w:t xml:space="preserve">martā pieņemti grozījumi likumā „Par nodokļiem un nodevām”, kas paredz </w:t>
      </w:r>
      <w:r w:rsidR="009E4416">
        <w:t xml:space="preserve">Padziļinātās sadarbības programmas </w:t>
      </w:r>
      <w:r w:rsidR="009E4416">
        <w:rPr>
          <w:szCs w:val="24"/>
        </w:rPr>
        <w:t>darbības uzsākšanu no 2012.</w:t>
      </w:r>
      <w:r w:rsidR="007F0410">
        <w:rPr>
          <w:szCs w:val="24"/>
        </w:rPr>
        <w:t xml:space="preserve"> </w:t>
      </w:r>
      <w:r w:rsidR="009E4416">
        <w:rPr>
          <w:szCs w:val="24"/>
        </w:rPr>
        <w:t>gada 1.</w:t>
      </w:r>
      <w:r w:rsidR="007F0410">
        <w:rPr>
          <w:szCs w:val="24"/>
        </w:rPr>
        <w:t xml:space="preserve"> </w:t>
      </w:r>
      <w:r w:rsidR="009E4416">
        <w:rPr>
          <w:szCs w:val="24"/>
        </w:rPr>
        <w:t>jūlija</w:t>
      </w:r>
      <w:r w:rsidR="009E4416">
        <w:t>.</w:t>
      </w:r>
      <w:r>
        <w:t xml:space="preserve"> Ir attīstīta </w:t>
      </w:r>
      <w:r w:rsidR="0045002A">
        <w:t>V</w:t>
      </w:r>
      <w:r>
        <w:t>ID un nozaru asociāciju sadarbība. Laika periodā no 2010.</w:t>
      </w:r>
      <w:r w:rsidR="00512E99">
        <w:t xml:space="preserve"> </w:t>
      </w:r>
      <w:r>
        <w:t>gada augusta līdz 2011.</w:t>
      </w:r>
      <w:r w:rsidR="00512E99">
        <w:t xml:space="preserve"> </w:t>
      </w:r>
      <w:r>
        <w:t xml:space="preserve">gada beigām VID noslēdzis 12 vienošanās par sadarbību ar nozaru asociācijām. </w:t>
      </w:r>
      <w:r w:rsidRPr="006F4C34">
        <w:t>2011.</w:t>
      </w:r>
      <w:r w:rsidR="00512E99">
        <w:t xml:space="preserve"> </w:t>
      </w:r>
      <w:r w:rsidRPr="006F4C34">
        <w:t xml:space="preserve">gadā pēc nozaru asociācijas sniegtās informācijas 47 nodokļu maksātājiem ir veiktas tematiskās pārbaudes, </w:t>
      </w:r>
      <w:r>
        <w:t>un veikti 25 nodokļu auditi. Sadarbības attīstība ar nozaru asociācijām tiks turpināta arī turpmāk.</w:t>
      </w:r>
      <w:r w:rsidRPr="006F4C34">
        <w:t xml:space="preserve"> </w:t>
      </w:r>
      <w:r>
        <w:t>N</w:t>
      </w:r>
      <w:r w:rsidRPr="006F4C34">
        <w:t>ormatīv</w:t>
      </w:r>
      <w:r>
        <w:t>ā</w:t>
      </w:r>
      <w:r w:rsidRPr="006F4C34">
        <w:t xml:space="preserve"> aktu bāz</w:t>
      </w:r>
      <w:r>
        <w:t>e tiek tālāk izstrādāta.</w:t>
      </w:r>
    </w:p>
    <w:p w:rsidR="00F37E17" w:rsidRPr="0098120A" w:rsidRDefault="00F57914" w:rsidP="002D62B9">
      <w:pPr>
        <w:ind w:firstLine="720"/>
        <w:rPr>
          <w:szCs w:val="24"/>
        </w:rPr>
      </w:pPr>
      <w:r>
        <w:rPr>
          <w:szCs w:val="24"/>
        </w:rPr>
        <w:t>VID</w:t>
      </w:r>
      <w:r w:rsidR="00F37E17" w:rsidRPr="00194993">
        <w:rPr>
          <w:szCs w:val="24"/>
        </w:rPr>
        <w:t xml:space="preserve"> iestādes līmenī ir izstrādājis vairākas stratēģijas, lai uzlabotu nodokļu administrēšanu, kā arī apstiprināts </w:t>
      </w:r>
      <w:r>
        <w:rPr>
          <w:szCs w:val="24"/>
        </w:rPr>
        <w:t>FM</w:t>
      </w:r>
      <w:r w:rsidR="00F37E17" w:rsidRPr="00194993">
        <w:rPr>
          <w:szCs w:val="24"/>
        </w:rPr>
        <w:t xml:space="preserve"> resora pasākumu plāns nodokļu administrēšanas uzlabošanai 2011. – 2013.</w:t>
      </w:r>
      <w:r w:rsidR="00512E99">
        <w:rPr>
          <w:szCs w:val="24"/>
        </w:rPr>
        <w:t xml:space="preserve"> </w:t>
      </w:r>
      <w:r w:rsidR="00F37E17" w:rsidRPr="00194993">
        <w:rPr>
          <w:szCs w:val="24"/>
        </w:rPr>
        <w:t xml:space="preserve">gadam, kur ietvertas </w:t>
      </w:r>
      <w:r>
        <w:rPr>
          <w:szCs w:val="24"/>
        </w:rPr>
        <w:t>SVF</w:t>
      </w:r>
      <w:r w:rsidR="00F37E17" w:rsidRPr="00194993">
        <w:rPr>
          <w:szCs w:val="24"/>
        </w:rPr>
        <w:t xml:space="preserve"> 2011.</w:t>
      </w:r>
      <w:r w:rsidR="00512E99">
        <w:rPr>
          <w:szCs w:val="24"/>
        </w:rPr>
        <w:t xml:space="preserve"> </w:t>
      </w:r>
      <w:r w:rsidR="00F37E17" w:rsidRPr="00194993">
        <w:rPr>
          <w:szCs w:val="24"/>
        </w:rPr>
        <w:t xml:space="preserve">gada augusta ziņojuma „Nodokļu administrācijas prioritātes ēnu ekonomikas apkarošanai” rekomendācijas. </w:t>
      </w:r>
      <w:r w:rsidR="00F37E17">
        <w:rPr>
          <w:szCs w:val="24"/>
        </w:rPr>
        <w:t xml:space="preserve">Tāpat, </w:t>
      </w:r>
      <w:r>
        <w:rPr>
          <w:szCs w:val="24"/>
        </w:rPr>
        <w:t>VID</w:t>
      </w:r>
      <w:r w:rsidR="00F37E17" w:rsidRPr="0098120A">
        <w:rPr>
          <w:szCs w:val="24"/>
        </w:rPr>
        <w:t xml:space="preserve"> kapacitātes stiprināšanai </w:t>
      </w:r>
      <w:r w:rsidR="00BE6ABA">
        <w:rPr>
          <w:szCs w:val="24"/>
        </w:rPr>
        <w:t xml:space="preserve">2012. gadā </w:t>
      </w:r>
      <w:r w:rsidR="00F37E17" w:rsidRPr="0098120A">
        <w:rPr>
          <w:szCs w:val="24"/>
        </w:rPr>
        <w:t xml:space="preserve">piešķirti papildu līdzekļi 4 milj. latu apmērā, kā arī ir veikti administratīvi uzlabojumi iestādes darba efektivizēšanai, īstenota specializācija auditu </w:t>
      </w:r>
      <w:r w:rsidR="00F37E17" w:rsidRPr="0098120A">
        <w:rPr>
          <w:szCs w:val="24"/>
        </w:rPr>
        <w:lastRenderedPageBreak/>
        <w:t>veikšanai</w:t>
      </w:r>
      <w:r w:rsidR="00F37E17">
        <w:rPr>
          <w:szCs w:val="24"/>
        </w:rPr>
        <w:t xml:space="preserve">, palielināts nodokļu auditu tvērums, </w:t>
      </w:r>
      <w:r w:rsidR="00F37E17" w:rsidRPr="0098120A">
        <w:rPr>
          <w:szCs w:val="24"/>
        </w:rPr>
        <w:t xml:space="preserve"> </w:t>
      </w:r>
      <w:r w:rsidR="00F37E17">
        <w:rPr>
          <w:szCs w:val="24"/>
        </w:rPr>
        <w:t>kā rezultātā n</w:t>
      </w:r>
      <w:r w:rsidR="00F37E17" w:rsidRPr="0098120A">
        <w:rPr>
          <w:szCs w:val="24"/>
        </w:rPr>
        <w:t>odokļu auditu rezultativitāte pieaugusi par 5 procenta punktiem – no 89</w:t>
      </w:r>
      <w:r w:rsidR="00BE6ABA">
        <w:rPr>
          <w:szCs w:val="24"/>
        </w:rPr>
        <w:t xml:space="preserve"> </w:t>
      </w:r>
      <w:r w:rsidR="00F37E17" w:rsidRPr="0098120A">
        <w:rPr>
          <w:szCs w:val="24"/>
        </w:rPr>
        <w:t>% 2010.</w:t>
      </w:r>
      <w:r w:rsidR="00512E99">
        <w:rPr>
          <w:szCs w:val="24"/>
        </w:rPr>
        <w:t xml:space="preserve"> </w:t>
      </w:r>
      <w:r w:rsidR="00F37E17" w:rsidRPr="0098120A">
        <w:rPr>
          <w:szCs w:val="24"/>
        </w:rPr>
        <w:t>gadā līdz 94 % 2011.</w:t>
      </w:r>
      <w:r w:rsidR="00512E99">
        <w:rPr>
          <w:szCs w:val="24"/>
        </w:rPr>
        <w:t xml:space="preserve"> </w:t>
      </w:r>
      <w:r w:rsidR="00F37E17" w:rsidRPr="0098120A">
        <w:rPr>
          <w:szCs w:val="24"/>
        </w:rPr>
        <w:t>gadā.</w:t>
      </w:r>
    </w:p>
    <w:p w:rsidR="00F37E17" w:rsidRPr="0098120A" w:rsidRDefault="00F37E17" w:rsidP="002D62B9">
      <w:pPr>
        <w:ind w:firstLine="720"/>
        <w:rPr>
          <w:szCs w:val="24"/>
        </w:rPr>
      </w:pPr>
      <w:r w:rsidRPr="0098120A">
        <w:rPr>
          <w:szCs w:val="24"/>
        </w:rPr>
        <w:t>Lai stiprinātu valsts pārvaldes iestāžu kapacitāti likumpārkāpumu atklāšanā un novēršanā kontrabandas jomā, ir izstrādāts Valsts tiesību aizsardzības iestāžu rīcības plāns 2012.</w:t>
      </w:r>
      <w:r w:rsidR="00BE6ABA">
        <w:rPr>
          <w:szCs w:val="24"/>
        </w:rPr>
        <w:t xml:space="preserve"> </w:t>
      </w:r>
      <w:r w:rsidRPr="0098120A">
        <w:rPr>
          <w:szCs w:val="24"/>
        </w:rPr>
        <w:t>gadam, kas apstiprināts 2012.</w:t>
      </w:r>
      <w:r w:rsidR="00512E99">
        <w:rPr>
          <w:szCs w:val="24"/>
        </w:rPr>
        <w:t xml:space="preserve"> </w:t>
      </w:r>
      <w:r w:rsidRPr="0098120A">
        <w:rPr>
          <w:szCs w:val="24"/>
        </w:rPr>
        <w:t>gada 31.</w:t>
      </w:r>
      <w:r w:rsidR="00512E99">
        <w:rPr>
          <w:szCs w:val="24"/>
        </w:rPr>
        <w:t xml:space="preserve"> </w:t>
      </w:r>
      <w:r w:rsidRPr="0098120A">
        <w:rPr>
          <w:szCs w:val="24"/>
        </w:rPr>
        <w:t>janvārī. Plānā ir noteikti pieci prioritārie virzieni, kuros paredzēts īstenot 35 pasākumus.</w:t>
      </w:r>
    </w:p>
    <w:p w:rsidR="00F37E17" w:rsidRDefault="00F37E17" w:rsidP="00BE6ABA">
      <w:pPr>
        <w:pStyle w:val="Default"/>
        <w:spacing w:after="120"/>
        <w:ind w:firstLine="720"/>
        <w:jc w:val="both"/>
      </w:pPr>
      <w:r>
        <w:rPr>
          <w:color w:val="auto"/>
          <w:sz w:val="23"/>
          <w:szCs w:val="23"/>
        </w:rPr>
        <w:t>Attiecībā uz pasākumu - līdz 2011.</w:t>
      </w:r>
      <w:r w:rsidR="00512E99">
        <w:rPr>
          <w:color w:val="auto"/>
          <w:sz w:val="23"/>
          <w:szCs w:val="23"/>
        </w:rPr>
        <w:t xml:space="preserve"> </w:t>
      </w:r>
      <w:r>
        <w:rPr>
          <w:color w:val="auto"/>
          <w:sz w:val="23"/>
          <w:szCs w:val="23"/>
        </w:rPr>
        <w:t xml:space="preserve">gada septembra beigām izvērtēt iespēju Valsts Kasei atlikt maksājumus uzņēmumiem ar nodokļu parādiem līdz nodokļu parādu nomaksai vai atlikšanai, </w:t>
      </w:r>
      <w:r>
        <w:t>s</w:t>
      </w:r>
      <w:r w:rsidRPr="00C3710A">
        <w:t>askaņā ar likuma "Par nodokļiem un nodevām" 28.</w:t>
      </w:r>
      <w:r w:rsidR="00BE6ABA">
        <w:t xml:space="preserve"> </w:t>
      </w:r>
      <w:r w:rsidRPr="00C3710A">
        <w:t>panta otro daļu pārmaksātās nodokļu summas pēc nodokļu maksātāju pamatota iesnieguma iesniegšanas nodokļu administrācijai un pēc nodokļu administrācijas pārbaudes novirzāmas nokavēto vai kārtējo nodokļu maksājumu segšanai vai atmaksājamas 15 dienu laikā, ja konkrēto nodokļu likumi neparedz citu atmaksāšanas laiku un kārtību. Ņemot vērā minēto, nodokļu pārmaksas vispirms tiek novirzītas  nokavēto vai kārtējo nodokļu maksājumu segšanai.</w:t>
      </w:r>
    </w:p>
    <w:p w:rsidR="00F37E17" w:rsidRDefault="00F37E17" w:rsidP="00BE6ABA">
      <w:pPr>
        <w:rPr>
          <w:szCs w:val="24"/>
        </w:rPr>
      </w:pPr>
      <w:r>
        <w:rPr>
          <w:szCs w:val="24"/>
        </w:rPr>
        <w:t>Papildus, ir uzsākts</w:t>
      </w:r>
      <w:r>
        <w:t xml:space="preserve"> d</w:t>
      </w:r>
      <w:r w:rsidRPr="008F4CFF">
        <w:t>arbs pie darbaspēka nod</w:t>
      </w:r>
      <w:r>
        <w:t xml:space="preserve">okļu reformas un ir plānots </w:t>
      </w:r>
      <w:r w:rsidRPr="008F4CFF">
        <w:t xml:space="preserve">iesniegt </w:t>
      </w:r>
      <w:r w:rsidR="00F57914">
        <w:t>MK</w:t>
      </w:r>
      <w:r w:rsidRPr="008F4CFF">
        <w:t xml:space="preserve"> Informatīvo ziņojumu par darbaspēka nodokļu reformas priekšlikumu.</w:t>
      </w:r>
      <w:r w:rsidRPr="0086085C">
        <w:t xml:space="preserve"> </w:t>
      </w:r>
      <w:r w:rsidRPr="008F4CFF">
        <w:t xml:space="preserve">Minētās reformas ietvaros tiks risināti jautājumi par </w:t>
      </w:r>
      <w:r w:rsidR="000A6FF8">
        <w:t xml:space="preserve">iedzīvotāju ienākuma </w:t>
      </w:r>
      <w:r w:rsidRPr="008F4CFF">
        <w:t xml:space="preserve">nodokļa likmes samazināšanu un neapliekamā minimuma un atvieglojumu par apgādājamajiem palielināšanu, lai veicinātu ekonomisko aktivitāti, investīcijas un nodarbinātību, un ierobežotu ēnu ekonomiku. </w:t>
      </w:r>
    </w:p>
    <w:p w:rsidR="00F37E17" w:rsidRDefault="00F37E17" w:rsidP="002D62B9">
      <w:pPr>
        <w:rPr>
          <w:szCs w:val="24"/>
        </w:rPr>
      </w:pPr>
    </w:p>
    <w:p w:rsidR="00F37E17" w:rsidRPr="00405299" w:rsidRDefault="00F37E17" w:rsidP="002D62B9">
      <w:pPr>
        <w:rPr>
          <w:i/>
          <w:szCs w:val="24"/>
        </w:rPr>
      </w:pPr>
      <w:r w:rsidRPr="001B7B34">
        <w:rPr>
          <w:i/>
          <w:szCs w:val="24"/>
        </w:rPr>
        <w:t>Pasākumi, lai nodrošinātu adekvātu finansējumu sociālajām vajadzībām un caurspīdīgu un izmaksu efektīvu</w:t>
      </w:r>
      <w:r>
        <w:rPr>
          <w:i/>
          <w:szCs w:val="24"/>
        </w:rPr>
        <w:t xml:space="preserve"> sociālās palīdzības sniegšanu:</w:t>
      </w:r>
    </w:p>
    <w:p w:rsidR="00F37E17" w:rsidRDefault="00F37E17" w:rsidP="002D62B9">
      <w:pPr>
        <w:pStyle w:val="Default"/>
        <w:spacing w:after="120"/>
        <w:jc w:val="both"/>
      </w:pPr>
      <w:r>
        <w:tab/>
      </w:r>
      <w:r w:rsidRPr="00155264">
        <w:t>Finansējums visiem Sociālās drošības tīkla stratēģijas pasākumiem kopā 2012.gadā paredzēts 44,6 miljonu latu apmērā.</w:t>
      </w:r>
      <w:r>
        <w:t xml:space="preserve"> Visu 2012.</w:t>
      </w:r>
      <w:r w:rsidR="00512E99">
        <w:t xml:space="preserve"> </w:t>
      </w:r>
      <w:r>
        <w:t xml:space="preserve">gadu no </w:t>
      </w:r>
      <w:r w:rsidR="000A6FF8">
        <w:t>centrālās valdības budžeta</w:t>
      </w:r>
      <w:r>
        <w:t xml:space="preserve"> tik</w:t>
      </w:r>
      <w:r w:rsidR="00BE6ABA">
        <w:t>s</w:t>
      </w:r>
      <w:r>
        <w:t xml:space="preserve"> līdzfinansēts pabalsts garantētā minimālā ienākumu līmeņa nodrošināšanai (GMI pabalsts) 50% apmērā un līdzfinansēts mājokļa īres pabalsts līdz 2012.</w:t>
      </w:r>
      <w:r w:rsidR="00512E99">
        <w:t xml:space="preserve"> </w:t>
      </w:r>
      <w:r>
        <w:t xml:space="preserve">gada aprīļa beigām. </w:t>
      </w:r>
    </w:p>
    <w:p w:rsidR="00F37E17" w:rsidRPr="00B44300" w:rsidRDefault="00F37E17" w:rsidP="002D62B9">
      <w:pPr>
        <w:spacing w:before="120"/>
        <w:ind w:firstLine="720"/>
      </w:pPr>
      <w:r>
        <w:t>Vienlaikus 2012.</w:t>
      </w:r>
      <w:r w:rsidR="00512E99">
        <w:t xml:space="preserve"> </w:t>
      </w:r>
      <w:r>
        <w:t xml:space="preserve">gadā tiks vērtēts, kādas izmaiņas būtu nepieciešamas pašvaldību sociālās palīdzības pabalstu sistēmā (sociālās palīdzības saņemšanas nosacījumi, pašvaldību atbildība un aktīvāka iesaiste sociālo problēmu risināšana, personu atbildība un aktīvāka savas situācijas risināšana, sociālās palīdzības organizatoriskā sistēma). Ir izstrādāts pētījuma </w:t>
      </w:r>
      <w:r w:rsidRPr="005C2B30">
        <w:t>"Sākotnējās ietekmes (Ex-ante) novērtējums par iecerētajām strukturālajām reformām sociālās palīdzības politikas jomā”</w:t>
      </w:r>
      <w:r>
        <w:t xml:space="preserve"> pieteikums, </w:t>
      </w:r>
      <w:r w:rsidRPr="005C2B30">
        <w:t>iepirkums tiks uzsākts 2. ceturksnī (aprīļa beigās/maija sākumā), savukārt pētījuma rezultāti būs pieejami 4.</w:t>
      </w:r>
      <w:r w:rsidR="00BE6ABA">
        <w:t xml:space="preserve"> </w:t>
      </w:r>
      <w:r w:rsidRPr="005C2B30">
        <w:t>ceturkšņa beigās vai 2013.</w:t>
      </w:r>
      <w:r w:rsidR="00512E99">
        <w:t xml:space="preserve"> </w:t>
      </w:r>
      <w:r w:rsidRPr="005C2B30">
        <w:t xml:space="preserve">gada 1. ceturksnī.  </w:t>
      </w:r>
      <w:r>
        <w:t xml:space="preserve">Pētījuma rezultātā </w:t>
      </w:r>
      <w:r w:rsidRPr="00456278">
        <w:rPr>
          <w:szCs w:val="24"/>
        </w:rPr>
        <w:t xml:space="preserve">tiek plānots izstrādāt priekšlikumus sociālās palīdzības sistēmas reformai. </w:t>
      </w:r>
      <w:r>
        <w:t>Tos izstrādājot</w:t>
      </w:r>
      <w:r w:rsidRPr="00500EE2">
        <w:t xml:space="preserve"> tiks ņemts vērā, ka sociālās palīdzības sistēmai ir jābūt mērķētai, pietiekoši elastīgai un sabalansētai, lai sniegtā palīdzība atbilstu personas vajadzībām, bet vienlaikus mo</w:t>
      </w:r>
      <w:r>
        <w:t>tivētu atgriezties darba tirgū.</w:t>
      </w:r>
    </w:p>
    <w:p w:rsidR="00F37E17" w:rsidRDefault="00F37E17" w:rsidP="002D62B9">
      <w:pPr>
        <w:ind w:firstLine="0"/>
        <w:rPr>
          <w:szCs w:val="24"/>
        </w:rPr>
      </w:pPr>
    </w:p>
    <w:p w:rsidR="00F37E17" w:rsidRDefault="00F37E17" w:rsidP="002D62B9">
      <w:pPr>
        <w:rPr>
          <w:b/>
          <w:szCs w:val="24"/>
        </w:rPr>
      </w:pPr>
      <w:r w:rsidRPr="001B531E">
        <w:rPr>
          <w:b/>
          <w:szCs w:val="24"/>
        </w:rPr>
        <w:t>II  Finanšu s</w:t>
      </w:r>
      <w:r>
        <w:rPr>
          <w:b/>
          <w:szCs w:val="24"/>
        </w:rPr>
        <w:t xml:space="preserve">ektora stabilitātes </w:t>
      </w:r>
      <w:r w:rsidR="00613A06">
        <w:rPr>
          <w:b/>
          <w:szCs w:val="24"/>
        </w:rPr>
        <w:t>pastiprināšana</w:t>
      </w:r>
      <w:r w:rsidRPr="001B531E">
        <w:rPr>
          <w:b/>
          <w:szCs w:val="24"/>
        </w:rPr>
        <w:t xml:space="preserve"> (Eiro Plus pakta apņemšanās) un no</w:t>
      </w:r>
      <w:r>
        <w:rPr>
          <w:b/>
          <w:szCs w:val="24"/>
        </w:rPr>
        <w:t>rmālas kreditēšanas atjaunošana</w:t>
      </w:r>
      <w:r w:rsidRPr="001B531E">
        <w:rPr>
          <w:b/>
          <w:szCs w:val="24"/>
        </w:rPr>
        <w:t xml:space="preserve"> ekonomikā (Ikgadējā Izaugsmes ziņojuma prioritāte).</w:t>
      </w:r>
    </w:p>
    <w:p w:rsidR="00F37E17" w:rsidRPr="007F4A24" w:rsidRDefault="00F37E17" w:rsidP="002D62B9">
      <w:pPr>
        <w:rPr>
          <w:i/>
          <w:szCs w:val="24"/>
        </w:rPr>
      </w:pPr>
      <w:r>
        <w:rPr>
          <w:i/>
          <w:szCs w:val="24"/>
        </w:rPr>
        <w:t>Finanšu sektora pasākumi:</w:t>
      </w:r>
    </w:p>
    <w:p w:rsidR="00F37E17" w:rsidRDefault="00F37E17" w:rsidP="002D62B9">
      <w:r>
        <w:t xml:space="preserve">Tiek turpināts darbs banku restrukturizācijas jomā, kā arī ir tikuši veikti pasākumi finanšu sektora stabilitātes pastiprināšanai, kas ir saskaņā ar Ikgadējā izaugsmes ziņojumā, Eiro Plus Paktā un </w:t>
      </w:r>
      <w:r>
        <w:rPr>
          <w:szCs w:val="24"/>
        </w:rPr>
        <w:t>Saprašanās memoranda papildinājumos minēto.</w:t>
      </w:r>
    </w:p>
    <w:p w:rsidR="00F37E17" w:rsidRPr="00B44300" w:rsidRDefault="00F37E17" w:rsidP="002D62B9">
      <w:r>
        <w:lastRenderedPageBreak/>
        <w:t xml:space="preserve">Latvijas </w:t>
      </w:r>
      <w:r w:rsidRPr="00A85123">
        <w:t xml:space="preserve">Hipotēku </w:t>
      </w:r>
      <w:r>
        <w:t xml:space="preserve">un zemes </w:t>
      </w:r>
      <w:r w:rsidRPr="00A85123">
        <w:t>bankas</w:t>
      </w:r>
      <w:r>
        <w:t xml:space="preserve"> (turpmāk – Hipotēku banka)</w:t>
      </w:r>
      <w:r w:rsidRPr="00A85123">
        <w:t xml:space="preserve"> pārveides plānu </w:t>
      </w:r>
      <w:r w:rsidR="003C07E4">
        <w:t>MK</w:t>
      </w:r>
      <w:r w:rsidRPr="00A85123">
        <w:t xml:space="preserve"> apstiprināja 2011.</w:t>
      </w:r>
      <w:r w:rsidR="00512E99">
        <w:t xml:space="preserve"> </w:t>
      </w:r>
      <w:r w:rsidRPr="00A85123">
        <w:t>gada 12.</w:t>
      </w:r>
      <w:r w:rsidR="00512E99">
        <w:t xml:space="preserve"> </w:t>
      </w:r>
      <w:r w:rsidRPr="00A85123">
        <w:t xml:space="preserve">aprīlī un </w:t>
      </w:r>
      <w:r>
        <w:t xml:space="preserve">tas tika </w:t>
      </w:r>
      <w:r w:rsidRPr="00A85123">
        <w:t>iesniegt</w:t>
      </w:r>
      <w:r>
        <w:t>s</w:t>
      </w:r>
      <w:r w:rsidRPr="00A85123">
        <w:t xml:space="preserve"> </w:t>
      </w:r>
      <w:r>
        <w:t xml:space="preserve">arī </w:t>
      </w:r>
      <w:r w:rsidR="003C07E4">
        <w:t>EK</w:t>
      </w:r>
      <w:r w:rsidRPr="00A85123">
        <w:t xml:space="preserve">. Vienlaikus </w:t>
      </w:r>
      <w:r w:rsidR="003C07E4">
        <w:t>FM</w:t>
      </w:r>
      <w:r w:rsidRPr="00A85123">
        <w:t xml:space="preserve"> tika dots uzdevums piesaistīt konsultantu pārdošanas stratēģijas izstādei un īstenošanai.</w:t>
      </w:r>
      <w:r>
        <w:t xml:space="preserve"> </w:t>
      </w:r>
      <w:r w:rsidRPr="00A85123">
        <w:t xml:space="preserve">Komercdaļas pārdošanas stratēģijas izstrādi koordinēja augsta līmeņa Hipotēku bankas pārveides vadības grupa, kā arī pārveides procesa neatkarīgai uzraudzībai ir iecelts Hipotēku bankas pārveides vadītājs. Komercdaļas pārdošanas stratēģijas izstrādes laikā ir veiktas konsultācijas gan ar </w:t>
      </w:r>
      <w:r w:rsidR="003C07E4">
        <w:t>EK</w:t>
      </w:r>
      <w:r w:rsidRPr="00A85123">
        <w:t xml:space="preserve"> Konkurences ģenerāldirektorātu, gan starptautiskajiem aizde</w:t>
      </w:r>
      <w:r>
        <w:t xml:space="preserve">vējiem. </w:t>
      </w:r>
      <w:r w:rsidRPr="00A85123">
        <w:t>Piesaistītā Konsultanta izstrādātā komercdaļas pārdošanas stratēģija rekomendēja pārdot Hipotēku bankas komercdaļu, to sadalot sešās homogēnās paketēs. Pārdošanas process tiek organizēts kā plaša, starptautiska izsole divos soļos. Valdība apstiprināja Hipotēku bankas pārdošanas stratēģiju 2011.</w:t>
      </w:r>
      <w:r w:rsidR="00BE6ABA">
        <w:t xml:space="preserve"> </w:t>
      </w:r>
      <w:r w:rsidRPr="00A85123">
        <w:t>gada 1.</w:t>
      </w:r>
      <w:r w:rsidR="00BE6ABA">
        <w:t xml:space="preserve"> </w:t>
      </w:r>
      <w:r w:rsidRPr="00A85123">
        <w:t>novembrī, uzdodot Konsultantam uzsākt pārdošanas procesu.</w:t>
      </w:r>
      <w:r>
        <w:t xml:space="preserve"> </w:t>
      </w:r>
      <w:r w:rsidRPr="00A85123">
        <w:t xml:space="preserve">Līdz </w:t>
      </w:r>
      <w:r w:rsidRPr="005428CD">
        <w:t>2011.</w:t>
      </w:r>
      <w:r w:rsidR="00BE6ABA">
        <w:t xml:space="preserve"> </w:t>
      </w:r>
      <w:r w:rsidRPr="005428CD">
        <w:t>gada 16. decembrim no potenciālajiem investoriem tika saņemti indikatīvie cenu piedāvājumi.</w:t>
      </w:r>
      <w:r w:rsidRPr="00A85123">
        <w:t xml:space="preserve"> </w:t>
      </w:r>
      <w:r w:rsidRPr="005428CD">
        <w:t>Hipotēku bankas komercdaļas pārdošanas process šobrīd tiek turpināts. Ir plānots jau 2012.</w:t>
      </w:r>
      <w:r w:rsidR="00512E99">
        <w:t xml:space="preserve"> </w:t>
      </w:r>
      <w:r w:rsidRPr="005428CD">
        <w:t>gada maijā parakstīt līgumus ar potenciālajiem Hipotēku bankas komercdaļas pircējiem par daļu no piedāvātajām paketēm. Pēc līgumu parakstīšanas tiks uzsākts aktīvu nodošanas pircējam process.</w:t>
      </w:r>
      <w:r>
        <w:t xml:space="preserve"> Tiek plānots, ka Hipotēku bankas komercdaļas pārdošanas process </w:t>
      </w:r>
      <w:r w:rsidRPr="00B84CD0">
        <w:t>varētu tikt pabeigts līdz aptuveni 2013.</w:t>
      </w:r>
      <w:r w:rsidR="00512E99">
        <w:t xml:space="preserve">  </w:t>
      </w:r>
      <w:r w:rsidRPr="00B84CD0">
        <w:t>gada marta beigām.</w:t>
      </w:r>
    </w:p>
    <w:p w:rsidR="00F37E17" w:rsidRPr="00E90A49" w:rsidRDefault="00F37E17" w:rsidP="00E90A49">
      <w:pPr>
        <w:rPr>
          <w:szCs w:val="24"/>
        </w:rPr>
      </w:pPr>
      <w:r w:rsidRPr="004D76E4">
        <w:t>2011.</w:t>
      </w:r>
      <w:r w:rsidR="00512E99">
        <w:t xml:space="preserve"> </w:t>
      </w:r>
      <w:r w:rsidRPr="004D76E4">
        <w:t xml:space="preserve">gada 23. novembrī saskaņā ar MK </w:t>
      </w:r>
      <w:r>
        <w:t>2011.</w:t>
      </w:r>
      <w:r w:rsidR="00512E99">
        <w:t xml:space="preserve"> </w:t>
      </w:r>
      <w:r>
        <w:t>gada 1.</w:t>
      </w:r>
      <w:r w:rsidR="00512E99">
        <w:t xml:space="preserve"> </w:t>
      </w:r>
      <w:r>
        <w:t xml:space="preserve">novembra </w:t>
      </w:r>
      <w:r w:rsidRPr="004D76E4">
        <w:t xml:space="preserve">protokollēmumu tika izveidota konsultatīvā padome valsts atbalsta programmu koordinācijai un pilnveidošanai. Padomes galvenais uzdevums ir saturiski un praktiski izvērtēt esošos valsts atbalsta instrumentus. Institucionālā modeļa izvēle, kas vislabāk atbilst valdības deklarācijā paredzētajam izveidot pilna spektra attīstības finanšu institūciju, centralizējot atbalsta programmu ieviešanu, koncentrējot resursus un izveidojot tās profesionālu uzraudzības mehānismu sadarbībā ar privāto sektoru, būs atbilstoša konsultatīvās padomes sniegtajam informācijas apkopojumam par valsts atbalsta programmām, izstrādātajiem priekšlikumiem esošo programmu uzlabojumam un ierosinājumiem par jaunu valsts atbalsta programmu izveidošanu, kā arī juridiskajai analīzei, ko veiks ārējais eksperts. </w:t>
      </w:r>
      <w:r>
        <w:rPr>
          <w:szCs w:val="24"/>
        </w:rPr>
        <w:t>D</w:t>
      </w:r>
      <w:r w:rsidRPr="00AB2D14">
        <w:rPr>
          <w:szCs w:val="24"/>
        </w:rPr>
        <w:t>arba uzdevums ārējam ekspertam juridiskās analīzes veikšanai par iespējām apvienot esošās institūcijas</w:t>
      </w:r>
      <w:r w:rsidRPr="00AE5EAB">
        <w:rPr>
          <w:szCs w:val="24"/>
        </w:rPr>
        <w:t xml:space="preserve"> </w:t>
      </w:r>
      <w:r>
        <w:rPr>
          <w:szCs w:val="24"/>
        </w:rPr>
        <w:t>ir</w:t>
      </w:r>
      <w:r w:rsidRPr="00AB2D14">
        <w:rPr>
          <w:szCs w:val="24"/>
        </w:rPr>
        <w:t xml:space="preserve"> izstrādāts</w:t>
      </w:r>
      <w:r>
        <w:rPr>
          <w:szCs w:val="24"/>
        </w:rPr>
        <w:t xml:space="preserve"> un</w:t>
      </w:r>
      <w:r w:rsidRPr="00AB2D14">
        <w:rPr>
          <w:szCs w:val="24"/>
        </w:rPr>
        <w:t xml:space="preserve"> Ekonomikas ministrija veido iepirkuma komisiju ārējā eksperta piesaistei, kurā </w:t>
      </w:r>
      <w:r w:rsidR="003C07E4">
        <w:rPr>
          <w:szCs w:val="24"/>
        </w:rPr>
        <w:t>FM</w:t>
      </w:r>
      <w:r w:rsidRPr="00AB2D14">
        <w:rPr>
          <w:szCs w:val="24"/>
        </w:rPr>
        <w:t xml:space="preserve"> ir deleģējusi savu pārstāvi</w:t>
      </w:r>
      <w:r w:rsidRPr="005B41A0">
        <w:rPr>
          <w:szCs w:val="24"/>
        </w:rPr>
        <w:t xml:space="preserve">. </w:t>
      </w:r>
      <w:r w:rsidR="005B41A0" w:rsidRPr="00905DA5">
        <w:rPr>
          <w:szCs w:val="24"/>
        </w:rPr>
        <w:t xml:space="preserve">Latvijas </w:t>
      </w:r>
      <w:r w:rsidR="005B41A0" w:rsidRPr="00E90A49">
        <w:rPr>
          <w:szCs w:val="24"/>
        </w:rPr>
        <w:t>valdība ir apņēmusies</w:t>
      </w:r>
      <w:r w:rsidR="005B41A0" w:rsidRPr="00E90A49">
        <w:t>, ka vienotas attīstības finanšu institūcijas izveides plāns tiks izstrādāts līdz 2012.</w:t>
      </w:r>
      <w:r w:rsidR="00BE6ABA">
        <w:t xml:space="preserve"> </w:t>
      </w:r>
      <w:r w:rsidR="005B41A0" w:rsidRPr="00E90A49">
        <w:t>gada 1.</w:t>
      </w:r>
      <w:r w:rsidR="00BE6ABA">
        <w:t xml:space="preserve"> </w:t>
      </w:r>
      <w:r w:rsidR="005B41A0" w:rsidRPr="00E90A49">
        <w:t>jūlijam, ar mērķi to ieviest līdz 2012.</w:t>
      </w:r>
      <w:r w:rsidR="00BE6ABA">
        <w:t xml:space="preserve"> </w:t>
      </w:r>
      <w:r w:rsidR="005B41A0" w:rsidRPr="00E90A49">
        <w:t>gada beigām. Tomēr būtisks priekšnosacījums vienotas attīstības finanšu institūcijas izveides plāna izstrādāšanai ir sekmīga Hipotēku bankas pārveides procesa īstenošana, tai skaitā Hipotēku bankas komercdaļas atsavināšana. Ņemot vērā pārdošanas un aktīvu pārneses procesa sarežģītību, kā arī nepieciešamību veikt juridisko analīzi par iespējām apvienot esošās institūcijas, iespējama esošo termiņu korekcija.</w:t>
      </w:r>
    </w:p>
    <w:p w:rsidR="005B41A0" w:rsidRDefault="00F37E17" w:rsidP="005B41A0">
      <w:r w:rsidRPr="003E1209">
        <w:t>2011.</w:t>
      </w:r>
      <w:r>
        <w:t> </w:t>
      </w:r>
      <w:r w:rsidRPr="003E1209">
        <w:t xml:space="preserve">gadā </w:t>
      </w:r>
      <w:r>
        <w:t>MK</w:t>
      </w:r>
      <w:r w:rsidRPr="003E1209">
        <w:t xml:space="preserve"> ir atbalstījis Citadeles bankas un Parex bankas pārdošanas stratēģijas, kas paredz savstarpēji nesaistītu pārdošanas procesu, katrai bankai piemērojot atbilstošāko risinājumu. Saskaņā ar pārdošanas stratēģiju Citadele banka tiks pārdota izsolē. Tomēr, ņemot vērā situāciju Baltijas banku tirgū un nestabilitāti Eiropas finanšu tirgos, </w:t>
      </w:r>
      <w:r>
        <w:t>MK</w:t>
      </w:r>
      <w:r w:rsidRPr="003E1209">
        <w:t xml:space="preserve"> 2011.</w:t>
      </w:r>
      <w:r>
        <w:t> </w:t>
      </w:r>
      <w:r w:rsidRPr="003E1209">
        <w:t>gada beigās pieņēma lēmumu atlikt Citadele bankas pārdošanas procesu. Pie Citadele bankas pārdošanas jautājuma ir plānots atgriezties vēlāk, kad situācija finanšu tirgos būs uzlabojusies. Saskaņā ar restrukturizācijas plānu Citadele banku kopumā ir paredzēts pārdod līdz 2014.</w:t>
      </w:r>
      <w:r>
        <w:t> </w:t>
      </w:r>
      <w:r w:rsidRPr="003E1209">
        <w:t>gada beigām</w:t>
      </w:r>
      <w:r>
        <w:t>. L</w:t>
      </w:r>
      <w:r w:rsidRPr="00DB14D3">
        <w:t>īdz 2012.</w:t>
      </w:r>
      <w:r>
        <w:t> gada 31. oktobrim</w:t>
      </w:r>
      <w:r w:rsidRPr="00DB14D3">
        <w:t xml:space="preserve"> </w:t>
      </w:r>
      <w:r>
        <w:t xml:space="preserve">tiek plānots </w:t>
      </w:r>
      <w:r w:rsidRPr="00DB14D3">
        <w:t>iesniegt MK izvērtējumu par Citadele bankas pārdošanas procesa atsākšanu.</w:t>
      </w:r>
      <w:r w:rsidR="005B41A0">
        <w:t xml:space="preserve"> </w:t>
      </w:r>
      <w:r w:rsidR="005B41A0" w:rsidRPr="00905DA5">
        <w:rPr>
          <w:iCs/>
        </w:rPr>
        <w:t>Vienlaikus tiek veiktas konsultācijas ar Eiropas Komisiju par restrukturizācijas plānā uzņemtajām saistībām, ņemot vērā aktuālo situāciju banku sektorā.</w:t>
      </w:r>
    </w:p>
    <w:p w:rsidR="00F37E17" w:rsidRPr="00DD2A70" w:rsidRDefault="00F37E17" w:rsidP="002D62B9">
      <w:pPr>
        <w:suppressAutoHyphens/>
      </w:pPr>
    </w:p>
    <w:p w:rsidR="00F37E17" w:rsidRDefault="00F37E17" w:rsidP="002D62B9">
      <w:pPr>
        <w:pStyle w:val="PlainText"/>
        <w:spacing w:after="120"/>
        <w:ind w:firstLine="567"/>
        <w:jc w:val="both"/>
        <w:rPr>
          <w:rFonts w:ascii="Times New Roman" w:hAnsi="Times New Roman"/>
          <w:sz w:val="24"/>
          <w:szCs w:val="24"/>
        </w:rPr>
      </w:pPr>
      <w:r w:rsidRPr="003E1209">
        <w:rPr>
          <w:rFonts w:ascii="Times New Roman" w:hAnsi="Times New Roman"/>
          <w:sz w:val="24"/>
          <w:szCs w:val="24"/>
        </w:rPr>
        <w:lastRenderedPageBreak/>
        <w:t>2011.</w:t>
      </w:r>
      <w:r>
        <w:rPr>
          <w:rFonts w:ascii="Times New Roman" w:hAnsi="Times New Roman"/>
          <w:sz w:val="24"/>
          <w:szCs w:val="24"/>
        </w:rPr>
        <w:t> </w:t>
      </w:r>
      <w:r w:rsidRPr="003E1209">
        <w:rPr>
          <w:rFonts w:ascii="Times New Roman" w:hAnsi="Times New Roman"/>
          <w:sz w:val="24"/>
          <w:szCs w:val="24"/>
        </w:rPr>
        <w:t xml:space="preserve">gadā </w:t>
      </w:r>
      <w:r>
        <w:rPr>
          <w:rFonts w:ascii="Times New Roman" w:hAnsi="Times New Roman"/>
          <w:sz w:val="24"/>
          <w:szCs w:val="24"/>
        </w:rPr>
        <w:t>tika</w:t>
      </w:r>
      <w:r w:rsidRPr="003E1209">
        <w:rPr>
          <w:rFonts w:ascii="Times New Roman" w:hAnsi="Times New Roman"/>
          <w:sz w:val="24"/>
          <w:szCs w:val="24"/>
        </w:rPr>
        <w:t xml:space="preserve"> sagatavots Parex bankas turpmākās darbības modeli</w:t>
      </w:r>
      <w:r>
        <w:rPr>
          <w:rFonts w:ascii="Times New Roman" w:hAnsi="Times New Roman"/>
          <w:sz w:val="24"/>
          <w:szCs w:val="24"/>
        </w:rPr>
        <w:t>s</w:t>
      </w:r>
      <w:r w:rsidRPr="003E1209">
        <w:rPr>
          <w:rFonts w:ascii="Times New Roman" w:hAnsi="Times New Roman"/>
          <w:sz w:val="24"/>
          <w:szCs w:val="24"/>
        </w:rPr>
        <w:t>, kas paredz</w:t>
      </w:r>
      <w:r>
        <w:rPr>
          <w:rFonts w:ascii="Times New Roman" w:hAnsi="Times New Roman"/>
          <w:sz w:val="24"/>
          <w:szCs w:val="24"/>
        </w:rPr>
        <w:t>ēja</w:t>
      </w:r>
      <w:r w:rsidRPr="003E1209">
        <w:rPr>
          <w:rFonts w:ascii="Times New Roman" w:hAnsi="Times New Roman"/>
          <w:sz w:val="24"/>
          <w:szCs w:val="24"/>
        </w:rPr>
        <w:t xml:space="preserve"> bankas statusa maiņu un atteikšanos no kredītiestādes licences. </w:t>
      </w:r>
      <w:r w:rsidRPr="007F3E22">
        <w:rPr>
          <w:rFonts w:ascii="Times New Roman" w:hAnsi="Times New Roman"/>
          <w:sz w:val="24"/>
          <w:szCs w:val="24"/>
        </w:rPr>
        <w:t>Finanšu un kapitāla tirgus komisijas padome 2012.</w:t>
      </w:r>
      <w:r w:rsidR="00512E99">
        <w:rPr>
          <w:rFonts w:ascii="Times New Roman" w:hAnsi="Times New Roman"/>
          <w:sz w:val="24"/>
          <w:szCs w:val="24"/>
        </w:rPr>
        <w:t xml:space="preserve"> gada</w:t>
      </w:r>
      <w:r>
        <w:rPr>
          <w:rFonts w:ascii="Times New Roman" w:hAnsi="Times New Roman"/>
          <w:sz w:val="24"/>
          <w:szCs w:val="24"/>
        </w:rPr>
        <w:t xml:space="preserve"> 15. mart</w:t>
      </w:r>
      <w:r w:rsidR="003E43B7">
        <w:rPr>
          <w:rFonts w:ascii="Times New Roman" w:hAnsi="Times New Roman"/>
          <w:sz w:val="24"/>
          <w:szCs w:val="24"/>
        </w:rPr>
        <w:t>a</w:t>
      </w:r>
      <w:r w:rsidRPr="007F3E22">
        <w:rPr>
          <w:rFonts w:ascii="Times New Roman" w:hAnsi="Times New Roman"/>
          <w:sz w:val="24"/>
          <w:szCs w:val="24"/>
        </w:rPr>
        <w:t xml:space="preserve"> sēdē pieņēma lēmumu anulēt Parex bankai izsniegto licenci kredītiestādes darbībai un atļaut Parex bankai veikt bankas reorganizāciju, pārreģistrējot to par komercsabiedrību, kuras darbība nav saistīta ar kredītiestādes darbību</w:t>
      </w:r>
      <w:r>
        <w:rPr>
          <w:rFonts w:ascii="Times New Roman" w:hAnsi="Times New Roman"/>
          <w:sz w:val="24"/>
          <w:szCs w:val="24"/>
        </w:rPr>
        <w:t xml:space="preserve">. </w:t>
      </w:r>
      <w:r w:rsidRPr="003E1209">
        <w:rPr>
          <w:rFonts w:ascii="Times New Roman" w:hAnsi="Times New Roman"/>
          <w:sz w:val="24"/>
          <w:szCs w:val="24"/>
        </w:rPr>
        <w:t xml:space="preserve">Atsakoties no bankas statusa, Parex bankai turpmāk nebūs saistoša kapitāla pietiekamības prasību izpilde, kā arī nebūs jāmaksā Finanšu un Kapitāla tirgus komisijai </w:t>
      </w:r>
      <w:r w:rsidR="002A3F2F">
        <w:rPr>
          <w:rFonts w:ascii="Times New Roman" w:hAnsi="Times New Roman"/>
          <w:sz w:val="24"/>
          <w:szCs w:val="24"/>
        </w:rPr>
        <w:t xml:space="preserve">(turpmāk – FKTK) </w:t>
      </w:r>
      <w:r w:rsidRPr="003E1209">
        <w:rPr>
          <w:rFonts w:ascii="Times New Roman" w:hAnsi="Times New Roman"/>
          <w:sz w:val="24"/>
          <w:szCs w:val="24"/>
        </w:rPr>
        <w:t xml:space="preserve">finanšu stabilitātes nodeva un jāveic iemaksas noguldījumu garantiju fondā. Līdz ar to valstij nebūs jāveic turpmāka valsts noguldījumu kapitalizācija, kāda bija paredzēta restrukturizācijas plānā, lai nodrošinātu bankas darbību atbilstoši kredītiestādēm piemērojamām prasībām. </w:t>
      </w:r>
      <w:r w:rsidRPr="003B292C">
        <w:rPr>
          <w:rFonts w:ascii="Times New Roman" w:hAnsi="Times New Roman"/>
          <w:sz w:val="24"/>
          <w:szCs w:val="24"/>
        </w:rPr>
        <w:t xml:space="preserve">Saskaņā ar </w:t>
      </w:r>
      <w:r w:rsidR="002A3F2F">
        <w:rPr>
          <w:rFonts w:ascii="Times New Roman" w:hAnsi="Times New Roman"/>
          <w:sz w:val="24"/>
          <w:szCs w:val="24"/>
        </w:rPr>
        <w:t>EK</w:t>
      </w:r>
      <w:r w:rsidRPr="003B292C">
        <w:rPr>
          <w:rFonts w:ascii="Times New Roman" w:hAnsi="Times New Roman"/>
          <w:sz w:val="24"/>
          <w:szCs w:val="24"/>
        </w:rPr>
        <w:t xml:space="preserve"> apstiprināto restrukturizācijas plānu Parex banka turpinās aktīvu izstrādi, t.i., kredītu piedziņu un ķīlu pārņemšanu, lai maksimāli atgūtu Parex bankā ieguldītos valsts līdzekļus. Parex bankas darbības periods ir noteikts līdz 2017.</w:t>
      </w:r>
      <w:r w:rsidR="00512E99">
        <w:rPr>
          <w:rFonts w:ascii="Times New Roman" w:hAnsi="Times New Roman"/>
          <w:sz w:val="24"/>
          <w:szCs w:val="24"/>
        </w:rPr>
        <w:t xml:space="preserve"> </w:t>
      </w:r>
      <w:r w:rsidRPr="003B292C">
        <w:rPr>
          <w:rFonts w:ascii="Times New Roman" w:hAnsi="Times New Roman"/>
          <w:sz w:val="24"/>
          <w:szCs w:val="24"/>
        </w:rPr>
        <w:t>gadam.</w:t>
      </w:r>
      <w:r>
        <w:rPr>
          <w:rFonts w:ascii="Times New Roman" w:hAnsi="Times New Roman"/>
          <w:sz w:val="24"/>
          <w:szCs w:val="24"/>
        </w:rPr>
        <w:t xml:space="preserve"> </w:t>
      </w:r>
    </w:p>
    <w:p w:rsidR="00F37E17" w:rsidRPr="00D75765" w:rsidRDefault="00F37E17" w:rsidP="002D62B9">
      <w:pPr>
        <w:suppressAutoHyphens/>
      </w:pPr>
      <w:r>
        <w:t>Savukārt, l</w:t>
      </w:r>
      <w:r w:rsidRPr="00A47445">
        <w:t xml:space="preserve">ai nodrošinātu neatkarīgu </w:t>
      </w:r>
      <w:r w:rsidRPr="0056308C">
        <w:t>Latvijas Garantiju aģentūras</w:t>
      </w:r>
      <w:r>
        <w:t xml:space="preserve"> (turpmāk – LGA)</w:t>
      </w:r>
      <w:r w:rsidRPr="00A47445">
        <w:t xml:space="preserve"> kapacitātes </w:t>
      </w:r>
      <w:r w:rsidR="00C45907">
        <w:t>iz</w:t>
      </w:r>
      <w:r w:rsidRPr="00A47445">
        <w:t>vērtējumu</w:t>
      </w:r>
      <w:r w:rsidR="00407459">
        <w:t>,</w:t>
      </w:r>
      <w:r w:rsidRPr="00A47445">
        <w:t xml:space="preserve"> </w:t>
      </w:r>
      <w:r w:rsidR="00C45907">
        <w:t>līdz</w:t>
      </w:r>
      <w:r w:rsidR="00C45907" w:rsidRPr="00A47445">
        <w:t xml:space="preserve"> </w:t>
      </w:r>
      <w:r w:rsidR="00C45907">
        <w:t>2012.</w:t>
      </w:r>
      <w:r w:rsidR="00BE6ABA">
        <w:t xml:space="preserve"> </w:t>
      </w:r>
      <w:r w:rsidR="00C45907">
        <w:t xml:space="preserve">gada aprīļa beigām plānota precizētā </w:t>
      </w:r>
      <w:r w:rsidR="00C45907" w:rsidRPr="00C60CF8">
        <w:t xml:space="preserve">LGA kapacitātes audita tehniskās specifikācijas atkārtota iesniegšana </w:t>
      </w:r>
      <w:r w:rsidR="00407459">
        <w:t>EK</w:t>
      </w:r>
      <w:r w:rsidR="00C45907">
        <w:t xml:space="preserve"> </w:t>
      </w:r>
      <w:r w:rsidR="00C45907" w:rsidRPr="00C60CF8">
        <w:t>saskaņošana</w:t>
      </w:r>
      <w:r w:rsidR="00C45907">
        <w:t>i, kas bija priekšnoteikums iepriekšminētā audita veikšanai</w:t>
      </w:r>
      <w:r w:rsidR="00C34E2D">
        <w:t>.</w:t>
      </w:r>
      <w:r w:rsidR="00C45907">
        <w:t xml:space="preserve"> Pēc saskaņojuma saņemšanas no </w:t>
      </w:r>
      <w:r w:rsidR="00407459">
        <w:t>EK</w:t>
      </w:r>
      <w:r w:rsidR="00C45907">
        <w:t xml:space="preserve"> tiks izsludināts iepirkums par LGA kapacitātes audita veikšanu un sagatavots audita ziņojums, ko līdz š.g. jūnija beigām plānots nosūtīt </w:t>
      </w:r>
      <w:r w:rsidR="00407459">
        <w:t>EK.</w:t>
      </w:r>
      <w:r w:rsidR="00C34E2D">
        <w:t xml:space="preserve"> </w:t>
      </w:r>
      <w:r>
        <w:t xml:space="preserve">2012.gada </w:t>
      </w:r>
      <w:r w:rsidRPr="00297F43">
        <w:t xml:space="preserve">gada februārī </w:t>
      </w:r>
      <w:r>
        <w:t>tika sagatavoti priekšlikumi</w:t>
      </w:r>
      <w:r w:rsidRPr="00297F43">
        <w:t xml:space="preserve"> ieguldījumu fonda brīvo nauda</w:t>
      </w:r>
      <w:r>
        <w:t>s līdzekļu ieguldīšanas politikai</w:t>
      </w:r>
      <w:r w:rsidRPr="00297F43">
        <w:t xml:space="preserve">, </w:t>
      </w:r>
      <w:r>
        <w:t>kuri paredz</w:t>
      </w:r>
      <w:r w:rsidRPr="00297F43">
        <w:t>, ka noguldījumu apjoms vienā kredītiestādē nevar pārsniegt 10</w:t>
      </w:r>
      <w:r w:rsidR="00BE6ABA">
        <w:t xml:space="preserve"> </w:t>
      </w:r>
      <w:r w:rsidRPr="00297F43">
        <w:t xml:space="preserve">% no ieguldījumu portfeļa līdzekļu kopējās summas. </w:t>
      </w:r>
      <w:r>
        <w:t xml:space="preserve">LGA </w:t>
      </w:r>
      <w:r w:rsidR="00C45907">
        <w:t xml:space="preserve">brīvo naudas līdzekļu </w:t>
      </w:r>
      <w:r>
        <w:t xml:space="preserve">ieguldīšanas politika </w:t>
      </w:r>
      <w:r w:rsidR="00C45907">
        <w:t>ir sa</w:t>
      </w:r>
      <w:r>
        <w:t xml:space="preserve">skaņota ar </w:t>
      </w:r>
      <w:r w:rsidR="002A3F2F">
        <w:t>FM</w:t>
      </w:r>
      <w:r>
        <w:t xml:space="preserve"> un Valsts kasi.</w:t>
      </w:r>
    </w:p>
    <w:p w:rsidR="00F37E17" w:rsidRDefault="00F37E17" w:rsidP="002D62B9">
      <w:r>
        <w:t>2011.</w:t>
      </w:r>
      <w:r w:rsidR="00512E99">
        <w:t xml:space="preserve"> </w:t>
      </w:r>
      <w:r>
        <w:t xml:space="preserve">gadā tika turpināts nodrošināt finanšu sektora stabilitātes pasākumus. </w:t>
      </w:r>
      <w:r w:rsidRPr="00ED4264">
        <w:rPr>
          <w:color w:val="000000"/>
        </w:rPr>
        <w:t>FKTK</w:t>
      </w:r>
      <w:r w:rsidRPr="008F2897">
        <w:rPr>
          <w:color w:val="000000"/>
        </w:rPr>
        <w:t xml:space="preserve"> turpināja pilnveidot normatīvo bāzi ar mērķi veicināt banku kapitāla bāzes stiprināšanu</w:t>
      </w:r>
      <w:r>
        <w:rPr>
          <w:color w:val="000000"/>
        </w:rPr>
        <w:t>. Tāpat, turpināja nodrošināt uzraudzības pasākumus,</w:t>
      </w:r>
      <w:r w:rsidRPr="00406303">
        <w:t xml:space="preserve"> </w:t>
      </w:r>
      <w:r w:rsidRPr="0078452C">
        <w:t>kas nodrošina efektīvu kredītriska vadību, veicot kredītu pārstrukturēšanu</w:t>
      </w:r>
      <w:r>
        <w:rPr>
          <w:color w:val="000000"/>
        </w:rPr>
        <w:t xml:space="preserve">. </w:t>
      </w:r>
      <w:r>
        <w:t>L</w:t>
      </w:r>
      <w:r w:rsidRPr="0078452C">
        <w:t>īdztekus</w:t>
      </w:r>
      <w:r w:rsidRPr="00263617">
        <w:t xml:space="preserve"> banku individuālajām pārbaudēm tika veiktas "horizontālās" pārbaudes bankās, kuru laikā tika izvērtētas banku darbības kredītu restrukturizācijas procesā, tirgus riska pārvaldīšanā un politiku ieviešanā saskaņā ar FKTK</w:t>
      </w:r>
      <w:r>
        <w:t xml:space="preserve"> noteikumiem, tāpat </w:t>
      </w:r>
      <w:r w:rsidRPr="00263617">
        <w:t>tika vērtēti banku iekšējie kapitāla pietiekamības novērtēšanas procesi ar mērķi noteikt</w:t>
      </w:r>
      <w:r>
        <w:t>,</w:t>
      </w:r>
      <w:r w:rsidRPr="00263617">
        <w:t xml:space="preserve"> vai minimālās kapitāla prasības ir pietiekamas bankas darbībai piemītošā kredītriska, tirgus risku un operacionālā riska segšanai un vai bankas darbīb</w:t>
      </w:r>
      <w:r w:rsidRPr="00567B2F">
        <w:t xml:space="preserve">ai nepiemīt arī citi būtiski riski, kuru segšanai nepieciešams nodrošināt papildu kapitālu. </w:t>
      </w:r>
      <w:r w:rsidR="00567B2F" w:rsidRPr="00567B2F">
        <w:t>2011.</w:t>
      </w:r>
      <w:r w:rsidR="00BE6ABA">
        <w:t xml:space="preserve"> </w:t>
      </w:r>
      <w:r w:rsidR="00567B2F" w:rsidRPr="00567B2F">
        <w:t xml:space="preserve">gada rudenī </w:t>
      </w:r>
      <w:r w:rsidR="00567B2F" w:rsidRPr="00567B2F">
        <w:rPr>
          <w:szCs w:val="24"/>
        </w:rPr>
        <w:t xml:space="preserve">FKTK apturēja </w:t>
      </w:r>
      <w:r w:rsidR="00567B2F" w:rsidRPr="00567B2F">
        <w:rPr>
          <w:szCs w:val="24"/>
          <w:lang w:eastAsia="lv-LV"/>
        </w:rPr>
        <w:t>AS "Latvijas Krājbanka" darbību un 2012.</w:t>
      </w:r>
      <w:r w:rsidR="00BE6ABA">
        <w:rPr>
          <w:szCs w:val="24"/>
          <w:lang w:eastAsia="lv-LV"/>
        </w:rPr>
        <w:t xml:space="preserve"> </w:t>
      </w:r>
      <w:r w:rsidR="00567B2F" w:rsidRPr="00567B2F">
        <w:rPr>
          <w:szCs w:val="24"/>
          <w:lang w:eastAsia="lv-LV"/>
        </w:rPr>
        <w:t>gada sākumā tika iesniegts pieteikums par AS "Latvijas Krājbanka" bankrota uzsākšanu. "Latvijas Krājbankas" 99,8</w:t>
      </w:r>
      <w:r w:rsidR="00BE6ABA">
        <w:rPr>
          <w:szCs w:val="24"/>
          <w:lang w:eastAsia="lv-LV"/>
        </w:rPr>
        <w:t xml:space="preserve"> </w:t>
      </w:r>
      <w:r w:rsidR="00567B2F" w:rsidRPr="00567B2F">
        <w:rPr>
          <w:szCs w:val="24"/>
          <w:lang w:eastAsia="lv-LV"/>
        </w:rPr>
        <w:t>% noguldītāju tika veikta garantētā atlīdzības izmaksa.</w:t>
      </w:r>
    </w:p>
    <w:p w:rsidR="00BD71A1" w:rsidRDefault="00BD71A1" w:rsidP="00BD71A1">
      <w:r w:rsidRPr="00A26586">
        <w:t>No 2011.</w:t>
      </w:r>
      <w:r w:rsidR="00173466">
        <w:t> </w:t>
      </w:r>
      <w:r w:rsidRPr="00A26586">
        <w:t>gada 1.</w:t>
      </w:r>
      <w:r w:rsidR="00173466">
        <w:t> </w:t>
      </w:r>
      <w:r w:rsidRPr="00A26586">
        <w:t xml:space="preserve">novembra ir ieviesta nebanku kredītu devēju licencēšanas sistēma, garantējot patērētājam ilgtermiņā finansiāli stabilu kredītu devēju esamību tirgū. </w:t>
      </w:r>
      <w:r w:rsidR="000E07CF">
        <w:t xml:space="preserve">Šo uzdevumu veic Patērētāju tiesību aizsardzības centrs. </w:t>
      </w:r>
      <w:r w:rsidRPr="00A26586">
        <w:t>Licencēšanas sistēmas ieviešana ļāvusi kopumā paaugstināt patērētāju aizsardzības līmeni nebanku kreditēšanas jomā, nodrošinot, ka šajā tirgū darbojas tikai pakalpojumu sniedzēji ar stabilu finansiālo situāciju, mazinot iespējamos finanšu riskus un kopumā uzlabojot arī kompetento iestāžu kontroles un uzraudzības darbu nebanku kreditēšanas tirgū.</w:t>
      </w:r>
    </w:p>
    <w:p w:rsidR="00F37E17" w:rsidRPr="0001613B" w:rsidRDefault="00F37E17" w:rsidP="002D62B9">
      <w:pPr>
        <w:autoSpaceDE w:val="0"/>
        <w:autoSpaceDN w:val="0"/>
        <w:adjustRightInd w:val="0"/>
        <w:rPr>
          <w:rFonts w:eastAsia="Calibri"/>
        </w:rPr>
      </w:pPr>
      <w:r w:rsidRPr="0001613B">
        <w:t>Gan 2012.</w:t>
      </w:r>
      <w:r>
        <w:t> </w:t>
      </w:r>
      <w:r w:rsidRPr="0001613B">
        <w:t>gadā, gan arī turpmāk</w:t>
      </w:r>
      <w:r>
        <w:t>aj</w:t>
      </w:r>
      <w:r w:rsidRPr="0001613B">
        <w:t xml:space="preserve">os gados </w:t>
      </w:r>
      <w:r w:rsidRPr="0001613B">
        <w:rPr>
          <w:rFonts w:eastAsia="Calibri"/>
        </w:rPr>
        <w:t>tiks veikta virkne likumdošanas pasākumu visā finanšu sektor</w:t>
      </w:r>
      <w:r>
        <w:rPr>
          <w:rFonts w:eastAsia="Calibri"/>
        </w:rPr>
        <w:t>a jomā</w:t>
      </w:r>
      <w:r w:rsidRPr="0001613B">
        <w:rPr>
          <w:rFonts w:eastAsia="Calibri"/>
        </w:rPr>
        <w:t xml:space="preserve">, kas saistīti ar </w:t>
      </w:r>
      <w:r w:rsidR="008F088E">
        <w:rPr>
          <w:rFonts w:eastAsia="Calibri"/>
        </w:rPr>
        <w:t>ES</w:t>
      </w:r>
      <w:r w:rsidRPr="0001613B">
        <w:rPr>
          <w:rFonts w:eastAsia="Calibri"/>
        </w:rPr>
        <w:t xml:space="preserve"> normatīvo aktu prasību pārņemšanu un normatīvā regulējuma pilnveidošanu</w:t>
      </w:r>
      <w:r>
        <w:rPr>
          <w:rFonts w:eastAsia="Calibri"/>
        </w:rPr>
        <w:t xml:space="preserve">. </w:t>
      </w:r>
      <w:r w:rsidRPr="0001613B">
        <w:t>Lai pilnveidotu kredītiestāžu maksātnespējas un likvidācijas tiesisko regulējumu, tiks sākts darbs pie grozījumu Kredītiestāžu likumā</w:t>
      </w:r>
      <w:r w:rsidRPr="007F011D">
        <w:t xml:space="preserve"> </w:t>
      </w:r>
      <w:r w:rsidRPr="0001613B">
        <w:t>izstrādes.</w:t>
      </w:r>
      <w:r w:rsidRPr="002D5F95">
        <w:rPr>
          <w:rFonts w:eastAsia="Calibri"/>
        </w:rPr>
        <w:t xml:space="preserve"> </w:t>
      </w:r>
      <w:r w:rsidRPr="0001613B">
        <w:rPr>
          <w:rFonts w:eastAsia="Calibri"/>
        </w:rPr>
        <w:t xml:space="preserve">Uzraudzības jomā </w:t>
      </w:r>
      <w:r>
        <w:rPr>
          <w:rFonts w:eastAsia="Calibri"/>
        </w:rPr>
        <w:t>turpmākajā</w:t>
      </w:r>
      <w:r w:rsidRPr="0001613B">
        <w:rPr>
          <w:rFonts w:eastAsia="Calibri"/>
        </w:rPr>
        <w:t xml:space="preserve"> periodā </w:t>
      </w:r>
      <w:r>
        <w:rPr>
          <w:rFonts w:eastAsia="Calibri"/>
        </w:rPr>
        <w:t xml:space="preserve">tiek </w:t>
      </w:r>
      <w:r w:rsidRPr="0001613B">
        <w:rPr>
          <w:rFonts w:eastAsia="Calibri"/>
        </w:rPr>
        <w:t>plāno</w:t>
      </w:r>
      <w:r>
        <w:rPr>
          <w:rFonts w:eastAsia="Calibri"/>
        </w:rPr>
        <w:t>ts</w:t>
      </w:r>
      <w:r w:rsidRPr="0001613B">
        <w:rPr>
          <w:rFonts w:eastAsia="Calibri"/>
        </w:rPr>
        <w:t xml:space="preserve"> turpināt nodrošināt pastiprinātu banku darb</w:t>
      </w:r>
      <w:r>
        <w:rPr>
          <w:rFonts w:eastAsia="Calibri"/>
        </w:rPr>
        <w:t>ības uzraudzības ietvaru.</w:t>
      </w:r>
    </w:p>
    <w:p w:rsidR="00F37E17" w:rsidRDefault="00F37E17" w:rsidP="002D62B9">
      <w:pPr>
        <w:shd w:val="clear" w:color="auto" w:fill="FFFFFF"/>
        <w:autoSpaceDE w:val="0"/>
        <w:autoSpaceDN w:val="0"/>
        <w:adjustRightInd w:val="0"/>
      </w:pPr>
      <w:r>
        <w:rPr>
          <w:color w:val="000000"/>
        </w:rPr>
        <w:lastRenderedPageBreak/>
        <w:t xml:space="preserve">Latvijas institūcijas turpina līdzdarboties Ziemeļu un Baltijas valstu atbildīgo ministriju, centrālo banku un finanšu sektora uzraudzības izveidotajās darba grupās. </w:t>
      </w:r>
      <w:r>
        <w:t xml:space="preserve">Ir panākta vienošanās turpināt darbu finanšu grupu publiskās datu bāzes izveidē un testēšanu sākt 2012.gada pirmajā pusē. </w:t>
      </w:r>
    </w:p>
    <w:p w:rsidR="00F37E17" w:rsidRPr="00852D29" w:rsidRDefault="00F37E17" w:rsidP="002D62B9">
      <w:r>
        <w:t xml:space="preserve">Lai informētu sabiedrību par </w:t>
      </w:r>
      <w:r w:rsidRPr="00C44DF0">
        <w:t>finanšu sistēmu,</w:t>
      </w:r>
      <w:r>
        <w:t xml:space="preserve"> kā arī vairotu tās izpratni</w:t>
      </w:r>
      <w:r w:rsidRPr="00C44DF0">
        <w:t xml:space="preserve"> par finanšu riskiem un uzņemto saistību nozīmi</w:t>
      </w:r>
      <w:r>
        <w:t>, 2011. gadā</w:t>
      </w:r>
      <w:r w:rsidRPr="00C44DF0">
        <w:t xml:space="preserve"> </w:t>
      </w:r>
      <w:r>
        <w:t xml:space="preserve">tika </w:t>
      </w:r>
      <w:r w:rsidRPr="00C44DF0">
        <w:t>izveidota</w:t>
      </w:r>
      <w:r w:rsidRPr="009D7396">
        <w:t xml:space="preserve"> </w:t>
      </w:r>
      <w:r w:rsidRPr="00C44DF0">
        <w:t xml:space="preserve">interneta mājas lapa </w:t>
      </w:r>
      <w:r>
        <w:t>"</w:t>
      </w:r>
      <w:r w:rsidRPr="00C44DF0">
        <w:t>Klientu skola</w:t>
      </w:r>
      <w:r>
        <w:t>" (</w:t>
      </w:r>
      <w:hyperlink r:id="rId30" w:history="1">
        <w:r w:rsidRPr="0038515C">
          <w:rPr>
            <w:rStyle w:val="Hyperlink"/>
          </w:rPr>
          <w:t>www.klientuskola.lv</w:t>
        </w:r>
      </w:hyperlink>
      <w:r>
        <w:t xml:space="preserve">), kas tiek pastāvīgi atjaunināta. </w:t>
      </w:r>
      <w:r w:rsidRPr="00260A9A">
        <w:t xml:space="preserve">Lai uzlabotu kredītinformācijas apmaiņu Latvijā, </w:t>
      </w:r>
      <w:r>
        <w:t xml:space="preserve">ir plānots </w:t>
      </w:r>
      <w:r>
        <w:rPr>
          <w:bCs/>
        </w:rPr>
        <w:t xml:space="preserve">izveidot kredītbiroju. </w:t>
      </w:r>
      <w:r w:rsidRPr="00260A9A">
        <w:t xml:space="preserve">Ar </w:t>
      </w:r>
      <w:r>
        <w:t>tā</w:t>
      </w:r>
      <w:r w:rsidRPr="00260A9A">
        <w:t xml:space="preserve"> izveidi plānots uzlabot kredītspējas vērtēšanas kvalitāti, nodrošināt kredītinformācijas pieejamību plašākam tirgus dalībnieku lokam, uzlabot vispārējo maksāšanas disciplīnu valstī un samazināt nenokārtoto saistību apjomu, kā arī samazināt kredītrisku.</w:t>
      </w:r>
      <w:r w:rsidRPr="000F7667">
        <w:rPr>
          <w:bCs/>
        </w:rPr>
        <w:t xml:space="preserve"> </w:t>
      </w:r>
      <w:r>
        <w:rPr>
          <w:bCs/>
        </w:rPr>
        <w:t xml:space="preserve">Šobrīd noris šīs idejas publiskā apspriešana. </w:t>
      </w:r>
      <w:r w:rsidRPr="00260A9A">
        <w:t xml:space="preserve"> </w:t>
      </w:r>
    </w:p>
    <w:p w:rsidR="00F37E17" w:rsidRDefault="00F37E17" w:rsidP="002D62B9">
      <w:pPr>
        <w:ind w:firstLine="0"/>
      </w:pPr>
    </w:p>
    <w:p w:rsidR="00F37E17" w:rsidRDefault="00F37E17" w:rsidP="002D62B9">
      <w:pPr>
        <w:rPr>
          <w:b/>
          <w:szCs w:val="24"/>
        </w:rPr>
      </w:pPr>
      <w:r w:rsidRPr="00726B33">
        <w:rPr>
          <w:b/>
          <w:szCs w:val="24"/>
        </w:rPr>
        <w:t>III</w:t>
      </w:r>
      <w:r>
        <w:rPr>
          <w:b/>
          <w:szCs w:val="24"/>
        </w:rPr>
        <w:t xml:space="preserve"> </w:t>
      </w:r>
      <w:r w:rsidRPr="003C1792">
        <w:rPr>
          <w:b/>
          <w:szCs w:val="24"/>
        </w:rPr>
        <w:t>Konkurētspējas un izaugsmes veicināšana</w:t>
      </w:r>
      <w:r>
        <w:rPr>
          <w:b/>
          <w:szCs w:val="24"/>
        </w:rPr>
        <w:t xml:space="preserve"> (Eiro Plus pakta apņemšanās un </w:t>
      </w:r>
      <w:r w:rsidRPr="00726B33">
        <w:rPr>
          <w:b/>
          <w:szCs w:val="24"/>
        </w:rPr>
        <w:t>Ikgadējā Izaugsmes ziņojuma prioritāte).</w:t>
      </w:r>
    </w:p>
    <w:p w:rsidR="00F37E17" w:rsidRPr="005E6353" w:rsidRDefault="00F37E17" w:rsidP="002D62B9">
      <w:pPr>
        <w:rPr>
          <w:b/>
          <w:szCs w:val="24"/>
        </w:rPr>
      </w:pPr>
    </w:p>
    <w:p w:rsidR="00F37E17" w:rsidRDefault="00F37E17" w:rsidP="002D62B9">
      <w:pPr>
        <w:ind w:firstLine="0"/>
        <w:rPr>
          <w:i/>
          <w:szCs w:val="24"/>
        </w:rPr>
      </w:pPr>
      <w:r w:rsidRPr="00DB44F9">
        <w:rPr>
          <w:i/>
          <w:szCs w:val="24"/>
        </w:rPr>
        <w:t xml:space="preserve">Pasākumi, lai nodrošinātu atbilstošu, efektīvu un caurskatāmu ES </w:t>
      </w:r>
      <w:r>
        <w:rPr>
          <w:i/>
          <w:szCs w:val="24"/>
        </w:rPr>
        <w:t>fondu vadību un apguvi:</w:t>
      </w:r>
    </w:p>
    <w:p w:rsidR="00F37E17" w:rsidRPr="00405299" w:rsidRDefault="00F37E17" w:rsidP="002D62B9">
      <w:pPr>
        <w:rPr>
          <w:i/>
          <w:szCs w:val="24"/>
        </w:rPr>
      </w:pPr>
      <w:r>
        <w:rPr>
          <w:szCs w:val="24"/>
        </w:rPr>
        <w:t xml:space="preserve">2011. gadā </w:t>
      </w:r>
      <w:r w:rsidRPr="00444FB3">
        <w:rPr>
          <w:szCs w:val="24"/>
        </w:rPr>
        <w:t>E</w:t>
      </w:r>
      <w:r>
        <w:rPr>
          <w:szCs w:val="24"/>
        </w:rPr>
        <w:t xml:space="preserve">iropas </w:t>
      </w:r>
      <w:r w:rsidRPr="00444FB3">
        <w:rPr>
          <w:szCs w:val="24"/>
        </w:rPr>
        <w:t>S</w:t>
      </w:r>
      <w:r>
        <w:rPr>
          <w:szCs w:val="24"/>
        </w:rPr>
        <w:t>ociālā fonda (turpmāk – ESF)</w:t>
      </w:r>
      <w:r w:rsidRPr="00444FB3">
        <w:rPr>
          <w:szCs w:val="24"/>
        </w:rPr>
        <w:t xml:space="preserve"> un </w:t>
      </w:r>
      <w:r>
        <w:rPr>
          <w:szCs w:val="24"/>
        </w:rPr>
        <w:t>ER</w:t>
      </w:r>
      <w:r w:rsidRPr="00444FB3">
        <w:rPr>
          <w:szCs w:val="24"/>
        </w:rPr>
        <w:t xml:space="preserve">AF ietvaros veiktie maksājumi pārsniedz maksājumu apjomu, </w:t>
      </w:r>
      <w:r>
        <w:rPr>
          <w:szCs w:val="24"/>
        </w:rPr>
        <w:t>kas tika noteikts 4. Saprašanās memoranda papildinājumā,</w:t>
      </w:r>
      <w:r w:rsidRPr="00444FB3">
        <w:rPr>
          <w:szCs w:val="24"/>
        </w:rPr>
        <w:t xml:space="preserve"> K</w:t>
      </w:r>
      <w:r>
        <w:rPr>
          <w:szCs w:val="24"/>
        </w:rPr>
        <w:t>ohēzijas fonda (turpmāk – K</w:t>
      </w:r>
      <w:r w:rsidRPr="00444FB3">
        <w:rPr>
          <w:szCs w:val="24"/>
        </w:rPr>
        <w:t>F</w:t>
      </w:r>
      <w:r>
        <w:rPr>
          <w:szCs w:val="24"/>
        </w:rPr>
        <w:t>)</w:t>
      </w:r>
      <w:r w:rsidRPr="00444FB3">
        <w:rPr>
          <w:szCs w:val="24"/>
        </w:rPr>
        <w:t xml:space="preserve"> ietvaros noteiktās saistības piln</w:t>
      </w:r>
      <w:r>
        <w:rPr>
          <w:szCs w:val="24"/>
        </w:rPr>
        <w:t>ā apmērā netika</w:t>
      </w:r>
      <w:r w:rsidRPr="00444FB3">
        <w:rPr>
          <w:szCs w:val="24"/>
        </w:rPr>
        <w:t xml:space="preserve"> izpildītas galvenokārt lielajos projektos radušos iepirkuma problēmu dēļ. Tomēr kopējais noteiktais finansējuma saņēmējiem veikto maksājumu apjoms ir izpildī</w:t>
      </w:r>
      <w:r>
        <w:rPr>
          <w:szCs w:val="24"/>
        </w:rPr>
        <w:t>ts un pārsniedz plānoto par 12</w:t>
      </w:r>
      <w:r w:rsidR="004839C7">
        <w:rPr>
          <w:szCs w:val="24"/>
        </w:rPr>
        <w:t xml:space="preserve"> </w:t>
      </w:r>
      <w:r>
        <w:rPr>
          <w:szCs w:val="24"/>
        </w:rPr>
        <w:t>%, kā arī k</w:t>
      </w:r>
      <w:r w:rsidRPr="00444FB3">
        <w:rPr>
          <w:szCs w:val="24"/>
        </w:rPr>
        <w:t>opumā ESF, ERAF un KF ietvaros līdz 2011.</w:t>
      </w:r>
      <w:r>
        <w:rPr>
          <w:szCs w:val="24"/>
        </w:rPr>
        <w:t> gada 31. decembrim</w:t>
      </w:r>
      <w:r w:rsidRPr="00444FB3">
        <w:rPr>
          <w:szCs w:val="24"/>
        </w:rPr>
        <w:t xml:space="preserve"> reālai projektu īstenošanai veikti starpniekinstitūciju starpposma maksājumi finansējuma saņēmējiem </w:t>
      </w:r>
      <w:r>
        <w:rPr>
          <w:szCs w:val="24"/>
        </w:rPr>
        <w:t xml:space="preserve">lielākā </w:t>
      </w:r>
      <w:r w:rsidRPr="00444FB3">
        <w:rPr>
          <w:szCs w:val="24"/>
        </w:rPr>
        <w:t>apmērā</w:t>
      </w:r>
      <w:r>
        <w:rPr>
          <w:szCs w:val="24"/>
        </w:rPr>
        <w:t xml:space="preserve"> nekā tika noteikts</w:t>
      </w:r>
      <w:r w:rsidRPr="00444FB3">
        <w:rPr>
          <w:szCs w:val="24"/>
        </w:rPr>
        <w:t>.</w:t>
      </w:r>
      <w:r>
        <w:rPr>
          <w:szCs w:val="24"/>
        </w:rPr>
        <w:t xml:space="preserve"> Savukārt, </w:t>
      </w:r>
      <w:r w:rsidRPr="00F814F3">
        <w:rPr>
          <w:szCs w:val="24"/>
        </w:rPr>
        <w:t>Eiropas Lauksaimniecības fonda lauku attīstībai ir izlietoti LVL 170 424 644 publiskā finansēj</w:t>
      </w:r>
      <w:r>
        <w:rPr>
          <w:szCs w:val="24"/>
        </w:rPr>
        <w:t xml:space="preserve">uma līdzekļi, </w:t>
      </w:r>
      <w:r w:rsidRPr="00F814F3">
        <w:rPr>
          <w:szCs w:val="24"/>
        </w:rPr>
        <w:t>no Eiropas Zivsaimniecības fonda ir izlietoti LVL 21 038 663 publiskā finansējuma līdzekļi un Eiropas Lauksaimniecības ga</w:t>
      </w:r>
      <w:r>
        <w:rPr>
          <w:szCs w:val="24"/>
        </w:rPr>
        <w:t xml:space="preserve">rantiju fonda ir izlietoti LVL </w:t>
      </w:r>
      <w:r w:rsidRPr="00F814F3">
        <w:rPr>
          <w:szCs w:val="24"/>
        </w:rPr>
        <w:t>150 607 17</w:t>
      </w:r>
      <w:r>
        <w:rPr>
          <w:szCs w:val="24"/>
        </w:rPr>
        <w:t>4 publiskā finansējuma līdzekļi tādējādi kopumā izpildot noteiktās saistības.</w:t>
      </w:r>
    </w:p>
    <w:p w:rsidR="00F37E17" w:rsidRPr="00EE17D9" w:rsidRDefault="00F37E17" w:rsidP="00BC1B00">
      <w:pPr>
        <w:rPr>
          <w:b/>
          <w:i/>
        </w:rPr>
      </w:pPr>
      <w:r>
        <w:rPr>
          <w:szCs w:val="24"/>
        </w:rPr>
        <w:t xml:space="preserve">Tāpat tika veikti pasākumi </w:t>
      </w:r>
      <w:r w:rsidRPr="0051228F">
        <w:rPr>
          <w:szCs w:val="24"/>
        </w:rPr>
        <w:t>izvērtējumu kvalitātes uzlabošana</w:t>
      </w:r>
      <w:r>
        <w:rPr>
          <w:szCs w:val="24"/>
        </w:rPr>
        <w:t xml:space="preserve">i (tika organizēta </w:t>
      </w:r>
      <w:r w:rsidRPr="0051228F">
        <w:rPr>
          <w:szCs w:val="24"/>
        </w:rPr>
        <w:t>ES fondu izvērtēšanas konference</w:t>
      </w:r>
      <w:r>
        <w:rPr>
          <w:szCs w:val="24"/>
        </w:rPr>
        <w:t>, apmācības, semināri), turpinājās aktivitāšu ieviešana, kurām tika</w:t>
      </w:r>
      <w:r w:rsidRPr="00F14595">
        <w:rPr>
          <w:szCs w:val="24"/>
        </w:rPr>
        <w:t xml:space="preserve"> pārdalīt</w:t>
      </w:r>
      <w:r>
        <w:rPr>
          <w:szCs w:val="24"/>
        </w:rPr>
        <w:t>s</w:t>
      </w:r>
      <w:r w:rsidRPr="00F14595">
        <w:rPr>
          <w:szCs w:val="24"/>
        </w:rPr>
        <w:t xml:space="preserve"> ES fondu finansējum</w:t>
      </w:r>
      <w:r>
        <w:rPr>
          <w:szCs w:val="24"/>
        </w:rPr>
        <w:t xml:space="preserve">s, kā arī tika vērtēts administratīvā sloga samazinājums. </w:t>
      </w:r>
      <w:r w:rsidRPr="000E4B33">
        <w:t xml:space="preserve">Lai uzlabotu </w:t>
      </w:r>
      <w:r>
        <w:rPr>
          <w:color w:val="000000"/>
          <w:lang w:eastAsia="lv-LV"/>
        </w:rPr>
        <w:t xml:space="preserve">ES Kohēzijas politikas vadību un apguvi būtisks instrumentārijs ir izvērtēšana. Līdz ar to, lai nodrošinātu izvērtējumu kvalitāti, </w:t>
      </w:r>
      <w:r w:rsidRPr="00061971">
        <w:rPr>
          <w:color w:val="000000"/>
          <w:lang w:eastAsia="lv-LV"/>
        </w:rPr>
        <w:t>2012</w:t>
      </w:r>
      <w:r w:rsidRPr="000E1C3A">
        <w:rPr>
          <w:color w:val="000000"/>
          <w:lang w:eastAsia="lv-LV"/>
        </w:rPr>
        <w:t>.</w:t>
      </w:r>
      <w:r>
        <w:rPr>
          <w:color w:val="000000"/>
          <w:lang w:eastAsia="lv-LV"/>
        </w:rPr>
        <w:t> </w:t>
      </w:r>
      <w:r w:rsidRPr="000E1C3A">
        <w:rPr>
          <w:color w:val="000000"/>
          <w:lang w:eastAsia="lv-LV"/>
        </w:rPr>
        <w:t>g</w:t>
      </w:r>
      <w:r>
        <w:rPr>
          <w:color w:val="000000"/>
          <w:lang w:eastAsia="lv-LV"/>
        </w:rPr>
        <w:t>ada</w:t>
      </w:r>
      <w:r w:rsidRPr="000E1C3A">
        <w:rPr>
          <w:color w:val="000000"/>
          <w:lang w:eastAsia="lv-LV"/>
        </w:rPr>
        <w:t xml:space="preserve"> maijā </w:t>
      </w:r>
      <w:r>
        <w:rPr>
          <w:color w:val="000000"/>
          <w:lang w:eastAsia="lv-LV"/>
        </w:rPr>
        <w:t>tiek plānots seminārs</w:t>
      </w:r>
      <w:r w:rsidRPr="000E1C3A">
        <w:rPr>
          <w:color w:val="000000"/>
          <w:lang w:eastAsia="lv-LV"/>
        </w:rPr>
        <w:t xml:space="preserve"> „ES fondu izvērtēšanas kapacitātes celšana”. </w:t>
      </w:r>
      <w:r w:rsidRPr="00EE17D9">
        <w:rPr>
          <w:color w:val="000000"/>
          <w:lang w:eastAsia="lv-LV"/>
        </w:rPr>
        <w:t>Seminār</w:t>
      </w:r>
      <w:r>
        <w:rPr>
          <w:color w:val="000000"/>
          <w:lang w:eastAsia="lv-LV"/>
        </w:rPr>
        <w:t>a</w:t>
      </w:r>
      <w:r w:rsidRPr="00EE17D9">
        <w:rPr>
          <w:color w:val="000000"/>
          <w:lang w:eastAsia="lv-LV"/>
        </w:rPr>
        <w:t xml:space="preserve"> </w:t>
      </w:r>
      <w:r>
        <w:rPr>
          <w:color w:val="000000"/>
          <w:lang w:eastAsia="lv-LV"/>
        </w:rPr>
        <w:t xml:space="preserve">laikā notiks </w:t>
      </w:r>
      <w:r w:rsidRPr="00EE17D9">
        <w:rPr>
          <w:color w:val="000000"/>
          <w:lang w:eastAsia="lv-LV"/>
        </w:rPr>
        <w:t>apmācības par pielietojamajām izvērtēšanas metodēm uz rezultātiem balstītas politikas ieviešanai ES fondu vadībā</w:t>
      </w:r>
      <w:r>
        <w:rPr>
          <w:color w:val="000000"/>
          <w:lang w:eastAsia="lv-LV"/>
        </w:rPr>
        <w:t xml:space="preserve">, kā arī </w:t>
      </w:r>
      <w:r w:rsidRPr="00EE17D9">
        <w:rPr>
          <w:color w:val="000000"/>
          <w:lang w:eastAsia="lv-LV"/>
        </w:rPr>
        <w:t xml:space="preserve"> tiks diskutēts par turpmākajiem plāniem izvērtējumu veikšanā, t.sk., </w:t>
      </w:r>
      <w:r w:rsidRPr="00EE17D9">
        <w:rPr>
          <w:i/>
          <w:color w:val="000000"/>
          <w:lang w:eastAsia="lv-LV"/>
        </w:rPr>
        <w:t>ex-ante</w:t>
      </w:r>
      <w:r w:rsidRPr="00EE17D9">
        <w:rPr>
          <w:color w:val="000000"/>
          <w:lang w:eastAsia="lv-LV"/>
        </w:rPr>
        <w:t xml:space="preserve"> izvērtējuma nosacījumiem un izmantojamajām metodēm.</w:t>
      </w:r>
      <w:r w:rsidRPr="00EE17D9">
        <w:t xml:space="preserve"> </w:t>
      </w:r>
    </w:p>
    <w:p w:rsidR="00F37E17" w:rsidRPr="00631FEB" w:rsidRDefault="00F37E17" w:rsidP="00BC1B00">
      <w:r w:rsidRPr="0051228F">
        <w:rPr>
          <w:szCs w:val="24"/>
        </w:rPr>
        <w:t>Jautājums par ES fondu administrēšanas sistēmas optimizēšanu ir iekļauts valdības deklarācijā, nosakot, ka 2014.</w:t>
      </w:r>
      <w:r w:rsidRPr="005A59E9">
        <w:rPr>
          <w:szCs w:val="24"/>
        </w:rPr>
        <w:t xml:space="preserve"> </w:t>
      </w:r>
      <w:r>
        <w:rPr>
          <w:szCs w:val="24"/>
        </w:rPr>
        <w:t>–</w:t>
      </w:r>
      <w:r>
        <w:rPr>
          <w:color w:val="000000"/>
          <w:lang w:eastAsia="lv-LV"/>
        </w:rPr>
        <w:t xml:space="preserve"> </w:t>
      </w:r>
      <w:r w:rsidRPr="0051228F">
        <w:rPr>
          <w:szCs w:val="24"/>
        </w:rPr>
        <w:t>2020.</w:t>
      </w:r>
      <w:r>
        <w:rPr>
          <w:szCs w:val="24"/>
        </w:rPr>
        <w:t> </w:t>
      </w:r>
      <w:r w:rsidRPr="0051228F">
        <w:rPr>
          <w:szCs w:val="24"/>
        </w:rPr>
        <w:t xml:space="preserve">gada plānošanas periodā ir </w:t>
      </w:r>
      <w:r w:rsidR="00F442F7">
        <w:rPr>
          <w:szCs w:val="24"/>
        </w:rPr>
        <w:t xml:space="preserve">jāveic </w:t>
      </w:r>
      <w:r w:rsidR="00F442F7" w:rsidRPr="00BE5AC6">
        <w:rPr>
          <w:szCs w:val="24"/>
        </w:rPr>
        <w:t>E</w:t>
      </w:r>
      <w:r w:rsidR="00F442F7">
        <w:rPr>
          <w:szCs w:val="24"/>
        </w:rPr>
        <w:t>S fondu ieviešanas institūciju konsolidācija.</w:t>
      </w:r>
      <w:r>
        <w:t xml:space="preserve"> </w:t>
      </w:r>
      <w:r w:rsidRPr="00305C4E">
        <w:rPr>
          <w:szCs w:val="24"/>
        </w:rPr>
        <w:t>2012.</w:t>
      </w:r>
      <w:r>
        <w:rPr>
          <w:szCs w:val="24"/>
        </w:rPr>
        <w:t> </w:t>
      </w:r>
      <w:r w:rsidRPr="00305C4E">
        <w:rPr>
          <w:szCs w:val="24"/>
        </w:rPr>
        <w:t>gada 2</w:t>
      </w:r>
      <w:r>
        <w:rPr>
          <w:szCs w:val="24"/>
        </w:rPr>
        <w:t xml:space="preserve">. ceturksnī </w:t>
      </w:r>
      <w:r w:rsidRPr="00305C4E">
        <w:rPr>
          <w:szCs w:val="24"/>
        </w:rPr>
        <w:t xml:space="preserve">tiek plānots </w:t>
      </w:r>
      <w:r w:rsidR="00DC4544">
        <w:rPr>
          <w:szCs w:val="24"/>
        </w:rPr>
        <w:t>MK</w:t>
      </w:r>
      <w:r w:rsidRPr="00305C4E">
        <w:rPr>
          <w:szCs w:val="24"/>
        </w:rPr>
        <w:t xml:space="preserve"> izskatīt</w:t>
      </w:r>
      <w:r>
        <w:rPr>
          <w:szCs w:val="24"/>
        </w:rPr>
        <w:t xml:space="preserve"> un apstiprināt</w:t>
      </w:r>
      <w:r w:rsidRPr="00305C4E">
        <w:rPr>
          <w:szCs w:val="24"/>
        </w:rPr>
        <w:t xml:space="preserve"> Koncepciju par ERAF, ESF, KF, Eiropas Lauksaimniecības fonda lauku attīstībai un Eiropas Jūrlietu un zivsaimniecības fonda </w:t>
      </w:r>
      <w:r w:rsidR="00F442F7">
        <w:rPr>
          <w:szCs w:val="24"/>
        </w:rPr>
        <w:t>institucionālo sistēmu</w:t>
      </w:r>
      <w:r w:rsidR="00F442F7" w:rsidRPr="00571B30">
        <w:rPr>
          <w:szCs w:val="24"/>
        </w:rPr>
        <w:t xml:space="preserve"> 2014. – 2020.</w:t>
      </w:r>
      <w:r w:rsidR="00F442F7">
        <w:rPr>
          <w:szCs w:val="24"/>
        </w:rPr>
        <w:t xml:space="preserve">gadā Latvijā. </w:t>
      </w:r>
      <w:r w:rsidRPr="00B2752D">
        <w:t xml:space="preserve"> </w:t>
      </w:r>
      <w:r w:rsidRPr="00B2752D">
        <w:rPr>
          <w:szCs w:val="24"/>
        </w:rPr>
        <w:t xml:space="preserve">Koncepcijas galvenais uzdevums ir, piedāvājot un izvērtējot vairākus ES fondu </w:t>
      </w:r>
      <w:r w:rsidR="00F442F7" w:rsidRPr="00571B30">
        <w:rPr>
          <w:szCs w:val="24"/>
        </w:rPr>
        <w:t xml:space="preserve">institucionālās sistēmas </w:t>
      </w:r>
      <w:r w:rsidRPr="00B2752D">
        <w:rPr>
          <w:szCs w:val="24"/>
        </w:rPr>
        <w:t xml:space="preserve">iespējamos modeļus, panākt vienošanos par  efektīvāko modeli, kas sekmētu </w:t>
      </w:r>
      <w:r w:rsidR="00C30BF3">
        <w:rPr>
          <w:szCs w:val="24"/>
        </w:rPr>
        <w:t xml:space="preserve">ES </w:t>
      </w:r>
      <w:r w:rsidR="00F442F7" w:rsidRPr="00571B30">
        <w:rPr>
          <w:szCs w:val="24"/>
        </w:rPr>
        <w:t>fondu sistēmas optimizēšanu, salīdzinot ar pašreizējo plānošanas periodu 2007. – 2013.</w:t>
      </w:r>
      <w:r w:rsidR="00DC4544">
        <w:rPr>
          <w:szCs w:val="24"/>
        </w:rPr>
        <w:t xml:space="preserve"> </w:t>
      </w:r>
      <w:r w:rsidR="00F442F7" w:rsidRPr="00571B30">
        <w:rPr>
          <w:szCs w:val="24"/>
        </w:rPr>
        <w:t>gadam</w:t>
      </w:r>
      <w:r w:rsidR="00F442F7">
        <w:rPr>
          <w:szCs w:val="24"/>
        </w:rPr>
        <w:t>.</w:t>
      </w:r>
      <w:r>
        <w:rPr>
          <w:szCs w:val="24"/>
        </w:rPr>
        <w:t xml:space="preserve"> </w:t>
      </w:r>
      <w:r>
        <w:t xml:space="preserve">Turpmākām diskusijām lēmuma pieņemšanai </w:t>
      </w:r>
      <w:r w:rsidRPr="00147431">
        <w:t>ir izstrādāti astoņi iespējamie institucionālās sistēmas modeļi</w:t>
      </w:r>
      <w:r>
        <w:t>.</w:t>
      </w:r>
      <w:r w:rsidRPr="00305C4E">
        <w:rPr>
          <w:color w:val="000000"/>
          <w:lang w:eastAsia="lv-LV"/>
        </w:rPr>
        <w:t xml:space="preserve"> </w:t>
      </w:r>
    </w:p>
    <w:p w:rsidR="00F37E17" w:rsidRDefault="00F37E17" w:rsidP="002D62B9">
      <w:r w:rsidRPr="006B4A85">
        <w:lastRenderedPageBreak/>
        <w:t>Attiecībā uz ERAF aktivitāti „Zinātnes infrastruktūras attīstība”,</w:t>
      </w:r>
      <w:r>
        <w:t xml:space="preserve"> ir p</w:t>
      </w:r>
      <w:r w:rsidRPr="00F14595">
        <w:rPr>
          <w:szCs w:val="24"/>
        </w:rPr>
        <w:t xml:space="preserve">arakstīti visi līgumi pirmās projektu iesniegumu atlases kārtas ietvaros, </w:t>
      </w:r>
      <w:r>
        <w:rPr>
          <w:szCs w:val="24"/>
        </w:rPr>
        <w:t xml:space="preserve">projektu ieviešana uzsākta 2012. gada 1. ceturksnī, otrās kārtas projektu iesniegumi ir izvērtēti un 2012. gada 2. ceturksnī tiks veikta </w:t>
      </w:r>
      <w:r w:rsidRPr="0062608E">
        <w:rPr>
          <w:szCs w:val="24"/>
        </w:rPr>
        <w:t xml:space="preserve">līgumu slēgšana par </w:t>
      </w:r>
      <w:r>
        <w:rPr>
          <w:szCs w:val="24"/>
        </w:rPr>
        <w:t xml:space="preserve">projektu īstenošanu. Līdz 2011. gada beigām </w:t>
      </w:r>
      <w:r w:rsidRPr="00C20AC0">
        <w:rPr>
          <w:szCs w:val="24"/>
        </w:rPr>
        <w:t>finansējuma saņē</w:t>
      </w:r>
      <w:r>
        <w:rPr>
          <w:szCs w:val="24"/>
        </w:rPr>
        <w:t xml:space="preserve">mējiem izmaksāti 20,7 milj. EUR, līdz ar to </w:t>
      </w:r>
      <w:r>
        <w:t>var secināt, ka Saprašanās memorandā noteiktās saistības līdz 2012. gadam izmaksāt finansējuma saņēmējiem aktivitātē „Zinātnes infrastruktūras attīstība” 50 milj. eiro tiks izpildītas.</w:t>
      </w:r>
    </w:p>
    <w:p w:rsidR="00F37E17" w:rsidRDefault="00F37E17" w:rsidP="002D62B9">
      <w:pPr>
        <w:rPr>
          <w:lang w:eastAsia="lv-LV"/>
        </w:rPr>
      </w:pPr>
      <w:r>
        <w:t>Lai sniegtu neatkarīgu novērtējumu par ES finansēto ceļu rekonstrukcijas kvalitāti, tika piesaistīti</w:t>
      </w:r>
      <w:r w:rsidRPr="00914418">
        <w:t xml:space="preserve"> neatkarīg</w:t>
      </w:r>
      <w:r>
        <w:t>i</w:t>
      </w:r>
      <w:r w:rsidRPr="00914418">
        <w:t xml:space="preserve"> </w:t>
      </w:r>
      <w:r w:rsidRPr="000A6FF8">
        <w:rPr>
          <w:szCs w:val="24"/>
        </w:rPr>
        <w:t>JASPERS</w:t>
      </w:r>
      <w:r w:rsidR="000A6FF8" w:rsidRPr="000A6FF8">
        <w:rPr>
          <w:szCs w:val="24"/>
        </w:rPr>
        <w:t xml:space="preserve"> (</w:t>
      </w:r>
      <w:r w:rsidR="000A6FF8" w:rsidRPr="000A6FF8">
        <w:rPr>
          <w:color w:val="000000"/>
          <w:szCs w:val="24"/>
        </w:rPr>
        <w:t>Joint Assistance to Support Projects in European Regions jeb Kopējā palīdzība projektu sagatavošanai Eiropas reģionos)</w:t>
      </w:r>
      <w:r w:rsidRPr="00914418">
        <w:t xml:space="preserve"> eksperti</w:t>
      </w:r>
      <w:r>
        <w:t xml:space="preserve">. </w:t>
      </w:r>
      <w:r w:rsidRPr="00011163">
        <w:rPr>
          <w:lang w:eastAsia="lv-LV"/>
        </w:rPr>
        <w:t>2012.</w:t>
      </w:r>
      <w:r>
        <w:rPr>
          <w:lang w:eastAsia="lv-LV"/>
        </w:rPr>
        <w:t> </w:t>
      </w:r>
      <w:r w:rsidRPr="00011163">
        <w:rPr>
          <w:lang w:eastAsia="lv-LV"/>
        </w:rPr>
        <w:t xml:space="preserve">gada </w:t>
      </w:r>
      <w:r>
        <w:rPr>
          <w:lang w:eastAsia="lv-LV"/>
        </w:rPr>
        <w:t>1. ceturksnī tika izstrādāta</w:t>
      </w:r>
      <w:r w:rsidRPr="00011163">
        <w:rPr>
          <w:lang w:eastAsia="lv-LV"/>
        </w:rPr>
        <w:t xml:space="preserve"> </w:t>
      </w:r>
      <w:r>
        <w:rPr>
          <w:i/>
          <w:lang w:eastAsia="lv-LV"/>
        </w:rPr>
        <w:t>Stratēģija</w:t>
      </w:r>
      <w:r w:rsidRPr="00932AA6">
        <w:rPr>
          <w:i/>
          <w:lang w:eastAsia="lv-LV"/>
        </w:rPr>
        <w:t xml:space="preserve"> autoceļu kvalitātes </w:t>
      </w:r>
      <w:r w:rsidRPr="00F60D02">
        <w:rPr>
          <w:i/>
          <w:lang w:eastAsia="lv-LV"/>
        </w:rPr>
        <w:t>nodrošināšanas pilnveidošanai</w:t>
      </w:r>
      <w:r w:rsidRPr="00F60D02">
        <w:rPr>
          <w:lang w:eastAsia="lv-LV"/>
        </w:rPr>
        <w:t>.</w:t>
      </w:r>
      <w:r>
        <w:rPr>
          <w:lang w:eastAsia="lv-LV"/>
        </w:rPr>
        <w:t xml:space="preserve"> Taj</w:t>
      </w:r>
      <w:r w:rsidRPr="00011163">
        <w:rPr>
          <w:lang w:eastAsia="lv-LV"/>
        </w:rPr>
        <w:t>ā tiks paredzēti papildus pasākumi ceļu būvniecības uzraudzības sistēmas</w:t>
      </w:r>
      <w:r>
        <w:rPr>
          <w:lang w:eastAsia="lv-LV"/>
        </w:rPr>
        <w:t xml:space="preserve"> uzlabošanai, būvniecības un remonta</w:t>
      </w:r>
      <w:r w:rsidRPr="00011163">
        <w:rPr>
          <w:color w:val="000080"/>
          <w:lang w:eastAsia="lv-LV"/>
        </w:rPr>
        <w:t xml:space="preserve"> </w:t>
      </w:r>
      <w:r w:rsidRPr="00011163">
        <w:rPr>
          <w:lang w:eastAsia="lv-LV"/>
        </w:rPr>
        <w:t>tehnoloģisko procesu un specifikāciju uzlabošana</w:t>
      </w:r>
      <w:r w:rsidRPr="00011163">
        <w:rPr>
          <w:color w:val="000080"/>
          <w:lang w:eastAsia="lv-LV"/>
        </w:rPr>
        <w:t xml:space="preserve">, </w:t>
      </w:r>
      <w:r w:rsidRPr="00011163">
        <w:rPr>
          <w:lang w:eastAsia="lv-LV"/>
        </w:rPr>
        <w:t xml:space="preserve">garantijas </w:t>
      </w:r>
      <w:r>
        <w:rPr>
          <w:lang w:eastAsia="lv-LV"/>
        </w:rPr>
        <w:t>saistību perioda pagarināšana līdz pieciem gadiem līdzšinējo trīs gadu vietā, kā arī veikti pasākumi būvprojektēšanas un būvuzraudzības iepirkumos, lai nodrošinātu saimnieciskā izdevīguma principu piemērošanu, t.i., augstākas kvalifikācijas un pieredzes inženieru piesaisti līdzšinējo minimālo kvalifikācijas prasību un zemākas cenas vietā.</w:t>
      </w:r>
    </w:p>
    <w:p w:rsidR="00F37E17" w:rsidRDefault="00F37E17" w:rsidP="002D62B9">
      <w:r>
        <w:t>Ņemot vērā to, ka Saeima Juridiskā komisija nav atbalstījusi priekšlikumus par iespējām ieviest jaunu ārējā normatīvā akta veidu – ministra noteikumi, un līdz ar to šis jautājums tālāk netiks virzīts, nav plānota arī Saprašanās memoranda piektā papildinājuma 1.pielikuma 9.f punktā paredzētā lēmumu pieņemšanas deleģēšana vadošās iestādes līmenī. Tā kā šis ir sistēmisks jautājums, kas risināms visas valsts pārvaldes iekārtas ietvaros, tad to nav iespējams nodalīt specifiski attiecībā uz ES fondu ieviešanu. Šis uzdevums izpildāms tikai pakārtoti Saprašanās memoranda piektā papildinājuma 1.pielikuma 10.c. uzdevumam. Vispirms valstī kopumā ir jāatrisina jautājums par tehnisku un administratīvu lēmumu deleģēšanu ministriju līmenī, tikai tad ir iespējams noteikt, kādu lēmumu pieņemšanu iespējams deleģēt vadošajai iestādei. Papildus veiktos pasākumus ES fondu apguves paātrināšanai lūgums skatīt Nacionālajā reformu programmā.</w:t>
      </w:r>
    </w:p>
    <w:p w:rsidR="00F37E17" w:rsidRPr="00733CC0" w:rsidRDefault="00F37E17" w:rsidP="002D62B9">
      <w:r w:rsidRPr="001B5AD7">
        <w:rPr>
          <w:bCs/>
        </w:rPr>
        <w:t>Saistībā ar ES fondu maksājumu pārtraukšanu</w:t>
      </w:r>
      <w:r w:rsidR="000A6FF8">
        <w:rPr>
          <w:bCs/>
        </w:rPr>
        <w:t xml:space="preserve"> 2012.</w:t>
      </w:r>
      <w:r w:rsidR="00DC4544">
        <w:rPr>
          <w:bCs/>
        </w:rPr>
        <w:t xml:space="preserve"> </w:t>
      </w:r>
      <w:r w:rsidR="000A6FF8">
        <w:rPr>
          <w:bCs/>
        </w:rPr>
        <w:t>gada sākumā</w:t>
      </w:r>
      <w:r w:rsidRPr="001B5AD7">
        <w:rPr>
          <w:bCs/>
        </w:rPr>
        <w:t>, vadošā iestāde (</w:t>
      </w:r>
      <w:r w:rsidR="00DC4544">
        <w:rPr>
          <w:bCs/>
        </w:rPr>
        <w:t xml:space="preserve">turpmāk - </w:t>
      </w:r>
      <w:r w:rsidRPr="001B5AD7">
        <w:rPr>
          <w:bCs/>
        </w:rPr>
        <w:t>VI) un Sertificējošā iestāde (</w:t>
      </w:r>
      <w:r w:rsidR="00DC4544">
        <w:rPr>
          <w:bCs/>
        </w:rPr>
        <w:t xml:space="preserve">turpmāk - </w:t>
      </w:r>
      <w:r w:rsidRPr="001B5AD7">
        <w:rPr>
          <w:bCs/>
        </w:rPr>
        <w:t xml:space="preserve">SeI) </w:t>
      </w:r>
      <w:r w:rsidR="00CB040F" w:rsidRPr="001B5AD7">
        <w:rPr>
          <w:bCs/>
        </w:rPr>
        <w:t>sagatavoj</w:t>
      </w:r>
      <w:r w:rsidR="00CB040F">
        <w:rPr>
          <w:bCs/>
        </w:rPr>
        <w:t>a</w:t>
      </w:r>
      <w:r w:rsidR="00CB040F" w:rsidRPr="001B5AD7">
        <w:rPr>
          <w:bCs/>
        </w:rPr>
        <w:t xml:space="preserve"> </w:t>
      </w:r>
      <w:r w:rsidRPr="001B5AD7">
        <w:rPr>
          <w:bCs/>
        </w:rPr>
        <w:t>rīcības plānus</w:t>
      </w:r>
      <w:r w:rsidR="00CB040F">
        <w:rPr>
          <w:bCs/>
        </w:rPr>
        <w:t xml:space="preserve"> </w:t>
      </w:r>
      <w:r w:rsidRPr="001B5AD7">
        <w:rPr>
          <w:bCs/>
        </w:rPr>
        <w:t>atbilstoši EK sniegtajiem norādījumiem. Rīcības plānus apstiprināj</w:t>
      </w:r>
      <w:r w:rsidR="00CB040F">
        <w:rPr>
          <w:bCs/>
        </w:rPr>
        <w:t>a</w:t>
      </w:r>
      <w:r w:rsidRPr="001B5AD7">
        <w:rPr>
          <w:bCs/>
        </w:rPr>
        <w:t xml:space="preserve"> Revīzijas iestāde (</w:t>
      </w:r>
      <w:r w:rsidR="00DC4544">
        <w:rPr>
          <w:bCs/>
        </w:rPr>
        <w:t xml:space="preserve">turpmāk - </w:t>
      </w:r>
      <w:r w:rsidRPr="001B5AD7">
        <w:rPr>
          <w:bCs/>
        </w:rPr>
        <w:t xml:space="preserve">RI). VI un SeI </w:t>
      </w:r>
      <w:r>
        <w:rPr>
          <w:bCs/>
        </w:rPr>
        <w:t xml:space="preserve">ir veikušas sekojošas </w:t>
      </w:r>
      <w:r w:rsidRPr="001B5AD7">
        <w:rPr>
          <w:bCs/>
        </w:rPr>
        <w:t>rīcības maksājumu atjaunošanai:</w:t>
      </w:r>
      <w:r>
        <w:t xml:space="preserve"> </w:t>
      </w:r>
      <w:r>
        <w:rPr>
          <w:bCs/>
        </w:rPr>
        <w:t>s</w:t>
      </w:r>
      <w:r w:rsidRPr="001B5AD7">
        <w:rPr>
          <w:bCs/>
        </w:rPr>
        <w:t>tiprinātas vadošās iestādes kontroles</w:t>
      </w:r>
      <w:r>
        <w:rPr>
          <w:bCs/>
        </w:rPr>
        <w:t>;</w:t>
      </w:r>
      <w:r w:rsidRPr="001B5AD7">
        <w:rPr>
          <w:bCs/>
        </w:rPr>
        <w:t xml:space="preserve"> </w:t>
      </w:r>
      <w:r>
        <w:rPr>
          <w:bCs/>
        </w:rPr>
        <w:t>s</w:t>
      </w:r>
      <w:r w:rsidRPr="001B5AD7">
        <w:rPr>
          <w:bCs/>
        </w:rPr>
        <w:t>tiprināta iekšējā audita lom</w:t>
      </w:r>
      <w:r>
        <w:rPr>
          <w:bCs/>
        </w:rPr>
        <w:t>a</w:t>
      </w:r>
      <w:r w:rsidRPr="001B5AD7">
        <w:rPr>
          <w:bCs/>
        </w:rPr>
        <w:t xml:space="preserve"> ES fondu sistēmā</w:t>
      </w:r>
      <w:r>
        <w:rPr>
          <w:bCs/>
        </w:rPr>
        <w:t>;</w:t>
      </w:r>
      <w:r w:rsidRPr="001B5AD7">
        <w:rPr>
          <w:bCs/>
        </w:rPr>
        <w:t xml:space="preserve"> </w:t>
      </w:r>
      <w:r>
        <w:rPr>
          <w:bCs/>
        </w:rPr>
        <w:t>i</w:t>
      </w:r>
      <w:r w:rsidRPr="001B5AD7">
        <w:rPr>
          <w:bCs/>
        </w:rPr>
        <w:t>zstrādāta nacionālā procedūra maksājumu apturēšanai, ja iestāde nekvalitatīvi veic tai deleģētās funkcijas</w:t>
      </w:r>
      <w:r>
        <w:rPr>
          <w:bCs/>
        </w:rPr>
        <w:t>;</w:t>
      </w:r>
      <w:r w:rsidRPr="001B5AD7">
        <w:rPr>
          <w:bCs/>
        </w:rPr>
        <w:t xml:space="preserve"> </w:t>
      </w:r>
      <w:r>
        <w:rPr>
          <w:bCs/>
        </w:rPr>
        <w:t>p</w:t>
      </w:r>
      <w:r w:rsidRPr="001B5AD7">
        <w:rPr>
          <w:bCs/>
        </w:rPr>
        <w:t>ilnveidots process, kādā VI apliecina izdevumu attiecināmību SeI</w:t>
      </w:r>
      <w:r>
        <w:rPr>
          <w:bCs/>
        </w:rPr>
        <w:t xml:space="preserve">. </w:t>
      </w:r>
      <w:r w:rsidRPr="00ED4264">
        <w:rPr>
          <w:bCs/>
        </w:rPr>
        <w:t>Tiek plānots, ka 2012.</w:t>
      </w:r>
      <w:r w:rsidR="00512E99">
        <w:rPr>
          <w:bCs/>
        </w:rPr>
        <w:t xml:space="preserve"> </w:t>
      </w:r>
      <w:r w:rsidRPr="00ED4264">
        <w:rPr>
          <w:bCs/>
        </w:rPr>
        <w:t>g</w:t>
      </w:r>
      <w:r w:rsidR="00512E99">
        <w:rPr>
          <w:bCs/>
        </w:rPr>
        <w:t>ada</w:t>
      </w:r>
      <w:r w:rsidRPr="00ED4264">
        <w:rPr>
          <w:bCs/>
        </w:rPr>
        <w:t xml:space="preserve"> 26.</w:t>
      </w:r>
      <w:r w:rsidR="00DC4544">
        <w:rPr>
          <w:bCs/>
        </w:rPr>
        <w:t xml:space="preserve"> </w:t>
      </w:r>
      <w:r w:rsidRPr="00ED4264">
        <w:rPr>
          <w:bCs/>
        </w:rPr>
        <w:t>aprīlī</w:t>
      </w:r>
      <w:r>
        <w:rPr>
          <w:bCs/>
        </w:rPr>
        <w:t xml:space="preserve"> </w:t>
      </w:r>
      <w:r w:rsidRPr="001B5AD7">
        <w:rPr>
          <w:bCs/>
        </w:rPr>
        <w:t>RI ziņojums un atzinums par rīcības plāna izpildi</w:t>
      </w:r>
      <w:r>
        <w:rPr>
          <w:bCs/>
        </w:rPr>
        <w:t xml:space="preserve"> tiks</w:t>
      </w:r>
      <w:r w:rsidRPr="001B5AD7">
        <w:rPr>
          <w:bCs/>
        </w:rPr>
        <w:t xml:space="preserve"> iesniegts EK</w:t>
      </w:r>
      <w:r>
        <w:rPr>
          <w:bCs/>
        </w:rPr>
        <w:t>, kas lems</w:t>
      </w:r>
      <w:r w:rsidRPr="001B5AD7">
        <w:rPr>
          <w:bCs/>
        </w:rPr>
        <w:t xml:space="preserve"> par maksājumu atjaunošanu Latvijai</w:t>
      </w:r>
      <w:r>
        <w:rPr>
          <w:bCs/>
        </w:rPr>
        <w:t>.</w:t>
      </w:r>
    </w:p>
    <w:p w:rsidR="00F37E17" w:rsidRPr="00AB7550" w:rsidRDefault="00F37E17" w:rsidP="002D62B9">
      <w:pPr>
        <w:ind w:right="76" w:firstLine="0"/>
        <w:rPr>
          <w:szCs w:val="24"/>
        </w:rPr>
      </w:pPr>
    </w:p>
    <w:p w:rsidR="00F37E17" w:rsidRPr="00F3139A" w:rsidRDefault="00F37E17" w:rsidP="002D62B9">
      <w:pPr>
        <w:pStyle w:val="ListParagraph"/>
        <w:spacing w:after="120" w:line="240" w:lineRule="auto"/>
        <w:ind w:left="0" w:right="76" w:firstLine="426"/>
        <w:jc w:val="both"/>
        <w:rPr>
          <w:rFonts w:ascii="Times New Roman" w:hAnsi="Times New Roman"/>
          <w:i/>
          <w:sz w:val="24"/>
          <w:szCs w:val="24"/>
        </w:rPr>
      </w:pPr>
      <w:r w:rsidRPr="00F3139A">
        <w:rPr>
          <w:rFonts w:ascii="Times New Roman" w:hAnsi="Times New Roman"/>
          <w:i/>
          <w:sz w:val="24"/>
          <w:szCs w:val="24"/>
        </w:rPr>
        <w:t>Pasākumi, lai veicinātu efektīvāku energoresursu un dabas resursu izmantošanu:</w:t>
      </w:r>
    </w:p>
    <w:p w:rsidR="00F37E17" w:rsidRDefault="00F37E17" w:rsidP="002D62B9">
      <w:pPr>
        <w:ind w:right="76"/>
        <w:rPr>
          <w:szCs w:val="24"/>
        </w:rPr>
      </w:pPr>
      <w:r>
        <w:t>Pašlaik notiek darbs pie „</w:t>
      </w:r>
      <w:r w:rsidRPr="00D86347">
        <w:t>Enerģētikas stratēģijas 2030</w:t>
      </w:r>
      <w:r>
        <w:t>”</w:t>
      </w:r>
      <w:r w:rsidRPr="00F45993">
        <w:t xml:space="preserve"> izstrādes. Šis dokuments noteiks darbības virzienus ilgtermiņā energoapgādes drošībā, konkurētspējā, energoefektivitātē un arī atjaunojamās enerģijas izmantošanā. Tāpat plānots pārskatīt valsts atbalsta mehānismus </w:t>
      </w:r>
      <w:r w:rsidRPr="00F3139A">
        <w:rPr>
          <w:bCs/>
        </w:rPr>
        <w:t xml:space="preserve">enerģijas ražošanai </w:t>
      </w:r>
      <w:r w:rsidRPr="00F3139A">
        <w:rPr>
          <w:szCs w:val="24"/>
        </w:rPr>
        <w:t>no atjaunojamajiem energoresursiem.</w:t>
      </w:r>
      <w:r>
        <w:rPr>
          <w:szCs w:val="24"/>
        </w:rPr>
        <w:t xml:space="preserve"> </w:t>
      </w:r>
    </w:p>
    <w:p w:rsidR="00F37E17" w:rsidRDefault="003E43B7" w:rsidP="00A34AEB">
      <w:pPr>
        <w:pStyle w:val="ListParagraph"/>
        <w:spacing w:after="120" w:line="240" w:lineRule="auto"/>
        <w:ind w:left="0" w:right="76" w:firstLine="567"/>
        <w:jc w:val="both"/>
        <w:rPr>
          <w:rFonts w:ascii="Times New Roman" w:hAnsi="Times New Roman"/>
          <w:sz w:val="24"/>
          <w:szCs w:val="24"/>
        </w:rPr>
      </w:pPr>
      <w:r w:rsidRPr="00A34AEB">
        <w:rPr>
          <w:rFonts w:ascii="Times New Roman" w:hAnsi="Times New Roman"/>
          <w:sz w:val="24"/>
          <w:szCs w:val="24"/>
        </w:rPr>
        <w:t xml:space="preserve">Notiek darbs pie ES tiesību aktu transponēšanas enerģētikas jomā, īpaši attiecībā uz enerģijas tirgu liberalizāciju un integrāciju ES enerģijas tirgū. Ir nodrošināta Atjaunojamās enerģijas direktīvas pārņemšana, tiek veikti pasākumi </w:t>
      </w:r>
      <w:r w:rsidRPr="00A34AEB">
        <w:rPr>
          <w:rFonts w:ascii="Times New Roman" w:hAnsi="Times New Roman"/>
          <w:bCs/>
          <w:sz w:val="24"/>
          <w:szCs w:val="24"/>
        </w:rPr>
        <w:t xml:space="preserve">energoefektivitātes paaugstināšanai - </w:t>
      </w:r>
      <w:r w:rsidRPr="00A34AEB">
        <w:rPr>
          <w:rFonts w:ascii="Times New Roman" w:hAnsi="Times New Roman"/>
          <w:sz w:val="24"/>
          <w:szCs w:val="24"/>
        </w:rPr>
        <w:t xml:space="preserve">līdz 2013. gadam turpināsies </w:t>
      </w:r>
      <w:r w:rsidRPr="00A34AEB">
        <w:rPr>
          <w:rFonts w:ascii="Times New Roman" w:hAnsi="Times New Roman"/>
          <w:bCs/>
          <w:sz w:val="24"/>
          <w:szCs w:val="24"/>
        </w:rPr>
        <w:t xml:space="preserve">Daudzdzīvokļu māju siltumnoturības uzlabošanas pasākumi un </w:t>
      </w:r>
      <w:r w:rsidRPr="00A34AEB">
        <w:rPr>
          <w:rFonts w:ascii="Times New Roman" w:hAnsi="Times New Roman"/>
          <w:bCs/>
          <w:sz w:val="24"/>
          <w:szCs w:val="24"/>
        </w:rPr>
        <w:lastRenderedPageBreak/>
        <w:t>Sociālo dzīvojamo māju siltumnoturības uzlabošanas pasākumi</w:t>
      </w:r>
      <w:r w:rsidRPr="00A34AEB">
        <w:rPr>
          <w:rFonts w:ascii="Times New Roman" w:hAnsi="Times New Roman"/>
          <w:sz w:val="24"/>
          <w:szCs w:val="24"/>
        </w:rPr>
        <w:t xml:space="preserve"> (sīkāk lūdzu skatīt 3. sadaļu, kā arī NRP).</w:t>
      </w:r>
      <w:r w:rsidRPr="00A34AEB" w:rsidDel="003E43B7">
        <w:rPr>
          <w:rFonts w:ascii="Times New Roman" w:hAnsi="Times New Roman"/>
          <w:sz w:val="24"/>
          <w:szCs w:val="24"/>
        </w:rPr>
        <w:t xml:space="preserve"> </w:t>
      </w:r>
    </w:p>
    <w:p w:rsidR="00A34AEB" w:rsidRPr="00A34AEB" w:rsidRDefault="00A34AEB" w:rsidP="00A34AEB">
      <w:pPr>
        <w:pStyle w:val="ListParagraph"/>
        <w:spacing w:after="120" w:line="240" w:lineRule="auto"/>
        <w:ind w:left="0" w:right="76" w:firstLine="567"/>
        <w:jc w:val="both"/>
        <w:rPr>
          <w:rFonts w:ascii="Times New Roman" w:hAnsi="Times New Roman"/>
          <w:b/>
          <w:i/>
          <w:sz w:val="24"/>
          <w:szCs w:val="24"/>
        </w:rPr>
      </w:pPr>
    </w:p>
    <w:p w:rsidR="00F37E17" w:rsidRPr="00ED4264" w:rsidRDefault="00F37E17" w:rsidP="002D62B9">
      <w:pPr>
        <w:pStyle w:val="ListParagraph"/>
        <w:spacing w:after="120" w:line="240" w:lineRule="auto"/>
        <w:ind w:left="0" w:right="76" w:firstLine="567"/>
        <w:jc w:val="both"/>
        <w:rPr>
          <w:rFonts w:ascii="Times New Roman" w:hAnsi="Times New Roman"/>
          <w:i/>
          <w:sz w:val="24"/>
          <w:szCs w:val="24"/>
        </w:rPr>
      </w:pPr>
      <w:r w:rsidRPr="00ED4264">
        <w:rPr>
          <w:rFonts w:ascii="Times New Roman" w:hAnsi="Times New Roman"/>
          <w:i/>
          <w:sz w:val="24"/>
          <w:szCs w:val="24"/>
        </w:rPr>
        <w:t>Pasākumi, lai ieviestu izglītības politiku:</w:t>
      </w:r>
    </w:p>
    <w:p w:rsidR="00F37E17" w:rsidRPr="00ED4264" w:rsidRDefault="00F37E17" w:rsidP="002D62B9">
      <w:pPr>
        <w:ind w:right="76"/>
        <w:rPr>
          <w:szCs w:val="24"/>
        </w:rPr>
      </w:pPr>
      <w:r w:rsidRPr="00ED4264">
        <w:t>Reforma tiek turpināta arī izglītības un zinātnes sistēmā. 2011. gadā tika pabeigti pasākumi, kas saistīti ar profesionālās izglītības iestāžu tīkla optimizāciju. 2012.</w:t>
      </w:r>
      <w:r w:rsidR="00512E99">
        <w:t xml:space="preserve"> </w:t>
      </w:r>
      <w:r w:rsidR="0035776A">
        <w:t>–</w:t>
      </w:r>
      <w:r w:rsidR="00512E99">
        <w:t xml:space="preserve"> </w:t>
      </w:r>
      <w:r w:rsidRPr="00ED4264">
        <w:t>2015. gadā izglītības un zinātnes sistēmas reformas ietvaros tiek plānoti pasākumi - augstākās izglītības modernizācija, valsts zinātnisko institūciju konsolidācija, reformas profesionālajā izglītībā, pasākumi ar mērķi veicināt un atbalstīt zināšanu un tehnoloģiju pārnesi, kā arī citi pasākumi (</w:t>
      </w:r>
      <w:r w:rsidRPr="00ED4264">
        <w:rPr>
          <w:szCs w:val="24"/>
        </w:rPr>
        <w:t xml:space="preserve">sīkāk lūdzu skatīt 3. sadaļu, kā arī </w:t>
      </w:r>
      <w:r w:rsidR="008F088E">
        <w:rPr>
          <w:szCs w:val="24"/>
        </w:rPr>
        <w:t>NRP</w:t>
      </w:r>
      <w:r w:rsidRPr="00ED4264">
        <w:rPr>
          <w:szCs w:val="24"/>
        </w:rPr>
        <w:t>).</w:t>
      </w:r>
    </w:p>
    <w:p w:rsidR="00D22825" w:rsidRDefault="00D22825" w:rsidP="002D62B9">
      <w:pPr>
        <w:ind w:right="76"/>
        <w:rPr>
          <w:i/>
          <w:szCs w:val="24"/>
        </w:rPr>
      </w:pPr>
    </w:p>
    <w:p w:rsidR="00F37E17" w:rsidRPr="00D22825" w:rsidRDefault="00D22825" w:rsidP="002D62B9">
      <w:pPr>
        <w:ind w:right="76"/>
        <w:rPr>
          <w:bCs/>
          <w:i/>
        </w:rPr>
      </w:pPr>
      <w:r w:rsidRPr="00D22825">
        <w:rPr>
          <w:i/>
          <w:szCs w:val="24"/>
        </w:rPr>
        <w:t>Citi pasākumi konkurē</w:t>
      </w:r>
      <w:r w:rsidR="00480A1F">
        <w:rPr>
          <w:i/>
          <w:szCs w:val="24"/>
        </w:rPr>
        <w:t>tspējas un izaugsmes veicināšanai</w:t>
      </w:r>
      <w:r w:rsidR="00435DD0">
        <w:rPr>
          <w:i/>
          <w:szCs w:val="24"/>
        </w:rPr>
        <w:t>:</w:t>
      </w:r>
    </w:p>
    <w:p w:rsidR="00F37E17" w:rsidRDefault="00F37E17" w:rsidP="002D62B9">
      <w:pPr>
        <w:ind w:right="76"/>
        <w:rPr>
          <w:szCs w:val="24"/>
        </w:rPr>
      </w:pPr>
      <w:r w:rsidRPr="00ED4264">
        <w:rPr>
          <w:bCs/>
        </w:rPr>
        <w:t xml:space="preserve">Tāpat, tiek veikti pasākumi uzņēmējdarbības vides uzlabošanā, produktīvo inovāciju un eksporta veicināšanā, </w:t>
      </w:r>
      <w:r w:rsidRPr="00ED4264">
        <w:t xml:space="preserve">inovāciju, pētniecības un attīstības veicināšana, pasākumi informācijas un komunikāciju tehnoloģijas jomā, pasākumi transporta un vides infrastruktūras uzlabošanai, </w:t>
      </w:r>
      <w:r w:rsidRPr="00ED4264">
        <w:rPr>
          <w:bCs/>
        </w:rPr>
        <w:t>brīvā tirgus konkurences veicināšanai, tai skaitā pasākumi Eiro Plus Pakta ietvaros (</w:t>
      </w:r>
      <w:r w:rsidRPr="00ED4264">
        <w:rPr>
          <w:szCs w:val="24"/>
        </w:rPr>
        <w:t xml:space="preserve">sīkāk lūdzu skatīt 3. sadaļu, kā arī </w:t>
      </w:r>
      <w:r w:rsidR="008F088E">
        <w:rPr>
          <w:szCs w:val="24"/>
        </w:rPr>
        <w:t>NRP</w:t>
      </w:r>
      <w:r w:rsidRPr="00ED4264">
        <w:rPr>
          <w:szCs w:val="24"/>
        </w:rPr>
        <w:t>).</w:t>
      </w:r>
    </w:p>
    <w:p w:rsidR="00F37E17" w:rsidRPr="00656A48" w:rsidRDefault="00F37E17" w:rsidP="002D62B9">
      <w:pPr>
        <w:pStyle w:val="ListParagraph"/>
        <w:spacing w:after="120" w:line="240" w:lineRule="auto"/>
        <w:ind w:left="426" w:right="76"/>
        <w:jc w:val="both"/>
        <w:rPr>
          <w:rFonts w:ascii="Times New Roman" w:hAnsi="Times New Roman"/>
          <w:sz w:val="24"/>
          <w:szCs w:val="24"/>
        </w:rPr>
      </w:pPr>
    </w:p>
    <w:p w:rsidR="00F37E17" w:rsidRPr="00080A8C" w:rsidRDefault="00F37E17" w:rsidP="002D62B9">
      <w:pPr>
        <w:rPr>
          <w:b/>
          <w:szCs w:val="24"/>
        </w:rPr>
      </w:pPr>
      <w:r w:rsidRPr="00080A8C">
        <w:rPr>
          <w:b/>
          <w:szCs w:val="24"/>
        </w:rPr>
        <w:t xml:space="preserve">IV Nodarbinātība (Eiro Plus pakta apņemšanās) un cīņa ar bezdarbu un </w:t>
      </w:r>
      <w:r w:rsidR="006927E5">
        <w:rPr>
          <w:b/>
          <w:szCs w:val="24"/>
        </w:rPr>
        <w:t>sociālo problēmu risināšana</w:t>
      </w:r>
      <w:r w:rsidRPr="00080A8C">
        <w:rPr>
          <w:b/>
          <w:szCs w:val="24"/>
        </w:rPr>
        <w:t xml:space="preserve"> (Ikgadējā Izaugsmes ziņojuma prioritāte).</w:t>
      </w:r>
    </w:p>
    <w:p w:rsidR="00F37E17" w:rsidRDefault="00F37E17" w:rsidP="002D62B9">
      <w:pPr>
        <w:pStyle w:val="ListParagraph"/>
        <w:spacing w:after="120" w:line="240" w:lineRule="auto"/>
        <w:ind w:left="426" w:right="76"/>
        <w:jc w:val="both"/>
        <w:rPr>
          <w:rFonts w:ascii="Times New Roman" w:hAnsi="Times New Roman"/>
          <w:sz w:val="24"/>
          <w:szCs w:val="24"/>
          <w:u w:val="single"/>
        </w:rPr>
      </w:pPr>
    </w:p>
    <w:p w:rsidR="00F37E17" w:rsidRDefault="00F37E17" w:rsidP="002D62B9">
      <w:pPr>
        <w:pStyle w:val="ListParagraph"/>
        <w:spacing w:after="120" w:line="240" w:lineRule="auto"/>
        <w:ind w:left="426" w:right="76"/>
        <w:jc w:val="both"/>
        <w:rPr>
          <w:rFonts w:ascii="Times New Roman" w:hAnsi="Times New Roman"/>
          <w:i/>
          <w:sz w:val="24"/>
          <w:szCs w:val="24"/>
        </w:rPr>
      </w:pPr>
      <w:r>
        <w:rPr>
          <w:rFonts w:ascii="Times New Roman" w:hAnsi="Times New Roman"/>
          <w:i/>
          <w:sz w:val="24"/>
          <w:szCs w:val="24"/>
        </w:rPr>
        <w:t>Pasākumi, lai ieviestu efektīvu aktīvā darba tirgus politiku:</w:t>
      </w:r>
    </w:p>
    <w:p w:rsidR="00F37E17" w:rsidRDefault="00F37E17" w:rsidP="002D62B9">
      <w:pPr>
        <w:pStyle w:val="ListParagraph"/>
        <w:spacing w:after="120" w:line="240" w:lineRule="auto"/>
        <w:ind w:left="426" w:right="76"/>
        <w:jc w:val="both"/>
        <w:rPr>
          <w:rFonts w:ascii="Times New Roman" w:hAnsi="Times New Roman"/>
          <w:sz w:val="24"/>
          <w:szCs w:val="24"/>
        </w:rPr>
      </w:pPr>
    </w:p>
    <w:p w:rsidR="00F37E17" w:rsidRPr="002804AD" w:rsidRDefault="00F37E17" w:rsidP="002D62B9">
      <w:pPr>
        <w:pStyle w:val="ListParagraph"/>
        <w:spacing w:after="120" w:line="240" w:lineRule="auto"/>
        <w:ind w:left="0" w:right="74" w:firstLine="425"/>
        <w:jc w:val="both"/>
        <w:rPr>
          <w:rFonts w:ascii="Times New Roman" w:hAnsi="Times New Roman"/>
          <w:color w:val="000000"/>
          <w:sz w:val="24"/>
          <w:szCs w:val="24"/>
          <w:lang w:eastAsia="lv-LV" w:bidi="lo-LA"/>
        </w:rPr>
      </w:pPr>
      <w:r>
        <w:rPr>
          <w:rFonts w:ascii="Times New Roman" w:hAnsi="Times New Roman"/>
          <w:sz w:val="24"/>
          <w:szCs w:val="24"/>
        </w:rPr>
        <w:t>Tiek veikta a</w:t>
      </w:r>
      <w:r w:rsidRPr="00CA6FEB">
        <w:rPr>
          <w:rFonts w:ascii="Times New Roman" w:hAnsi="Times New Roman"/>
          <w:sz w:val="24"/>
          <w:szCs w:val="24"/>
        </w:rPr>
        <w:t xml:space="preserve">ktīvās darba tirgus politikas pasākumu pilnveidošana. Pasākuma mērķis ir </w:t>
      </w:r>
      <w:r w:rsidRPr="00CA6FEB">
        <w:rPr>
          <w:rFonts w:ascii="Times New Roman" w:hAnsi="Times New Roman"/>
          <w:color w:val="000000"/>
          <w:sz w:val="24"/>
          <w:szCs w:val="24"/>
          <w:lang w:eastAsia="lv-LV" w:bidi="lo-LA"/>
        </w:rPr>
        <w:t xml:space="preserve">augsta strukturālā bezdarba riska mazināšana, kā arī nodarbinātības un ekonomiskās aktivitātes līmeņa </w:t>
      </w:r>
      <w:r w:rsidRPr="00020568">
        <w:rPr>
          <w:rFonts w:ascii="Times New Roman" w:hAnsi="Times New Roman"/>
          <w:color w:val="000000"/>
          <w:sz w:val="24"/>
          <w:szCs w:val="24"/>
          <w:lang w:eastAsia="lv-LV" w:bidi="lo-LA"/>
        </w:rPr>
        <w:t>paaugstināšana</w:t>
      </w:r>
      <w:r>
        <w:rPr>
          <w:rFonts w:ascii="Times New Roman" w:hAnsi="Times New Roman"/>
          <w:color w:val="000000"/>
          <w:sz w:val="24"/>
          <w:szCs w:val="24"/>
          <w:lang w:eastAsia="lv-LV" w:bidi="lo-LA"/>
        </w:rPr>
        <w:t xml:space="preserve">. </w:t>
      </w:r>
    </w:p>
    <w:p w:rsidR="00F37E17" w:rsidRPr="00ED4264" w:rsidRDefault="00F37E17" w:rsidP="002D62B9">
      <w:pPr>
        <w:pStyle w:val="ListParagraph"/>
        <w:spacing w:after="120" w:line="240" w:lineRule="auto"/>
        <w:ind w:left="0" w:right="74" w:firstLine="425"/>
        <w:jc w:val="both"/>
        <w:rPr>
          <w:rFonts w:ascii="Times New Roman" w:hAnsi="Times New Roman"/>
          <w:sz w:val="24"/>
          <w:szCs w:val="24"/>
        </w:rPr>
      </w:pPr>
      <w:r>
        <w:rPr>
          <w:rFonts w:ascii="Times New Roman" w:hAnsi="Times New Roman"/>
          <w:color w:val="000000"/>
          <w:sz w:val="24"/>
          <w:szCs w:val="24"/>
          <w:lang w:eastAsia="lv-LV" w:bidi="lo-LA"/>
        </w:rPr>
        <w:t xml:space="preserve">Tāpat, tiek veikti </w:t>
      </w:r>
      <w:r w:rsidRPr="00ED4264">
        <w:rPr>
          <w:rFonts w:ascii="Times New Roman" w:hAnsi="Times New Roman"/>
          <w:color w:val="000000"/>
          <w:sz w:val="24"/>
          <w:szCs w:val="24"/>
          <w:lang w:eastAsia="lv-LV" w:bidi="lo-LA"/>
        </w:rPr>
        <w:t xml:space="preserve">pasākumi ēnu ekonomikas apkarošanai, kā arī tiek plānots realizēt </w:t>
      </w:r>
      <w:r w:rsidRPr="00ED4264">
        <w:rPr>
          <w:rFonts w:ascii="Times New Roman" w:hAnsi="Times New Roman"/>
          <w:bCs/>
          <w:sz w:val="24"/>
          <w:szCs w:val="24"/>
        </w:rPr>
        <w:t>darbaspēka nodokļu reformu</w:t>
      </w:r>
      <w:r w:rsidRPr="00ED4264">
        <w:rPr>
          <w:bCs/>
        </w:rPr>
        <w:t xml:space="preserve"> </w:t>
      </w:r>
      <w:r w:rsidRPr="00ED4264">
        <w:rPr>
          <w:rFonts w:ascii="Times New Roman" w:hAnsi="Times New Roman"/>
          <w:color w:val="000000"/>
          <w:sz w:val="24"/>
          <w:szCs w:val="24"/>
          <w:lang w:eastAsia="lv-LV" w:bidi="lo-LA"/>
        </w:rPr>
        <w:t>(</w:t>
      </w:r>
      <w:r w:rsidRPr="00ED4264">
        <w:rPr>
          <w:rFonts w:ascii="Times New Roman" w:hAnsi="Times New Roman"/>
          <w:sz w:val="24"/>
          <w:szCs w:val="24"/>
        </w:rPr>
        <w:t xml:space="preserve">sīkāk lūdzu skatīt 3. sadaļu, kā arī </w:t>
      </w:r>
      <w:r w:rsidR="008F088E">
        <w:rPr>
          <w:rFonts w:ascii="Times New Roman" w:hAnsi="Times New Roman"/>
          <w:sz w:val="24"/>
          <w:szCs w:val="24"/>
        </w:rPr>
        <w:t>NRP</w:t>
      </w:r>
      <w:r w:rsidRPr="00ED4264">
        <w:rPr>
          <w:rFonts w:ascii="Times New Roman" w:hAnsi="Times New Roman"/>
          <w:sz w:val="24"/>
          <w:szCs w:val="24"/>
        </w:rPr>
        <w:t>).</w:t>
      </w:r>
    </w:p>
    <w:p w:rsidR="00F37E17" w:rsidRPr="00ED4264" w:rsidRDefault="00F37E17" w:rsidP="002D62B9">
      <w:pPr>
        <w:pStyle w:val="ListParagraph"/>
        <w:spacing w:after="120" w:line="240" w:lineRule="auto"/>
        <w:ind w:left="0" w:right="74" w:firstLine="425"/>
        <w:jc w:val="both"/>
        <w:rPr>
          <w:rFonts w:ascii="Times New Roman" w:hAnsi="Times New Roman"/>
          <w:sz w:val="24"/>
          <w:szCs w:val="24"/>
        </w:rPr>
      </w:pPr>
    </w:p>
    <w:p w:rsidR="00F37E17" w:rsidRPr="00ED4264" w:rsidRDefault="00F37E17" w:rsidP="002D62B9">
      <w:pPr>
        <w:pStyle w:val="ListParagraph"/>
        <w:spacing w:after="120" w:line="240" w:lineRule="auto"/>
        <w:ind w:left="426" w:right="76"/>
        <w:jc w:val="both"/>
        <w:rPr>
          <w:rFonts w:ascii="Times New Roman" w:hAnsi="Times New Roman"/>
          <w:b/>
          <w:sz w:val="24"/>
          <w:szCs w:val="24"/>
        </w:rPr>
      </w:pPr>
      <w:r w:rsidRPr="00ED4264">
        <w:rPr>
          <w:rFonts w:ascii="Times New Roman" w:hAnsi="Times New Roman"/>
          <w:b/>
          <w:sz w:val="24"/>
          <w:szCs w:val="24"/>
        </w:rPr>
        <w:t>V Valsts pārvaldes modernizācija (Ikgadējā Izaugsmes ziņojuma prioritāte).</w:t>
      </w:r>
    </w:p>
    <w:p w:rsidR="00F37E17" w:rsidRPr="00ED4264" w:rsidRDefault="00F37E17" w:rsidP="002D62B9">
      <w:pPr>
        <w:pStyle w:val="ListParagraph"/>
        <w:spacing w:after="120" w:line="240" w:lineRule="auto"/>
        <w:ind w:left="426" w:right="76"/>
        <w:jc w:val="both"/>
        <w:rPr>
          <w:rFonts w:ascii="Times New Roman" w:hAnsi="Times New Roman"/>
          <w:sz w:val="24"/>
          <w:szCs w:val="24"/>
          <w:u w:val="single"/>
        </w:rPr>
      </w:pPr>
    </w:p>
    <w:p w:rsidR="00C5794C" w:rsidRDefault="00F37E17" w:rsidP="00CE3BA2">
      <w:pPr>
        <w:ind w:right="76"/>
        <w:rPr>
          <w:szCs w:val="24"/>
        </w:rPr>
      </w:pPr>
      <w:r w:rsidRPr="00ED4264">
        <w:rPr>
          <w:szCs w:val="24"/>
        </w:rPr>
        <w:t>Tiek veikti pasākumi dažādās jomās - lai uzlabotu valstij un pašvaldībām piederošo aktīvu un nekustamo īpašumu apsaimniekošanu (</w:t>
      </w:r>
      <w:r w:rsidRPr="00ED4264">
        <w:t>valsts uzņēmumu pārvaldība un vadība, valsts nekustamā īpašuma pārvaldības centralizācija</w:t>
      </w:r>
      <w:r w:rsidRPr="00ED4264">
        <w:rPr>
          <w:szCs w:val="24"/>
        </w:rPr>
        <w:t>), pasākumi, lai stiprinātu publisko iepirkumu (</w:t>
      </w:r>
      <w:r w:rsidRPr="00ED4264">
        <w:t>līdzekļu piešķiršana Iepirkumu uzraudzības biroja un Vides aizsardzības un reģionālās attīstības ministrijas</w:t>
      </w:r>
      <w:r w:rsidRPr="00ED4264">
        <w:rPr>
          <w:szCs w:val="24"/>
        </w:rPr>
        <w:t xml:space="preserve"> </w:t>
      </w:r>
      <w:r w:rsidRPr="00ED4264">
        <w:t xml:space="preserve">kapacitātes nodrošināšanai, obligāti centralizēto pašvaldību iepirkumi, tiesību akti par administratīvo atbildību/pārkāpumu sankcijām publisko iepirkumu procesā), kā arī </w:t>
      </w:r>
      <w:r w:rsidRPr="00ED4264">
        <w:rPr>
          <w:szCs w:val="24"/>
        </w:rPr>
        <w:t>pasākumi, lai uzlabotu cilvēkresursu pārvaldību un darba rezultātus, un lēmumu pieņemšanu valsts pārvaldē (</w:t>
      </w:r>
      <w:r w:rsidRPr="00ED4264">
        <w:t>jauna valsts pārvaldes stratēģija, nacionālā plānošanas sistēma, plašāka subsidiaritātes principu ieviešana lēmumu pieņemšanā)</w:t>
      </w:r>
      <w:r w:rsidRPr="00ED4264">
        <w:rPr>
          <w:color w:val="000000"/>
          <w:szCs w:val="24"/>
          <w:lang w:eastAsia="lv-LV" w:bidi="lo-LA"/>
        </w:rPr>
        <w:t xml:space="preserve"> (</w:t>
      </w:r>
      <w:r w:rsidRPr="00ED4264">
        <w:rPr>
          <w:szCs w:val="24"/>
        </w:rPr>
        <w:t xml:space="preserve">sīkāk lūdzu skatīt 3. sadaļu, kā arī </w:t>
      </w:r>
      <w:r w:rsidR="008F088E">
        <w:rPr>
          <w:szCs w:val="24"/>
        </w:rPr>
        <w:t>NRP</w:t>
      </w:r>
      <w:r w:rsidRPr="00ED4264">
        <w:rPr>
          <w:szCs w:val="24"/>
        </w:rPr>
        <w:t>).</w:t>
      </w:r>
    </w:p>
    <w:p w:rsidR="00CE3BA2" w:rsidRPr="00CE3BA2" w:rsidRDefault="00CE3BA2" w:rsidP="00CE3BA2">
      <w:pPr>
        <w:ind w:right="76"/>
        <w:rPr>
          <w:i/>
          <w:szCs w:val="24"/>
        </w:rPr>
      </w:pPr>
    </w:p>
    <w:p w:rsidR="000F6956" w:rsidRPr="009C61B1" w:rsidRDefault="00283B8B" w:rsidP="002D62B9">
      <w:pPr>
        <w:pStyle w:val="PIRMAIS"/>
      </w:pPr>
      <w:bookmarkStart w:id="62" w:name="_Toc284924058"/>
      <w:bookmarkStart w:id="63" w:name="_Toc323120295"/>
      <w:bookmarkEnd w:id="61"/>
      <w:r>
        <w:lastRenderedPageBreak/>
        <w:t>7</w:t>
      </w:r>
      <w:r w:rsidR="000F6956" w:rsidRPr="009C61B1">
        <w:t>.</w:t>
      </w:r>
      <w:r w:rsidR="000F6956" w:rsidRPr="009C61B1">
        <w:tab/>
        <w:t>Valsts finanšu kvalitāte</w:t>
      </w:r>
      <w:bookmarkEnd w:id="53"/>
      <w:bookmarkEnd w:id="62"/>
      <w:bookmarkEnd w:id="63"/>
    </w:p>
    <w:p w:rsidR="000F6956" w:rsidRDefault="00283B8B" w:rsidP="002D62B9">
      <w:pPr>
        <w:pStyle w:val="otrais"/>
      </w:pPr>
      <w:bookmarkStart w:id="64" w:name="_Toc284924060"/>
      <w:bookmarkStart w:id="65" w:name="_Toc323120296"/>
      <w:bookmarkStart w:id="66" w:name="_Toc155751088"/>
      <w:r>
        <w:t>7</w:t>
      </w:r>
      <w:r w:rsidR="00B64633" w:rsidRPr="00B64633">
        <w:t>.1.</w:t>
      </w:r>
      <w:r w:rsidR="00D056AD">
        <w:t> </w:t>
      </w:r>
      <w:r w:rsidR="000F6956" w:rsidRPr="00B64633">
        <w:t xml:space="preserve">Valsts </w:t>
      </w:r>
      <w:bookmarkEnd w:id="64"/>
      <w:r w:rsidR="00A466D6" w:rsidRPr="00B64633">
        <w:t>budžeta līdzekļu efektivitāte un izlietojuma kontrole</w:t>
      </w:r>
      <w:bookmarkEnd w:id="65"/>
    </w:p>
    <w:p w:rsidR="00B27CB2" w:rsidRDefault="00B27CB2" w:rsidP="002D62B9">
      <w:pPr>
        <w:ind w:firstLine="720"/>
        <w:rPr>
          <w:szCs w:val="24"/>
        </w:rPr>
      </w:pPr>
      <w:r w:rsidRPr="001818CB">
        <w:rPr>
          <w:szCs w:val="24"/>
        </w:rPr>
        <w:t>Valsts budžeta budžetu izstrādāšanas, apstiprināšanas un izpildes kārtību un atbildību budžeta procesā nosaka Likums par budžetu un finanšu vadību</w:t>
      </w:r>
      <w:r>
        <w:rPr>
          <w:szCs w:val="24"/>
        </w:rPr>
        <w:t>. P</w:t>
      </w:r>
      <w:r w:rsidRPr="001818CB">
        <w:rPr>
          <w:szCs w:val="24"/>
        </w:rPr>
        <w:t>ar valsts budžeta izpildes procesa organizāciju un vadību</w:t>
      </w:r>
      <w:r>
        <w:rPr>
          <w:szCs w:val="24"/>
        </w:rPr>
        <w:t xml:space="preserve"> atbildīgs ir finanšu ministrs.</w:t>
      </w:r>
    </w:p>
    <w:p w:rsidR="00B27CB2" w:rsidRDefault="00B27CB2" w:rsidP="002D62B9">
      <w:pPr>
        <w:ind w:firstLine="720"/>
        <w:rPr>
          <w:szCs w:val="24"/>
        </w:rPr>
      </w:pPr>
      <w:r w:rsidRPr="001818CB">
        <w:rPr>
          <w:szCs w:val="24"/>
        </w:rPr>
        <w:t>Saskaņā ar Likumu par budžetu un finanšu vadību budžeta finansētu institūciju, budžeta nefinansētu iestāžu un pašvaldību, kā arī kapitālsabiedrību, kurās ieguldīta valsts vai pašvaldību kapitāla daļa, vadītāji ir atbildīgi par minētajā likumā noteiktās kārtības un prasību ievērošanu, izpildi un kontroli, kā arī par budžeta līdzekļu efektīvu un ekonomisku izlietošanu atbilstoši paredzētajiem mērķiem.</w:t>
      </w:r>
    </w:p>
    <w:p w:rsidR="00B27CB2" w:rsidRDefault="00B27CB2" w:rsidP="002D62B9">
      <w:pPr>
        <w:ind w:firstLine="720"/>
        <w:rPr>
          <w:szCs w:val="24"/>
        </w:rPr>
      </w:pPr>
      <w:r w:rsidRPr="001818CB">
        <w:rPr>
          <w:szCs w:val="24"/>
        </w:rPr>
        <w:t>Saskaņā ar Likumu par budžetu un finanšu vadību finanšu ministrs izstrādā gadskārtējo valsts budžeta likuma projektu. Izstrādājot gadskārtējo valsts budžeta likuma projektu, finanšu ministrs izvērtē budžeta pieprasījumus pēc to atbilstības paredzētajiem mērķiem, sasniedzamajiem rezultātiem, ekonomiskuma un efektivitātes un, ja nepieciešams, pieprasa attiecīgajai izvērtēšanai nepieciešamo papildu informāciju. Pamatojoties uz izvērtējum</w:t>
      </w:r>
      <w:r>
        <w:rPr>
          <w:szCs w:val="24"/>
        </w:rPr>
        <w:t>u</w:t>
      </w:r>
      <w:r w:rsidRPr="001818CB">
        <w:rPr>
          <w:szCs w:val="24"/>
        </w:rPr>
        <w:t xml:space="preserve"> un sniegto informāciju, finanšu ministrs pieņem lēmumu par budžeta pieprasījumu iekļaušanu valsts budžeta likuma projektā līdz tā iesniegšanai </w:t>
      </w:r>
      <w:r w:rsidR="0035548E">
        <w:rPr>
          <w:szCs w:val="24"/>
        </w:rPr>
        <w:t>MK</w:t>
      </w:r>
      <w:r w:rsidRPr="001818CB">
        <w:rPr>
          <w:szCs w:val="24"/>
        </w:rPr>
        <w:t>. Finanšu ministrs jebkurā valsts budžeta likuma projekta izskatīšanas stadijā var izteikt savu viedokli, pievienot nepieciešamos atzinumus, kā arī atsevišķu revīziju rezultātus.</w:t>
      </w:r>
    </w:p>
    <w:p w:rsidR="00B27CB2" w:rsidRDefault="00B27CB2" w:rsidP="002D62B9">
      <w:pPr>
        <w:rPr>
          <w:szCs w:val="24"/>
        </w:rPr>
      </w:pPr>
      <w:r>
        <w:rPr>
          <w:szCs w:val="24"/>
        </w:rPr>
        <w:t xml:space="preserve">Lai nodrošinātu valsts budžeta izpildes uzraudzību, kā arī veicinātu budžeta izlietojuma kontroli, Valsts kase gatavo pārskatus par valsts un pašvaldību budžetu izpildi, nodrošinot ministriju, citu centrālo valsts iestāžu, </w:t>
      </w:r>
      <w:r w:rsidR="0035548E">
        <w:rPr>
          <w:szCs w:val="24"/>
        </w:rPr>
        <w:t>FM</w:t>
      </w:r>
      <w:r>
        <w:rPr>
          <w:szCs w:val="24"/>
        </w:rPr>
        <w:t xml:space="preserve"> ekspertu, kā arī sabiedrības informēšanu par budžeta izpildes gaitu. </w:t>
      </w:r>
    </w:p>
    <w:p w:rsidR="00B27CB2" w:rsidRPr="001818CB" w:rsidRDefault="00B27CB2" w:rsidP="002D62B9">
      <w:pPr>
        <w:rPr>
          <w:szCs w:val="24"/>
        </w:rPr>
      </w:pPr>
      <w:r>
        <w:rPr>
          <w:szCs w:val="24"/>
        </w:rPr>
        <w:t>Vienlaikus minēto mērķu sasniegšanai nozaru ministrijas un citas centrālās valsts iestādes reizi  ceturksnī  sagatavo pārskatus</w:t>
      </w:r>
      <w:r w:rsidRPr="007164FE">
        <w:rPr>
          <w:szCs w:val="24"/>
        </w:rPr>
        <w:t xml:space="preserve"> </w:t>
      </w:r>
      <w:r w:rsidRPr="002147B9">
        <w:rPr>
          <w:szCs w:val="24"/>
        </w:rPr>
        <w:t xml:space="preserve">par valsts budžeta izpildes </w:t>
      </w:r>
      <w:r>
        <w:rPr>
          <w:szCs w:val="24"/>
        </w:rPr>
        <w:t xml:space="preserve">gaitu  un iesniedz to </w:t>
      </w:r>
      <w:r w:rsidR="00CC74C7">
        <w:rPr>
          <w:szCs w:val="24"/>
        </w:rPr>
        <w:t>FM</w:t>
      </w:r>
      <w:r>
        <w:rPr>
          <w:szCs w:val="24"/>
        </w:rPr>
        <w:t>. Pārskatā tiek sniegta informācija par valsts budžeta izpildi attiecīgajā pārskata periodā – veikto izdevumu salīdzinājums ar iepriekšējā gada pārskata periodu, salīdzinājums ar pārskata perioda plānu, pārskats par veiktajām un neveiktajām aktivitātēm, informācija par finanšu vadības uzlabošanas pasākumiem u.c.</w:t>
      </w:r>
    </w:p>
    <w:p w:rsidR="00B27CB2" w:rsidRDefault="00B27CB2" w:rsidP="002D62B9">
      <w:pPr>
        <w:rPr>
          <w:szCs w:val="24"/>
        </w:rPr>
      </w:pPr>
      <w:r>
        <w:rPr>
          <w:szCs w:val="24"/>
        </w:rPr>
        <w:t>S</w:t>
      </w:r>
      <w:r w:rsidRPr="002147B9">
        <w:rPr>
          <w:szCs w:val="24"/>
        </w:rPr>
        <w:t>ākot ar 2012.</w:t>
      </w:r>
      <w:r w:rsidR="00B35038">
        <w:rPr>
          <w:szCs w:val="24"/>
        </w:rPr>
        <w:t> </w:t>
      </w:r>
      <w:r w:rsidRPr="002147B9">
        <w:rPr>
          <w:szCs w:val="24"/>
        </w:rPr>
        <w:t xml:space="preserve">gada </w:t>
      </w:r>
      <w:r w:rsidR="00B35038">
        <w:rPr>
          <w:szCs w:val="24"/>
        </w:rPr>
        <w:t xml:space="preserve">valsts </w:t>
      </w:r>
      <w:r w:rsidRPr="002147B9">
        <w:rPr>
          <w:szCs w:val="24"/>
        </w:rPr>
        <w:t xml:space="preserve">budžetu ir uzlabota </w:t>
      </w:r>
      <w:r>
        <w:rPr>
          <w:szCs w:val="24"/>
        </w:rPr>
        <w:t>darbības līmeņa rezultātu un to rezultatīvo rādītāju</w:t>
      </w:r>
      <w:r w:rsidRPr="002147B9">
        <w:rPr>
          <w:szCs w:val="24"/>
        </w:rPr>
        <w:t xml:space="preserve"> plānošanas un atspoguļošanas kārtība ministriju un citu centrālo valsts iestāžu budžetu pieprasījumos. </w:t>
      </w:r>
      <w:r>
        <w:rPr>
          <w:szCs w:val="24"/>
        </w:rPr>
        <w:t>Minētā</w:t>
      </w:r>
      <w:r w:rsidRPr="002147B9">
        <w:rPr>
          <w:szCs w:val="24"/>
        </w:rPr>
        <w:t xml:space="preserve"> informācija </w:t>
      </w:r>
      <w:r>
        <w:rPr>
          <w:szCs w:val="24"/>
        </w:rPr>
        <w:t>ir</w:t>
      </w:r>
      <w:r w:rsidRPr="002147B9">
        <w:rPr>
          <w:szCs w:val="24"/>
        </w:rPr>
        <w:t xml:space="preserve"> iekļauta gadskārtēj</w:t>
      </w:r>
      <w:r>
        <w:rPr>
          <w:szCs w:val="24"/>
        </w:rPr>
        <w:t>am valsts budžeta likumam</w:t>
      </w:r>
      <w:r w:rsidRPr="002147B9">
        <w:rPr>
          <w:szCs w:val="24"/>
        </w:rPr>
        <w:t xml:space="preserve"> pievienotajos paskaidrojumus, </w:t>
      </w:r>
      <w:r>
        <w:rPr>
          <w:szCs w:val="24"/>
        </w:rPr>
        <w:t>tādā veidā nodrošinot parlamenta un sabiedrības informēšanu</w:t>
      </w:r>
      <w:r w:rsidRPr="002147B9">
        <w:rPr>
          <w:szCs w:val="24"/>
        </w:rPr>
        <w:t>.</w:t>
      </w:r>
    </w:p>
    <w:p w:rsidR="00B27CB2" w:rsidRPr="002147B9" w:rsidRDefault="00B27CB2" w:rsidP="002D62B9">
      <w:pPr>
        <w:rPr>
          <w:szCs w:val="24"/>
        </w:rPr>
      </w:pPr>
      <w:r>
        <w:rPr>
          <w:szCs w:val="24"/>
        </w:rPr>
        <w:t>M</w:t>
      </w:r>
      <w:r w:rsidRPr="002147B9">
        <w:rPr>
          <w:szCs w:val="24"/>
        </w:rPr>
        <w:t>inistrijas un citas centrālās valsts iestādes to izpildē esošajām budžeta programmām un apakšprogrammām izvirza noteiktu mērķi ar tā sasniegšanas pakāpi raksturojošiem darbības rezultātiem un to rezultatīvajiem rādītājiem, kuriem tiek plānotas tendences arī vidējā termiņā un vienlaikus atspoguļota vēsturiskā informācija trīs gadu periodam.</w:t>
      </w:r>
      <w:r>
        <w:rPr>
          <w:szCs w:val="24"/>
        </w:rPr>
        <w:t xml:space="preserve"> P</w:t>
      </w:r>
      <w:r w:rsidRPr="00B12E9B">
        <w:rPr>
          <w:szCs w:val="24"/>
        </w:rPr>
        <w:t>olitikas rezultātus primāri plāno at</w:t>
      </w:r>
      <w:r>
        <w:rPr>
          <w:szCs w:val="24"/>
        </w:rPr>
        <w:t xml:space="preserve">tīstības plānošanas dokumentos, </w:t>
      </w:r>
      <w:r w:rsidRPr="00B12E9B">
        <w:rPr>
          <w:szCs w:val="24"/>
        </w:rPr>
        <w:t>tai skaitā politikas plānošanas dokumentos un institūciju darbības stratēģijās.</w:t>
      </w:r>
      <w:r>
        <w:rPr>
          <w:szCs w:val="24"/>
        </w:rPr>
        <w:t xml:space="preserve"> </w:t>
      </w:r>
      <w:r w:rsidRPr="00B12E9B">
        <w:rPr>
          <w:szCs w:val="24"/>
        </w:rPr>
        <w:t xml:space="preserve">Par stratēģijā iekļauto rezultātu izpildi pārskats tiek sniegts iestādes gada publiskajā pārskatā, savukārt par </w:t>
      </w:r>
      <w:r>
        <w:rPr>
          <w:szCs w:val="24"/>
        </w:rPr>
        <w:t>politikas plānošanas dokumentiem</w:t>
      </w:r>
      <w:r w:rsidRPr="00B12E9B">
        <w:rPr>
          <w:szCs w:val="24"/>
        </w:rPr>
        <w:t xml:space="preserve"> tiek sagatavoti pārskata dokumenti informatīvo ziņojumu veidā gan </w:t>
      </w:r>
      <w:r>
        <w:rPr>
          <w:szCs w:val="24"/>
        </w:rPr>
        <w:t xml:space="preserve">politikas plānošanas </w:t>
      </w:r>
      <w:r w:rsidRPr="00B12E9B">
        <w:rPr>
          <w:szCs w:val="24"/>
        </w:rPr>
        <w:t>dokumenta ieviešanas vidus posmā, gan arī pēc tā darbības termiņa beigām.</w:t>
      </w:r>
    </w:p>
    <w:p w:rsidR="00B27CB2" w:rsidRDefault="00B27CB2" w:rsidP="002D62B9">
      <w:pPr>
        <w:rPr>
          <w:szCs w:val="24"/>
        </w:rPr>
      </w:pPr>
      <w:r w:rsidRPr="002147B9">
        <w:rPr>
          <w:szCs w:val="24"/>
        </w:rPr>
        <w:lastRenderedPageBreak/>
        <w:t>Lai attīstītu rezultatīvo rādītāju sistēmu</w:t>
      </w:r>
      <w:r>
        <w:rPr>
          <w:szCs w:val="24"/>
        </w:rPr>
        <w:t xml:space="preserve"> un to integrētu budžeta vadības procesā</w:t>
      </w:r>
      <w:r w:rsidRPr="002147B9">
        <w:rPr>
          <w:szCs w:val="24"/>
        </w:rPr>
        <w:t>, sākot ar 2012.</w:t>
      </w:r>
      <w:r w:rsidR="00CC74C7">
        <w:rPr>
          <w:szCs w:val="24"/>
        </w:rPr>
        <w:t xml:space="preserve"> </w:t>
      </w:r>
      <w:r w:rsidRPr="002147B9">
        <w:rPr>
          <w:szCs w:val="24"/>
        </w:rPr>
        <w:t>gada</w:t>
      </w:r>
      <w:r w:rsidR="00B35038">
        <w:rPr>
          <w:szCs w:val="24"/>
        </w:rPr>
        <w:t xml:space="preserve"> valsts</w:t>
      </w:r>
      <w:r w:rsidRPr="002147B9">
        <w:rPr>
          <w:szCs w:val="24"/>
        </w:rPr>
        <w:t xml:space="preserve"> budžetu valsts budžeta izdevumu izpildes analīz</w:t>
      </w:r>
      <w:r>
        <w:rPr>
          <w:szCs w:val="24"/>
        </w:rPr>
        <w:t xml:space="preserve">e tiks papildināta ar informāciju par </w:t>
      </w:r>
      <w:r w:rsidRPr="002147B9">
        <w:rPr>
          <w:szCs w:val="24"/>
        </w:rPr>
        <w:t>sasniegtajiem darbības rezultātiem un to rezultatīvajiem rādītājiem budžeta programmām un apakšprogrammām izvirzīto mērķu ietv</w:t>
      </w:r>
      <w:r>
        <w:rPr>
          <w:szCs w:val="24"/>
        </w:rPr>
        <w:t>aros, t.i., ministrija pārskatā</w:t>
      </w:r>
      <w:r w:rsidRPr="002147B9">
        <w:rPr>
          <w:szCs w:val="24"/>
        </w:rPr>
        <w:t xml:space="preserve"> par kārtējā gada valsts budžeta izpildes analīzi sniegs nepieciešamos skaidrojumus par </w:t>
      </w:r>
      <w:r>
        <w:rPr>
          <w:szCs w:val="24"/>
        </w:rPr>
        <w:t xml:space="preserve">iepriekš </w:t>
      </w:r>
      <w:r w:rsidRPr="002147B9">
        <w:rPr>
          <w:szCs w:val="24"/>
        </w:rPr>
        <w:t>plānotajiem rezultātiem un rezultatīvajiem rādītājiem, to izpildi gada laikā, kā arī par rezultatīvo rādītāju vērtību izpildes novirzēm no plānotajām rezultatīvo rādītāju vērtībām, ja tādas ir bijušas.</w:t>
      </w:r>
      <w:r>
        <w:rPr>
          <w:szCs w:val="24"/>
        </w:rPr>
        <w:t xml:space="preserve"> Budžeta programmu un apakšprogrammu darbības rezultātu un to rezultatīvo rādītāju ikgadējs izvērtējums nodrošinās iespēju izvērtēt </w:t>
      </w:r>
      <w:r w:rsidRPr="00EF4236">
        <w:rPr>
          <w:szCs w:val="24"/>
        </w:rPr>
        <w:t>budžeta izdevumu atbilstību valdības definētajām prioritātēm</w:t>
      </w:r>
      <w:r>
        <w:rPr>
          <w:szCs w:val="24"/>
        </w:rPr>
        <w:t xml:space="preserve">. </w:t>
      </w:r>
    </w:p>
    <w:p w:rsidR="00B27CB2" w:rsidRPr="001818CB" w:rsidRDefault="00B27CB2" w:rsidP="002D62B9">
      <w:pPr>
        <w:ind w:firstLine="720"/>
        <w:rPr>
          <w:szCs w:val="24"/>
        </w:rPr>
      </w:pPr>
      <w:r w:rsidRPr="001818CB">
        <w:rPr>
          <w:szCs w:val="24"/>
        </w:rPr>
        <w:t xml:space="preserve">Valsts kase piešķir asignējumus izdevumiem saskaņā ar gadskārtējā valsts budžeta likumā noteikto apropriāciju un nodrošina to izpildi </w:t>
      </w:r>
      <w:r w:rsidR="0035548E">
        <w:rPr>
          <w:szCs w:val="24"/>
        </w:rPr>
        <w:t>MK</w:t>
      </w:r>
      <w:r w:rsidRPr="001818CB">
        <w:rPr>
          <w:szCs w:val="24"/>
        </w:rPr>
        <w:t xml:space="preserve"> noteiktajā kārtībā, savukārt ministrijas un citas centrālās valsts iestādes ir atbildīgas par gadskārtējā valsts budžeta likumā noteiktās apropriācijas izpildes kontroles sistēmas izveidi un par Valsts kases norēķinu kontos ieskaitīto valsts budžeta līdzekļu izlietojuma kontroli atbilstoši paredzētajiem mērķiem.</w:t>
      </w:r>
    </w:p>
    <w:p w:rsidR="00B27CB2" w:rsidRPr="001818CB" w:rsidRDefault="00B27CB2" w:rsidP="002D62B9">
      <w:pPr>
        <w:ind w:firstLine="720"/>
        <w:rPr>
          <w:szCs w:val="24"/>
        </w:rPr>
      </w:pPr>
      <w:r w:rsidRPr="001818CB">
        <w:rPr>
          <w:szCs w:val="24"/>
        </w:rPr>
        <w:t>Bez tam Likumā par budžetu un finanšu vadību</w:t>
      </w:r>
      <w:r w:rsidRPr="001818CB" w:rsidDel="0081295E">
        <w:rPr>
          <w:szCs w:val="24"/>
        </w:rPr>
        <w:t xml:space="preserve"> </w:t>
      </w:r>
      <w:r w:rsidRPr="001818CB">
        <w:rPr>
          <w:szCs w:val="24"/>
        </w:rPr>
        <w:t>ir noteikts, ka valsts budžeta iestādes asignējumu saņemšanai un izdevumu veikšanai no valsts budžeta līdzekļiem atver valsts pamatbudžeta un valsts speciālā budžeta kontus tikai Valsts kasē. Budžeta nefinansētas iestādes atver norēķinu kontus tikai Valsts kasē. Valsts budžeta līdzekļu saņemšanai un no tiem finansēto izdevumu izdarīšanai budžeta finansētas institūcijas (izņemot valsts budžeta iestādes) atver norēķinu kontus tikai Valsts kasē, ja citos normatīvajos aktos nav noteikts citādi. Pašvaldības un no valsts budžeta daļēji finansētas atvasinātas publiskas personas, kā arī kapitālsabiedrības, kurās ieguldīta valsts vai pašvaldību kapitāla daļa, var atvērt norēķinu kontus Valsts kasē.</w:t>
      </w:r>
    </w:p>
    <w:p w:rsidR="00B27CB2" w:rsidRPr="001818CB" w:rsidRDefault="00B27CB2" w:rsidP="002D62B9">
      <w:pPr>
        <w:ind w:firstLine="720"/>
        <w:rPr>
          <w:szCs w:val="24"/>
        </w:rPr>
      </w:pPr>
      <w:r w:rsidRPr="001818CB">
        <w:rPr>
          <w:szCs w:val="24"/>
        </w:rPr>
        <w:t>Galvenās Likumā par budžetu un finanšu vadību noteiktās sankcijas par neatbilstošu rīcību ar budžeta līdzekļiem:</w:t>
      </w:r>
    </w:p>
    <w:p w:rsidR="00B27CB2" w:rsidRPr="001818CB" w:rsidRDefault="00B27CB2" w:rsidP="002D62B9">
      <w:pPr>
        <w:pStyle w:val="ListParagraph"/>
        <w:numPr>
          <w:ilvl w:val="0"/>
          <w:numId w:val="7"/>
        </w:numPr>
        <w:spacing w:after="120" w:line="240" w:lineRule="auto"/>
        <w:jc w:val="both"/>
        <w:rPr>
          <w:rFonts w:ascii="Times New Roman" w:hAnsi="Times New Roman"/>
          <w:sz w:val="24"/>
          <w:szCs w:val="24"/>
        </w:rPr>
      </w:pPr>
      <w:r w:rsidRPr="001818CB">
        <w:rPr>
          <w:rFonts w:ascii="Times New Roman" w:hAnsi="Times New Roman"/>
          <w:sz w:val="24"/>
          <w:szCs w:val="24"/>
        </w:rPr>
        <w:t>par valsts budžetam pienākošos summu nesavlaicīgu vai nepilnīgu iemaksu Valsts kases budžeta kontos – Valsts kase (ja tas nav paredzēts citas valsts institūcijas kompetencē) piedzen iemaksāšanai pamatbudžeta ieņēmumos neiemaksāto summu un var piedzīt nokavējuma naudu 0,1</w:t>
      </w:r>
      <w:r w:rsidR="00CC74C7">
        <w:rPr>
          <w:rFonts w:ascii="Times New Roman" w:hAnsi="Times New Roman"/>
          <w:sz w:val="24"/>
          <w:szCs w:val="24"/>
          <w:lang w:val="lv-LV"/>
        </w:rPr>
        <w:t xml:space="preserve"> </w:t>
      </w:r>
      <w:r w:rsidRPr="001818CB">
        <w:rPr>
          <w:rFonts w:ascii="Times New Roman" w:hAnsi="Times New Roman"/>
          <w:sz w:val="24"/>
          <w:szCs w:val="24"/>
        </w:rPr>
        <w:t>% apmērā no laikā nenomaksātās summas par katru nokavēto maksājuma dienu, ja normatīvajos aktos nav noteikta cita kārtība;</w:t>
      </w:r>
    </w:p>
    <w:p w:rsidR="00B27CB2" w:rsidRPr="001818CB" w:rsidRDefault="00B27CB2" w:rsidP="002D62B9">
      <w:pPr>
        <w:pStyle w:val="ListParagraph"/>
        <w:numPr>
          <w:ilvl w:val="0"/>
          <w:numId w:val="7"/>
        </w:numPr>
        <w:spacing w:after="120" w:line="240" w:lineRule="auto"/>
        <w:jc w:val="both"/>
        <w:rPr>
          <w:rFonts w:ascii="Times New Roman" w:hAnsi="Times New Roman"/>
          <w:sz w:val="24"/>
          <w:szCs w:val="24"/>
        </w:rPr>
      </w:pPr>
      <w:r w:rsidRPr="001818CB">
        <w:rPr>
          <w:rFonts w:ascii="Times New Roman" w:hAnsi="Times New Roman"/>
          <w:sz w:val="24"/>
          <w:szCs w:val="24"/>
        </w:rPr>
        <w:t>ja jāsedz budžetam radušies zaudējumi – Valsts kase var ieskaitīt summas pamatbudžeta ieņēmumos, atsaukt vai apturēt asignējumus, ja nav laikā iesniegti vai ir nepilnīgi ziņojumi par budžetu un finanšu vadību, ja likumā noteiktajā kārtībā nav reģistrēti budžeta līdzekļi un darījumi ar šiem līdzekļiem, kā arī nav ziņots par tiem, ja uzskaite neatbilst noteiktajai kārtībai un tādējādi tiek slēpti budžetam pienākošies līdzekļi, kā arī, ja  budžeta finansētas institūcijas vadītājs ir uzņēmies saistības, pārsniedzot Valsts kases sniegto asignējumu;</w:t>
      </w:r>
    </w:p>
    <w:p w:rsidR="00B27CB2" w:rsidRPr="001818CB" w:rsidRDefault="00B27CB2" w:rsidP="002D62B9">
      <w:pPr>
        <w:pStyle w:val="ListParagraph"/>
        <w:numPr>
          <w:ilvl w:val="0"/>
          <w:numId w:val="7"/>
        </w:numPr>
        <w:spacing w:after="120" w:line="240" w:lineRule="auto"/>
        <w:jc w:val="both"/>
        <w:rPr>
          <w:rFonts w:ascii="Times New Roman" w:hAnsi="Times New Roman"/>
          <w:sz w:val="24"/>
          <w:szCs w:val="24"/>
        </w:rPr>
      </w:pPr>
      <w:r w:rsidRPr="001818CB">
        <w:rPr>
          <w:rFonts w:ascii="Times New Roman" w:hAnsi="Times New Roman"/>
          <w:sz w:val="24"/>
          <w:szCs w:val="24"/>
        </w:rPr>
        <w:t>ja budžeta finansētas institūcijas, budžeta nefinansētas iestādes un pašvaldības, kā arī kapitālsabiedrības, kurās ir ieguldīta valsts vai pašvaldību kapitāla daļa, ir pārkāpušas likumā par budžetu un finanšu vadību paredzētos finanšu vadības noteikumus, finanšu ministrs, Valsts kases pārvaldnieks, ministriju un citu centrālo valsts iestāžu vadītāji (atbilstoši savai kompetencei) var uz laiku atņemt pilnvarojumu asignēt vai rīkot budžeta ieņēmumus vai izdevumus, noteikt kontu lietošanas ierobežojumus, atsaukt vai apturēt asignējumus, lai tiktu atlīdzināti nelikumīgi izlietotie līdzekļi, vai arī pieprasīt nelikumīgi izlietoto līdzekļu atmaksāšanu, iesniegt tiesā civilprasību vai nodot materiālus kompetentajām amatpersonām jautājuma par kriminālprocesa uzsākšanu izlemšanai, kā arī atsaukt vai apturēt maksājumus;</w:t>
      </w:r>
    </w:p>
    <w:p w:rsidR="00311BF6" w:rsidRDefault="00B27CB2" w:rsidP="002D62B9">
      <w:pPr>
        <w:pStyle w:val="ListParagraph"/>
        <w:spacing w:after="120" w:line="240" w:lineRule="auto"/>
        <w:ind w:left="709"/>
        <w:jc w:val="both"/>
        <w:rPr>
          <w:rFonts w:ascii="Times New Roman" w:hAnsi="Times New Roman"/>
          <w:sz w:val="24"/>
          <w:szCs w:val="24"/>
        </w:rPr>
      </w:pPr>
      <w:r w:rsidRPr="001818CB">
        <w:rPr>
          <w:rFonts w:ascii="Times New Roman" w:hAnsi="Times New Roman"/>
          <w:sz w:val="24"/>
          <w:szCs w:val="24"/>
        </w:rPr>
        <w:lastRenderedPageBreak/>
        <w:t>Valsts kasei</w:t>
      </w:r>
      <w:r>
        <w:rPr>
          <w:rFonts w:ascii="Times New Roman" w:hAnsi="Times New Roman"/>
          <w:sz w:val="24"/>
          <w:szCs w:val="24"/>
        </w:rPr>
        <w:t>,</w:t>
      </w:r>
      <w:r w:rsidRPr="001818CB">
        <w:rPr>
          <w:rFonts w:ascii="Times New Roman" w:hAnsi="Times New Roman"/>
          <w:sz w:val="24"/>
          <w:szCs w:val="24"/>
        </w:rPr>
        <w:t xml:space="preserve"> atbilstoši </w:t>
      </w:r>
      <w:r>
        <w:rPr>
          <w:rFonts w:ascii="Times New Roman" w:hAnsi="Times New Roman"/>
          <w:sz w:val="24"/>
          <w:szCs w:val="24"/>
        </w:rPr>
        <w:t>l</w:t>
      </w:r>
      <w:r w:rsidRPr="001818CB">
        <w:rPr>
          <w:rFonts w:ascii="Times New Roman" w:hAnsi="Times New Roman"/>
          <w:sz w:val="24"/>
          <w:szCs w:val="24"/>
        </w:rPr>
        <w:t xml:space="preserve">ikumam </w:t>
      </w:r>
      <w:r>
        <w:rPr>
          <w:rFonts w:ascii="Times New Roman" w:hAnsi="Times New Roman"/>
          <w:sz w:val="24"/>
          <w:szCs w:val="24"/>
        </w:rPr>
        <w:t>„P</w:t>
      </w:r>
      <w:r w:rsidRPr="001818CB">
        <w:rPr>
          <w:rFonts w:ascii="Times New Roman" w:hAnsi="Times New Roman"/>
          <w:sz w:val="24"/>
          <w:szCs w:val="24"/>
        </w:rPr>
        <w:t>ar pašvaldību finanšu izlīdzināšanu</w:t>
      </w:r>
      <w:r>
        <w:rPr>
          <w:rFonts w:ascii="Times New Roman" w:hAnsi="Times New Roman"/>
          <w:sz w:val="24"/>
          <w:szCs w:val="24"/>
        </w:rPr>
        <w:t>”</w:t>
      </w:r>
      <w:r w:rsidRPr="001818CB">
        <w:rPr>
          <w:rFonts w:ascii="Times New Roman" w:hAnsi="Times New Roman"/>
          <w:sz w:val="24"/>
          <w:szCs w:val="24"/>
        </w:rPr>
        <w:t xml:space="preserve"> ir tiesības bezstrīdus kārtībā piedzīt no pašvaldības budžeta līdzekļiem naudas summas, ko attiecīgā pašvaldība nav savlaicīgi vai pilnā apmērā ieskaitījusi pašvaldību finanšu izlīdzināšanas fondā, norakstot šīs summas no attiecīgās pašvaldības budžeta.</w:t>
      </w:r>
      <w:bookmarkStart w:id="67" w:name="_Toc284924061"/>
    </w:p>
    <w:p w:rsidR="00E939C4" w:rsidRPr="00CC74C7" w:rsidRDefault="00E939C4" w:rsidP="00CC74C7">
      <w:pPr>
        <w:pStyle w:val="ListParagraph"/>
        <w:spacing w:after="120" w:line="240" w:lineRule="auto"/>
        <w:ind w:left="0"/>
        <w:jc w:val="both"/>
        <w:rPr>
          <w:lang w:val="lv-LV"/>
        </w:rPr>
      </w:pPr>
    </w:p>
    <w:p w:rsidR="008D3540" w:rsidRPr="00CC74C7" w:rsidRDefault="00283B8B" w:rsidP="00CC74C7">
      <w:pPr>
        <w:pStyle w:val="otrais"/>
        <w:rPr>
          <w:szCs w:val="32"/>
        </w:rPr>
      </w:pPr>
      <w:bookmarkStart w:id="68" w:name="_Toc323120297"/>
      <w:r w:rsidRPr="00CC74C7">
        <w:rPr>
          <w:szCs w:val="32"/>
        </w:rPr>
        <w:t>7.2.</w:t>
      </w:r>
      <w:r w:rsidR="000F6956" w:rsidRPr="00CC74C7">
        <w:rPr>
          <w:szCs w:val="32"/>
        </w:rPr>
        <w:t xml:space="preserve"> Ieņēmumu struktūras un sistēmas efektivitāte</w:t>
      </w:r>
      <w:bookmarkStart w:id="69" w:name="_Toc156371599"/>
      <w:bookmarkStart w:id="70" w:name="_Toc284924062"/>
      <w:bookmarkEnd w:id="66"/>
      <w:bookmarkEnd w:id="67"/>
      <w:bookmarkEnd w:id="68"/>
    </w:p>
    <w:p w:rsidR="008D3540" w:rsidRPr="008F4CFF" w:rsidRDefault="008D3540" w:rsidP="002D62B9">
      <w:r w:rsidRPr="008F4CFF">
        <w:t>Viens no būtiskiem valsts finanšu kvalitātes aspektiem ir stabilu un prognozējamu nodokļu ieņēmumu nodrošināšana budžetā valdības prioritāro sociālo un ekonomisko pasākumu finansēšanai.</w:t>
      </w:r>
    </w:p>
    <w:p w:rsidR="008D3540" w:rsidRPr="00311BF6" w:rsidRDefault="00311BF6" w:rsidP="002D62B9">
      <w:pPr>
        <w:pStyle w:val="T"/>
        <w:jc w:val="right"/>
        <w:rPr>
          <w:rFonts w:ascii="Times New Roman" w:hAnsi="Times New Roman"/>
          <w:b w:val="0"/>
        </w:rPr>
      </w:pPr>
      <w:r>
        <w:rPr>
          <w:rFonts w:ascii="Times New Roman" w:hAnsi="Times New Roman"/>
          <w:b w:val="0"/>
        </w:rPr>
        <w:t>7</w:t>
      </w:r>
      <w:r w:rsidR="008D3540" w:rsidRPr="00311BF6">
        <w:rPr>
          <w:rFonts w:ascii="Times New Roman" w:hAnsi="Times New Roman"/>
          <w:b w:val="0"/>
        </w:rPr>
        <w:t>.1. tabula. Nodokļu ieņēmumi vispārējās valdības budžetā (S.13), milj. latu</w:t>
      </w:r>
    </w:p>
    <w:tbl>
      <w:tblPr>
        <w:tblW w:w="9435"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1E0" w:firstRow="1" w:lastRow="1" w:firstColumn="1" w:lastColumn="1" w:noHBand="0" w:noVBand="0"/>
      </w:tblPr>
      <w:tblGrid>
        <w:gridCol w:w="3600"/>
        <w:gridCol w:w="992"/>
        <w:gridCol w:w="968"/>
        <w:gridCol w:w="969"/>
        <w:gridCol w:w="968"/>
        <w:gridCol w:w="969"/>
        <w:gridCol w:w="969"/>
      </w:tblGrid>
      <w:tr w:rsidR="008D3540" w:rsidRPr="008F4CFF" w:rsidTr="00311BF6">
        <w:trPr>
          <w:jc w:val="center"/>
        </w:trPr>
        <w:tc>
          <w:tcPr>
            <w:tcW w:w="3600" w:type="dxa"/>
            <w:tcBorders>
              <w:top w:val="double" w:sz="6" w:space="0" w:color="auto"/>
            </w:tcBorders>
          </w:tcPr>
          <w:p w:rsidR="008D3540" w:rsidRPr="008F4CFF" w:rsidRDefault="008D3540" w:rsidP="002D62B9">
            <w:pPr>
              <w:pStyle w:val="tabteksts"/>
            </w:pPr>
          </w:p>
        </w:tc>
        <w:tc>
          <w:tcPr>
            <w:tcW w:w="992" w:type="dxa"/>
            <w:tcBorders>
              <w:top w:val="double" w:sz="6" w:space="0" w:color="auto"/>
            </w:tcBorders>
          </w:tcPr>
          <w:p w:rsidR="008D3540" w:rsidRPr="008F4CFF" w:rsidRDefault="008D3540" w:rsidP="00AC104C">
            <w:pPr>
              <w:pStyle w:val="tabteksts"/>
            </w:pPr>
            <w:r w:rsidRPr="008F4CFF">
              <w:t>Kods (EKS)</w:t>
            </w:r>
          </w:p>
        </w:tc>
        <w:tc>
          <w:tcPr>
            <w:tcW w:w="968" w:type="dxa"/>
            <w:tcBorders>
              <w:top w:val="double" w:sz="6" w:space="0" w:color="auto"/>
            </w:tcBorders>
            <w:vAlign w:val="center"/>
          </w:tcPr>
          <w:p w:rsidR="008D3540" w:rsidRPr="008F4CFF" w:rsidRDefault="008D3540" w:rsidP="002D62B9">
            <w:pPr>
              <w:pStyle w:val="tabteksts"/>
              <w:jc w:val="center"/>
              <w:rPr>
                <w:b/>
              </w:rPr>
            </w:pPr>
            <w:r w:rsidRPr="008F4CFF">
              <w:rPr>
                <w:b/>
              </w:rPr>
              <w:t>2011</w:t>
            </w:r>
          </w:p>
        </w:tc>
        <w:tc>
          <w:tcPr>
            <w:tcW w:w="969" w:type="dxa"/>
            <w:tcBorders>
              <w:top w:val="double" w:sz="6" w:space="0" w:color="auto"/>
            </w:tcBorders>
            <w:vAlign w:val="center"/>
          </w:tcPr>
          <w:p w:rsidR="008D3540" w:rsidRPr="008F4CFF" w:rsidRDefault="008D3540" w:rsidP="002D62B9">
            <w:pPr>
              <w:pStyle w:val="tabteksts"/>
              <w:jc w:val="center"/>
              <w:rPr>
                <w:b/>
              </w:rPr>
            </w:pPr>
            <w:r w:rsidRPr="008F4CFF">
              <w:rPr>
                <w:b/>
              </w:rPr>
              <w:t>2012</w:t>
            </w:r>
          </w:p>
        </w:tc>
        <w:tc>
          <w:tcPr>
            <w:tcW w:w="968" w:type="dxa"/>
            <w:tcBorders>
              <w:top w:val="double" w:sz="6" w:space="0" w:color="auto"/>
            </w:tcBorders>
            <w:vAlign w:val="center"/>
          </w:tcPr>
          <w:p w:rsidR="008D3540" w:rsidRPr="008F4CFF" w:rsidRDefault="008D3540" w:rsidP="002D62B9">
            <w:pPr>
              <w:pStyle w:val="tabteksts"/>
              <w:jc w:val="center"/>
              <w:rPr>
                <w:b/>
              </w:rPr>
            </w:pPr>
            <w:r w:rsidRPr="008F4CFF">
              <w:rPr>
                <w:b/>
              </w:rPr>
              <w:t>2013</w:t>
            </w:r>
          </w:p>
        </w:tc>
        <w:tc>
          <w:tcPr>
            <w:tcW w:w="969" w:type="dxa"/>
            <w:tcBorders>
              <w:top w:val="double" w:sz="6" w:space="0" w:color="auto"/>
            </w:tcBorders>
            <w:vAlign w:val="center"/>
          </w:tcPr>
          <w:p w:rsidR="008D3540" w:rsidRPr="008F4CFF" w:rsidRDefault="008D3540" w:rsidP="002D62B9">
            <w:pPr>
              <w:pStyle w:val="tabteksts"/>
              <w:jc w:val="center"/>
              <w:rPr>
                <w:b/>
              </w:rPr>
            </w:pPr>
            <w:r w:rsidRPr="008F4CFF">
              <w:rPr>
                <w:b/>
              </w:rPr>
              <w:t>2014</w:t>
            </w:r>
          </w:p>
        </w:tc>
        <w:tc>
          <w:tcPr>
            <w:tcW w:w="969" w:type="dxa"/>
            <w:tcBorders>
              <w:top w:val="double" w:sz="6" w:space="0" w:color="auto"/>
            </w:tcBorders>
            <w:vAlign w:val="center"/>
          </w:tcPr>
          <w:p w:rsidR="008D3540" w:rsidRPr="008F4CFF" w:rsidRDefault="008D3540" w:rsidP="002D62B9">
            <w:pPr>
              <w:pStyle w:val="tabteksts"/>
              <w:jc w:val="center"/>
              <w:rPr>
                <w:b/>
              </w:rPr>
            </w:pPr>
            <w:r w:rsidRPr="008F4CFF">
              <w:rPr>
                <w:b/>
              </w:rPr>
              <w:t>2015</w:t>
            </w:r>
          </w:p>
        </w:tc>
      </w:tr>
      <w:tr w:rsidR="008D3540" w:rsidRPr="008F4CFF" w:rsidTr="00311BF6">
        <w:trPr>
          <w:jc w:val="center"/>
        </w:trPr>
        <w:tc>
          <w:tcPr>
            <w:tcW w:w="3600" w:type="dxa"/>
          </w:tcPr>
          <w:p w:rsidR="008D3540" w:rsidRPr="008F4CFF" w:rsidRDefault="008D3540" w:rsidP="002D62B9">
            <w:pPr>
              <w:pStyle w:val="tabteksts"/>
              <w:rPr>
                <w:b/>
              </w:rPr>
            </w:pPr>
            <w:r w:rsidRPr="008F4CFF">
              <w:rPr>
                <w:b/>
              </w:rPr>
              <w:t>Nodokļu ieņēmumi</w:t>
            </w:r>
          </w:p>
        </w:tc>
        <w:tc>
          <w:tcPr>
            <w:tcW w:w="992" w:type="dxa"/>
          </w:tcPr>
          <w:p w:rsidR="008D3540" w:rsidRPr="008F4CFF" w:rsidRDefault="008D3540" w:rsidP="002D62B9">
            <w:pPr>
              <w:pStyle w:val="tabteksts"/>
              <w:rPr>
                <w:b/>
              </w:rPr>
            </w:pPr>
          </w:p>
        </w:tc>
        <w:tc>
          <w:tcPr>
            <w:tcW w:w="968" w:type="dxa"/>
          </w:tcPr>
          <w:p w:rsidR="008D3540" w:rsidRPr="008F4CFF" w:rsidRDefault="008D3540" w:rsidP="002D62B9">
            <w:pPr>
              <w:pStyle w:val="tabteksts"/>
              <w:tabs>
                <w:tab w:val="decimal" w:pos="483"/>
              </w:tabs>
              <w:rPr>
                <w:b/>
              </w:rPr>
            </w:pPr>
          </w:p>
        </w:tc>
        <w:tc>
          <w:tcPr>
            <w:tcW w:w="969" w:type="dxa"/>
          </w:tcPr>
          <w:p w:rsidR="008D3540" w:rsidRPr="008F4CFF" w:rsidRDefault="008D3540" w:rsidP="002D62B9">
            <w:pPr>
              <w:pStyle w:val="tabteksts"/>
              <w:tabs>
                <w:tab w:val="decimal" w:pos="483"/>
              </w:tabs>
              <w:rPr>
                <w:b/>
              </w:rPr>
            </w:pPr>
          </w:p>
        </w:tc>
        <w:tc>
          <w:tcPr>
            <w:tcW w:w="968" w:type="dxa"/>
          </w:tcPr>
          <w:p w:rsidR="008D3540" w:rsidRPr="008F4CFF" w:rsidRDefault="008D3540" w:rsidP="002D62B9">
            <w:pPr>
              <w:pStyle w:val="tabteksts"/>
              <w:tabs>
                <w:tab w:val="decimal" w:pos="483"/>
              </w:tabs>
              <w:rPr>
                <w:b/>
              </w:rPr>
            </w:pPr>
          </w:p>
        </w:tc>
        <w:tc>
          <w:tcPr>
            <w:tcW w:w="969" w:type="dxa"/>
          </w:tcPr>
          <w:p w:rsidR="008D3540" w:rsidRPr="008F4CFF" w:rsidRDefault="008D3540" w:rsidP="002D62B9">
            <w:pPr>
              <w:pStyle w:val="tabteksts"/>
              <w:tabs>
                <w:tab w:val="decimal" w:pos="483"/>
              </w:tabs>
              <w:rPr>
                <w:b/>
              </w:rPr>
            </w:pPr>
          </w:p>
        </w:tc>
        <w:tc>
          <w:tcPr>
            <w:tcW w:w="969" w:type="dxa"/>
          </w:tcPr>
          <w:p w:rsidR="008D3540" w:rsidRPr="008F4CFF" w:rsidRDefault="008D3540" w:rsidP="002D62B9">
            <w:pPr>
              <w:pStyle w:val="tabteksts"/>
              <w:tabs>
                <w:tab w:val="decimal" w:pos="483"/>
              </w:tabs>
              <w:rPr>
                <w:b/>
              </w:rPr>
            </w:pPr>
          </w:p>
        </w:tc>
      </w:tr>
      <w:tr w:rsidR="008D3540" w:rsidRPr="008F4CFF" w:rsidTr="00311BF6">
        <w:trPr>
          <w:jc w:val="center"/>
        </w:trPr>
        <w:tc>
          <w:tcPr>
            <w:tcW w:w="3600" w:type="dxa"/>
          </w:tcPr>
          <w:p w:rsidR="008D3540" w:rsidRPr="008F4CFF" w:rsidRDefault="008D3540" w:rsidP="002D62B9">
            <w:pPr>
              <w:pStyle w:val="tabteksts"/>
            </w:pPr>
            <w:r w:rsidRPr="008F4CFF">
              <w:t>1. Ražošanas un importa nodokļi</w:t>
            </w:r>
          </w:p>
        </w:tc>
        <w:tc>
          <w:tcPr>
            <w:tcW w:w="992" w:type="dxa"/>
          </w:tcPr>
          <w:p w:rsidR="008D3540" w:rsidRPr="008F4CFF" w:rsidRDefault="008D3540" w:rsidP="002D62B9">
            <w:pPr>
              <w:pStyle w:val="tabteksts"/>
            </w:pPr>
            <w:r w:rsidRPr="008F4CFF">
              <w:t>D.2</w:t>
            </w:r>
          </w:p>
        </w:tc>
        <w:tc>
          <w:tcPr>
            <w:tcW w:w="968" w:type="dxa"/>
            <w:vAlign w:val="bottom"/>
          </w:tcPr>
          <w:p w:rsidR="008D3540" w:rsidRPr="008F4CFF" w:rsidRDefault="008D3540" w:rsidP="002D62B9">
            <w:pPr>
              <w:pStyle w:val="tabteksts"/>
              <w:tabs>
                <w:tab w:val="decimal" w:pos="456"/>
              </w:tabs>
            </w:pPr>
            <w:r w:rsidRPr="008F4CFF">
              <w:t>1 631,3</w:t>
            </w:r>
          </w:p>
        </w:tc>
        <w:tc>
          <w:tcPr>
            <w:tcW w:w="969" w:type="dxa"/>
            <w:vAlign w:val="bottom"/>
          </w:tcPr>
          <w:p w:rsidR="008D3540" w:rsidRPr="008F4CFF" w:rsidRDefault="008D3540" w:rsidP="002D62B9">
            <w:pPr>
              <w:pStyle w:val="tabteksts"/>
              <w:tabs>
                <w:tab w:val="decimal" w:pos="456"/>
              </w:tabs>
            </w:pPr>
            <w:r w:rsidRPr="008F4CFF">
              <w:t>1 731,5</w:t>
            </w:r>
          </w:p>
        </w:tc>
        <w:tc>
          <w:tcPr>
            <w:tcW w:w="968" w:type="dxa"/>
            <w:vAlign w:val="bottom"/>
          </w:tcPr>
          <w:p w:rsidR="008D3540" w:rsidRPr="008F4CFF" w:rsidRDefault="008D3540" w:rsidP="002D62B9">
            <w:pPr>
              <w:pStyle w:val="tabteksts"/>
              <w:tabs>
                <w:tab w:val="decimal" w:pos="456"/>
              </w:tabs>
            </w:pPr>
            <w:r w:rsidRPr="008F4CFF">
              <w:t>1 810,3</w:t>
            </w:r>
          </w:p>
        </w:tc>
        <w:tc>
          <w:tcPr>
            <w:tcW w:w="969" w:type="dxa"/>
            <w:vAlign w:val="bottom"/>
          </w:tcPr>
          <w:p w:rsidR="008D3540" w:rsidRPr="008F4CFF" w:rsidRDefault="008D3540" w:rsidP="002D62B9">
            <w:pPr>
              <w:pStyle w:val="tabteksts"/>
              <w:tabs>
                <w:tab w:val="decimal" w:pos="456"/>
              </w:tabs>
            </w:pPr>
            <w:r w:rsidRPr="008F4CFF">
              <w:t>1 888,8</w:t>
            </w:r>
          </w:p>
        </w:tc>
        <w:tc>
          <w:tcPr>
            <w:tcW w:w="969" w:type="dxa"/>
            <w:vAlign w:val="bottom"/>
          </w:tcPr>
          <w:p w:rsidR="008D3540" w:rsidRPr="008F4CFF" w:rsidRDefault="008D3540" w:rsidP="002D62B9">
            <w:pPr>
              <w:pStyle w:val="tabteksts"/>
              <w:tabs>
                <w:tab w:val="decimal" w:pos="456"/>
              </w:tabs>
            </w:pPr>
            <w:r w:rsidRPr="008F4CFF">
              <w:t>1 967,9</w:t>
            </w:r>
          </w:p>
        </w:tc>
      </w:tr>
      <w:tr w:rsidR="008D3540" w:rsidRPr="008F4CFF" w:rsidTr="00311BF6">
        <w:trPr>
          <w:jc w:val="center"/>
        </w:trPr>
        <w:tc>
          <w:tcPr>
            <w:tcW w:w="3600" w:type="dxa"/>
          </w:tcPr>
          <w:p w:rsidR="008D3540" w:rsidRPr="008F4CFF" w:rsidRDefault="008D3540" w:rsidP="002D62B9">
            <w:pPr>
              <w:pStyle w:val="tabteksts"/>
            </w:pPr>
            <w:r w:rsidRPr="008F4CFF">
              <w:t xml:space="preserve">2. </w:t>
            </w:r>
            <w:r w:rsidRPr="008F4CFF">
              <w:rPr>
                <w:snapToGrid w:val="0"/>
              </w:rPr>
              <w:t>Ienākuma un mantas kārtējie nodokļi</w:t>
            </w:r>
          </w:p>
        </w:tc>
        <w:tc>
          <w:tcPr>
            <w:tcW w:w="992" w:type="dxa"/>
          </w:tcPr>
          <w:p w:rsidR="008D3540" w:rsidRPr="008F4CFF" w:rsidRDefault="008D3540" w:rsidP="002D62B9">
            <w:pPr>
              <w:pStyle w:val="tabteksts"/>
            </w:pPr>
            <w:r w:rsidRPr="008F4CFF">
              <w:t>D.5</w:t>
            </w:r>
          </w:p>
        </w:tc>
        <w:tc>
          <w:tcPr>
            <w:tcW w:w="968" w:type="dxa"/>
            <w:vAlign w:val="bottom"/>
          </w:tcPr>
          <w:p w:rsidR="008D3540" w:rsidRPr="008F4CFF" w:rsidRDefault="008D3540" w:rsidP="002D62B9">
            <w:pPr>
              <w:pStyle w:val="tabteksts"/>
              <w:tabs>
                <w:tab w:val="decimal" w:pos="456"/>
              </w:tabs>
            </w:pPr>
            <w:r w:rsidRPr="008F4CFF">
              <w:t>1 053,6</w:t>
            </w:r>
          </w:p>
        </w:tc>
        <w:tc>
          <w:tcPr>
            <w:tcW w:w="969" w:type="dxa"/>
            <w:vAlign w:val="bottom"/>
          </w:tcPr>
          <w:p w:rsidR="008D3540" w:rsidRPr="008F4CFF" w:rsidRDefault="008D3540" w:rsidP="002D62B9">
            <w:pPr>
              <w:pStyle w:val="tabteksts"/>
              <w:tabs>
                <w:tab w:val="decimal" w:pos="456"/>
              </w:tabs>
            </w:pPr>
            <w:r w:rsidRPr="008F4CFF">
              <w:t>1 109,0</w:t>
            </w:r>
          </w:p>
        </w:tc>
        <w:tc>
          <w:tcPr>
            <w:tcW w:w="968" w:type="dxa"/>
            <w:vAlign w:val="bottom"/>
          </w:tcPr>
          <w:p w:rsidR="008D3540" w:rsidRPr="008F4CFF" w:rsidRDefault="008D3540" w:rsidP="002D62B9">
            <w:pPr>
              <w:pStyle w:val="tabteksts"/>
              <w:tabs>
                <w:tab w:val="decimal" w:pos="456"/>
              </w:tabs>
            </w:pPr>
            <w:r w:rsidRPr="008F4CFF">
              <w:t>1 160,3</w:t>
            </w:r>
          </w:p>
        </w:tc>
        <w:tc>
          <w:tcPr>
            <w:tcW w:w="969" w:type="dxa"/>
            <w:vAlign w:val="bottom"/>
          </w:tcPr>
          <w:p w:rsidR="008D3540" w:rsidRPr="008F4CFF" w:rsidRDefault="008D3540" w:rsidP="002D62B9">
            <w:pPr>
              <w:pStyle w:val="tabteksts"/>
              <w:tabs>
                <w:tab w:val="decimal" w:pos="456"/>
              </w:tabs>
            </w:pPr>
            <w:r w:rsidRPr="008F4CFF">
              <w:t>1 213,1</w:t>
            </w:r>
          </w:p>
        </w:tc>
        <w:tc>
          <w:tcPr>
            <w:tcW w:w="969" w:type="dxa"/>
            <w:vAlign w:val="bottom"/>
          </w:tcPr>
          <w:p w:rsidR="008D3540" w:rsidRPr="008F4CFF" w:rsidRDefault="008D3540" w:rsidP="002D62B9">
            <w:pPr>
              <w:pStyle w:val="tabteksts"/>
              <w:tabs>
                <w:tab w:val="decimal" w:pos="456"/>
              </w:tabs>
            </w:pPr>
            <w:r w:rsidRPr="008F4CFF">
              <w:t>1 268,4</w:t>
            </w:r>
          </w:p>
        </w:tc>
      </w:tr>
      <w:tr w:rsidR="008D3540" w:rsidRPr="008F4CFF" w:rsidTr="00311BF6">
        <w:trPr>
          <w:jc w:val="center"/>
        </w:trPr>
        <w:tc>
          <w:tcPr>
            <w:tcW w:w="3600" w:type="dxa"/>
          </w:tcPr>
          <w:p w:rsidR="008D3540" w:rsidRPr="008F4CFF" w:rsidRDefault="008D3540" w:rsidP="002D62B9">
            <w:pPr>
              <w:pStyle w:val="tabteksts"/>
            </w:pPr>
            <w:r w:rsidRPr="008F4CFF">
              <w:t>3. Kapitāla nodokļi</w:t>
            </w:r>
          </w:p>
        </w:tc>
        <w:tc>
          <w:tcPr>
            <w:tcW w:w="992" w:type="dxa"/>
          </w:tcPr>
          <w:p w:rsidR="008D3540" w:rsidRPr="008F4CFF" w:rsidRDefault="008D3540" w:rsidP="002D62B9">
            <w:pPr>
              <w:pStyle w:val="tabteksts"/>
            </w:pPr>
            <w:r w:rsidRPr="008F4CFF">
              <w:t>D.91</w:t>
            </w:r>
          </w:p>
        </w:tc>
        <w:tc>
          <w:tcPr>
            <w:tcW w:w="968" w:type="dxa"/>
            <w:vAlign w:val="bottom"/>
          </w:tcPr>
          <w:p w:rsidR="008D3540" w:rsidRPr="008F4CFF" w:rsidRDefault="008D3540" w:rsidP="002D62B9">
            <w:pPr>
              <w:pStyle w:val="tabteksts"/>
              <w:tabs>
                <w:tab w:val="decimal" w:pos="456"/>
              </w:tabs>
            </w:pPr>
            <w:r w:rsidRPr="008F4CFF">
              <w:t>1,6</w:t>
            </w:r>
          </w:p>
        </w:tc>
        <w:tc>
          <w:tcPr>
            <w:tcW w:w="969" w:type="dxa"/>
            <w:vAlign w:val="bottom"/>
          </w:tcPr>
          <w:p w:rsidR="008D3540" w:rsidRPr="008F4CFF" w:rsidRDefault="008D3540" w:rsidP="002D62B9">
            <w:pPr>
              <w:pStyle w:val="tabteksts"/>
              <w:tabs>
                <w:tab w:val="decimal" w:pos="456"/>
              </w:tabs>
            </w:pPr>
            <w:r w:rsidRPr="008F4CFF">
              <w:t>1,7</w:t>
            </w:r>
          </w:p>
        </w:tc>
        <w:tc>
          <w:tcPr>
            <w:tcW w:w="968" w:type="dxa"/>
            <w:vAlign w:val="bottom"/>
          </w:tcPr>
          <w:p w:rsidR="008D3540" w:rsidRPr="008F4CFF" w:rsidRDefault="008D3540" w:rsidP="002D62B9">
            <w:pPr>
              <w:pStyle w:val="tabteksts"/>
              <w:tabs>
                <w:tab w:val="decimal" w:pos="456"/>
              </w:tabs>
            </w:pPr>
            <w:r w:rsidRPr="008F4CFF">
              <w:t>1,7</w:t>
            </w:r>
          </w:p>
        </w:tc>
        <w:tc>
          <w:tcPr>
            <w:tcW w:w="969" w:type="dxa"/>
            <w:vAlign w:val="bottom"/>
          </w:tcPr>
          <w:p w:rsidR="008D3540" w:rsidRPr="008F4CFF" w:rsidRDefault="008D3540" w:rsidP="002D62B9">
            <w:pPr>
              <w:pStyle w:val="tabteksts"/>
              <w:tabs>
                <w:tab w:val="decimal" w:pos="456"/>
              </w:tabs>
            </w:pPr>
            <w:r w:rsidRPr="008F4CFF">
              <w:t>1,8</w:t>
            </w:r>
          </w:p>
        </w:tc>
        <w:tc>
          <w:tcPr>
            <w:tcW w:w="969" w:type="dxa"/>
            <w:vAlign w:val="bottom"/>
          </w:tcPr>
          <w:p w:rsidR="008D3540" w:rsidRPr="008F4CFF" w:rsidRDefault="008D3540" w:rsidP="002D62B9">
            <w:pPr>
              <w:pStyle w:val="tabteksts"/>
              <w:tabs>
                <w:tab w:val="decimal" w:pos="456"/>
              </w:tabs>
            </w:pPr>
            <w:r w:rsidRPr="008F4CFF">
              <w:t>1,8</w:t>
            </w:r>
          </w:p>
        </w:tc>
      </w:tr>
      <w:tr w:rsidR="008D3540" w:rsidRPr="008F4CFF" w:rsidTr="00311BF6">
        <w:trPr>
          <w:jc w:val="center"/>
        </w:trPr>
        <w:tc>
          <w:tcPr>
            <w:tcW w:w="3600" w:type="dxa"/>
          </w:tcPr>
          <w:p w:rsidR="008D3540" w:rsidRPr="008F4CFF" w:rsidRDefault="008D3540" w:rsidP="002D62B9">
            <w:pPr>
              <w:pStyle w:val="tabteksts"/>
            </w:pPr>
            <w:r w:rsidRPr="008F4CFF">
              <w:t>4. Sociālās iemaksas</w:t>
            </w:r>
          </w:p>
        </w:tc>
        <w:tc>
          <w:tcPr>
            <w:tcW w:w="992" w:type="dxa"/>
          </w:tcPr>
          <w:p w:rsidR="008D3540" w:rsidRPr="008F4CFF" w:rsidRDefault="008D3540" w:rsidP="002D62B9">
            <w:pPr>
              <w:pStyle w:val="tabteksts"/>
            </w:pPr>
            <w:r w:rsidRPr="008F4CFF">
              <w:t>D.61</w:t>
            </w:r>
          </w:p>
        </w:tc>
        <w:tc>
          <w:tcPr>
            <w:tcW w:w="968" w:type="dxa"/>
            <w:vAlign w:val="bottom"/>
          </w:tcPr>
          <w:p w:rsidR="008D3540" w:rsidRPr="008F4CFF" w:rsidRDefault="008D3540" w:rsidP="002D62B9">
            <w:pPr>
              <w:pStyle w:val="tabteksts"/>
              <w:tabs>
                <w:tab w:val="decimal" w:pos="456"/>
              </w:tabs>
            </w:pPr>
            <w:r w:rsidRPr="008F4CFF">
              <w:t>1 264,3</w:t>
            </w:r>
          </w:p>
        </w:tc>
        <w:tc>
          <w:tcPr>
            <w:tcW w:w="969" w:type="dxa"/>
            <w:vAlign w:val="bottom"/>
          </w:tcPr>
          <w:p w:rsidR="008D3540" w:rsidRPr="008F4CFF" w:rsidRDefault="008D3540" w:rsidP="002D62B9">
            <w:pPr>
              <w:pStyle w:val="tabteksts"/>
              <w:tabs>
                <w:tab w:val="decimal" w:pos="456"/>
              </w:tabs>
            </w:pPr>
            <w:r w:rsidRPr="008F4CFF">
              <w:t>1 292,2</w:t>
            </w:r>
          </w:p>
        </w:tc>
        <w:tc>
          <w:tcPr>
            <w:tcW w:w="968" w:type="dxa"/>
            <w:vAlign w:val="bottom"/>
          </w:tcPr>
          <w:p w:rsidR="008D3540" w:rsidRPr="008F4CFF" w:rsidRDefault="008D3540" w:rsidP="002D62B9">
            <w:pPr>
              <w:pStyle w:val="tabteksts"/>
              <w:tabs>
                <w:tab w:val="decimal" w:pos="456"/>
              </w:tabs>
            </w:pPr>
            <w:r w:rsidRPr="008F4CFF">
              <w:t>1 243,1</w:t>
            </w:r>
          </w:p>
        </w:tc>
        <w:tc>
          <w:tcPr>
            <w:tcW w:w="969" w:type="dxa"/>
            <w:vAlign w:val="bottom"/>
          </w:tcPr>
          <w:p w:rsidR="008D3540" w:rsidRPr="008F4CFF" w:rsidRDefault="008D3540" w:rsidP="002D62B9">
            <w:pPr>
              <w:pStyle w:val="tabteksts"/>
              <w:tabs>
                <w:tab w:val="decimal" w:pos="456"/>
              </w:tabs>
            </w:pPr>
            <w:r w:rsidRPr="008F4CFF">
              <w:t>1 256,6</w:t>
            </w:r>
          </w:p>
        </w:tc>
        <w:tc>
          <w:tcPr>
            <w:tcW w:w="969" w:type="dxa"/>
            <w:vAlign w:val="bottom"/>
          </w:tcPr>
          <w:p w:rsidR="008D3540" w:rsidRPr="008F4CFF" w:rsidRDefault="008D3540" w:rsidP="002D62B9">
            <w:pPr>
              <w:pStyle w:val="tabteksts"/>
              <w:tabs>
                <w:tab w:val="decimal" w:pos="456"/>
              </w:tabs>
            </w:pPr>
            <w:r w:rsidRPr="008F4CFF">
              <w:t>1 318,6</w:t>
            </w:r>
          </w:p>
        </w:tc>
      </w:tr>
      <w:tr w:rsidR="008D3540" w:rsidRPr="008F4CFF" w:rsidTr="00311BF6">
        <w:trPr>
          <w:jc w:val="center"/>
        </w:trPr>
        <w:tc>
          <w:tcPr>
            <w:tcW w:w="3600" w:type="dxa"/>
            <w:tcBorders>
              <w:bottom w:val="double" w:sz="6" w:space="0" w:color="auto"/>
            </w:tcBorders>
          </w:tcPr>
          <w:p w:rsidR="008D3540" w:rsidRPr="008F4CFF" w:rsidRDefault="008D3540" w:rsidP="002D62B9">
            <w:pPr>
              <w:pStyle w:val="tabteksts"/>
              <w:rPr>
                <w:i/>
              </w:rPr>
            </w:pPr>
            <w:r w:rsidRPr="008F4CFF">
              <w:rPr>
                <w:i/>
              </w:rPr>
              <w:t xml:space="preserve">   No tā faktiskās sociālās iemaksas</w:t>
            </w:r>
          </w:p>
        </w:tc>
        <w:tc>
          <w:tcPr>
            <w:tcW w:w="992" w:type="dxa"/>
            <w:tcBorders>
              <w:bottom w:val="double" w:sz="6" w:space="0" w:color="auto"/>
            </w:tcBorders>
          </w:tcPr>
          <w:p w:rsidR="008D3540" w:rsidRPr="008F4CFF" w:rsidRDefault="008D3540" w:rsidP="002D62B9">
            <w:pPr>
              <w:pStyle w:val="tabteksts"/>
              <w:rPr>
                <w:i/>
              </w:rPr>
            </w:pPr>
            <w:r w:rsidRPr="008F4CFF">
              <w:rPr>
                <w:i/>
              </w:rPr>
              <w:t>D.611</w:t>
            </w:r>
          </w:p>
        </w:tc>
        <w:tc>
          <w:tcPr>
            <w:tcW w:w="968" w:type="dxa"/>
            <w:tcBorders>
              <w:bottom w:val="double" w:sz="6" w:space="0" w:color="auto"/>
            </w:tcBorders>
            <w:vAlign w:val="bottom"/>
          </w:tcPr>
          <w:p w:rsidR="008D3540" w:rsidRPr="008F4CFF" w:rsidRDefault="008D3540" w:rsidP="002D62B9">
            <w:pPr>
              <w:pStyle w:val="tabteksts"/>
              <w:tabs>
                <w:tab w:val="decimal" w:pos="456"/>
              </w:tabs>
            </w:pPr>
            <w:r w:rsidRPr="008F4CFF">
              <w:t>1 244,3</w:t>
            </w:r>
          </w:p>
        </w:tc>
        <w:tc>
          <w:tcPr>
            <w:tcW w:w="969" w:type="dxa"/>
            <w:tcBorders>
              <w:bottom w:val="double" w:sz="6" w:space="0" w:color="auto"/>
            </w:tcBorders>
            <w:vAlign w:val="bottom"/>
          </w:tcPr>
          <w:p w:rsidR="008D3540" w:rsidRPr="008F4CFF" w:rsidRDefault="008D3540" w:rsidP="002D62B9">
            <w:pPr>
              <w:pStyle w:val="tabteksts"/>
              <w:tabs>
                <w:tab w:val="decimal" w:pos="456"/>
              </w:tabs>
            </w:pPr>
            <w:r w:rsidRPr="008F4CFF">
              <w:t>1 272,2</w:t>
            </w:r>
          </w:p>
        </w:tc>
        <w:tc>
          <w:tcPr>
            <w:tcW w:w="968" w:type="dxa"/>
            <w:tcBorders>
              <w:bottom w:val="double" w:sz="6" w:space="0" w:color="auto"/>
            </w:tcBorders>
            <w:vAlign w:val="bottom"/>
          </w:tcPr>
          <w:p w:rsidR="008D3540" w:rsidRPr="008F4CFF" w:rsidRDefault="008D3540" w:rsidP="002D62B9">
            <w:pPr>
              <w:pStyle w:val="tabteksts"/>
              <w:tabs>
                <w:tab w:val="decimal" w:pos="456"/>
              </w:tabs>
            </w:pPr>
            <w:r w:rsidRPr="008F4CFF">
              <w:t>1 223,1</w:t>
            </w:r>
          </w:p>
        </w:tc>
        <w:tc>
          <w:tcPr>
            <w:tcW w:w="969" w:type="dxa"/>
            <w:tcBorders>
              <w:bottom w:val="double" w:sz="6" w:space="0" w:color="auto"/>
            </w:tcBorders>
            <w:vAlign w:val="bottom"/>
          </w:tcPr>
          <w:p w:rsidR="008D3540" w:rsidRPr="008F4CFF" w:rsidRDefault="008D3540" w:rsidP="002D62B9">
            <w:pPr>
              <w:pStyle w:val="tabteksts"/>
              <w:tabs>
                <w:tab w:val="decimal" w:pos="456"/>
              </w:tabs>
            </w:pPr>
            <w:r w:rsidRPr="008F4CFF">
              <w:t>1 236,6</w:t>
            </w:r>
          </w:p>
        </w:tc>
        <w:tc>
          <w:tcPr>
            <w:tcW w:w="969" w:type="dxa"/>
            <w:tcBorders>
              <w:bottom w:val="double" w:sz="6" w:space="0" w:color="auto"/>
            </w:tcBorders>
            <w:vAlign w:val="bottom"/>
          </w:tcPr>
          <w:p w:rsidR="008D3540" w:rsidRPr="008F4CFF" w:rsidRDefault="008D3540" w:rsidP="002D62B9">
            <w:pPr>
              <w:pStyle w:val="tabteksts"/>
              <w:tabs>
                <w:tab w:val="decimal" w:pos="456"/>
              </w:tabs>
            </w:pPr>
            <w:r w:rsidRPr="008F4CFF">
              <w:t>1 298,6</w:t>
            </w:r>
          </w:p>
        </w:tc>
      </w:tr>
    </w:tbl>
    <w:p w:rsidR="008D3540" w:rsidRPr="008F4CFF" w:rsidRDefault="008D3540" w:rsidP="002D62B9"/>
    <w:p w:rsidR="008D3540" w:rsidRPr="008F4CFF" w:rsidRDefault="008D3540" w:rsidP="002D62B9">
      <w:r w:rsidRPr="008F4CFF">
        <w:t xml:space="preserve">Jāmin, ka kopējais nodokļu slogs Latvijā vairākus gadus saglabājas kā viens no zemākajiem </w:t>
      </w:r>
      <w:r w:rsidR="00311BF6">
        <w:t>ES</w:t>
      </w:r>
      <w:r w:rsidRPr="008F4CFF">
        <w:t>. 2010. gadā tas veidoja 27,5</w:t>
      </w:r>
      <w:r w:rsidR="00B35038">
        <w:t> </w:t>
      </w:r>
      <w:r w:rsidRPr="008F4CFF">
        <w:t>% no IKP, kas ir zemāks nekā ES vidējais rādītājs 39,6</w:t>
      </w:r>
      <w:r w:rsidR="00B35038">
        <w:t> </w:t>
      </w:r>
      <w:r w:rsidRPr="008F4CFF">
        <w:t>% no IKP.</w:t>
      </w:r>
    </w:p>
    <w:p w:rsidR="008D3540" w:rsidRPr="008F4CFF" w:rsidRDefault="00BD6F38" w:rsidP="002D62B9">
      <w:pPr>
        <w:ind w:firstLine="0"/>
      </w:pPr>
      <w:r>
        <w:rPr>
          <w:noProof/>
          <w:lang w:eastAsia="lv-LV"/>
        </w:rPr>
        <w:pict>
          <v:shape id="_x0000_i1037" type="#_x0000_t75" style="width:453.9pt;height:184.7pt;visibility:visible">
            <v:imagedata r:id="rId31" o:title=""/>
          </v:shape>
        </w:pict>
      </w:r>
    </w:p>
    <w:p w:rsidR="008D3540" w:rsidRPr="00311BF6" w:rsidRDefault="00311BF6" w:rsidP="002D62B9">
      <w:pPr>
        <w:pStyle w:val="Zpar"/>
        <w:spacing w:after="240"/>
        <w:ind w:left="0" w:right="-1" w:firstLine="0"/>
        <w:jc w:val="center"/>
        <w:rPr>
          <w:rFonts w:ascii="Times New Roman" w:hAnsi="Times New Roman"/>
          <w:i w:val="0"/>
          <w:sz w:val="24"/>
          <w:szCs w:val="24"/>
        </w:rPr>
      </w:pPr>
      <w:r>
        <w:rPr>
          <w:rFonts w:ascii="Times New Roman" w:hAnsi="Times New Roman"/>
          <w:i w:val="0"/>
          <w:sz w:val="24"/>
          <w:szCs w:val="24"/>
        </w:rPr>
        <w:t>7</w:t>
      </w:r>
      <w:r w:rsidR="008D3540" w:rsidRPr="00311BF6">
        <w:rPr>
          <w:rFonts w:ascii="Times New Roman" w:hAnsi="Times New Roman"/>
          <w:i w:val="0"/>
          <w:sz w:val="24"/>
          <w:szCs w:val="24"/>
        </w:rPr>
        <w:t>.1. att. Nodokļu ieņēmumi Latvijā</w:t>
      </w:r>
      <w:r w:rsidR="008D3540" w:rsidRPr="00311BF6">
        <w:rPr>
          <w:rStyle w:val="FootnoteReference"/>
          <w:rFonts w:ascii="Times New Roman" w:hAnsi="Times New Roman"/>
          <w:i w:val="0"/>
          <w:sz w:val="24"/>
          <w:szCs w:val="24"/>
        </w:rPr>
        <w:footnoteReference w:id="6"/>
      </w:r>
      <w:r w:rsidR="008D3540" w:rsidRPr="00311BF6">
        <w:rPr>
          <w:rFonts w:ascii="Times New Roman" w:hAnsi="Times New Roman"/>
          <w:i w:val="0"/>
          <w:sz w:val="24"/>
          <w:szCs w:val="24"/>
        </w:rPr>
        <w:t xml:space="preserve"> un Eiropas </w:t>
      </w:r>
      <w:r w:rsidR="00B35038">
        <w:rPr>
          <w:rFonts w:ascii="Times New Roman" w:hAnsi="Times New Roman"/>
          <w:i w:val="0"/>
          <w:sz w:val="24"/>
          <w:szCs w:val="24"/>
        </w:rPr>
        <w:t>S</w:t>
      </w:r>
      <w:r w:rsidR="008D3540" w:rsidRPr="00311BF6">
        <w:rPr>
          <w:rFonts w:ascii="Times New Roman" w:hAnsi="Times New Roman"/>
          <w:i w:val="0"/>
          <w:sz w:val="24"/>
          <w:szCs w:val="24"/>
        </w:rPr>
        <w:t>avienībā 2010. gadā, % no IKP.</w:t>
      </w:r>
    </w:p>
    <w:p w:rsidR="008D3540" w:rsidRPr="008F4CFF" w:rsidRDefault="008D3540" w:rsidP="002D62B9">
      <w:r w:rsidRPr="008F4CFF">
        <w:t>Latvijā lielāko daļu no visiem nodokļu ieņēmumiem veido darba nodokļi. Pēdējos gados nodokļu politika ir vērsta uz darba nodokļu īpatsvara samazināšanu kopējos nodokļu ieņēmumos (no 52,0</w:t>
      </w:r>
      <w:r w:rsidR="00B35038">
        <w:t> </w:t>
      </w:r>
      <w:r w:rsidRPr="008F4CFF">
        <w:t>% 2009. gadā līdz 50,8</w:t>
      </w:r>
      <w:r w:rsidR="00B35038">
        <w:t> </w:t>
      </w:r>
      <w:r w:rsidRPr="008F4CFF">
        <w:t>% 2011. gadā) un uz patēriņa nodokļu ieņēmumu īpatsvara palielināšanu kopējos nodokļu ieņēmumos (no 38,6</w:t>
      </w:r>
      <w:r w:rsidR="00B35038">
        <w:t> </w:t>
      </w:r>
      <w:r w:rsidRPr="008F4CFF">
        <w:t>% 2006. gadā līdz 39,0</w:t>
      </w:r>
      <w:r w:rsidR="00B35038">
        <w:t> </w:t>
      </w:r>
      <w:r w:rsidRPr="008F4CFF">
        <w:t>% 2011. gadā).</w:t>
      </w:r>
    </w:p>
    <w:p w:rsidR="008D3540" w:rsidRDefault="008D3540" w:rsidP="002D62B9">
      <w:r w:rsidRPr="008F4CFF">
        <w:lastRenderedPageBreak/>
        <w:t xml:space="preserve">Valdības rīcības plānā ir ietverts uzdevums par būtisku darbaspēka nodokļu sloga samazinājumu arī turpmāk - par deviņiem procentpunktiem ilgtermiņā. Darbs pie darbaspēka nodokļu reformas ir uzsākts un ir plānots iesniegt </w:t>
      </w:r>
      <w:r w:rsidR="007900B4">
        <w:t>MK</w:t>
      </w:r>
      <w:r w:rsidRPr="008F4CFF">
        <w:t xml:space="preserve"> Informatīvo ziņojumu par darbaspēka nodokļu reformas priekšlikumu. Minētās reformas ietvaros tiks risināti jautājumi par </w:t>
      </w:r>
      <w:r w:rsidR="00AB20D0">
        <w:t xml:space="preserve">iedzīvotāju ienākuma </w:t>
      </w:r>
      <w:r w:rsidRPr="008F4CFF">
        <w:t xml:space="preserve">nodokļa likmes samazināšanu un neapliekamā minimuma un atvieglojumu par apgādājamajiem palielināšanu, lai veicinātu ekonomisko aktivitāti, investīcijas un nodarbinātību, un ierobežotu ēnu ekonomiku. </w:t>
      </w:r>
    </w:p>
    <w:p w:rsidR="00682334" w:rsidRDefault="00682334" w:rsidP="002D62B9">
      <w:pPr>
        <w:rPr>
          <w:szCs w:val="24"/>
        </w:rPr>
      </w:pPr>
      <w:r>
        <w:rPr>
          <w:szCs w:val="24"/>
        </w:rPr>
        <w:t xml:space="preserve">Ja budžeta situācija attīstīsies labāk par plānoto, lai tuvinātu netiešo nodokļu likmes ar kaimiņvalstīm, kas sekmētu, īpaši, Latvijas pakalpojumu sektora reģionālo konkurētspēju un mazinātu pasaules cenu kāpuma izraisīto inflācijas spiedienu </w:t>
      </w:r>
      <w:r w:rsidR="00AB20D0">
        <w:rPr>
          <w:szCs w:val="24"/>
        </w:rPr>
        <w:t>uz mazāk turīgiem iedzīvotājiem.</w:t>
      </w:r>
      <w:r>
        <w:rPr>
          <w:szCs w:val="24"/>
        </w:rPr>
        <w:t xml:space="preserve"> </w:t>
      </w:r>
      <w:r w:rsidR="00AB20D0">
        <w:rPr>
          <w:szCs w:val="24"/>
        </w:rPr>
        <w:t>Tiek apsvērta iespēja samazināt PVN standartlikmi jau 2012.</w:t>
      </w:r>
      <w:r w:rsidR="00CC74C7">
        <w:rPr>
          <w:szCs w:val="24"/>
        </w:rPr>
        <w:t xml:space="preserve"> </w:t>
      </w:r>
      <w:r w:rsidR="00AB20D0">
        <w:rPr>
          <w:szCs w:val="24"/>
        </w:rPr>
        <w:t>gadā</w:t>
      </w:r>
      <w:r>
        <w:rPr>
          <w:szCs w:val="24"/>
        </w:rPr>
        <w:t>. Potenciālo ieņēmumu samazinājumu galvenokārt nosegs tālāka nodokļu administrēšanas uzlabošanas pasākumu īstenošana</w:t>
      </w:r>
      <w:r w:rsidR="004F21FA">
        <w:rPr>
          <w:szCs w:val="24"/>
        </w:rPr>
        <w:t>,</w:t>
      </w:r>
      <w:r>
        <w:rPr>
          <w:szCs w:val="24"/>
        </w:rPr>
        <w:t xml:space="preserve"> kā arī izaugsmes efekti no Latvijas uzņēmumu konkurētspējas uzlabošanās.</w:t>
      </w:r>
    </w:p>
    <w:p w:rsidR="009E4416" w:rsidRPr="008F4CFF" w:rsidRDefault="009E4416" w:rsidP="009E4416">
      <w:r>
        <w:t xml:space="preserve">Nodokļu sloga izmaiņu priekšlikumi tiks izstrādāti, ievērojot fiskālo atbildību un </w:t>
      </w:r>
      <w:r w:rsidRPr="008F4CFF">
        <w:t>atbilst</w:t>
      </w:r>
      <w:r>
        <w:t>oši</w:t>
      </w:r>
      <w:r w:rsidRPr="008F4CFF">
        <w:t xml:space="preserve"> Ikgadējā izaugsmes ziņojumā un Eiro Plus paktā minētajām prioritātēm.</w:t>
      </w:r>
    </w:p>
    <w:p w:rsidR="00682334" w:rsidRPr="008F4CFF" w:rsidRDefault="00682334" w:rsidP="002D62B9"/>
    <w:p w:rsidR="008D3540" w:rsidRPr="008F4CFF" w:rsidRDefault="00BD6F38" w:rsidP="002D62B9">
      <w:pPr>
        <w:ind w:firstLine="0"/>
        <w:jc w:val="center"/>
      </w:pPr>
      <w:r>
        <w:rPr>
          <w:noProof/>
          <w:lang w:eastAsia="lv-LV"/>
        </w:rPr>
        <w:pict>
          <v:shape id="_x0000_i1038" type="#_x0000_t75" style="width:409.45pt;height:223.5pt;visibility:visible" o:bordertopcolor="black" o:borderleftcolor="black" o:borderbottomcolor="black" o:borderrightcolor="black">
            <v:imagedata r:id="rId32" o:title="" croptop="15181f" cropbottom="923f" cropleft="1088f" cropright="5320f"/>
            <w10:bordertop type="single" width="6"/>
            <w10:borderleft type="single" width="6"/>
            <w10:borderbottom type="single" width="6"/>
            <w10:borderright type="single" width="6"/>
          </v:shape>
        </w:pict>
      </w:r>
    </w:p>
    <w:p w:rsidR="008D3540" w:rsidRPr="00A340F1" w:rsidRDefault="00311BF6" w:rsidP="002D62B9">
      <w:pPr>
        <w:pStyle w:val="Zpar"/>
        <w:spacing w:after="240"/>
        <w:ind w:left="0" w:right="-1" w:firstLine="0"/>
        <w:jc w:val="center"/>
        <w:rPr>
          <w:rFonts w:ascii="Times New Roman" w:hAnsi="Times New Roman"/>
          <w:i w:val="0"/>
          <w:sz w:val="24"/>
          <w:szCs w:val="24"/>
        </w:rPr>
      </w:pPr>
      <w:r>
        <w:rPr>
          <w:rFonts w:ascii="Times New Roman" w:hAnsi="Times New Roman"/>
          <w:i w:val="0"/>
          <w:sz w:val="24"/>
          <w:szCs w:val="24"/>
        </w:rPr>
        <w:t>7</w:t>
      </w:r>
      <w:r w:rsidR="008D3540" w:rsidRPr="00A340F1">
        <w:rPr>
          <w:rFonts w:ascii="Times New Roman" w:hAnsi="Times New Roman"/>
          <w:i w:val="0"/>
          <w:sz w:val="24"/>
          <w:szCs w:val="24"/>
        </w:rPr>
        <w:t>.2. att.</w:t>
      </w:r>
      <w:r w:rsidR="008D3540" w:rsidRPr="00A340F1">
        <w:rPr>
          <w:rFonts w:ascii="Times New Roman" w:hAnsi="Times New Roman"/>
          <w:i w:val="0"/>
          <w:sz w:val="24"/>
          <w:szCs w:val="24"/>
        </w:rPr>
        <w:tab/>
      </w:r>
      <w:r w:rsidR="00CC74C7">
        <w:rPr>
          <w:rFonts w:ascii="Times New Roman" w:hAnsi="Times New Roman"/>
          <w:i w:val="0"/>
          <w:sz w:val="24"/>
          <w:szCs w:val="24"/>
        </w:rPr>
        <w:t xml:space="preserve"> </w:t>
      </w:r>
      <w:r w:rsidR="008D3540" w:rsidRPr="00A340F1">
        <w:rPr>
          <w:rFonts w:ascii="Times New Roman" w:hAnsi="Times New Roman"/>
          <w:i w:val="0"/>
          <w:sz w:val="24"/>
          <w:szCs w:val="24"/>
        </w:rPr>
        <w:t>Nodokļu ieņēmumi atbilstoši ekonomiskajām funkcijām, % no IKP.</w:t>
      </w:r>
    </w:p>
    <w:p w:rsidR="008D3540" w:rsidRPr="008F4CFF" w:rsidRDefault="008D3540" w:rsidP="002D62B9">
      <w:r w:rsidRPr="008F4CFF">
        <w:t xml:space="preserve">Pēc pievienošanās </w:t>
      </w:r>
      <w:r w:rsidR="00311BF6">
        <w:t>ES</w:t>
      </w:r>
      <w:r w:rsidRPr="008F4CFF">
        <w:t xml:space="preserve"> nodokļu ieņēmumu pieaugumu galvenokārt sekmēja strauja ekonomiskā izaugsme, taču 2009. gadā ekonomikas krīzes rezultātā nodokļu ieņēmumi samazinājās. Lai nodrošinātu fiskālo konsolidāciju un panāktu budžeta deficīta samazināšanos, 2008. gadā tika uzsākta budžeta fiskālā konsolidācija, kas turpinājās </w:t>
      </w:r>
      <w:r w:rsidR="00311BF6">
        <w:t xml:space="preserve">līdz </w:t>
      </w:r>
      <w:r w:rsidRPr="008F4CFF">
        <w:t>2012. gad</w:t>
      </w:r>
      <w:r w:rsidR="00311BF6">
        <w:t>am</w:t>
      </w:r>
      <w:r w:rsidRPr="008F4CFF">
        <w:t>. 2012. gadā veiktās nodokļu politikas izmaiņas ir vērstas uz nodokļu administrēšanas uzlabošanu, kas veicinātu nodokļu ieņēmumu stabilizēšanos un palielināšanos.</w:t>
      </w:r>
    </w:p>
    <w:p w:rsidR="008D3540" w:rsidRPr="008F4CFF" w:rsidRDefault="008D3540" w:rsidP="002D62B9">
      <w:r w:rsidRPr="008F4CFF">
        <w:t>2012. gadā veikti tādi nodokļu administrēšanas uzlabošanas pasākumi kā iedzīvotāju ienākuma nodokļa samaksas kārtības maiņa metāllūžņiem (ieturēšana izmaksas vietā), reversā pievienotās vērtības nodokļa lietojuma paplašināšana uz met</w:t>
      </w:r>
      <w:r>
        <w:t xml:space="preserve">āllūžņu iepirkšanu un būvniecības </w:t>
      </w:r>
      <w:r w:rsidRPr="00A924D7">
        <w:t>pakalpojumiem,</w:t>
      </w:r>
      <w:r w:rsidRPr="008F4CFF">
        <w:t xml:space="preserve"> no nodokļiem atbrīvoto akcīzes preču ievešanas no trešajām valstīm ierobežošana no vienas reizes dienā uz vienu reizi septiņās dienās. Tāpat papildus ieņēmumi 2012. gadā plānoti </w:t>
      </w:r>
      <w:r>
        <w:t xml:space="preserve">no </w:t>
      </w:r>
      <w:r w:rsidRPr="008F4CFF">
        <w:t xml:space="preserve">tādiem nodokļu administrēšanas uzlabošanas pasākumiem kā </w:t>
      </w:r>
      <w:r w:rsidRPr="008F4CFF">
        <w:lastRenderedPageBreak/>
        <w:t xml:space="preserve">mazu un mikrouzņēmumu administrēšanas stiprināšana, </w:t>
      </w:r>
      <w:r w:rsidRPr="00005187">
        <w:t>nodokļu atbalsta pasākums, kas paredz nokavējuma un 90</w:t>
      </w:r>
      <w:r w:rsidR="00B35038">
        <w:t> </w:t>
      </w:r>
      <w:r w:rsidRPr="00005187">
        <w:t>% soda naudas dzēšanu tiem nodokļu maksātājiem, kas līdz noteiktam brīdim samaksā pamatparādu un attiecīgo soda naudas daļu,</w:t>
      </w:r>
      <w:r>
        <w:t xml:space="preserve"> </w:t>
      </w:r>
      <w:r w:rsidRPr="008F4CFF">
        <w:t>kā arī Valsts ieņēmumu dienesta administrācijas spējas uzlabošana. 2012. gadā likmju izmaiņas tika veiktas tikai izložu un azartspēļu nodoklim.</w:t>
      </w:r>
    </w:p>
    <w:p w:rsidR="008D3540" w:rsidRPr="00A340F1" w:rsidRDefault="00AA2082" w:rsidP="002D62B9">
      <w:pPr>
        <w:pStyle w:val="T"/>
        <w:spacing w:before="120"/>
        <w:jc w:val="right"/>
        <w:rPr>
          <w:rFonts w:ascii="Times New Roman" w:hAnsi="Times New Roman"/>
          <w:b w:val="0"/>
        </w:rPr>
      </w:pPr>
      <w:r>
        <w:rPr>
          <w:rFonts w:ascii="Times New Roman" w:hAnsi="Times New Roman"/>
          <w:b w:val="0"/>
        </w:rPr>
        <w:t>7</w:t>
      </w:r>
      <w:r w:rsidR="008D3540" w:rsidRPr="00A340F1">
        <w:rPr>
          <w:rFonts w:ascii="Times New Roman" w:hAnsi="Times New Roman"/>
          <w:b w:val="0"/>
        </w:rPr>
        <w:t>.2. tabula. Nodokļu politikas izmaiņu ietekme uz galvenajiem nodokļu ieņēmumiem, % no IKP</w:t>
      </w:r>
    </w:p>
    <w:tbl>
      <w:tblPr>
        <w:tblW w:w="0" w:type="auto"/>
        <w:jc w:val="center"/>
        <w:tblInd w:w="-395"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1E0" w:firstRow="1" w:lastRow="1" w:firstColumn="1" w:lastColumn="1" w:noHBand="0" w:noVBand="0"/>
      </w:tblPr>
      <w:tblGrid>
        <w:gridCol w:w="6193"/>
        <w:gridCol w:w="974"/>
      </w:tblGrid>
      <w:tr w:rsidR="008D3540" w:rsidRPr="008F4CFF" w:rsidTr="00311BF6">
        <w:trPr>
          <w:tblHeader/>
          <w:jc w:val="center"/>
        </w:trPr>
        <w:tc>
          <w:tcPr>
            <w:tcW w:w="6193" w:type="dxa"/>
            <w:tcBorders>
              <w:top w:val="double" w:sz="6" w:space="0" w:color="auto"/>
            </w:tcBorders>
          </w:tcPr>
          <w:p w:rsidR="008D3540" w:rsidRPr="008F4CFF" w:rsidRDefault="008D3540" w:rsidP="002D62B9">
            <w:pPr>
              <w:pStyle w:val="tabteksts"/>
            </w:pPr>
          </w:p>
        </w:tc>
        <w:tc>
          <w:tcPr>
            <w:tcW w:w="974" w:type="dxa"/>
            <w:tcBorders>
              <w:top w:val="double" w:sz="6" w:space="0" w:color="auto"/>
            </w:tcBorders>
          </w:tcPr>
          <w:p w:rsidR="008D3540" w:rsidRPr="008F4CFF" w:rsidRDefault="008D3540" w:rsidP="002D62B9">
            <w:pPr>
              <w:pStyle w:val="tabteksts"/>
              <w:jc w:val="center"/>
              <w:rPr>
                <w:b/>
              </w:rPr>
            </w:pPr>
            <w:r w:rsidRPr="008F4CFF">
              <w:rPr>
                <w:b/>
              </w:rPr>
              <w:t>2012</w:t>
            </w:r>
          </w:p>
        </w:tc>
      </w:tr>
      <w:tr w:rsidR="008D3540" w:rsidRPr="008F4CFF" w:rsidTr="00311BF6">
        <w:trPr>
          <w:jc w:val="center"/>
        </w:trPr>
        <w:tc>
          <w:tcPr>
            <w:tcW w:w="6193" w:type="dxa"/>
          </w:tcPr>
          <w:p w:rsidR="008D3540" w:rsidRPr="008F4CFF" w:rsidRDefault="008D3540" w:rsidP="002D62B9">
            <w:pPr>
              <w:pStyle w:val="tabteksts"/>
            </w:pPr>
            <w:r w:rsidRPr="008F4CFF">
              <w:t>Pievienotās vērtības nodokļa ieņēmumi</w:t>
            </w:r>
          </w:p>
        </w:tc>
        <w:tc>
          <w:tcPr>
            <w:tcW w:w="974" w:type="dxa"/>
          </w:tcPr>
          <w:p w:rsidR="008D3540" w:rsidRPr="008F4CFF" w:rsidRDefault="008D3540" w:rsidP="002D62B9">
            <w:pPr>
              <w:pStyle w:val="tabteksts"/>
              <w:jc w:val="center"/>
            </w:pPr>
            <w:r w:rsidRPr="008F4CFF">
              <w:t>+0,08</w:t>
            </w:r>
          </w:p>
        </w:tc>
      </w:tr>
      <w:tr w:rsidR="008D3540" w:rsidRPr="008F4CFF" w:rsidTr="00311BF6">
        <w:trPr>
          <w:jc w:val="center"/>
        </w:trPr>
        <w:tc>
          <w:tcPr>
            <w:tcW w:w="6193" w:type="dxa"/>
          </w:tcPr>
          <w:p w:rsidR="008D3540" w:rsidRPr="008F4CFF" w:rsidRDefault="008D3540" w:rsidP="002D62B9">
            <w:pPr>
              <w:pStyle w:val="tabteksts"/>
            </w:pPr>
            <w:r w:rsidRPr="008F4CFF">
              <w:t>Akcīzes nodoklis</w:t>
            </w:r>
          </w:p>
        </w:tc>
        <w:tc>
          <w:tcPr>
            <w:tcW w:w="974" w:type="dxa"/>
          </w:tcPr>
          <w:p w:rsidR="008D3540" w:rsidRPr="008F4CFF" w:rsidRDefault="008D3540" w:rsidP="002D62B9">
            <w:pPr>
              <w:pStyle w:val="tabteksts"/>
              <w:jc w:val="center"/>
            </w:pPr>
            <w:r w:rsidRPr="008F4CFF">
              <w:t>+0,01</w:t>
            </w:r>
          </w:p>
        </w:tc>
      </w:tr>
      <w:tr w:rsidR="008D3540" w:rsidRPr="008F4CFF" w:rsidTr="00311BF6">
        <w:trPr>
          <w:jc w:val="center"/>
        </w:trPr>
        <w:tc>
          <w:tcPr>
            <w:tcW w:w="6193" w:type="dxa"/>
          </w:tcPr>
          <w:p w:rsidR="008D3540" w:rsidRPr="008F4CFF" w:rsidRDefault="008D3540" w:rsidP="002D62B9">
            <w:pPr>
              <w:pStyle w:val="tabteksts"/>
            </w:pPr>
            <w:r w:rsidRPr="008F4CFF">
              <w:t>Nekustamā īpašuma nodoklis</w:t>
            </w:r>
          </w:p>
        </w:tc>
        <w:tc>
          <w:tcPr>
            <w:tcW w:w="974" w:type="dxa"/>
          </w:tcPr>
          <w:p w:rsidR="008D3540" w:rsidRPr="008F4CFF" w:rsidRDefault="008D3540" w:rsidP="002D62B9">
            <w:pPr>
              <w:pStyle w:val="tabteksts"/>
              <w:jc w:val="center"/>
            </w:pPr>
            <w:r w:rsidRPr="008F4CFF">
              <w:t>+0,03</w:t>
            </w:r>
          </w:p>
        </w:tc>
      </w:tr>
      <w:tr w:rsidR="008D3540" w:rsidRPr="008F4CFF" w:rsidTr="00311BF6">
        <w:trPr>
          <w:jc w:val="center"/>
        </w:trPr>
        <w:tc>
          <w:tcPr>
            <w:tcW w:w="6193" w:type="dxa"/>
          </w:tcPr>
          <w:p w:rsidR="008D3540" w:rsidRPr="008F4CFF" w:rsidRDefault="008D3540" w:rsidP="002D62B9">
            <w:pPr>
              <w:pStyle w:val="tabteksts"/>
            </w:pPr>
            <w:r w:rsidRPr="008F4CFF">
              <w:t>Iedzīvotāju ienākuma nodoklis</w:t>
            </w:r>
          </w:p>
        </w:tc>
        <w:tc>
          <w:tcPr>
            <w:tcW w:w="974" w:type="dxa"/>
          </w:tcPr>
          <w:p w:rsidR="008D3540" w:rsidRPr="008F4CFF" w:rsidRDefault="008D3540" w:rsidP="002D62B9">
            <w:pPr>
              <w:pStyle w:val="tabteksts"/>
              <w:jc w:val="center"/>
            </w:pPr>
            <w:r w:rsidRPr="008F4CFF">
              <w:t>+0,06</w:t>
            </w:r>
          </w:p>
        </w:tc>
      </w:tr>
      <w:tr w:rsidR="008D3540" w:rsidRPr="008F4CFF" w:rsidTr="00311BF6">
        <w:trPr>
          <w:jc w:val="center"/>
        </w:trPr>
        <w:tc>
          <w:tcPr>
            <w:tcW w:w="6193" w:type="dxa"/>
          </w:tcPr>
          <w:p w:rsidR="008D3540" w:rsidRPr="008F4CFF" w:rsidRDefault="008D3540" w:rsidP="002D62B9">
            <w:pPr>
              <w:pStyle w:val="tabteksts"/>
            </w:pPr>
            <w:r w:rsidRPr="008F4CFF">
              <w:t>Sociālās apdrošināšanas iemaksas</w:t>
            </w:r>
          </w:p>
        </w:tc>
        <w:tc>
          <w:tcPr>
            <w:tcW w:w="974" w:type="dxa"/>
          </w:tcPr>
          <w:p w:rsidR="008D3540" w:rsidRPr="008F4CFF" w:rsidRDefault="008D3540" w:rsidP="002D62B9">
            <w:pPr>
              <w:pStyle w:val="tabteksts"/>
              <w:jc w:val="center"/>
            </w:pPr>
            <w:r w:rsidRPr="008F4CFF">
              <w:t>+0,03</w:t>
            </w:r>
          </w:p>
        </w:tc>
      </w:tr>
      <w:tr w:rsidR="008D3540" w:rsidRPr="008F4CFF" w:rsidTr="00311BF6">
        <w:trPr>
          <w:jc w:val="center"/>
        </w:trPr>
        <w:tc>
          <w:tcPr>
            <w:tcW w:w="6193" w:type="dxa"/>
          </w:tcPr>
          <w:p w:rsidR="008D3540" w:rsidRPr="008F4CFF" w:rsidRDefault="008D3540" w:rsidP="002D62B9">
            <w:pPr>
              <w:pStyle w:val="tabteksts"/>
            </w:pPr>
            <w:r w:rsidRPr="008F4CFF">
              <w:t>Izložu un azartspēļu nodoklis</w:t>
            </w:r>
          </w:p>
        </w:tc>
        <w:tc>
          <w:tcPr>
            <w:tcW w:w="974" w:type="dxa"/>
          </w:tcPr>
          <w:p w:rsidR="008D3540" w:rsidRPr="008F4CFF" w:rsidRDefault="008D3540" w:rsidP="002D62B9">
            <w:pPr>
              <w:pStyle w:val="tabteksts"/>
              <w:jc w:val="center"/>
            </w:pPr>
            <w:r w:rsidRPr="008F4CFF">
              <w:t>+0,02</w:t>
            </w:r>
          </w:p>
        </w:tc>
      </w:tr>
      <w:tr w:rsidR="008D3540" w:rsidRPr="008F4CFF" w:rsidTr="00311BF6">
        <w:trPr>
          <w:jc w:val="center"/>
        </w:trPr>
        <w:tc>
          <w:tcPr>
            <w:tcW w:w="6193" w:type="dxa"/>
          </w:tcPr>
          <w:p w:rsidR="008D3540" w:rsidRPr="008F4CFF" w:rsidRDefault="008D3540" w:rsidP="002D62B9">
            <w:pPr>
              <w:pStyle w:val="tabteksts"/>
            </w:pPr>
            <w:r w:rsidRPr="008F4CFF">
              <w:t>Uzņēmumu ienākuma nodoklis</w:t>
            </w:r>
          </w:p>
        </w:tc>
        <w:tc>
          <w:tcPr>
            <w:tcW w:w="974" w:type="dxa"/>
          </w:tcPr>
          <w:p w:rsidR="008D3540" w:rsidRPr="008F4CFF" w:rsidRDefault="008D3540" w:rsidP="002D62B9">
            <w:pPr>
              <w:pStyle w:val="tabteksts"/>
              <w:jc w:val="center"/>
            </w:pPr>
            <w:r w:rsidRPr="008F4CFF">
              <w:t>+0,01</w:t>
            </w:r>
          </w:p>
        </w:tc>
      </w:tr>
      <w:tr w:rsidR="008D3540" w:rsidRPr="008F4CFF" w:rsidTr="00311BF6">
        <w:trPr>
          <w:jc w:val="center"/>
        </w:trPr>
        <w:tc>
          <w:tcPr>
            <w:tcW w:w="6193" w:type="dxa"/>
            <w:tcBorders>
              <w:bottom w:val="double" w:sz="6" w:space="0" w:color="auto"/>
            </w:tcBorders>
          </w:tcPr>
          <w:p w:rsidR="008D3540" w:rsidRPr="008F4CFF" w:rsidRDefault="008D3540" w:rsidP="002D62B9">
            <w:pPr>
              <w:pStyle w:val="tabteksts"/>
            </w:pPr>
            <w:r w:rsidRPr="008F4CFF">
              <w:t>Citi pasākumi</w:t>
            </w:r>
          </w:p>
        </w:tc>
        <w:tc>
          <w:tcPr>
            <w:tcW w:w="974" w:type="dxa"/>
            <w:tcBorders>
              <w:bottom w:val="double" w:sz="6" w:space="0" w:color="auto"/>
            </w:tcBorders>
          </w:tcPr>
          <w:p w:rsidR="008D3540" w:rsidRPr="008F4CFF" w:rsidRDefault="008D3540" w:rsidP="002D62B9">
            <w:pPr>
              <w:pStyle w:val="tabteksts"/>
              <w:jc w:val="center"/>
            </w:pPr>
            <w:r w:rsidRPr="008F4CFF">
              <w:t>+0,02</w:t>
            </w:r>
          </w:p>
        </w:tc>
      </w:tr>
      <w:tr w:rsidR="008D3540" w:rsidRPr="008F4CFF" w:rsidTr="00311BF6">
        <w:trPr>
          <w:jc w:val="center"/>
        </w:trPr>
        <w:tc>
          <w:tcPr>
            <w:tcW w:w="6193" w:type="dxa"/>
            <w:tcBorders>
              <w:bottom w:val="double" w:sz="6" w:space="0" w:color="auto"/>
            </w:tcBorders>
          </w:tcPr>
          <w:p w:rsidR="008D3540" w:rsidRPr="008F4CFF" w:rsidRDefault="008D3540" w:rsidP="002D62B9">
            <w:pPr>
              <w:pStyle w:val="tabteksts"/>
              <w:rPr>
                <w:b/>
              </w:rPr>
            </w:pPr>
            <w:r w:rsidRPr="008F4CFF">
              <w:rPr>
                <w:b/>
              </w:rPr>
              <w:t>Izmaiņu ietekme kopā:</w:t>
            </w:r>
          </w:p>
        </w:tc>
        <w:tc>
          <w:tcPr>
            <w:tcW w:w="974" w:type="dxa"/>
            <w:tcBorders>
              <w:bottom w:val="double" w:sz="6" w:space="0" w:color="auto"/>
            </w:tcBorders>
          </w:tcPr>
          <w:p w:rsidR="008D3540" w:rsidRPr="008F4CFF" w:rsidRDefault="008D3540" w:rsidP="002D62B9">
            <w:pPr>
              <w:pStyle w:val="tabteksts"/>
              <w:jc w:val="center"/>
              <w:rPr>
                <w:b/>
              </w:rPr>
            </w:pPr>
            <w:r w:rsidRPr="008F4CFF">
              <w:rPr>
                <w:b/>
              </w:rPr>
              <w:t>+0,25</w:t>
            </w:r>
          </w:p>
        </w:tc>
      </w:tr>
    </w:tbl>
    <w:p w:rsidR="008D3540" w:rsidRPr="008F4CFF" w:rsidRDefault="008D3540" w:rsidP="002D62B9">
      <w:pPr>
        <w:spacing w:before="240"/>
      </w:pPr>
      <w:r w:rsidRPr="008F4CFF">
        <w:t>Šajā sadaļā apskatītas galvenās nodokļu izmaiņu ietekmes, atbilstoši likumam „Par valsts budžetu 2012. gadam".</w:t>
      </w:r>
    </w:p>
    <w:p w:rsidR="009C27C0" w:rsidRDefault="009C27C0" w:rsidP="002D62B9">
      <w:pPr>
        <w:ind w:left="567" w:firstLine="0"/>
        <w:jc w:val="left"/>
        <w:outlineLvl w:val="3"/>
        <w:rPr>
          <w:b/>
          <w:sz w:val="28"/>
        </w:rPr>
      </w:pPr>
    </w:p>
    <w:p w:rsidR="008D3540" w:rsidRPr="00CC74C7" w:rsidRDefault="008D3540" w:rsidP="002D62B9">
      <w:pPr>
        <w:ind w:left="567" w:firstLine="0"/>
        <w:jc w:val="left"/>
        <w:outlineLvl w:val="3"/>
        <w:rPr>
          <w:b/>
          <w:szCs w:val="24"/>
        </w:rPr>
      </w:pPr>
      <w:r w:rsidRPr="00CC74C7">
        <w:rPr>
          <w:b/>
          <w:szCs w:val="24"/>
        </w:rPr>
        <w:t>Pievienotās vērtības nodoklis</w:t>
      </w:r>
    </w:p>
    <w:p w:rsidR="008D3540" w:rsidRPr="008F4CFF" w:rsidRDefault="008D3540" w:rsidP="002D62B9">
      <w:r w:rsidRPr="008F4CFF">
        <w:t>Būtisku īpatsvaru kopējos nodokļu ieņēmumos veido pievienotās vērtības nodokļa ieņēmumi. Ekonomikas izaugsmes gados pievienotās vērtības nodokļa ieņēmumiem ir bijis augsts pieauguma temps. Tomēr 2008. gadā uzsākoties un 2009. gadā turpinoties mazumtirdzniecības apgrozījuma sarukumam, kā arī saimnieciskās darbības apjomu kritumam un importa apjomu kritumam, pievienotās vērtības nodokļa ieņēmumi ir samazinājušies. Turklāt ekonomiskās krīzes ietekme ir bijusi tik ievērojama, ka ar 2009.</w:t>
      </w:r>
      <w:r w:rsidR="00B35038">
        <w:t> </w:t>
      </w:r>
      <w:r w:rsidRPr="008F4CFF">
        <w:t>gada 1.</w:t>
      </w:r>
      <w:r w:rsidR="00B35038">
        <w:t> </w:t>
      </w:r>
      <w:r w:rsidRPr="008F4CFF">
        <w:t>janvāri paaugstinātā pievienotās vērtības nodokļa standartlikme par 3 procentpunktiem no 18</w:t>
      </w:r>
      <w:r w:rsidR="00B35038">
        <w:t> </w:t>
      </w:r>
      <w:r w:rsidRPr="008F4CFF">
        <w:t>% uz 21</w:t>
      </w:r>
      <w:r w:rsidR="00B35038">
        <w:t> </w:t>
      </w:r>
      <w:r w:rsidRPr="008F4CFF">
        <w:t>% nespēja kompensēt to ieņēmumu samazinājumu, kas radās ekonomiskās lejupslīdes rezultātā.</w:t>
      </w:r>
    </w:p>
    <w:p w:rsidR="008D3540" w:rsidRPr="008F4CFF" w:rsidRDefault="008D3540" w:rsidP="002D62B9">
      <w:r w:rsidRPr="008F4CFF">
        <w:t>Ar 2011.</w:t>
      </w:r>
      <w:r w:rsidR="00B35038">
        <w:t> </w:t>
      </w:r>
      <w:r w:rsidRPr="008F4CFF">
        <w:t>gada 1.</w:t>
      </w:r>
      <w:r w:rsidR="00B35038">
        <w:t> </w:t>
      </w:r>
      <w:r w:rsidRPr="008F4CFF">
        <w:t>janvāri pievienotās vērtības nodokļa standartlikme tika paaugstināta no 21</w:t>
      </w:r>
      <w:r w:rsidR="00B35038">
        <w:t> </w:t>
      </w:r>
      <w:r w:rsidRPr="008F4CFF">
        <w:t>% uz 22</w:t>
      </w:r>
      <w:r w:rsidR="00B35038">
        <w:t> </w:t>
      </w:r>
      <w:r w:rsidRPr="008F4CFF">
        <w:t>%, samazinātā likme no 10</w:t>
      </w:r>
      <w:r w:rsidR="00B35038">
        <w:t> </w:t>
      </w:r>
      <w:r w:rsidRPr="008F4CFF">
        <w:t>% uz 12</w:t>
      </w:r>
      <w:r w:rsidR="00B35038">
        <w:t> </w:t>
      </w:r>
      <w:r w:rsidRPr="008F4CFF">
        <w:t>%, turklāt tika atcelta samazinātā likme elektroenerģijas piegādēm iedzīvotājiem no 10</w:t>
      </w:r>
      <w:r w:rsidR="00B35038">
        <w:t> </w:t>
      </w:r>
      <w:r w:rsidRPr="008F4CFF">
        <w:t>% uz 22 procentiem. No 2011.</w:t>
      </w:r>
      <w:r w:rsidR="00B35038">
        <w:t> </w:t>
      </w:r>
      <w:r w:rsidRPr="008F4CFF">
        <w:t>gada 1.</w:t>
      </w:r>
      <w:r w:rsidR="00B35038">
        <w:t> </w:t>
      </w:r>
      <w:r w:rsidRPr="008F4CFF">
        <w:t>jūlija tika atcelta samazinātā likme dabasgāzes piegādēm iedzīvotājiem no 12</w:t>
      </w:r>
      <w:r w:rsidR="00B35038">
        <w:t> </w:t>
      </w:r>
      <w:r w:rsidRPr="008F4CFF">
        <w:t>% uz 22 procentiem. Atbilstoši ES direktīvai tika ierobežota samazinātās likmes medicīnisko ierīču piegādēm piemērošana, kas stājās spēkā 2011.</w:t>
      </w:r>
      <w:r w:rsidR="00B35038">
        <w:t> </w:t>
      </w:r>
      <w:r w:rsidRPr="008F4CFF">
        <w:t>gada 1.</w:t>
      </w:r>
      <w:r w:rsidR="00B35038">
        <w:t> </w:t>
      </w:r>
      <w:r w:rsidRPr="008F4CFF">
        <w:t>jūnijā. 2011. gadā mazumtirdzniecības apgrozījums un saimnieciskās darbības apjoms pārējās tautsaimniecības nozarēs</w:t>
      </w:r>
      <w:r w:rsidRPr="008F4CFF" w:rsidDel="005E1E4C">
        <w:t xml:space="preserve"> </w:t>
      </w:r>
      <w:r w:rsidRPr="008F4CFF">
        <w:t xml:space="preserve">pakāpeniski palielinājās, kā arī palielinājās importa apjoms, kas deva pozitīvu efektu pievienotās vērtības nodokļa ieņēmumos. </w:t>
      </w:r>
    </w:p>
    <w:p w:rsidR="008D3540" w:rsidRPr="008F4CFF" w:rsidRDefault="008D3540" w:rsidP="002D62B9">
      <w:r w:rsidRPr="008F4CFF">
        <w:t>Ekonomikai attīstoties, 2012. gadā tiek prognozēts, ka pievienotās vērtības nodokļa ieņēmumi pieaugs par 9,0</w:t>
      </w:r>
      <w:r w:rsidR="00CC74C7">
        <w:t xml:space="preserve"> </w:t>
      </w:r>
      <w:r w:rsidRPr="008F4CFF">
        <w:t>% salīdzinājumā ar 2011. gadu.</w:t>
      </w:r>
    </w:p>
    <w:p w:rsidR="008D3540" w:rsidRPr="008F4CFF" w:rsidRDefault="008D3540" w:rsidP="002D62B9">
      <w:pPr>
        <w:rPr>
          <w:szCs w:val="28"/>
        </w:rPr>
      </w:pPr>
      <w:r w:rsidRPr="008F4CFF">
        <w:t>Pievienotās vērtības nodokļa ieņēmumu prognoze 2012. gadam ir sagatavota, ņemot vērā prognozējamās tautsaimniecības attīstības tendences, privātā patēriņa pieaugumu, pievienotās vērtības nodokļa izpildi 2011. gadā un</w:t>
      </w:r>
      <w:r w:rsidRPr="008F4CFF">
        <w:rPr>
          <w:szCs w:val="28"/>
        </w:rPr>
        <w:t xml:space="preserve"> ņemot vērā </w:t>
      </w:r>
      <w:r w:rsidR="009C27C0">
        <w:rPr>
          <w:szCs w:val="28"/>
        </w:rPr>
        <w:t>7</w:t>
      </w:r>
      <w:r w:rsidRPr="008F4CFF">
        <w:rPr>
          <w:szCs w:val="28"/>
        </w:rPr>
        <w:t>.3.</w:t>
      </w:r>
      <w:r w:rsidR="00B35038">
        <w:rPr>
          <w:szCs w:val="28"/>
        </w:rPr>
        <w:t> </w:t>
      </w:r>
      <w:r w:rsidRPr="008F4CFF">
        <w:rPr>
          <w:szCs w:val="28"/>
        </w:rPr>
        <w:t>tabulā norādītās nodokļu politikas izmaiņu ietekmi.</w:t>
      </w:r>
    </w:p>
    <w:p w:rsidR="008D3540" w:rsidRPr="00A340F1" w:rsidRDefault="009C27C0" w:rsidP="002D62B9">
      <w:pPr>
        <w:pStyle w:val="T"/>
        <w:jc w:val="right"/>
        <w:rPr>
          <w:rFonts w:ascii="Times New Roman" w:hAnsi="Times New Roman"/>
          <w:b w:val="0"/>
        </w:rPr>
      </w:pPr>
      <w:r>
        <w:rPr>
          <w:rFonts w:ascii="Times New Roman" w:hAnsi="Times New Roman"/>
          <w:b w:val="0"/>
        </w:rPr>
        <w:lastRenderedPageBreak/>
        <w:t>7</w:t>
      </w:r>
      <w:r w:rsidR="008D3540" w:rsidRPr="00A340F1">
        <w:rPr>
          <w:rFonts w:ascii="Times New Roman" w:hAnsi="Times New Roman"/>
          <w:b w:val="0"/>
        </w:rPr>
        <w:t>.3. tabula. Nodokļu politikas izmaiņu ietekme</w:t>
      </w:r>
      <w:r w:rsidR="008D3540" w:rsidRPr="00A340F1">
        <w:rPr>
          <w:rFonts w:ascii="Times New Roman" w:hAnsi="Times New Roman"/>
          <w:b w:val="0"/>
        </w:rPr>
        <w:br/>
        <w:t>uz pievienotās vērtības nodokļa ieņēmumiem, milj. latu</w:t>
      </w:r>
    </w:p>
    <w:tbl>
      <w:tblPr>
        <w:tblW w:w="7089" w:type="dxa"/>
        <w:jc w:val="center"/>
        <w:tblInd w:w="-317"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1E0" w:firstRow="1" w:lastRow="1" w:firstColumn="1" w:lastColumn="1" w:noHBand="0" w:noVBand="0"/>
      </w:tblPr>
      <w:tblGrid>
        <w:gridCol w:w="6115"/>
        <w:gridCol w:w="974"/>
      </w:tblGrid>
      <w:tr w:rsidR="008D3540" w:rsidRPr="008F4CFF" w:rsidTr="00311BF6">
        <w:trPr>
          <w:jc w:val="center"/>
        </w:trPr>
        <w:tc>
          <w:tcPr>
            <w:tcW w:w="6115" w:type="dxa"/>
            <w:tcBorders>
              <w:top w:val="double" w:sz="6" w:space="0" w:color="auto"/>
            </w:tcBorders>
          </w:tcPr>
          <w:p w:rsidR="008D3540" w:rsidRPr="008F4CFF" w:rsidRDefault="008D3540" w:rsidP="002D62B9">
            <w:pPr>
              <w:spacing w:after="0"/>
              <w:ind w:firstLine="0"/>
              <w:jc w:val="left"/>
              <w:rPr>
                <w:sz w:val="20"/>
              </w:rPr>
            </w:pPr>
          </w:p>
        </w:tc>
        <w:tc>
          <w:tcPr>
            <w:tcW w:w="974" w:type="dxa"/>
            <w:tcBorders>
              <w:top w:val="double" w:sz="6" w:space="0" w:color="auto"/>
            </w:tcBorders>
          </w:tcPr>
          <w:p w:rsidR="008D3540" w:rsidRPr="008F4CFF" w:rsidRDefault="008D3540" w:rsidP="002D62B9">
            <w:pPr>
              <w:tabs>
                <w:tab w:val="decimal" w:pos="-12114"/>
              </w:tabs>
              <w:spacing w:after="0"/>
              <w:ind w:firstLine="0"/>
              <w:jc w:val="center"/>
              <w:rPr>
                <w:b/>
                <w:sz w:val="20"/>
              </w:rPr>
            </w:pPr>
            <w:r w:rsidRPr="008F4CFF">
              <w:rPr>
                <w:b/>
                <w:sz w:val="20"/>
              </w:rPr>
              <w:t>2012</w:t>
            </w:r>
          </w:p>
        </w:tc>
      </w:tr>
      <w:tr w:rsidR="008D3540" w:rsidRPr="008F4CFF" w:rsidTr="00311BF6">
        <w:trPr>
          <w:jc w:val="center"/>
        </w:trPr>
        <w:tc>
          <w:tcPr>
            <w:tcW w:w="6115" w:type="dxa"/>
          </w:tcPr>
          <w:p w:rsidR="008D3540" w:rsidRPr="008F4CFF" w:rsidRDefault="008D3540" w:rsidP="002D62B9">
            <w:pPr>
              <w:spacing w:after="0"/>
              <w:ind w:firstLine="0"/>
              <w:rPr>
                <w:sz w:val="20"/>
              </w:rPr>
            </w:pPr>
            <w:r w:rsidRPr="008F4CFF">
              <w:rPr>
                <w:sz w:val="20"/>
              </w:rPr>
              <w:t>Reversā PVN lietojuma paplašināšana uz metāllūžņu iepirkšanu (+0,5 milj. latu) un būvniecību ( fiskālā ietekme +5.4 milj. latu)</w:t>
            </w:r>
          </w:p>
        </w:tc>
        <w:tc>
          <w:tcPr>
            <w:tcW w:w="974" w:type="dxa"/>
            <w:vAlign w:val="center"/>
          </w:tcPr>
          <w:p w:rsidR="008D3540" w:rsidRPr="008F4CFF" w:rsidRDefault="008D3540" w:rsidP="002D62B9">
            <w:pPr>
              <w:tabs>
                <w:tab w:val="decimal" w:pos="458"/>
              </w:tabs>
              <w:spacing w:after="0"/>
              <w:ind w:firstLine="0"/>
              <w:rPr>
                <w:sz w:val="20"/>
              </w:rPr>
            </w:pPr>
            <w:r w:rsidRPr="008F4CFF">
              <w:rPr>
                <w:sz w:val="20"/>
              </w:rPr>
              <w:t>+5,9</w:t>
            </w:r>
          </w:p>
        </w:tc>
      </w:tr>
      <w:tr w:rsidR="008D3540" w:rsidRPr="008F4CFF" w:rsidTr="00311BF6">
        <w:trPr>
          <w:jc w:val="center"/>
        </w:trPr>
        <w:tc>
          <w:tcPr>
            <w:tcW w:w="6115" w:type="dxa"/>
          </w:tcPr>
          <w:p w:rsidR="008D3540" w:rsidRPr="008F4CFF" w:rsidRDefault="008D3540" w:rsidP="002D62B9">
            <w:pPr>
              <w:spacing w:after="0"/>
              <w:ind w:firstLine="0"/>
              <w:rPr>
                <w:sz w:val="20"/>
              </w:rPr>
            </w:pPr>
            <w:r w:rsidRPr="008F4CFF">
              <w:rPr>
                <w:sz w:val="20"/>
              </w:rPr>
              <w:t>Nodokļu atbalsta pasākums</w:t>
            </w:r>
          </w:p>
        </w:tc>
        <w:tc>
          <w:tcPr>
            <w:tcW w:w="974" w:type="dxa"/>
          </w:tcPr>
          <w:p w:rsidR="008D3540" w:rsidRPr="008F4CFF" w:rsidRDefault="008D3540" w:rsidP="002D62B9">
            <w:pPr>
              <w:tabs>
                <w:tab w:val="decimal" w:pos="458"/>
              </w:tabs>
              <w:spacing w:after="0"/>
              <w:ind w:firstLine="0"/>
              <w:rPr>
                <w:sz w:val="20"/>
              </w:rPr>
            </w:pPr>
            <w:r w:rsidRPr="008F4CFF">
              <w:rPr>
                <w:sz w:val="20"/>
              </w:rPr>
              <w:t>+6,1</w:t>
            </w:r>
          </w:p>
        </w:tc>
      </w:tr>
      <w:tr w:rsidR="008D3540" w:rsidRPr="008F4CFF" w:rsidTr="00311BF6">
        <w:trPr>
          <w:jc w:val="center"/>
        </w:trPr>
        <w:tc>
          <w:tcPr>
            <w:tcW w:w="6115" w:type="dxa"/>
            <w:tcBorders>
              <w:bottom w:val="double" w:sz="6" w:space="0" w:color="auto"/>
            </w:tcBorders>
          </w:tcPr>
          <w:p w:rsidR="008D3540" w:rsidRPr="008F4CFF" w:rsidRDefault="008D3540" w:rsidP="002D62B9">
            <w:pPr>
              <w:spacing w:after="0"/>
              <w:ind w:firstLine="0"/>
              <w:rPr>
                <w:b/>
                <w:sz w:val="20"/>
              </w:rPr>
            </w:pPr>
            <w:r w:rsidRPr="008F4CFF">
              <w:rPr>
                <w:b/>
                <w:sz w:val="20"/>
              </w:rPr>
              <w:t>Izmaiņu ietekme kopā:</w:t>
            </w:r>
          </w:p>
        </w:tc>
        <w:tc>
          <w:tcPr>
            <w:tcW w:w="974" w:type="dxa"/>
            <w:tcBorders>
              <w:bottom w:val="double" w:sz="6" w:space="0" w:color="auto"/>
            </w:tcBorders>
          </w:tcPr>
          <w:p w:rsidR="008D3540" w:rsidRPr="008F4CFF" w:rsidRDefault="008D3540" w:rsidP="002D62B9">
            <w:pPr>
              <w:tabs>
                <w:tab w:val="decimal" w:pos="458"/>
              </w:tabs>
              <w:spacing w:after="0"/>
              <w:ind w:firstLine="0"/>
              <w:rPr>
                <w:sz w:val="20"/>
              </w:rPr>
            </w:pPr>
            <w:r w:rsidRPr="008F4CFF">
              <w:rPr>
                <w:b/>
                <w:sz w:val="20"/>
              </w:rPr>
              <w:t>+12,0</w:t>
            </w:r>
          </w:p>
        </w:tc>
      </w:tr>
    </w:tbl>
    <w:p w:rsidR="009C27C0" w:rsidRDefault="009C27C0" w:rsidP="002D62B9">
      <w:pPr>
        <w:pStyle w:val="H4"/>
      </w:pPr>
    </w:p>
    <w:p w:rsidR="008D3540" w:rsidRPr="00CC74C7" w:rsidRDefault="008D3540" w:rsidP="002D62B9">
      <w:pPr>
        <w:pStyle w:val="H4"/>
        <w:rPr>
          <w:rFonts w:ascii="Times New Roman" w:hAnsi="Times New Roman"/>
          <w:sz w:val="24"/>
          <w:szCs w:val="24"/>
        </w:rPr>
      </w:pPr>
      <w:r w:rsidRPr="00CC74C7">
        <w:rPr>
          <w:rFonts w:ascii="Times New Roman" w:hAnsi="Times New Roman"/>
          <w:sz w:val="24"/>
          <w:szCs w:val="24"/>
        </w:rPr>
        <w:t>Uzņēmumu ienākuma nodoklis</w:t>
      </w:r>
    </w:p>
    <w:p w:rsidR="008D3540" w:rsidRPr="008F4CFF" w:rsidRDefault="008D3540" w:rsidP="002D62B9">
      <w:r w:rsidRPr="008F4CFF">
        <w:t>Tiek paredzēts, ka uzņēmumu ienākuma nodokļa likme – 15</w:t>
      </w:r>
      <w:r w:rsidR="00B35038">
        <w:t> </w:t>
      </w:r>
      <w:r w:rsidRPr="008F4CFF">
        <w:t xml:space="preserve">%, kas ir spēkā no 2004. gada un ir viena no zemākajām </w:t>
      </w:r>
      <w:r w:rsidR="009C27C0">
        <w:t>ES</w:t>
      </w:r>
      <w:r w:rsidRPr="008F4CFF">
        <w:t xml:space="preserve">, saglabāsies nemainīga. Ekonomikai sekmīgi attīstoties un uzlabojoties uzņēmumu finanšu rādītājiem, bija novērots būtisks uzņēmumu ienākuma nodokļa ieņēmumu pieaugums. Tomēr ekonomiskās lejupslīdes rezultātā būtiski samazinājās uzņēmumu ienākuma nodokļa ieņēmumi, ko ietekmēja uzņēmumu ienākuma nodokļa iemaksu samazinājums un atmaksu pieaugums. </w:t>
      </w:r>
    </w:p>
    <w:p w:rsidR="008D3540" w:rsidRPr="008F4CFF" w:rsidRDefault="008D3540" w:rsidP="002D62B9">
      <w:r w:rsidRPr="008F4CFF">
        <w:t>2011. gadā ekonomikai atveseļojoties, uzņēmumu ienākuma nodokļa</w:t>
      </w:r>
      <w:r w:rsidR="00A340F1">
        <w:t xml:space="preserve"> ieņēmumi</w:t>
      </w:r>
      <w:r w:rsidRPr="008F4CFF">
        <w:t xml:space="preserve"> salīdzinājumā ar 2010. gada pieauga par 75,1</w:t>
      </w:r>
      <w:r w:rsidR="00B35038">
        <w:t> </w:t>
      </w:r>
      <w:r w:rsidRPr="008F4CFF">
        <w:t xml:space="preserve">%, kas liecina par to, ka uzņēmumi 2010. gadu ir noslēguši ar būtiski labākiem finanšu rezultātiem nekā 2009. gadā. </w:t>
      </w:r>
    </w:p>
    <w:p w:rsidR="008D3540" w:rsidRPr="008F4CFF" w:rsidRDefault="008D3540" w:rsidP="002D62B9">
      <w:r w:rsidRPr="008F4CFF">
        <w:t>Ekonomikai turpinot attīstīties, turpmākajos gados uzņēmumu ienākuma nodokļi tiek prognozēti ar augšupejošu tendenci. 2012. gadā tiek prognozēts, ka uzņēmumu ienākuma nodokļa ieņēmumi pieaugs par 7,6</w:t>
      </w:r>
      <w:r w:rsidR="00CC74C7">
        <w:t xml:space="preserve"> </w:t>
      </w:r>
      <w:r w:rsidRPr="008F4CFF">
        <w:t>% salīdzinājumā ar 2011. gadu, ko ietekmēs 2012. gadā veiktās nodokļu politikas izmaiņas.</w:t>
      </w:r>
    </w:p>
    <w:p w:rsidR="008D3540" w:rsidRPr="008F4CFF" w:rsidRDefault="008D3540" w:rsidP="002D62B9">
      <w:pPr>
        <w:pStyle w:val="T"/>
        <w:ind w:left="0" w:firstLine="567"/>
        <w:jc w:val="both"/>
        <w:rPr>
          <w:rFonts w:ascii="Times New Roman" w:hAnsi="Times New Roman"/>
          <w:b w:val="0"/>
        </w:rPr>
      </w:pPr>
      <w:r w:rsidRPr="008F4CFF">
        <w:rPr>
          <w:rFonts w:ascii="Times New Roman" w:hAnsi="Times New Roman"/>
          <w:b w:val="0"/>
        </w:rPr>
        <w:t xml:space="preserve">2012. gadā uzņēmumu ienākuma nodokļa ieņēmumu ietekmējošās nodokļu politikas izmaiņas redzamas </w:t>
      </w:r>
      <w:r w:rsidR="0020691E">
        <w:rPr>
          <w:rFonts w:ascii="Times New Roman" w:hAnsi="Times New Roman"/>
          <w:b w:val="0"/>
        </w:rPr>
        <w:t>7</w:t>
      </w:r>
      <w:r w:rsidRPr="008F4CFF">
        <w:rPr>
          <w:rFonts w:ascii="Times New Roman" w:hAnsi="Times New Roman"/>
          <w:b w:val="0"/>
        </w:rPr>
        <w:t>.4. tabulā.</w:t>
      </w:r>
    </w:p>
    <w:p w:rsidR="008D3540" w:rsidRPr="00A340F1" w:rsidRDefault="0020691E" w:rsidP="002D62B9">
      <w:pPr>
        <w:pStyle w:val="T"/>
        <w:jc w:val="right"/>
        <w:rPr>
          <w:rFonts w:ascii="Times New Roman" w:hAnsi="Times New Roman"/>
          <w:b w:val="0"/>
        </w:rPr>
      </w:pPr>
      <w:r w:rsidRPr="00A340F1">
        <w:rPr>
          <w:b w:val="0"/>
        </w:rPr>
        <w:t>7</w:t>
      </w:r>
      <w:r w:rsidR="008D3540" w:rsidRPr="00A340F1">
        <w:rPr>
          <w:rFonts w:ascii="Times New Roman" w:hAnsi="Times New Roman"/>
          <w:b w:val="0"/>
        </w:rPr>
        <w:t>.4. tabula. Nodokļu politikas izmaiņu ietekme</w:t>
      </w:r>
      <w:r w:rsidR="008D3540" w:rsidRPr="00A340F1">
        <w:rPr>
          <w:rFonts w:ascii="Times New Roman" w:hAnsi="Times New Roman"/>
          <w:b w:val="0"/>
        </w:rPr>
        <w:br/>
        <w:t>uz uzņēmumu ienākuma nodokļa ieņēmumiem, milj. latu</w:t>
      </w:r>
    </w:p>
    <w:tbl>
      <w:tblPr>
        <w:tblW w:w="0" w:type="auto"/>
        <w:jc w:val="center"/>
        <w:tblInd w:w="-317"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1E0" w:firstRow="1" w:lastRow="1" w:firstColumn="1" w:lastColumn="1" w:noHBand="0" w:noVBand="0"/>
      </w:tblPr>
      <w:tblGrid>
        <w:gridCol w:w="6115"/>
        <w:gridCol w:w="974"/>
      </w:tblGrid>
      <w:tr w:rsidR="008D3540" w:rsidRPr="008F4CFF" w:rsidTr="00311BF6">
        <w:trPr>
          <w:jc w:val="center"/>
        </w:trPr>
        <w:tc>
          <w:tcPr>
            <w:tcW w:w="6115" w:type="dxa"/>
            <w:tcBorders>
              <w:top w:val="double" w:sz="6" w:space="0" w:color="auto"/>
            </w:tcBorders>
          </w:tcPr>
          <w:p w:rsidR="008D3540" w:rsidRPr="008F4CFF" w:rsidRDefault="008D3540" w:rsidP="002D62B9">
            <w:pPr>
              <w:pStyle w:val="tabteksts"/>
            </w:pPr>
          </w:p>
        </w:tc>
        <w:tc>
          <w:tcPr>
            <w:tcW w:w="974" w:type="dxa"/>
            <w:tcBorders>
              <w:top w:val="double" w:sz="6" w:space="0" w:color="auto"/>
            </w:tcBorders>
          </w:tcPr>
          <w:p w:rsidR="008D3540" w:rsidRPr="008F4CFF" w:rsidRDefault="008D3540" w:rsidP="002D62B9">
            <w:pPr>
              <w:pStyle w:val="tabteksts"/>
              <w:tabs>
                <w:tab w:val="decimal" w:pos="-12114"/>
              </w:tabs>
              <w:jc w:val="center"/>
              <w:rPr>
                <w:b/>
              </w:rPr>
            </w:pPr>
            <w:r w:rsidRPr="008F4CFF">
              <w:rPr>
                <w:b/>
              </w:rPr>
              <w:t>2012</w:t>
            </w:r>
          </w:p>
        </w:tc>
      </w:tr>
      <w:tr w:rsidR="008D3540" w:rsidRPr="008F4CFF" w:rsidTr="00311BF6">
        <w:trPr>
          <w:jc w:val="center"/>
        </w:trPr>
        <w:tc>
          <w:tcPr>
            <w:tcW w:w="6115" w:type="dxa"/>
          </w:tcPr>
          <w:p w:rsidR="008D3540" w:rsidRPr="008F4CFF" w:rsidRDefault="008D3540" w:rsidP="002D62B9">
            <w:pPr>
              <w:pStyle w:val="tabteksts"/>
              <w:jc w:val="both"/>
            </w:pPr>
            <w:r w:rsidRPr="008F4CFF">
              <w:t>Nodokļu atbalsta pasākums</w:t>
            </w:r>
          </w:p>
        </w:tc>
        <w:tc>
          <w:tcPr>
            <w:tcW w:w="974" w:type="dxa"/>
          </w:tcPr>
          <w:p w:rsidR="008D3540" w:rsidRPr="008F4CFF" w:rsidRDefault="008D3540" w:rsidP="002D62B9">
            <w:pPr>
              <w:pStyle w:val="tabteksts"/>
              <w:tabs>
                <w:tab w:val="decimal" w:pos="458"/>
              </w:tabs>
              <w:jc w:val="both"/>
            </w:pPr>
            <w:r w:rsidRPr="008F4CFF">
              <w:t>+1,1</w:t>
            </w:r>
          </w:p>
        </w:tc>
      </w:tr>
      <w:tr w:rsidR="008D3540" w:rsidRPr="008F4CFF" w:rsidTr="00311BF6">
        <w:trPr>
          <w:jc w:val="center"/>
        </w:trPr>
        <w:tc>
          <w:tcPr>
            <w:tcW w:w="6115" w:type="dxa"/>
          </w:tcPr>
          <w:p w:rsidR="008D3540" w:rsidRPr="008F4CFF" w:rsidRDefault="008D3540" w:rsidP="002D62B9">
            <w:pPr>
              <w:pStyle w:val="tabteksts"/>
              <w:jc w:val="both"/>
            </w:pPr>
            <w:r w:rsidRPr="008F4CFF">
              <w:t>VID administrācijas spējas uzlabošana</w:t>
            </w:r>
          </w:p>
        </w:tc>
        <w:tc>
          <w:tcPr>
            <w:tcW w:w="974" w:type="dxa"/>
          </w:tcPr>
          <w:p w:rsidR="008D3540" w:rsidRPr="008F4CFF" w:rsidRDefault="008D3540" w:rsidP="002D62B9">
            <w:pPr>
              <w:pStyle w:val="tabteksts"/>
              <w:tabs>
                <w:tab w:val="decimal" w:pos="458"/>
              </w:tabs>
              <w:jc w:val="both"/>
            </w:pPr>
            <w:r w:rsidRPr="008F4CFF">
              <w:t>+0,8</w:t>
            </w:r>
          </w:p>
        </w:tc>
      </w:tr>
      <w:tr w:rsidR="008D3540" w:rsidRPr="008F4CFF" w:rsidTr="00311BF6">
        <w:trPr>
          <w:jc w:val="center"/>
        </w:trPr>
        <w:tc>
          <w:tcPr>
            <w:tcW w:w="6115" w:type="dxa"/>
            <w:tcBorders>
              <w:bottom w:val="double" w:sz="6" w:space="0" w:color="auto"/>
            </w:tcBorders>
          </w:tcPr>
          <w:p w:rsidR="008D3540" w:rsidRPr="008F4CFF" w:rsidRDefault="008D3540" w:rsidP="002D62B9">
            <w:pPr>
              <w:pStyle w:val="tabteksts"/>
              <w:jc w:val="both"/>
              <w:rPr>
                <w:b/>
              </w:rPr>
            </w:pPr>
            <w:r w:rsidRPr="008F4CFF">
              <w:rPr>
                <w:b/>
              </w:rPr>
              <w:t>Izmaiņu ietekme kopā:</w:t>
            </w:r>
          </w:p>
        </w:tc>
        <w:tc>
          <w:tcPr>
            <w:tcW w:w="974" w:type="dxa"/>
            <w:tcBorders>
              <w:bottom w:val="double" w:sz="6" w:space="0" w:color="auto"/>
            </w:tcBorders>
          </w:tcPr>
          <w:p w:rsidR="008D3540" w:rsidRPr="008F4CFF" w:rsidRDefault="008D3540" w:rsidP="002D62B9">
            <w:pPr>
              <w:pStyle w:val="tabteksts"/>
              <w:tabs>
                <w:tab w:val="decimal" w:pos="458"/>
              </w:tabs>
              <w:jc w:val="both"/>
              <w:rPr>
                <w:b/>
              </w:rPr>
            </w:pPr>
            <w:r w:rsidRPr="008F4CFF">
              <w:rPr>
                <w:b/>
              </w:rPr>
              <w:t>+1,9</w:t>
            </w:r>
          </w:p>
        </w:tc>
      </w:tr>
    </w:tbl>
    <w:p w:rsidR="0020691E" w:rsidRDefault="0020691E" w:rsidP="002D62B9">
      <w:pPr>
        <w:pStyle w:val="H4"/>
      </w:pPr>
    </w:p>
    <w:p w:rsidR="008D3540" w:rsidRPr="00CC74C7" w:rsidRDefault="008D3540" w:rsidP="002D62B9">
      <w:pPr>
        <w:pStyle w:val="H4"/>
        <w:rPr>
          <w:rFonts w:ascii="Times New Roman" w:hAnsi="Times New Roman"/>
          <w:sz w:val="24"/>
          <w:szCs w:val="24"/>
        </w:rPr>
      </w:pPr>
      <w:r w:rsidRPr="00CC74C7">
        <w:rPr>
          <w:rFonts w:ascii="Times New Roman" w:hAnsi="Times New Roman"/>
          <w:sz w:val="24"/>
          <w:szCs w:val="24"/>
        </w:rPr>
        <w:t>Akcīzes nodoklis</w:t>
      </w:r>
    </w:p>
    <w:p w:rsidR="008D3540" w:rsidRPr="008F4CFF" w:rsidRDefault="008D3540" w:rsidP="002D62B9">
      <w:r w:rsidRPr="008F4CFF">
        <w:t xml:space="preserve">Vērtējot akcīzes nodokļa ieņēmumus un to ietekmējošos faktorus, jāatzīmē, ka liela loma akcīzes nodokļa politikas īstenošanā bija akcīzes nodokļa likmju saskaņošanai ar </w:t>
      </w:r>
      <w:r w:rsidR="00B7550A">
        <w:t>ES</w:t>
      </w:r>
      <w:r w:rsidRPr="008F4CFF">
        <w:t xml:space="preserve"> prasībām. Atbilstoši Latvijai piešķirtajiem pārejas periodiem būtiski tika palielinātas akcīzes nodokļa likmes naftas produktiem, kā arī turpinās likmju paaugstināšana tabakas izstrādājumiem.</w:t>
      </w:r>
    </w:p>
    <w:p w:rsidR="008D3540" w:rsidRPr="008F4CFF" w:rsidRDefault="008D3540" w:rsidP="002D62B9">
      <w:r w:rsidRPr="008F4CFF">
        <w:t>Kopējā ekonomiskās situācijas pasliktināšanās bija izraisījusi akcīzes preču realizācijas apjomu kritumu, kas tiešā veidā ietekmēja akcīzes nodokļa ieņēmumu samazinājumu 2009. un 2010.</w:t>
      </w:r>
      <w:r w:rsidR="00B35038">
        <w:t> </w:t>
      </w:r>
      <w:r w:rsidRPr="008F4CFF">
        <w:t>gadā, toties 2011.</w:t>
      </w:r>
      <w:r w:rsidR="00B35038">
        <w:t> </w:t>
      </w:r>
      <w:r w:rsidRPr="008F4CFF">
        <w:t>gadā, uzlabojoties Latvijas ekonomikai, pozitīvas tendences vērojamas arī akcīzes nodokļa izpildes rādītājos. Kā rezultātā 2011. gadā akcīzes nodokļa ieņēmumi pieauga par 5,1</w:t>
      </w:r>
      <w:r w:rsidR="00B35038">
        <w:t> </w:t>
      </w:r>
      <w:r w:rsidRPr="008F4CFF">
        <w:t>% attiecībā pret 2010. gadu.</w:t>
      </w:r>
    </w:p>
    <w:p w:rsidR="008D3540" w:rsidRPr="008F4CFF" w:rsidRDefault="008D3540" w:rsidP="002D62B9">
      <w:pPr>
        <w:rPr>
          <w:szCs w:val="24"/>
        </w:rPr>
      </w:pPr>
      <w:r w:rsidRPr="008F4CFF">
        <w:t>Prognozējot, ka 2012. gadā nodokļu bāze galvenajiem akcīzes preču veidiem nedaudz palielināsies, ņemot vērā akcīzes likmju kāpumu no 2011.</w:t>
      </w:r>
      <w:r w:rsidR="00B35038">
        <w:t> </w:t>
      </w:r>
      <w:r w:rsidRPr="008F4CFF">
        <w:t>gada vidus un akcīzes nodokli dabasgāzei, kas stājās spēkā no 2011. gada 1.</w:t>
      </w:r>
      <w:r w:rsidR="00B35038">
        <w:t> </w:t>
      </w:r>
      <w:r w:rsidRPr="008F4CFF">
        <w:t xml:space="preserve">jūlija, akcīzes nodokļa ieņēmumu prognoze </w:t>
      </w:r>
      <w:r w:rsidRPr="008F4CFF">
        <w:lastRenderedPageBreak/>
        <w:t>2012. gadam ir sagatavota ar 2,7</w:t>
      </w:r>
      <w:r w:rsidR="00B35038">
        <w:t> </w:t>
      </w:r>
      <w:r w:rsidRPr="008F4CFF">
        <w:t>% ielu pieaugumu attiecībā pret 2011.</w:t>
      </w:r>
      <w:r w:rsidR="00B35038">
        <w:t> </w:t>
      </w:r>
      <w:r w:rsidRPr="008F4CFF">
        <w:t>gadu. 2012.</w:t>
      </w:r>
      <w:r w:rsidR="00B35038">
        <w:t> </w:t>
      </w:r>
      <w:r w:rsidRPr="008F4CFF">
        <w:t xml:space="preserve">gada prognozē ir ņemti vērā arī </w:t>
      </w:r>
      <w:r w:rsidRPr="008F4CFF">
        <w:rPr>
          <w:szCs w:val="24"/>
        </w:rPr>
        <w:t>2012. gada valsts budžetā īstenojamie nodokļu politikas pasākumi (</w:t>
      </w:r>
      <w:r w:rsidR="00F05C88">
        <w:rPr>
          <w:szCs w:val="24"/>
        </w:rPr>
        <w:t>7</w:t>
      </w:r>
      <w:r w:rsidRPr="008F4CFF">
        <w:rPr>
          <w:szCs w:val="24"/>
        </w:rPr>
        <w:t>.5. tabula).</w:t>
      </w:r>
    </w:p>
    <w:p w:rsidR="008D3540" w:rsidRPr="00A340F1" w:rsidRDefault="00F05C88" w:rsidP="002D62B9">
      <w:pPr>
        <w:pStyle w:val="T"/>
        <w:spacing w:after="0"/>
        <w:jc w:val="right"/>
        <w:rPr>
          <w:rFonts w:ascii="Times New Roman" w:hAnsi="Times New Roman"/>
          <w:b w:val="0"/>
        </w:rPr>
      </w:pPr>
      <w:r>
        <w:rPr>
          <w:rFonts w:ascii="Times New Roman" w:hAnsi="Times New Roman"/>
          <w:b w:val="0"/>
        </w:rPr>
        <w:t>7</w:t>
      </w:r>
      <w:r w:rsidR="008D3540" w:rsidRPr="00A340F1">
        <w:rPr>
          <w:rFonts w:ascii="Times New Roman" w:hAnsi="Times New Roman"/>
          <w:b w:val="0"/>
        </w:rPr>
        <w:t>.5. tabula. Nodokļu politikas izmaiņu ietekme</w:t>
      </w:r>
    </w:p>
    <w:p w:rsidR="008D3540" w:rsidRPr="00A340F1" w:rsidRDefault="008D3540" w:rsidP="002D62B9">
      <w:pPr>
        <w:pStyle w:val="T"/>
        <w:spacing w:after="0"/>
        <w:jc w:val="right"/>
        <w:rPr>
          <w:rFonts w:ascii="Times New Roman" w:hAnsi="Times New Roman"/>
          <w:b w:val="0"/>
        </w:rPr>
      </w:pPr>
      <w:r w:rsidRPr="00A340F1">
        <w:rPr>
          <w:rFonts w:ascii="Times New Roman" w:hAnsi="Times New Roman"/>
          <w:b w:val="0"/>
        </w:rPr>
        <w:t>uz akcīzes nodokļa ieņēmumiem, milj. latu</w:t>
      </w:r>
    </w:p>
    <w:tbl>
      <w:tblPr>
        <w:tblW w:w="0" w:type="auto"/>
        <w:jc w:val="center"/>
        <w:tblInd w:w="-317"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1E0" w:firstRow="1" w:lastRow="1" w:firstColumn="1" w:lastColumn="1" w:noHBand="0" w:noVBand="0"/>
      </w:tblPr>
      <w:tblGrid>
        <w:gridCol w:w="6115"/>
        <w:gridCol w:w="974"/>
      </w:tblGrid>
      <w:tr w:rsidR="008D3540" w:rsidRPr="008F4CFF" w:rsidTr="00311BF6">
        <w:trPr>
          <w:jc w:val="center"/>
        </w:trPr>
        <w:tc>
          <w:tcPr>
            <w:tcW w:w="6115" w:type="dxa"/>
            <w:tcBorders>
              <w:top w:val="double" w:sz="6" w:space="0" w:color="auto"/>
            </w:tcBorders>
          </w:tcPr>
          <w:p w:rsidR="008D3540" w:rsidRPr="008F4CFF" w:rsidRDefault="008D3540" w:rsidP="002D62B9">
            <w:pPr>
              <w:pStyle w:val="tabteksts"/>
            </w:pPr>
          </w:p>
        </w:tc>
        <w:tc>
          <w:tcPr>
            <w:tcW w:w="974" w:type="dxa"/>
            <w:tcBorders>
              <w:top w:val="double" w:sz="6" w:space="0" w:color="auto"/>
            </w:tcBorders>
          </w:tcPr>
          <w:p w:rsidR="008D3540" w:rsidRPr="008F4CFF" w:rsidRDefault="008D3540" w:rsidP="002D62B9">
            <w:pPr>
              <w:pStyle w:val="tabteksts"/>
              <w:tabs>
                <w:tab w:val="decimal" w:pos="-12114"/>
              </w:tabs>
              <w:jc w:val="center"/>
              <w:rPr>
                <w:b/>
              </w:rPr>
            </w:pPr>
            <w:r w:rsidRPr="008F4CFF">
              <w:rPr>
                <w:b/>
              </w:rPr>
              <w:t>2012</w:t>
            </w:r>
          </w:p>
        </w:tc>
      </w:tr>
      <w:tr w:rsidR="008D3540" w:rsidRPr="008F4CFF" w:rsidTr="00311BF6">
        <w:trPr>
          <w:jc w:val="center"/>
        </w:trPr>
        <w:tc>
          <w:tcPr>
            <w:tcW w:w="6115" w:type="dxa"/>
            <w:tcBorders>
              <w:top w:val="double" w:sz="6" w:space="0" w:color="auto"/>
              <w:bottom w:val="single" w:sz="4" w:space="0" w:color="auto"/>
            </w:tcBorders>
          </w:tcPr>
          <w:p w:rsidR="008D3540" w:rsidRPr="008F4CFF" w:rsidRDefault="008D3540" w:rsidP="002D62B9">
            <w:pPr>
              <w:pStyle w:val="tabteksts"/>
            </w:pPr>
            <w:r w:rsidRPr="008F4CFF">
              <w:t>Ierobežojumi akcīzes preču ievešanu no trešajām valstīm, ne biežāk kā vienu reizi septiņās dienās līdzšinējo reizi dienā vietā</w:t>
            </w:r>
          </w:p>
        </w:tc>
        <w:tc>
          <w:tcPr>
            <w:tcW w:w="974" w:type="dxa"/>
            <w:tcBorders>
              <w:top w:val="double" w:sz="6" w:space="0" w:color="auto"/>
              <w:bottom w:val="single" w:sz="4" w:space="0" w:color="auto"/>
            </w:tcBorders>
          </w:tcPr>
          <w:p w:rsidR="008D3540" w:rsidRPr="008F4CFF" w:rsidRDefault="008D3540" w:rsidP="002D62B9">
            <w:pPr>
              <w:pStyle w:val="tabteksts"/>
              <w:tabs>
                <w:tab w:val="decimal" w:pos="458"/>
              </w:tabs>
              <w:jc w:val="both"/>
            </w:pPr>
            <w:r w:rsidRPr="008F4CFF">
              <w:t>+1,6</w:t>
            </w:r>
          </w:p>
        </w:tc>
      </w:tr>
      <w:tr w:rsidR="008D3540" w:rsidRPr="008F4CFF" w:rsidTr="00311BF6">
        <w:trPr>
          <w:jc w:val="center"/>
        </w:trPr>
        <w:tc>
          <w:tcPr>
            <w:tcW w:w="6115" w:type="dxa"/>
            <w:tcBorders>
              <w:top w:val="single" w:sz="4" w:space="0" w:color="auto"/>
              <w:bottom w:val="single" w:sz="4" w:space="0" w:color="auto"/>
            </w:tcBorders>
          </w:tcPr>
          <w:p w:rsidR="008D3540" w:rsidRPr="008F4CFF" w:rsidRDefault="008D3540" w:rsidP="002D62B9">
            <w:pPr>
              <w:pStyle w:val="tabteksts"/>
            </w:pPr>
            <w:r w:rsidRPr="008F4CFF">
              <w:t>Akcīzes nodokļa atbrīvojuma piemērošana dabasgāzei, ko noteiktiem mērķiem izmanto uzņēmumos, kas atrodas industriālajos parkos</w:t>
            </w:r>
          </w:p>
        </w:tc>
        <w:tc>
          <w:tcPr>
            <w:tcW w:w="974" w:type="dxa"/>
            <w:tcBorders>
              <w:top w:val="single" w:sz="4" w:space="0" w:color="auto"/>
              <w:bottom w:val="single" w:sz="4" w:space="0" w:color="auto"/>
            </w:tcBorders>
          </w:tcPr>
          <w:p w:rsidR="008D3540" w:rsidRPr="008F4CFF" w:rsidRDefault="008D3540" w:rsidP="002D62B9">
            <w:pPr>
              <w:pStyle w:val="tabteksts"/>
              <w:tabs>
                <w:tab w:val="decimal" w:pos="458"/>
              </w:tabs>
              <w:jc w:val="both"/>
            </w:pPr>
            <w:r w:rsidRPr="008F4CFF">
              <w:t>-0,1</w:t>
            </w:r>
          </w:p>
        </w:tc>
      </w:tr>
      <w:tr w:rsidR="008D3540" w:rsidRPr="008F4CFF" w:rsidTr="00311BF6">
        <w:trPr>
          <w:jc w:val="center"/>
        </w:trPr>
        <w:tc>
          <w:tcPr>
            <w:tcW w:w="6115" w:type="dxa"/>
            <w:tcBorders>
              <w:top w:val="single" w:sz="4" w:space="0" w:color="auto"/>
            </w:tcBorders>
          </w:tcPr>
          <w:p w:rsidR="008D3540" w:rsidRPr="008F4CFF" w:rsidRDefault="008D3540" w:rsidP="002D62B9">
            <w:pPr>
              <w:pStyle w:val="tabteksts"/>
              <w:jc w:val="both"/>
            </w:pPr>
            <w:r w:rsidRPr="008F4CFF">
              <w:t>Nodokļu atbalsta pasākums</w:t>
            </w:r>
          </w:p>
        </w:tc>
        <w:tc>
          <w:tcPr>
            <w:tcW w:w="974" w:type="dxa"/>
            <w:tcBorders>
              <w:top w:val="single" w:sz="4" w:space="0" w:color="auto"/>
            </w:tcBorders>
          </w:tcPr>
          <w:p w:rsidR="008D3540" w:rsidRPr="008F4CFF" w:rsidRDefault="008D3540" w:rsidP="002D62B9">
            <w:pPr>
              <w:pStyle w:val="tabteksts"/>
              <w:tabs>
                <w:tab w:val="decimal" w:pos="458"/>
              </w:tabs>
              <w:jc w:val="both"/>
            </w:pPr>
            <w:r w:rsidRPr="008F4CFF">
              <w:t>+0,2</w:t>
            </w:r>
          </w:p>
        </w:tc>
      </w:tr>
      <w:tr w:rsidR="008D3540" w:rsidRPr="008F4CFF" w:rsidTr="00311BF6">
        <w:trPr>
          <w:jc w:val="center"/>
        </w:trPr>
        <w:tc>
          <w:tcPr>
            <w:tcW w:w="6115" w:type="dxa"/>
          </w:tcPr>
          <w:p w:rsidR="008D3540" w:rsidRPr="008F4CFF" w:rsidRDefault="008D3540" w:rsidP="002D62B9">
            <w:pPr>
              <w:pStyle w:val="tabteksts"/>
              <w:jc w:val="both"/>
            </w:pPr>
            <w:r w:rsidRPr="008F4CFF">
              <w:t>VID administrācijas spējas uzlabošana</w:t>
            </w:r>
          </w:p>
        </w:tc>
        <w:tc>
          <w:tcPr>
            <w:tcW w:w="974" w:type="dxa"/>
          </w:tcPr>
          <w:p w:rsidR="008D3540" w:rsidRPr="008F4CFF" w:rsidRDefault="008D3540" w:rsidP="002D62B9">
            <w:pPr>
              <w:pStyle w:val="tabteksts"/>
              <w:tabs>
                <w:tab w:val="decimal" w:pos="458"/>
              </w:tabs>
              <w:jc w:val="both"/>
            </w:pPr>
            <w:r w:rsidRPr="008F4CFF">
              <w:t>+2,4</w:t>
            </w:r>
          </w:p>
        </w:tc>
      </w:tr>
      <w:tr w:rsidR="008D3540" w:rsidRPr="008F4CFF" w:rsidTr="00311BF6">
        <w:trPr>
          <w:jc w:val="center"/>
        </w:trPr>
        <w:tc>
          <w:tcPr>
            <w:tcW w:w="6115" w:type="dxa"/>
            <w:tcBorders>
              <w:bottom w:val="double" w:sz="6" w:space="0" w:color="auto"/>
            </w:tcBorders>
          </w:tcPr>
          <w:p w:rsidR="008D3540" w:rsidRPr="008F4CFF" w:rsidRDefault="008D3540" w:rsidP="002D62B9">
            <w:pPr>
              <w:pStyle w:val="tabteksts"/>
              <w:jc w:val="both"/>
              <w:rPr>
                <w:b/>
              </w:rPr>
            </w:pPr>
            <w:r w:rsidRPr="008F4CFF">
              <w:rPr>
                <w:b/>
              </w:rPr>
              <w:t>Izmaiņu ietekme kopā:</w:t>
            </w:r>
          </w:p>
        </w:tc>
        <w:tc>
          <w:tcPr>
            <w:tcW w:w="974" w:type="dxa"/>
            <w:tcBorders>
              <w:bottom w:val="double" w:sz="6" w:space="0" w:color="auto"/>
            </w:tcBorders>
          </w:tcPr>
          <w:p w:rsidR="008D3540" w:rsidRPr="008F4CFF" w:rsidRDefault="008D3540" w:rsidP="002D62B9">
            <w:pPr>
              <w:pStyle w:val="tabteksts"/>
              <w:tabs>
                <w:tab w:val="decimal" w:pos="458"/>
              </w:tabs>
              <w:jc w:val="both"/>
              <w:rPr>
                <w:b/>
              </w:rPr>
            </w:pPr>
            <w:r w:rsidRPr="008F4CFF">
              <w:rPr>
                <w:b/>
              </w:rPr>
              <w:t>+4,1</w:t>
            </w:r>
          </w:p>
        </w:tc>
      </w:tr>
    </w:tbl>
    <w:p w:rsidR="008D3540" w:rsidRPr="008F4CFF" w:rsidRDefault="008D3540" w:rsidP="002D62B9">
      <w:pPr>
        <w:pStyle w:val="T"/>
        <w:spacing w:after="0"/>
      </w:pPr>
    </w:p>
    <w:p w:rsidR="008D3540" w:rsidRPr="00CC74C7" w:rsidRDefault="008D3540" w:rsidP="002D62B9">
      <w:pPr>
        <w:pStyle w:val="H4"/>
        <w:rPr>
          <w:rFonts w:ascii="Times New Roman" w:hAnsi="Times New Roman"/>
          <w:sz w:val="24"/>
          <w:szCs w:val="24"/>
        </w:rPr>
      </w:pPr>
      <w:r w:rsidRPr="00CC74C7">
        <w:rPr>
          <w:rFonts w:ascii="Times New Roman" w:hAnsi="Times New Roman"/>
          <w:sz w:val="24"/>
          <w:szCs w:val="24"/>
        </w:rPr>
        <w:t>Nekustamā īpašuma nodoklis</w:t>
      </w:r>
    </w:p>
    <w:p w:rsidR="008D3540" w:rsidRPr="008F4CFF" w:rsidRDefault="008D3540" w:rsidP="002D62B9">
      <w:r w:rsidRPr="008F4CFF">
        <w:t>2012. gadā nekustamā īpašuma nodokļa ieņēmumi tiek prognozēti ar 1,8</w:t>
      </w:r>
      <w:r w:rsidR="00B35038">
        <w:t> </w:t>
      </w:r>
      <w:r w:rsidRPr="008F4CFF">
        <w:t>% pieaugumu salīdzinājumā ar 2011. gadu, ko ietekmē arī izmaiņas likumdošanā.</w:t>
      </w:r>
    </w:p>
    <w:p w:rsidR="008D3540" w:rsidRPr="008F4CFF" w:rsidRDefault="008D3540" w:rsidP="002D62B9">
      <w:r w:rsidRPr="008F4CFF">
        <w:t>2011. gadā tika izstrādāti un apstiprināti grozījumi likumā „Par nekustamā īpašuma nodokli”, kas ar 2012. gadu paredz izmaiņas nekustamā īpašuma nodokļa jomā.</w:t>
      </w:r>
    </w:p>
    <w:p w:rsidR="008D3540" w:rsidRPr="008F4CFF" w:rsidRDefault="008D3540" w:rsidP="002D62B9">
      <w:r w:rsidRPr="008F4CFF">
        <w:t>Ar 2012. gada 1. janvāri ar nekustamā īpašuma nodokli tiek apliktas dzīvojamo māju palīgēkas (ja pašvaldība savos saistošajos noteikumos nav noteikusi citādi), kas pārsniedz 25</w:t>
      </w:r>
      <w:r w:rsidR="00B35038">
        <w:t> </w:t>
      </w:r>
      <w:r w:rsidRPr="008F4CFF">
        <w:t>m</w:t>
      </w:r>
      <w:r w:rsidRPr="008F4CFF">
        <w:rPr>
          <w:vertAlign w:val="superscript"/>
        </w:rPr>
        <w:t>2</w:t>
      </w:r>
      <w:r w:rsidRPr="008F4CFF">
        <w:t xml:space="preserve"> platību un tām tiek piemērota tāda pati nodokļu likme kā dzīvojamām mājām. Tāpat ar 2012. gada 1. janvāri ar nekustamā īpašuma nodokli tiek apliktas inženierbūves - laukumi, kas tiek izmantoti kā transportlīdzekļu maksas stāvlaukumi (ja pašvaldība to noteikusi saistošajos noteikumos), kā arī nekustamā īpašuma nodoklis tiek piemērots reliģiskajām organizācijām piederošajām dzīvojamām mājām un to piekritīgajai zemei, ja tās netiek izmantotas saimnieciskajā darbībā. </w:t>
      </w:r>
    </w:p>
    <w:p w:rsidR="008D3540" w:rsidRPr="008F4CFF" w:rsidRDefault="008D3540" w:rsidP="002D62B9">
      <w:r w:rsidRPr="008F4CFF">
        <w:t>No 2012. gada 1. janvāra tiek atcelts nekustamā īpašuma nodokļa pieauguma ierobežojums 25</w:t>
      </w:r>
      <w:r w:rsidR="00F3620B">
        <w:t> </w:t>
      </w:r>
      <w:r w:rsidRPr="008F4CFF">
        <w:t xml:space="preserve">% apmērā zemei. Pašvaldībām, izdodot saistošos noteikumus, ir tiesības 2012. gadā piemērot nodokļa apmēra pieauguma ierobežojumu zemei vai saglabāt nodokļa apmēru zemei 2011. gada līmenī, kā arī noteikt šā pieauguma ierobežojuma apmēru un piemērošanas nosacījumus. </w:t>
      </w:r>
    </w:p>
    <w:p w:rsidR="008D3540" w:rsidRPr="008F4CFF" w:rsidRDefault="008D3540" w:rsidP="002D62B9">
      <w:r w:rsidRPr="008F4CFF">
        <w:t>Augstāk minēto likumdošanas izmaiņu ietekme uz nekustamā īpašuma nodokļa ieņēmumiem novērtēta +4,0 milj. latu apmērā.</w:t>
      </w:r>
    </w:p>
    <w:p w:rsidR="008D3540" w:rsidRPr="008F4CFF" w:rsidRDefault="008D3540" w:rsidP="002D62B9">
      <w:r w:rsidRPr="008F4CFF">
        <w:t>Pašreiz nekustamā īpašuma nodokļa politika tiek vērsta uz pašvaldību tiesību paplašināšanu attiecībā uz nekustamā īpašuma nodokļa normu noteikšanu. Saskaņā ar Ministru kabineta atbalstīto informatīvo ziņojumu „Par priekšlikumiem nekustamā īpašuma nodokļa piemērošanai 2012. gadā un turpmākajos gados” turpmāk paredzēts piešķirt lielākas tiesības pašvaldībām nekustamā īpašuma nodokļa likmes, nodokļa pieauguma ierobežojumu zemei noteikšanā, kā arī citu normu noteikšanā.</w:t>
      </w:r>
    </w:p>
    <w:p w:rsidR="008D3540" w:rsidRPr="008F4CFF" w:rsidRDefault="008D3540" w:rsidP="002D62B9">
      <w:pPr>
        <w:pStyle w:val="H4"/>
      </w:pPr>
    </w:p>
    <w:p w:rsidR="008D3540" w:rsidRPr="00CC74C7" w:rsidRDefault="008D3540" w:rsidP="002D62B9">
      <w:pPr>
        <w:pStyle w:val="H4"/>
        <w:rPr>
          <w:rFonts w:ascii="Times New Roman" w:hAnsi="Times New Roman"/>
          <w:sz w:val="24"/>
          <w:szCs w:val="24"/>
        </w:rPr>
      </w:pPr>
      <w:r w:rsidRPr="00CC74C7">
        <w:rPr>
          <w:rFonts w:ascii="Times New Roman" w:hAnsi="Times New Roman"/>
          <w:sz w:val="24"/>
          <w:szCs w:val="24"/>
        </w:rPr>
        <w:t>Iedzīvotāju ienākuma nodoklis</w:t>
      </w:r>
    </w:p>
    <w:p w:rsidR="008D3540" w:rsidRPr="008F4CFF" w:rsidRDefault="008D3540" w:rsidP="002D62B9">
      <w:pPr>
        <w:rPr>
          <w:iCs/>
        </w:rPr>
      </w:pPr>
      <w:r w:rsidRPr="008F4CFF">
        <w:rPr>
          <w:iCs/>
        </w:rPr>
        <w:t>Sākoties ekonomikas lejupslīdei, 2009.</w:t>
      </w:r>
      <w:r w:rsidR="00F3620B">
        <w:rPr>
          <w:iCs/>
        </w:rPr>
        <w:t> </w:t>
      </w:r>
      <w:r w:rsidRPr="008F4CFF">
        <w:rPr>
          <w:iCs/>
        </w:rPr>
        <w:t>gadā iedzīvotāju ienākuma nodokļa ieņēmumi būtiski samazinājās, ko ietekmēja arī iedzīvotāju ienākuma nodokļa likmes samazinājums no 25</w:t>
      </w:r>
      <w:r w:rsidR="00CC74C7">
        <w:rPr>
          <w:iCs/>
        </w:rPr>
        <w:t xml:space="preserve"> </w:t>
      </w:r>
      <w:r w:rsidRPr="008F4CFF">
        <w:rPr>
          <w:iCs/>
        </w:rPr>
        <w:t>% līdz 23</w:t>
      </w:r>
      <w:r w:rsidR="00CC74C7">
        <w:rPr>
          <w:iCs/>
        </w:rPr>
        <w:t xml:space="preserve"> </w:t>
      </w:r>
      <w:r w:rsidRPr="008F4CFF">
        <w:rPr>
          <w:iCs/>
        </w:rPr>
        <w:t>%. To nespēja kompensēt ar iedzīvotāju ienākuma nodokli neapliekamā minimuma samazināšana no 90 latiem līdz 35 latiem mēnesī (sākot ar 2009.</w:t>
      </w:r>
      <w:r w:rsidR="00F3620B">
        <w:rPr>
          <w:iCs/>
        </w:rPr>
        <w:t> </w:t>
      </w:r>
      <w:r w:rsidRPr="008F4CFF">
        <w:rPr>
          <w:iCs/>
        </w:rPr>
        <w:t>gada 1.</w:t>
      </w:r>
      <w:r w:rsidR="00F3620B">
        <w:rPr>
          <w:iCs/>
        </w:rPr>
        <w:t> </w:t>
      </w:r>
      <w:r w:rsidRPr="008F4CFF">
        <w:rPr>
          <w:iCs/>
        </w:rPr>
        <w:t xml:space="preserve">jūliju). Tomēr, ekonomikai attīstoties, 2011. gadā iedzīvotāju ienākuma nodokļa ieņēmumi pieauga, </w:t>
      </w:r>
      <w:r w:rsidRPr="008F4CFF">
        <w:rPr>
          <w:iCs/>
        </w:rPr>
        <w:lastRenderedPageBreak/>
        <w:t>neskatoties uz 2011. gadā veiktajām izmaiņām likumdošanas normās, tai skaitā, likmes samazināšanu no 26% uz 25%, neapliekamā minimuma palielināšanu no 35 latiem uz 45 latiem mēnesī un atvieglojuma apmēra par apgādībā esošu personu palielināšana no 63 latiem uz 70 latiem mēnesī.</w:t>
      </w:r>
    </w:p>
    <w:p w:rsidR="008D3540" w:rsidRPr="008F4CFF" w:rsidRDefault="008D3540" w:rsidP="002D62B9">
      <w:r w:rsidRPr="008F4CFF">
        <w:rPr>
          <w:iCs/>
        </w:rPr>
        <w:t>Vidēja termiņa makroekonomiskās attīstības prognozes no 2012. gada paredz darba samaksas fonda palielināšanos, kas savukārt palielinās darba nodokļu ieņēmumus turpmāko gadu laikā. Tāpat iedzīvotāju ienākuma nodokļa ieņēmumus ietekmēs veiktās likumdošanas izmaiņas.</w:t>
      </w:r>
    </w:p>
    <w:p w:rsidR="008D3540" w:rsidRPr="008F4CFF" w:rsidRDefault="008D3540" w:rsidP="002D62B9">
      <w:pPr>
        <w:rPr>
          <w:iCs/>
        </w:rPr>
      </w:pPr>
      <w:r w:rsidRPr="008F4CFF">
        <w:rPr>
          <w:iCs/>
        </w:rPr>
        <w:t>2012. gadā iedzīvotāju ienākuma nodokļa ieņēmumi tiek prognozēti ar 4,3</w:t>
      </w:r>
      <w:r w:rsidR="00F3620B">
        <w:rPr>
          <w:iCs/>
        </w:rPr>
        <w:t> </w:t>
      </w:r>
      <w:r w:rsidRPr="008F4CFF">
        <w:rPr>
          <w:iCs/>
        </w:rPr>
        <w:t>% pieaugumu attiecībā pret 2011. gadu.</w:t>
      </w:r>
    </w:p>
    <w:p w:rsidR="008D3540" w:rsidRPr="008F4CFF" w:rsidRDefault="008D3540" w:rsidP="002D62B9">
      <w:pPr>
        <w:rPr>
          <w:iCs/>
        </w:rPr>
      </w:pPr>
      <w:r w:rsidRPr="008F4CFF">
        <w:rPr>
          <w:iCs/>
        </w:rPr>
        <w:t xml:space="preserve">Ar 2012. gada 1. janvāri tika mainīta iedzīvotāju ienākuma nodokļa samaksas kārtība metāllūžņiem, paredzot, ka iedzīvotāju ienākuma nodoklis tiek ieturēts izmaksas vietā. </w:t>
      </w:r>
    </w:p>
    <w:p w:rsidR="008D3540" w:rsidRPr="008F4CFF" w:rsidRDefault="008D3540" w:rsidP="002D62B9">
      <w:pPr>
        <w:rPr>
          <w:iCs/>
        </w:rPr>
      </w:pPr>
      <w:r w:rsidRPr="008F4CFF">
        <w:rPr>
          <w:iCs/>
        </w:rPr>
        <w:t>Tāpat ar 2012. gada 1. janvāri  stājās spēkā likumdošanas izmaiņas, kas tika veiktas ar mērķi stiprināt mazu un mikrouzņēmumu administrēšanu, nosakot vispārēju iedzīvotāju ienākuma nodokļa režīmu attiecībā uz pakalpojumu līgumu, uzņēmumu līgumu, darbaspēka nomu u.c. pakalpojumu saņemšanu no mikrouzņēmumiem.</w:t>
      </w:r>
    </w:p>
    <w:p w:rsidR="008D3540" w:rsidRPr="008F4CFF" w:rsidRDefault="008D3540" w:rsidP="002D62B9">
      <w:pPr>
        <w:rPr>
          <w:iCs/>
        </w:rPr>
      </w:pPr>
      <w:r w:rsidRPr="008F4CFF">
        <w:rPr>
          <w:iCs/>
        </w:rPr>
        <w:t>2012. gadā tika mainīta iedzīvotāju ienākuma nodokļa ieņēmumu proporcija starp valsts un pašvaldību budžetiem, attiecīgi no 18</w:t>
      </w:r>
      <w:r w:rsidR="00F3620B">
        <w:rPr>
          <w:iCs/>
        </w:rPr>
        <w:t> </w:t>
      </w:r>
      <w:r w:rsidRPr="008F4CFF">
        <w:rPr>
          <w:iCs/>
        </w:rPr>
        <w:t>% uz 20</w:t>
      </w:r>
      <w:r w:rsidR="00F3620B">
        <w:rPr>
          <w:iCs/>
        </w:rPr>
        <w:t> </w:t>
      </w:r>
      <w:r w:rsidRPr="008F4CFF">
        <w:rPr>
          <w:iCs/>
        </w:rPr>
        <w:t>% un no 82</w:t>
      </w:r>
      <w:r w:rsidR="00F3620B">
        <w:rPr>
          <w:iCs/>
        </w:rPr>
        <w:t> </w:t>
      </w:r>
      <w:r w:rsidRPr="008F4CFF">
        <w:rPr>
          <w:iCs/>
        </w:rPr>
        <w:t>% uz 80 procentiem. Kopējos iedzīvotāju ienākuma nodokļa ieņēmumus šīs likumdošanas izmaiņas neietekmē, tomēr tās ietekmē iedzīvotāju ienākuma nodokļa ieņēmumus gan valsts, gan pašvaldību budžetos.</w:t>
      </w:r>
    </w:p>
    <w:p w:rsidR="008D3540" w:rsidRPr="008F4CFF" w:rsidRDefault="008D3540" w:rsidP="002D62B9">
      <w:pPr>
        <w:rPr>
          <w:iCs/>
        </w:rPr>
      </w:pPr>
      <w:r w:rsidRPr="008F4CFF">
        <w:rPr>
          <w:iCs/>
        </w:rPr>
        <w:t>Saskaņā ar likumprojektu „Nodokļu atbalsta pasākuma likums”, 2012. gadā plānoti papildus ieņēmumi iedzīvotāju ienākuma nodokļa ieņēmumos no parādu maksājumiem.</w:t>
      </w:r>
    </w:p>
    <w:p w:rsidR="008D3540" w:rsidRPr="00A340F1" w:rsidRDefault="0000329C" w:rsidP="002D62B9">
      <w:pPr>
        <w:pStyle w:val="T"/>
        <w:jc w:val="right"/>
        <w:rPr>
          <w:rFonts w:ascii="Times New Roman" w:hAnsi="Times New Roman"/>
          <w:b w:val="0"/>
        </w:rPr>
      </w:pPr>
      <w:r>
        <w:rPr>
          <w:rFonts w:ascii="Times New Roman" w:hAnsi="Times New Roman"/>
          <w:b w:val="0"/>
        </w:rPr>
        <w:t>7</w:t>
      </w:r>
      <w:r w:rsidR="008D3540" w:rsidRPr="00A340F1">
        <w:rPr>
          <w:rFonts w:ascii="Times New Roman" w:hAnsi="Times New Roman"/>
          <w:b w:val="0"/>
        </w:rPr>
        <w:t>.6. tabula. Nodokļu politikas izmaiņu ietekme</w:t>
      </w:r>
      <w:r w:rsidR="008D3540" w:rsidRPr="00A340F1">
        <w:rPr>
          <w:rFonts w:ascii="Times New Roman" w:hAnsi="Times New Roman"/>
          <w:b w:val="0"/>
        </w:rPr>
        <w:br/>
        <w:t>uz iedzīvotāju ienākuma nodokļa ieņēmumiem, milj. latu</w:t>
      </w:r>
    </w:p>
    <w:tbl>
      <w:tblPr>
        <w:tblW w:w="7598" w:type="dxa"/>
        <w:jc w:val="center"/>
        <w:tblInd w:w="-3617"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1E0" w:firstRow="1" w:lastRow="1" w:firstColumn="1" w:lastColumn="1" w:noHBand="0" w:noVBand="0"/>
      </w:tblPr>
      <w:tblGrid>
        <w:gridCol w:w="6605"/>
        <w:gridCol w:w="993"/>
      </w:tblGrid>
      <w:tr w:rsidR="008D3540" w:rsidRPr="008F4CFF" w:rsidTr="00311BF6">
        <w:trPr>
          <w:jc w:val="center"/>
        </w:trPr>
        <w:tc>
          <w:tcPr>
            <w:tcW w:w="6605" w:type="dxa"/>
            <w:tcBorders>
              <w:top w:val="double" w:sz="6" w:space="0" w:color="auto"/>
            </w:tcBorders>
            <w:shd w:val="clear" w:color="auto" w:fill="auto"/>
          </w:tcPr>
          <w:p w:rsidR="008D3540" w:rsidRPr="008F4CFF" w:rsidRDefault="008D3540" w:rsidP="002D62B9">
            <w:pPr>
              <w:pStyle w:val="tabteksts"/>
            </w:pPr>
          </w:p>
        </w:tc>
        <w:tc>
          <w:tcPr>
            <w:tcW w:w="993" w:type="dxa"/>
            <w:tcBorders>
              <w:top w:val="double" w:sz="6" w:space="0" w:color="auto"/>
            </w:tcBorders>
          </w:tcPr>
          <w:p w:rsidR="008D3540" w:rsidRPr="008F4CFF" w:rsidRDefault="008D3540" w:rsidP="002D62B9">
            <w:pPr>
              <w:pStyle w:val="tabteksts"/>
              <w:tabs>
                <w:tab w:val="decimal" w:pos="-12114"/>
              </w:tabs>
              <w:jc w:val="center"/>
              <w:rPr>
                <w:b/>
              </w:rPr>
            </w:pPr>
            <w:r w:rsidRPr="008F4CFF">
              <w:rPr>
                <w:b/>
              </w:rPr>
              <w:t>2012</w:t>
            </w:r>
          </w:p>
        </w:tc>
      </w:tr>
      <w:tr w:rsidR="008D3540" w:rsidRPr="008F4CFF" w:rsidTr="00311BF6">
        <w:trPr>
          <w:jc w:val="center"/>
        </w:trPr>
        <w:tc>
          <w:tcPr>
            <w:tcW w:w="6605" w:type="dxa"/>
            <w:shd w:val="clear" w:color="auto" w:fill="auto"/>
          </w:tcPr>
          <w:p w:rsidR="008D3540" w:rsidRPr="008F4CFF" w:rsidRDefault="008D3540" w:rsidP="002D62B9">
            <w:pPr>
              <w:pStyle w:val="tabteksts"/>
              <w:jc w:val="both"/>
            </w:pPr>
            <w:r w:rsidRPr="008F4CFF">
              <w:t>Samaksas kārtības maiņa metāllūžņiem</w:t>
            </w:r>
          </w:p>
        </w:tc>
        <w:tc>
          <w:tcPr>
            <w:tcW w:w="993" w:type="dxa"/>
            <w:vAlign w:val="center"/>
          </w:tcPr>
          <w:p w:rsidR="008D3540" w:rsidRPr="008F4CFF" w:rsidRDefault="008D3540" w:rsidP="002D62B9">
            <w:pPr>
              <w:pStyle w:val="tabteksts"/>
              <w:jc w:val="center"/>
            </w:pPr>
            <w:r w:rsidRPr="008F4CFF">
              <w:t>+3,7</w:t>
            </w:r>
          </w:p>
        </w:tc>
      </w:tr>
      <w:tr w:rsidR="008D3540" w:rsidRPr="008F4CFF" w:rsidTr="00311BF6">
        <w:trPr>
          <w:jc w:val="center"/>
        </w:trPr>
        <w:tc>
          <w:tcPr>
            <w:tcW w:w="6605" w:type="dxa"/>
            <w:tcBorders>
              <w:bottom w:val="single" w:sz="4" w:space="0" w:color="auto"/>
            </w:tcBorders>
            <w:shd w:val="clear" w:color="auto" w:fill="auto"/>
          </w:tcPr>
          <w:p w:rsidR="008D3540" w:rsidRPr="008F4CFF" w:rsidRDefault="008D3540" w:rsidP="002D62B9">
            <w:pPr>
              <w:pStyle w:val="tabteksts"/>
              <w:jc w:val="both"/>
            </w:pPr>
            <w:r w:rsidRPr="008F4CFF">
              <w:t>Mazu un mikro uzņēmumu administrēšanas stiprināšana</w:t>
            </w:r>
          </w:p>
        </w:tc>
        <w:tc>
          <w:tcPr>
            <w:tcW w:w="993" w:type="dxa"/>
            <w:tcBorders>
              <w:bottom w:val="single" w:sz="4" w:space="0" w:color="auto"/>
            </w:tcBorders>
            <w:vAlign w:val="center"/>
          </w:tcPr>
          <w:p w:rsidR="008D3540" w:rsidRPr="008F4CFF" w:rsidRDefault="008D3540" w:rsidP="002D62B9">
            <w:pPr>
              <w:pStyle w:val="tabteksts"/>
              <w:jc w:val="center"/>
            </w:pPr>
            <w:r w:rsidRPr="008F4CFF">
              <w:t>+1,0</w:t>
            </w:r>
          </w:p>
        </w:tc>
      </w:tr>
      <w:tr w:rsidR="008D3540" w:rsidRPr="008F4CFF" w:rsidTr="00311BF6">
        <w:trPr>
          <w:jc w:val="center"/>
        </w:trPr>
        <w:tc>
          <w:tcPr>
            <w:tcW w:w="6605" w:type="dxa"/>
            <w:tcBorders>
              <w:top w:val="single" w:sz="4" w:space="0" w:color="auto"/>
              <w:bottom w:val="double" w:sz="6" w:space="0" w:color="auto"/>
            </w:tcBorders>
            <w:shd w:val="clear" w:color="auto" w:fill="auto"/>
          </w:tcPr>
          <w:p w:rsidR="008D3540" w:rsidRPr="008F4CFF" w:rsidRDefault="008D3540" w:rsidP="002D62B9">
            <w:pPr>
              <w:pStyle w:val="tabteksts"/>
              <w:jc w:val="both"/>
            </w:pPr>
            <w:r w:rsidRPr="008F4CFF">
              <w:t>Nodokļu atbalsta pasākums</w:t>
            </w:r>
          </w:p>
        </w:tc>
        <w:tc>
          <w:tcPr>
            <w:tcW w:w="993" w:type="dxa"/>
            <w:tcBorders>
              <w:top w:val="single" w:sz="4" w:space="0" w:color="auto"/>
              <w:bottom w:val="double" w:sz="6" w:space="0" w:color="auto"/>
            </w:tcBorders>
            <w:vAlign w:val="center"/>
          </w:tcPr>
          <w:p w:rsidR="008D3540" w:rsidRPr="008F4CFF" w:rsidRDefault="008D3540" w:rsidP="002D62B9">
            <w:pPr>
              <w:pStyle w:val="tabteksts"/>
              <w:jc w:val="center"/>
            </w:pPr>
            <w:r w:rsidRPr="008F4CFF">
              <w:t>+4,4</w:t>
            </w:r>
          </w:p>
        </w:tc>
      </w:tr>
      <w:tr w:rsidR="008D3540" w:rsidRPr="008F4CFF" w:rsidTr="00311BF6">
        <w:trPr>
          <w:jc w:val="center"/>
        </w:trPr>
        <w:tc>
          <w:tcPr>
            <w:tcW w:w="6605" w:type="dxa"/>
            <w:tcBorders>
              <w:bottom w:val="double" w:sz="6" w:space="0" w:color="auto"/>
            </w:tcBorders>
            <w:shd w:val="clear" w:color="auto" w:fill="auto"/>
          </w:tcPr>
          <w:p w:rsidR="008D3540" w:rsidRPr="008F4CFF" w:rsidRDefault="008D3540" w:rsidP="002D62B9">
            <w:pPr>
              <w:pStyle w:val="tabteksts"/>
              <w:jc w:val="both"/>
              <w:rPr>
                <w:b/>
              </w:rPr>
            </w:pPr>
            <w:r w:rsidRPr="008F4CFF">
              <w:rPr>
                <w:b/>
              </w:rPr>
              <w:t>Izmaiņu ietekme kopā:</w:t>
            </w:r>
          </w:p>
        </w:tc>
        <w:tc>
          <w:tcPr>
            <w:tcW w:w="993" w:type="dxa"/>
            <w:tcBorders>
              <w:bottom w:val="double" w:sz="6" w:space="0" w:color="auto"/>
            </w:tcBorders>
          </w:tcPr>
          <w:p w:rsidR="008D3540" w:rsidRPr="008F4CFF" w:rsidRDefault="008D3540" w:rsidP="002D62B9">
            <w:pPr>
              <w:pStyle w:val="tabteksts"/>
              <w:jc w:val="center"/>
              <w:rPr>
                <w:b/>
              </w:rPr>
            </w:pPr>
            <w:r w:rsidRPr="008F4CFF">
              <w:rPr>
                <w:b/>
              </w:rPr>
              <w:t>+9,1</w:t>
            </w:r>
          </w:p>
        </w:tc>
      </w:tr>
    </w:tbl>
    <w:p w:rsidR="008D3540" w:rsidRPr="008F4CFF" w:rsidRDefault="008D3540" w:rsidP="002D62B9"/>
    <w:p w:rsidR="008D3540" w:rsidRPr="00CC74C7" w:rsidRDefault="008D3540" w:rsidP="002D62B9">
      <w:pPr>
        <w:pStyle w:val="H4"/>
        <w:rPr>
          <w:rFonts w:ascii="Times New Roman" w:hAnsi="Times New Roman"/>
          <w:sz w:val="24"/>
          <w:szCs w:val="24"/>
        </w:rPr>
      </w:pPr>
      <w:r w:rsidRPr="00CC74C7">
        <w:rPr>
          <w:rFonts w:ascii="Times New Roman" w:hAnsi="Times New Roman"/>
          <w:sz w:val="24"/>
          <w:szCs w:val="24"/>
        </w:rPr>
        <w:t>Sociālās apdrošināšanas iemaksas</w:t>
      </w:r>
      <w:r w:rsidRPr="00CC74C7">
        <w:rPr>
          <w:rStyle w:val="FootnoteReference"/>
          <w:rFonts w:ascii="Times New Roman" w:hAnsi="Times New Roman"/>
          <w:sz w:val="24"/>
          <w:szCs w:val="24"/>
        </w:rPr>
        <w:footnoteReference w:id="7"/>
      </w:r>
    </w:p>
    <w:p w:rsidR="008D3540" w:rsidRPr="008F4CFF" w:rsidRDefault="008D3540" w:rsidP="002D62B9">
      <w:r w:rsidRPr="008F4CFF">
        <w:rPr>
          <w:iCs/>
        </w:rPr>
        <w:t xml:space="preserve">Vidēja termiņa sociālās apdrošināšanas iemaksu ieņēmumu dinamiku noteiks ne tikai prognozētais darba samaksas fonda pieaugums, bet arī veiktās izmaiņas likumdošanā, kas stājās spēkā 2012. gadā, un izmaiņas iemaksu likmēs valsts fondēto pensiju shēmā, jo, </w:t>
      </w:r>
      <w:r w:rsidR="00000D13">
        <w:rPr>
          <w:iCs/>
        </w:rPr>
        <w:t>saskaņā ar</w:t>
      </w:r>
      <w:r w:rsidRPr="008F4CFF">
        <w:t xml:space="preserve"> EKS </w:t>
      </w:r>
      <w:r w:rsidR="00000D13">
        <w:t>metodoloģiju</w:t>
      </w:r>
      <w:r w:rsidRPr="008F4CFF">
        <w:t>, sociālās apdrošināšanas iemaksas, kas tiek novirzītas valsts fondēto pensiju shēmā, netiek uzskaitītas kā vispārējās valdības budžeta ieņēmumi.</w:t>
      </w:r>
    </w:p>
    <w:p w:rsidR="008D3540" w:rsidRPr="008F4CFF" w:rsidRDefault="008D3540" w:rsidP="002D62B9">
      <w:r w:rsidRPr="008F4CFF">
        <w:t>2012. gadā sociālās apdrošināšanas iemaksas tiek prognozētas ar 3,3</w:t>
      </w:r>
      <w:r w:rsidR="00F3620B">
        <w:t> </w:t>
      </w:r>
      <w:r w:rsidRPr="008F4CFF">
        <w:t>% pieaugumu attiecībā pret 2011. gadu.</w:t>
      </w:r>
    </w:p>
    <w:p w:rsidR="008D3540" w:rsidRPr="008F4CFF" w:rsidRDefault="008D3540" w:rsidP="002D62B9">
      <w:pPr>
        <w:rPr>
          <w:iCs/>
        </w:rPr>
      </w:pPr>
      <w:r w:rsidRPr="008F4CFF">
        <w:t xml:space="preserve">2012. gadā sociālās apdrošināšanas iemaksu ieņēmumus ietekmē </w:t>
      </w:r>
      <w:r w:rsidRPr="008F4CFF">
        <w:rPr>
          <w:iCs/>
        </w:rPr>
        <w:t>likumdošanas izmaiņas, kas tika veiktas ar mērķi stiprināt mazu un mikro uzņēmumu administrēšanu, nosakot vispārēju iedzīvotāju ienākuma nodokļa režīmu attiecībā uz pakalpojumu līgumu, uzņēmumu līgumu, darbaspēka nomu u.c. pakalpojumu saņemšanu no mikrouzņēmumiem.</w:t>
      </w:r>
    </w:p>
    <w:p w:rsidR="008D3540" w:rsidRPr="008F4CFF" w:rsidRDefault="008D3540" w:rsidP="002D62B9">
      <w:r w:rsidRPr="008F4CFF">
        <w:lastRenderedPageBreak/>
        <w:t xml:space="preserve">Tāpat 2012. gadā papildus ieņēmumi sociālās apdrošināšanas iemaksu ieņēmumos plānoti no parādu maksājumiem saskaņā ar likumprojektu „Nodokļu atbalsta pasākuma likums”. </w:t>
      </w:r>
    </w:p>
    <w:p w:rsidR="008D3540" w:rsidRPr="008F4CFF" w:rsidRDefault="008D3540" w:rsidP="002D62B9">
      <w:r w:rsidRPr="008F4CFF">
        <w:t>2013. gadā plānots paaugstināt iemaksu likmi valsts fondēto pensiju shēmā no 2</w:t>
      </w:r>
      <w:r w:rsidR="004438CE">
        <w:t xml:space="preserve"> </w:t>
      </w:r>
      <w:r w:rsidRPr="008F4CFF">
        <w:t>% uz 6</w:t>
      </w:r>
      <w:r w:rsidR="004438CE">
        <w:t xml:space="preserve"> </w:t>
      </w:r>
      <w:r w:rsidRPr="008F4CFF">
        <w:t>% un nākamajos gados saglabāt to 6</w:t>
      </w:r>
      <w:r w:rsidR="004438CE">
        <w:t xml:space="preserve"> </w:t>
      </w:r>
      <w:r w:rsidRPr="008F4CFF">
        <w:t xml:space="preserve">% līmenī. </w:t>
      </w:r>
    </w:p>
    <w:p w:rsidR="008D3540" w:rsidRPr="00A340F1" w:rsidRDefault="0072579B" w:rsidP="002D62B9">
      <w:pPr>
        <w:pStyle w:val="T"/>
        <w:jc w:val="right"/>
        <w:rPr>
          <w:rFonts w:ascii="Times New Roman" w:hAnsi="Times New Roman"/>
          <w:b w:val="0"/>
        </w:rPr>
      </w:pPr>
      <w:r>
        <w:rPr>
          <w:rFonts w:ascii="Times New Roman" w:hAnsi="Times New Roman"/>
          <w:b w:val="0"/>
        </w:rPr>
        <w:t>7</w:t>
      </w:r>
      <w:r w:rsidR="008D3540" w:rsidRPr="00A340F1">
        <w:rPr>
          <w:rFonts w:ascii="Times New Roman" w:hAnsi="Times New Roman"/>
          <w:b w:val="0"/>
        </w:rPr>
        <w:t>.7. tabula. Nodokļu politikas izmaiņu ietekme</w:t>
      </w:r>
      <w:r w:rsidR="008D3540" w:rsidRPr="00A340F1">
        <w:rPr>
          <w:rFonts w:ascii="Times New Roman" w:hAnsi="Times New Roman"/>
          <w:b w:val="0"/>
        </w:rPr>
        <w:br/>
        <w:t>uz sociālās apdrošināšanas iemaksu ieņēmumiem, milj. latu</w:t>
      </w:r>
    </w:p>
    <w:tbl>
      <w:tblPr>
        <w:tblW w:w="6459" w:type="dxa"/>
        <w:jc w:val="center"/>
        <w:tblInd w:w="127"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1E0" w:firstRow="1" w:lastRow="1" w:firstColumn="1" w:lastColumn="1" w:noHBand="0" w:noVBand="0"/>
      </w:tblPr>
      <w:tblGrid>
        <w:gridCol w:w="5546"/>
        <w:gridCol w:w="913"/>
      </w:tblGrid>
      <w:tr w:rsidR="008D3540" w:rsidRPr="008F4CFF" w:rsidTr="00311BF6">
        <w:trPr>
          <w:jc w:val="center"/>
        </w:trPr>
        <w:tc>
          <w:tcPr>
            <w:tcW w:w="5546" w:type="dxa"/>
            <w:tcBorders>
              <w:top w:val="double" w:sz="6" w:space="0" w:color="auto"/>
            </w:tcBorders>
          </w:tcPr>
          <w:p w:rsidR="008D3540" w:rsidRPr="008F4CFF" w:rsidRDefault="008D3540" w:rsidP="002D62B9">
            <w:pPr>
              <w:pStyle w:val="tabteksts"/>
            </w:pPr>
          </w:p>
        </w:tc>
        <w:tc>
          <w:tcPr>
            <w:tcW w:w="913" w:type="dxa"/>
            <w:tcBorders>
              <w:top w:val="double" w:sz="6" w:space="0" w:color="auto"/>
            </w:tcBorders>
          </w:tcPr>
          <w:p w:rsidR="008D3540" w:rsidRPr="008F4CFF" w:rsidRDefault="008D3540" w:rsidP="002D62B9">
            <w:pPr>
              <w:pStyle w:val="tabteksts"/>
              <w:tabs>
                <w:tab w:val="decimal" w:pos="-12114"/>
              </w:tabs>
              <w:jc w:val="center"/>
              <w:rPr>
                <w:b/>
              </w:rPr>
            </w:pPr>
            <w:r w:rsidRPr="008F4CFF">
              <w:rPr>
                <w:b/>
              </w:rPr>
              <w:t>2012</w:t>
            </w:r>
          </w:p>
        </w:tc>
      </w:tr>
      <w:tr w:rsidR="008D3540" w:rsidRPr="008F4CFF" w:rsidTr="00311BF6">
        <w:trPr>
          <w:trHeight w:val="70"/>
          <w:jc w:val="center"/>
        </w:trPr>
        <w:tc>
          <w:tcPr>
            <w:tcW w:w="5546" w:type="dxa"/>
          </w:tcPr>
          <w:p w:rsidR="008D3540" w:rsidRPr="008F4CFF" w:rsidRDefault="008D3540" w:rsidP="002D62B9">
            <w:pPr>
              <w:pStyle w:val="tabteksts"/>
              <w:jc w:val="both"/>
              <w:rPr>
                <w:szCs w:val="24"/>
                <w:lang w:eastAsia="lv-LV"/>
              </w:rPr>
            </w:pPr>
            <w:r w:rsidRPr="008F4CFF">
              <w:t>Mazu un mikro uzņēmumu administrēšanas stiprināšana</w:t>
            </w:r>
          </w:p>
        </w:tc>
        <w:tc>
          <w:tcPr>
            <w:tcW w:w="913" w:type="dxa"/>
            <w:vAlign w:val="center"/>
          </w:tcPr>
          <w:p w:rsidR="008D3540" w:rsidRPr="008F4CFF" w:rsidRDefault="008D3540" w:rsidP="002D62B9">
            <w:pPr>
              <w:pStyle w:val="tabteksts"/>
              <w:jc w:val="center"/>
            </w:pPr>
            <w:r w:rsidRPr="008F4CFF">
              <w:t>+1,7</w:t>
            </w:r>
          </w:p>
        </w:tc>
      </w:tr>
      <w:tr w:rsidR="008D3540" w:rsidRPr="008F4CFF" w:rsidTr="00311BF6">
        <w:trPr>
          <w:trHeight w:val="70"/>
          <w:jc w:val="center"/>
        </w:trPr>
        <w:tc>
          <w:tcPr>
            <w:tcW w:w="5546" w:type="dxa"/>
          </w:tcPr>
          <w:p w:rsidR="008D3540" w:rsidRPr="008F4CFF" w:rsidRDefault="008D3540" w:rsidP="002D62B9">
            <w:pPr>
              <w:pStyle w:val="tabteksts"/>
              <w:jc w:val="both"/>
              <w:rPr>
                <w:szCs w:val="24"/>
              </w:rPr>
            </w:pPr>
            <w:r w:rsidRPr="008F4CFF">
              <w:t>Nodokļu atbalsta pasākums</w:t>
            </w:r>
          </w:p>
        </w:tc>
        <w:tc>
          <w:tcPr>
            <w:tcW w:w="913" w:type="dxa"/>
            <w:vAlign w:val="center"/>
          </w:tcPr>
          <w:p w:rsidR="008D3540" w:rsidRPr="008F4CFF" w:rsidRDefault="008D3540" w:rsidP="002D62B9">
            <w:pPr>
              <w:pStyle w:val="tabteksts"/>
              <w:jc w:val="center"/>
            </w:pPr>
            <w:r w:rsidRPr="008F4CFF">
              <w:t>+3,1</w:t>
            </w:r>
          </w:p>
        </w:tc>
      </w:tr>
      <w:tr w:rsidR="008D3540" w:rsidRPr="008F4CFF" w:rsidTr="00311BF6">
        <w:trPr>
          <w:jc w:val="center"/>
        </w:trPr>
        <w:tc>
          <w:tcPr>
            <w:tcW w:w="5546" w:type="dxa"/>
            <w:tcBorders>
              <w:bottom w:val="double" w:sz="6" w:space="0" w:color="auto"/>
            </w:tcBorders>
          </w:tcPr>
          <w:p w:rsidR="008D3540" w:rsidRPr="008F4CFF" w:rsidRDefault="008D3540" w:rsidP="002D62B9">
            <w:pPr>
              <w:pStyle w:val="tabteksts"/>
              <w:jc w:val="both"/>
              <w:rPr>
                <w:b/>
              </w:rPr>
            </w:pPr>
            <w:r w:rsidRPr="008F4CFF">
              <w:rPr>
                <w:b/>
              </w:rPr>
              <w:t>Izmaiņu ietekme kopā:</w:t>
            </w:r>
          </w:p>
        </w:tc>
        <w:tc>
          <w:tcPr>
            <w:tcW w:w="913" w:type="dxa"/>
            <w:tcBorders>
              <w:bottom w:val="double" w:sz="6" w:space="0" w:color="auto"/>
            </w:tcBorders>
            <w:vAlign w:val="center"/>
          </w:tcPr>
          <w:p w:rsidR="008D3540" w:rsidRPr="008F4CFF" w:rsidRDefault="008D3540" w:rsidP="002D62B9">
            <w:pPr>
              <w:pStyle w:val="tabteksts"/>
              <w:jc w:val="center"/>
              <w:rPr>
                <w:b/>
              </w:rPr>
            </w:pPr>
            <w:r w:rsidRPr="008F4CFF">
              <w:rPr>
                <w:b/>
              </w:rPr>
              <w:t>+4,7</w:t>
            </w:r>
          </w:p>
        </w:tc>
      </w:tr>
    </w:tbl>
    <w:p w:rsidR="008D3540" w:rsidRPr="00567155" w:rsidRDefault="008D3540" w:rsidP="002D62B9">
      <w:pPr>
        <w:jc w:val="right"/>
      </w:pPr>
    </w:p>
    <w:p w:rsidR="008D3540" w:rsidRPr="00A340F1" w:rsidRDefault="00242409" w:rsidP="002D62B9">
      <w:pPr>
        <w:pStyle w:val="T"/>
        <w:jc w:val="right"/>
        <w:rPr>
          <w:rFonts w:ascii="Times New Roman" w:hAnsi="Times New Roman"/>
          <w:b w:val="0"/>
        </w:rPr>
      </w:pPr>
      <w:r>
        <w:rPr>
          <w:rFonts w:ascii="Times New Roman" w:hAnsi="Times New Roman"/>
          <w:b w:val="0"/>
        </w:rPr>
        <w:t>7</w:t>
      </w:r>
      <w:r w:rsidR="008D3540" w:rsidRPr="00A340F1">
        <w:rPr>
          <w:rFonts w:ascii="Times New Roman" w:hAnsi="Times New Roman"/>
          <w:b w:val="0"/>
        </w:rPr>
        <w:t>.8. tabula. Sociālās apdrošināšanas iemaksas valsts fondēto pensiju shēmā</w:t>
      </w:r>
    </w:p>
    <w:tbl>
      <w:tblPr>
        <w:tblW w:w="8843" w:type="dxa"/>
        <w:jc w:val="center"/>
        <w:tblInd w:w="625"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823"/>
        <w:gridCol w:w="910"/>
        <w:gridCol w:w="3050"/>
        <w:gridCol w:w="3060"/>
      </w:tblGrid>
      <w:tr w:rsidR="008D3540" w:rsidRPr="008F4CFF" w:rsidTr="00311BF6">
        <w:trPr>
          <w:jc w:val="center"/>
        </w:trPr>
        <w:tc>
          <w:tcPr>
            <w:tcW w:w="1823" w:type="dxa"/>
            <w:tcBorders>
              <w:top w:val="double" w:sz="6" w:space="0" w:color="auto"/>
            </w:tcBorders>
            <w:vAlign w:val="center"/>
          </w:tcPr>
          <w:p w:rsidR="008D3540" w:rsidRPr="008F4CFF" w:rsidRDefault="008D3540" w:rsidP="002D62B9">
            <w:pPr>
              <w:pStyle w:val="tabteksts"/>
              <w:jc w:val="center"/>
            </w:pPr>
            <w:r w:rsidRPr="008F4CFF">
              <w:t>Periods</w:t>
            </w:r>
          </w:p>
        </w:tc>
        <w:tc>
          <w:tcPr>
            <w:tcW w:w="910" w:type="dxa"/>
            <w:tcBorders>
              <w:top w:val="double" w:sz="6" w:space="0" w:color="auto"/>
            </w:tcBorders>
            <w:vAlign w:val="center"/>
          </w:tcPr>
          <w:p w:rsidR="008D3540" w:rsidRPr="008F4CFF" w:rsidRDefault="008D3540" w:rsidP="002D62B9">
            <w:pPr>
              <w:pStyle w:val="tabteksts"/>
              <w:jc w:val="center"/>
            </w:pPr>
            <w:r w:rsidRPr="008F4CFF">
              <w:t>Iemaksu likme</w:t>
            </w:r>
          </w:p>
        </w:tc>
        <w:tc>
          <w:tcPr>
            <w:tcW w:w="3050" w:type="dxa"/>
            <w:tcBorders>
              <w:top w:val="double" w:sz="6" w:space="0" w:color="auto"/>
            </w:tcBorders>
            <w:vAlign w:val="center"/>
          </w:tcPr>
          <w:p w:rsidR="008D3540" w:rsidRPr="008F4CFF" w:rsidRDefault="008D3540" w:rsidP="002D62B9">
            <w:pPr>
              <w:pStyle w:val="tabteksts"/>
              <w:jc w:val="center"/>
            </w:pPr>
            <w:r w:rsidRPr="008F4CFF">
              <w:t>Prognozētās sociālās apdrošināšanas iemaksas valsts fondēto pensiju shēmā, milj. latu</w:t>
            </w:r>
          </w:p>
        </w:tc>
        <w:tc>
          <w:tcPr>
            <w:tcW w:w="3060" w:type="dxa"/>
            <w:tcBorders>
              <w:top w:val="double" w:sz="6" w:space="0" w:color="auto"/>
            </w:tcBorders>
            <w:vAlign w:val="center"/>
          </w:tcPr>
          <w:p w:rsidR="008D3540" w:rsidRPr="008F4CFF" w:rsidRDefault="008D3540" w:rsidP="002D62B9">
            <w:pPr>
              <w:pStyle w:val="tabteksts"/>
              <w:jc w:val="center"/>
            </w:pPr>
            <w:r w:rsidRPr="008F4CFF">
              <w:t>Prognozētās sociālās apdrošināšanas iemaksas valsts fondēto pensiju shēmā, % no IKP</w:t>
            </w:r>
          </w:p>
        </w:tc>
      </w:tr>
      <w:tr w:rsidR="008D3540" w:rsidRPr="008F4CFF" w:rsidTr="00311BF6">
        <w:trPr>
          <w:jc w:val="center"/>
        </w:trPr>
        <w:tc>
          <w:tcPr>
            <w:tcW w:w="1823" w:type="dxa"/>
          </w:tcPr>
          <w:p w:rsidR="008D3540" w:rsidRPr="008F4CFF" w:rsidRDefault="008D3540" w:rsidP="002D62B9">
            <w:pPr>
              <w:pStyle w:val="tabteksts"/>
            </w:pPr>
            <w:r w:rsidRPr="008F4CFF">
              <w:t>2012. gads</w:t>
            </w:r>
          </w:p>
        </w:tc>
        <w:tc>
          <w:tcPr>
            <w:tcW w:w="910" w:type="dxa"/>
          </w:tcPr>
          <w:p w:rsidR="008D3540" w:rsidRPr="008F4CFF" w:rsidRDefault="008D3540" w:rsidP="002D62B9">
            <w:pPr>
              <w:pStyle w:val="tabteksts"/>
              <w:jc w:val="center"/>
            </w:pPr>
            <w:r w:rsidRPr="008F4CFF">
              <w:t>2%</w:t>
            </w:r>
          </w:p>
        </w:tc>
        <w:tc>
          <w:tcPr>
            <w:tcW w:w="3050" w:type="dxa"/>
          </w:tcPr>
          <w:p w:rsidR="008D3540" w:rsidRPr="008F4CFF" w:rsidRDefault="008D3540" w:rsidP="002D62B9">
            <w:pPr>
              <w:pStyle w:val="tabteksts"/>
              <w:jc w:val="center"/>
            </w:pPr>
            <w:r w:rsidRPr="008F4CFF">
              <w:t>69,5</w:t>
            </w:r>
          </w:p>
        </w:tc>
        <w:tc>
          <w:tcPr>
            <w:tcW w:w="3060" w:type="dxa"/>
          </w:tcPr>
          <w:p w:rsidR="008D3540" w:rsidRPr="008F4CFF" w:rsidRDefault="008D3540" w:rsidP="002D62B9">
            <w:pPr>
              <w:pStyle w:val="tabteksts"/>
              <w:jc w:val="center"/>
            </w:pPr>
            <w:r w:rsidRPr="008F4CFF">
              <w:t>0,5</w:t>
            </w:r>
          </w:p>
        </w:tc>
      </w:tr>
      <w:tr w:rsidR="008D3540" w:rsidRPr="008F4CFF" w:rsidTr="00311BF6">
        <w:trPr>
          <w:jc w:val="center"/>
        </w:trPr>
        <w:tc>
          <w:tcPr>
            <w:tcW w:w="1823" w:type="dxa"/>
          </w:tcPr>
          <w:p w:rsidR="008D3540" w:rsidRPr="008F4CFF" w:rsidRDefault="008D3540" w:rsidP="002D62B9">
            <w:pPr>
              <w:pStyle w:val="tabteksts"/>
            </w:pPr>
            <w:r w:rsidRPr="008F4CFF">
              <w:t>2013. gads</w:t>
            </w:r>
          </w:p>
        </w:tc>
        <w:tc>
          <w:tcPr>
            <w:tcW w:w="910" w:type="dxa"/>
          </w:tcPr>
          <w:p w:rsidR="008D3540" w:rsidRPr="008F4CFF" w:rsidRDefault="008D3540" w:rsidP="002D62B9">
            <w:pPr>
              <w:pStyle w:val="tabteksts"/>
              <w:jc w:val="center"/>
            </w:pPr>
            <w:r w:rsidRPr="008F4CFF">
              <w:t>6%</w:t>
            </w:r>
          </w:p>
        </w:tc>
        <w:tc>
          <w:tcPr>
            <w:tcW w:w="3050" w:type="dxa"/>
          </w:tcPr>
          <w:p w:rsidR="008D3540" w:rsidRPr="008F4CFF" w:rsidRDefault="008D3540" w:rsidP="002D62B9">
            <w:pPr>
              <w:pStyle w:val="tabteksts"/>
              <w:jc w:val="center"/>
            </w:pPr>
            <w:r w:rsidRPr="008F4CFF">
              <w:t>168,6</w:t>
            </w:r>
          </w:p>
        </w:tc>
        <w:tc>
          <w:tcPr>
            <w:tcW w:w="3060" w:type="dxa"/>
          </w:tcPr>
          <w:p w:rsidR="008D3540" w:rsidRPr="008F4CFF" w:rsidRDefault="008D3540" w:rsidP="002D62B9">
            <w:pPr>
              <w:pStyle w:val="tabteksts"/>
              <w:jc w:val="center"/>
            </w:pPr>
            <w:r w:rsidRPr="008F4CFF">
              <w:t>1,1</w:t>
            </w:r>
          </w:p>
        </w:tc>
      </w:tr>
      <w:tr w:rsidR="008D3540" w:rsidRPr="008F4CFF" w:rsidTr="00311BF6">
        <w:trPr>
          <w:jc w:val="center"/>
        </w:trPr>
        <w:tc>
          <w:tcPr>
            <w:tcW w:w="1823" w:type="dxa"/>
          </w:tcPr>
          <w:p w:rsidR="008D3540" w:rsidRPr="008F4CFF" w:rsidRDefault="008D3540" w:rsidP="002D62B9">
            <w:pPr>
              <w:pStyle w:val="tabteksts"/>
            </w:pPr>
            <w:r w:rsidRPr="008F4CFF">
              <w:t>2014. gads</w:t>
            </w:r>
          </w:p>
        </w:tc>
        <w:tc>
          <w:tcPr>
            <w:tcW w:w="910" w:type="dxa"/>
          </w:tcPr>
          <w:p w:rsidR="008D3540" w:rsidRPr="008F4CFF" w:rsidRDefault="008D3540" w:rsidP="002D62B9">
            <w:pPr>
              <w:pStyle w:val="tabteksts"/>
              <w:jc w:val="center"/>
            </w:pPr>
            <w:r w:rsidRPr="008F4CFF">
              <w:t>6%</w:t>
            </w:r>
          </w:p>
        </w:tc>
        <w:tc>
          <w:tcPr>
            <w:tcW w:w="3050" w:type="dxa"/>
          </w:tcPr>
          <w:p w:rsidR="008D3540" w:rsidRPr="008F4CFF" w:rsidRDefault="008D3540" w:rsidP="002D62B9">
            <w:pPr>
              <w:pStyle w:val="tabteksts"/>
              <w:jc w:val="center"/>
            </w:pPr>
            <w:r w:rsidRPr="008F4CFF">
              <w:t>227,5</w:t>
            </w:r>
          </w:p>
        </w:tc>
        <w:tc>
          <w:tcPr>
            <w:tcW w:w="3060" w:type="dxa"/>
          </w:tcPr>
          <w:p w:rsidR="008D3540" w:rsidRPr="008F4CFF" w:rsidRDefault="008D3540" w:rsidP="002D62B9">
            <w:pPr>
              <w:pStyle w:val="tabteksts"/>
              <w:jc w:val="center"/>
            </w:pPr>
            <w:r w:rsidRPr="008F4CFF">
              <w:t>1,4</w:t>
            </w:r>
          </w:p>
        </w:tc>
      </w:tr>
      <w:tr w:rsidR="008D3540" w:rsidRPr="008F4CFF" w:rsidTr="00311BF6">
        <w:trPr>
          <w:jc w:val="center"/>
        </w:trPr>
        <w:tc>
          <w:tcPr>
            <w:tcW w:w="1823" w:type="dxa"/>
          </w:tcPr>
          <w:p w:rsidR="008D3540" w:rsidRPr="008F4CFF" w:rsidRDefault="008D3540" w:rsidP="002D62B9">
            <w:pPr>
              <w:pStyle w:val="tabteksts"/>
            </w:pPr>
            <w:r w:rsidRPr="008F4CFF">
              <w:t>2015. gads</w:t>
            </w:r>
          </w:p>
        </w:tc>
        <w:tc>
          <w:tcPr>
            <w:tcW w:w="910" w:type="dxa"/>
          </w:tcPr>
          <w:p w:rsidR="008D3540" w:rsidRPr="008F4CFF" w:rsidRDefault="008D3540" w:rsidP="002D62B9">
            <w:pPr>
              <w:pStyle w:val="tabteksts"/>
              <w:jc w:val="center"/>
            </w:pPr>
            <w:r w:rsidRPr="008F4CFF">
              <w:t>6%</w:t>
            </w:r>
          </w:p>
        </w:tc>
        <w:tc>
          <w:tcPr>
            <w:tcW w:w="3050" w:type="dxa"/>
          </w:tcPr>
          <w:p w:rsidR="008D3540" w:rsidRPr="008F4CFF" w:rsidRDefault="008D3540" w:rsidP="002D62B9">
            <w:pPr>
              <w:pStyle w:val="tabteksts"/>
              <w:jc w:val="center"/>
            </w:pPr>
            <w:r w:rsidRPr="008F4CFF">
              <w:t>239,5</w:t>
            </w:r>
          </w:p>
        </w:tc>
        <w:tc>
          <w:tcPr>
            <w:tcW w:w="3060" w:type="dxa"/>
          </w:tcPr>
          <w:p w:rsidR="008D3540" w:rsidRPr="008F4CFF" w:rsidRDefault="008D3540" w:rsidP="002D62B9">
            <w:pPr>
              <w:pStyle w:val="tabteksts"/>
              <w:jc w:val="center"/>
            </w:pPr>
            <w:r w:rsidRPr="008F4CFF">
              <w:t>1,4</w:t>
            </w:r>
          </w:p>
        </w:tc>
      </w:tr>
    </w:tbl>
    <w:p w:rsidR="008D3540" w:rsidRPr="008F4CFF" w:rsidRDefault="008D3540" w:rsidP="002D62B9">
      <w:pPr>
        <w:rPr>
          <w:szCs w:val="24"/>
        </w:rPr>
      </w:pPr>
    </w:p>
    <w:p w:rsidR="008D3540" w:rsidRPr="008F4CFF" w:rsidRDefault="008D3540" w:rsidP="002D62B9"/>
    <w:p w:rsidR="008D3540" w:rsidRPr="004438CE" w:rsidRDefault="008D3540" w:rsidP="002D62B9">
      <w:pPr>
        <w:spacing w:before="120"/>
        <w:outlineLvl w:val="3"/>
        <w:rPr>
          <w:b/>
          <w:szCs w:val="24"/>
        </w:rPr>
      </w:pPr>
      <w:r w:rsidRPr="004438CE">
        <w:rPr>
          <w:b/>
          <w:szCs w:val="24"/>
        </w:rPr>
        <w:t>Izložu un azartspēļu nodoklis</w:t>
      </w:r>
    </w:p>
    <w:p w:rsidR="008D3540" w:rsidRPr="008F4CFF" w:rsidRDefault="008D3540" w:rsidP="002D62B9">
      <w:pPr>
        <w:spacing w:before="120"/>
      </w:pPr>
      <w:r w:rsidRPr="008F4CFF">
        <w:t>Kopējais izložu un azartspēļu nozares apgrozījums 2011. gadā palielinājies par 16,1</w:t>
      </w:r>
      <w:r w:rsidR="00F3620B">
        <w:t> </w:t>
      </w:r>
      <w:r w:rsidRPr="008F4CFF">
        <w:t>%</w:t>
      </w:r>
      <w:r w:rsidRPr="008F4CFF">
        <w:rPr>
          <w:rFonts w:ascii="Garamond" w:hAnsi="Garamond"/>
          <w:szCs w:val="24"/>
          <w:vertAlign w:val="superscript"/>
        </w:rPr>
        <w:footnoteReference w:id="8"/>
      </w:r>
      <w:r w:rsidRPr="008F4CFF">
        <w:t>,</w:t>
      </w:r>
      <w:r w:rsidRPr="008F4CFF">
        <w:rPr>
          <w:color w:val="FF0000"/>
        </w:rPr>
        <w:t xml:space="preserve"> </w:t>
      </w:r>
      <w:r w:rsidRPr="008F4CFF">
        <w:t>kas tiek pamatots galvenokārt ar vispārējās ekonomiskās situācijas ietekmi uz azartspēļu nozari. Analizējot azartspēļu nozares 2011.</w:t>
      </w:r>
      <w:r w:rsidR="00F3620B">
        <w:t> </w:t>
      </w:r>
      <w:r w:rsidRPr="008F4CFF">
        <w:t>gada operatīvos ekonomiskos rādītājus, secināms, ka nozares saimnieciskās darbības rādītāji ir uzlabojušies, un vērojama stabilitāte.</w:t>
      </w:r>
    </w:p>
    <w:p w:rsidR="008D3540" w:rsidRPr="008F4CFF" w:rsidRDefault="008D3540" w:rsidP="002D62B9">
      <w:pPr>
        <w:spacing w:before="120"/>
      </w:pPr>
      <w:r w:rsidRPr="008F4CFF">
        <w:t>Prognozētais izložu un azartspēļu nodokļa ieņēmumu pieaugums 2012. gadā galvenokārt saistīts ar grozījumiem likumā „Par izložu un azartspēļu nodokli un nodevu”, kas tiek veikti saskaņā ar likumu „Par valsts budžetu 2012. gadam” un paredz:</w:t>
      </w:r>
    </w:p>
    <w:p w:rsidR="008D3540" w:rsidRPr="008F4CFF" w:rsidRDefault="008D3540" w:rsidP="002D62B9">
      <w:pPr>
        <w:numPr>
          <w:ilvl w:val="0"/>
          <w:numId w:val="4"/>
        </w:numPr>
        <w:contextualSpacing/>
      </w:pPr>
      <w:r w:rsidRPr="008F4CFF">
        <w:t xml:space="preserve">ar 2012. gada 1. janvāri azartspēļu nodokļa likmes paaugstināšana no Ls 10 560 uz Ls 12 144 par ruletes (cilindriskā spēle) — par katru ruletes rotējošajai iekārtai pievienoto spēļu galdu, un kāršu un kauliņu spēles — par katru galdu gadā; </w:t>
      </w:r>
    </w:p>
    <w:p w:rsidR="008D3540" w:rsidRPr="008F4CFF" w:rsidRDefault="008D3540" w:rsidP="002D62B9">
      <w:pPr>
        <w:numPr>
          <w:ilvl w:val="0"/>
          <w:numId w:val="4"/>
        </w:numPr>
        <w:ind w:left="1281" w:hanging="357"/>
      </w:pPr>
      <w:r w:rsidRPr="008F4CFF">
        <w:t xml:space="preserve">likmes paaugstināšana videospēlēm un mehāniskiem automātiem, par katra automāta katru spēles vietu —Ls 1 920  uz Ls 2 208 gadā. </w:t>
      </w:r>
    </w:p>
    <w:p w:rsidR="008D3540" w:rsidRPr="008F4CFF" w:rsidRDefault="008D3540" w:rsidP="002D62B9">
      <w:pPr>
        <w:spacing w:before="120"/>
        <w:ind w:firstLine="720"/>
      </w:pPr>
      <w:r w:rsidRPr="008F4CFF">
        <w:t>Likmju pieaugums neradīs būtisku spēļu iekārtu skaita samazināšanu, kas varētu ietekmēt ieņēmumus no azartspēļu nodokļa.</w:t>
      </w:r>
    </w:p>
    <w:p w:rsidR="008D3540" w:rsidRPr="00A340F1" w:rsidRDefault="00242409" w:rsidP="002D62B9">
      <w:pPr>
        <w:pStyle w:val="T"/>
        <w:jc w:val="right"/>
        <w:rPr>
          <w:rFonts w:ascii="Times New Roman" w:hAnsi="Times New Roman"/>
          <w:b w:val="0"/>
        </w:rPr>
      </w:pPr>
      <w:r>
        <w:rPr>
          <w:rFonts w:ascii="Times New Roman" w:hAnsi="Times New Roman"/>
          <w:b w:val="0"/>
        </w:rPr>
        <w:t>7</w:t>
      </w:r>
      <w:r w:rsidR="008D3540" w:rsidRPr="00A340F1">
        <w:rPr>
          <w:rFonts w:ascii="Times New Roman" w:hAnsi="Times New Roman"/>
          <w:b w:val="0"/>
        </w:rPr>
        <w:t>.9. tabula. Nodokļu politikas izmaiņu ietekme</w:t>
      </w:r>
      <w:r w:rsidR="008D3540" w:rsidRPr="00A340F1">
        <w:rPr>
          <w:rFonts w:ascii="Times New Roman" w:hAnsi="Times New Roman"/>
          <w:b w:val="0"/>
        </w:rPr>
        <w:br/>
        <w:t>uz izložu un azartspēļu nodokļa ieņēmumiem, milj. latu</w:t>
      </w:r>
    </w:p>
    <w:tbl>
      <w:tblPr>
        <w:tblW w:w="0" w:type="auto"/>
        <w:jc w:val="center"/>
        <w:tblInd w:w="1244"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1E0" w:firstRow="1" w:lastRow="1" w:firstColumn="1" w:lastColumn="1" w:noHBand="0" w:noVBand="0"/>
      </w:tblPr>
      <w:tblGrid>
        <w:gridCol w:w="4554"/>
        <w:gridCol w:w="974"/>
      </w:tblGrid>
      <w:tr w:rsidR="008D3540" w:rsidRPr="008F4CFF" w:rsidTr="00311BF6">
        <w:trPr>
          <w:jc w:val="center"/>
        </w:trPr>
        <w:tc>
          <w:tcPr>
            <w:tcW w:w="4554" w:type="dxa"/>
            <w:tcBorders>
              <w:top w:val="double" w:sz="6" w:space="0" w:color="auto"/>
            </w:tcBorders>
          </w:tcPr>
          <w:p w:rsidR="008D3540" w:rsidRPr="008F4CFF" w:rsidRDefault="008D3540" w:rsidP="002D62B9">
            <w:pPr>
              <w:spacing w:after="0"/>
              <w:rPr>
                <w:sz w:val="20"/>
              </w:rPr>
            </w:pPr>
          </w:p>
        </w:tc>
        <w:tc>
          <w:tcPr>
            <w:tcW w:w="974" w:type="dxa"/>
            <w:tcBorders>
              <w:top w:val="double" w:sz="6" w:space="0" w:color="auto"/>
            </w:tcBorders>
          </w:tcPr>
          <w:p w:rsidR="008D3540" w:rsidRPr="008F4CFF" w:rsidRDefault="008D3540" w:rsidP="002D62B9">
            <w:pPr>
              <w:tabs>
                <w:tab w:val="decimal" w:pos="-12114"/>
              </w:tabs>
              <w:spacing w:after="0"/>
              <w:ind w:firstLine="0"/>
              <w:jc w:val="center"/>
              <w:rPr>
                <w:b/>
                <w:sz w:val="20"/>
              </w:rPr>
            </w:pPr>
            <w:r w:rsidRPr="008F4CFF">
              <w:rPr>
                <w:b/>
                <w:sz w:val="20"/>
              </w:rPr>
              <w:t>2012</w:t>
            </w:r>
          </w:p>
        </w:tc>
      </w:tr>
      <w:tr w:rsidR="008D3540" w:rsidRPr="008F4CFF" w:rsidTr="00311BF6">
        <w:trPr>
          <w:jc w:val="center"/>
        </w:trPr>
        <w:tc>
          <w:tcPr>
            <w:tcW w:w="4554" w:type="dxa"/>
            <w:shd w:val="clear" w:color="auto" w:fill="auto"/>
          </w:tcPr>
          <w:p w:rsidR="008D3540" w:rsidRPr="008F4CFF" w:rsidRDefault="008D3540" w:rsidP="002D62B9">
            <w:pPr>
              <w:spacing w:after="0"/>
              <w:ind w:firstLine="0"/>
              <w:rPr>
                <w:sz w:val="20"/>
              </w:rPr>
            </w:pPr>
            <w:r w:rsidRPr="008F4CFF">
              <w:rPr>
                <w:sz w:val="20"/>
              </w:rPr>
              <w:t xml:space="preserve">Azartspēļu nodokļa likmju paaugstināšana </w:t>
            </w:r>
          </w:p>
        </w:tc>
        <w:tc>
          <w:tcPr>
            <w:tcW w:w="974" w:type="dxa"/>
          </w:tcPr>
          <w:p w:rsidR="008D3540" w:rsidRPr="008F4CFF" w:rsidRDefault="008D3540" w:rsidP="002D62B9">
            <w:pPr>
              <w:spacing w:after="0"/>
              <w:ind w:firstLine="0"/>
              <w:jc w:val="center"/>
              <w:rPr>
                <w:sz w:val="20"/>
              </w:rPr>
            </w:pPr>
            <w:r w:rsidRPr="008F4CFF">
              <w:rPr>
                <w:sz w:val="20"/>
              </w:rPr>
              <w:t>+2,2</w:t>
            </w:r>
          </w:p>
        </w:tc>
      </w:tr>
      <w:tr w:rsidR="008D3540" w:rsidRPr="008F4CFF" w:rsidTr="00311BF6">
        <w:trPr>
          <w:jc w:val="center"/>
        </w:trPr>
        <w:tc>
          <w:tcPr>
            <w:tcW w:w="4554" w:type="dxa"/>
            <w:tcBorders>
              <w:bottom w:val="double" w:sz="6" w:space="0" w:color="auto"/>
            </w:tcBorders>
          </w:tcPr>
          <w:p w:rsidR="008D3540" w:rsidRPr="008F4CFF" w:rsidRDefault="008D3540" w:rsidP="002D62B9">
            <w:pPr>
              <w:spacing w:after="0"/>
              <w:ind w:firstLine="0"/>
              <w:rPr>
                <w:sz w:val="20"/>
              </w:rPr>
            </w:pPr>
            <w:r w:rsidRPr="008F4CFF">
              <w:rPr>
                <w:sz w:val="20"/>
              </w:rPr>
              <w:t>Azartspēļu un izložu nodevu un nodokļu reforma</w:t>
            </w:r>
          </w:p>
        </w:tc>
        <w:tc>
          <w:tcPr>
            <w:tcW w:w="974" w:type="dxa"/>
            <w:tcBorders>
              <w:bottom w:val="double" w:sz="6" w:space="0" w:color="auto"/>
            </w:tcBorders>
          </w:tcPr>
          <w:p w:rsidR="008D3540" w:rsidRPr="008F4CFF" w:rsidRDefault="008D3540" w:rsidP="002D62B9">
            <w:pPr>
              <w:spacing w:after="0"/>
              <w:ind w:firstLine="0"/>
              <w:jc w:val="center"/>
              <w:rPr>
                <w:sz w:val="20"/>
              </w:rPr>
            </w:pPr>
            <w:r w:rsidRPr="008F4CFF">
              <w:rPr>
                <w:sz w:val="20"/>
              </w:rPr>
              <w:t>+0,1</w:t>
            </w:r>
          </w:p>
        </w:tc>
      </w:tr>
      <w:tr w:rsidR="008D3540" w:rsidRPr="008F4CFF" w:rsidTr="00311BF6">
        <w:trPr>
          <w:jc w:val="center"/>
        </w:trPr>
        <w:tc>
          <w:tcPr>
            <w:tcW w:w="4554" w:type="dxa"/>
            <w:tcBorders>
              <w:bottom w:val="double" w:sz="6" w:space="0" w:color="auto"/>
            </w:tcBorders>
          </w:tcPr>
          <w:p w:rsidR="008D3540" w:rsidRPr="008F4CFF" w:rsidRDefault="008D3540" w:rsidP="002D62B9">
            <w:pPr>
              <w:spacing w:after="0"/>
              <w:ind w:firstLine="0"/>
              <w:rPr>
                <w:b/>
                <w:sz w:val="20"/>
              </w:rPr>
            </w:pPr>
            <w:r w:rsidRPr="008F4CFF">
              <w:rPr>
                <w:b/>
                <w:sz w:val="20"/>
              </w:rPr>
              <w:lastRenderedPageBreak/>
              <w:t>Izmaiņu ietekme kopā:</w:t>
            </w:r>
          </w:p>
        </w:tc>
        <w:tc>
          <w:tcPr>
            <w:tcW w:w="974" w:type="dxa"/>
            <w:tcBorders>
              <w:bottom w:val="double" w:sz="6" w:space="0" w:color="auto"/>
            </w:tcBorders>
          </w:tcPr>
          <w:p w:rsidR="008D3540" w:rsidRPr="008F4CFF" w:rsidRDefault="008D3540" w:rsidP="002D62B9">
            <w:pPr>
              <w:spacing w:after="0"/>
              <w:ind w:firstLine="0"/>
              <w:jc w:val="center"/>
              <w:rPr>
                <w:b/>
                <w:sz w:val="20"/>
              </w:rPr>
            </w:pPr>
            <w:r w:rsidRPr="008F4CFF">
              <w:rPr>
                <w:b/>
                <w:sz w:val="20"/>
              </w:rPr>
              <w:t>+2,3</w:t>
            </w:r>
          </w:p>
        </w:tc>
      </w:tr>
    </w:tbl>
    <w:p w:rsidR="008D3540" w:rsidRPr="008F4CFF" w:rsidRDefault="008D3540" w:rsidP="002D62B9"/>
    <w:p w:rsidR="008D3540" w:rsidRPr="008F4CFF" w:rsidRDefault="008D3540" w:rsidP="002D62B9"/>
    <w:p w:rsidR="008D3540" w:rsidRPr="004438CE" w:rsidRDefault="008D3540" w:rsidP="002D62B9">
      <w:pPr>
        <w:rPr>
          <w:b/>
          <w:szCs w:val="24"/>
        </w:rPr>
      </w:pPr>
      <w:r w:rsidRPr="004438CE">
        <w:rPr>
          <w:b/>
          <w:szCs w:val="24"/>
        </w:rPr>
        <w:t>Citi pasākumi</w:t>
      </w:r>
    </w:p>
    <w:p w:rsidR="008D3540" w:rsidRPr="00555D34" w:rsidRDefault="008D3540" w:rsidP="002D62B9">
      <w:pPr>
        <w:rPr>
          <w:szCs w:val="24"/>
        </w:rPr>
      </w:pPr>
      <w:r w:rsidRPr="008F4CFF">
        <w:rPr>
          <w:szCs w:val="24"/>
        </w:rPr>
        <w:t xml:space="preserve">Lai nodrošinātu fiskālo konsolidāciju un panāktu budžeta deficīta </w:t>
      </w:r>
      <w:r w:rsidRPr="00555D34">
        <w:rPr>
          <w:szCs w:val="24"/>
        </w:rPr>
        <w:t>samazināšanos, ar 2012. gadu veiktas izmaiņas šādos nodevu veidos:</w:t>
      </w:r>
    </w:p>
    <w:p w:rsidR="008D3540" w:rsidRPr="00A340F1" w:rsidRDefault="008D3540" w:rsidP="002D62B9">
      <w:pPr>
        <w:pStyle w:val="ListParagraph"/>
        <w:numPr>
          <w:ilvl w:val="0"/>
          <w:numId w:val="5"/>
        </w:numPr>
        <w:spacing w:after="120" w:line="240" w:lineRule="auto"/>
        <w:jc w:val="both"/>
        <w:rPr>
          <w:rFonts w:ascii="Times New Roman" w:hAnsi="Times New Roman"/>
          <w:sz w:val="24"/>
          <w:szCs w:val="24"/>
        </w:rPr>
      </w:pPr>
      <w:r w:rsidRPr="00A340F1">
        <w:rPr>
          <w:rFonts w:ascii="Times New Roman" w:hAnsi="Times New Roman"/>
          <w:sz w:val="24"/>
          <w:szCs w:val="24"/>
        </w:rPr>
        <w:t>saskaņā ar grozījumiem likumā „Finanšu stabilitātes nodevas likums” dubultota Finanšu stabilitātes nodevas likme (no 0,036 procentiem uz 0,072 procentiem gadā) (fiskālā ietekme 2012. gadā +2,3 milj.latu);</w:t>
      </w:r>
    </w:p>
    <w:p w:rsidR="008D3540" w:rsidRPr="00A340F1" w:rsidRDefault="008D3540" w:rsidP="002D62B9">
      <w:pPr>
        <w:pStyle w:val="ListParagraph"/>
        <w:numPr>
          <w:ilvl w:val="0"/>
          <w:numId w:val="5"/>
        </w:numPr>
        <w:spacing w:after="120" w:line="240" w:lineRule="auto"/>
        <w:jc w:val="both"/>
        <w:rPr>
          <w:rFonts w:ascii="Times New Roman" w:hAnsi="Times New Roman"/>
          <w:sz w:val="24"/>
          <w:szCs w:val="24"/>
        </w:rPr>
      </w:pPr>
      <w:r w:rsidRPr="00A340F1">
        <w:rPr>
          <w:rFonts w:ascii="Times New Roman" w:hAnsi="Times New Roman"/>
          <w:sz w:val="24"/>
          <w:szCs w:val="24"/>
        </w:rPr>
        <w:t>azartspēļu un izložu nodevu un nodokļu reforma (fiskālā ietekme 2012.</w:t>
      </w:r>
      <w:r w:rsidR="00804E6F">
        <w:rPr>
          <w:rFonts w:ascii="Times New Roman" w:hAnsi="Times New Roman"/>
          <w:sz w:val="24"/>
          <w:szCs w:val="24"/>
        </w:rPr>
        <w:t xml:space="preserve"> </w:t>
      </w:r>
      <w:r w:rsidRPr="00A340F1">
        <w:rPr>
          <w:rFonts w:ascii="Times New Roman" w:hAnsi="Times New Roman"/>
          <w:sz w:val="24"/>
          <w:szCs w:val="24"/>
        </w:rPr>
        <w:t>gadā +0,6 milj. latu).</w:t>
      </w:r>
    </w:p>
    <w:p w:rsidR="008D3540" w:rsidRPr="00DE1873" w:rsidRDefault="008D3540" w:rsidP="002D62B9">
      <w:pPr>
        <w:spacing w:before="75" w:after="75"/>
        <w:rPr>
          <w:szCs w:val="24"/>
        </w:rPr>
      </w:pPr>
      <w:r w:rsidRPr="00555D34">
        <w:rPr>
          <w:szCs w:val="24"/>
        </w:rPr>
        <w:t>Saskaņā ar 2011. gada 27. decembra</w:t>
      </w:r>
      <w:r w:rsidRPr="008F4CFF">
        <w:rPr>
          <w:szCs w:val="24"/>
        </w:rPr>
        <w:t xml:space="preserve"> Ministru kabineta noteikumiem Nr.</w:t>
      </w:r>
      <w:r w:rsidR="00F3620B">
        <w:rPr>
          <w:szCs w:val="24"/>
        </w:rPr>
        <w:t> </w:t>
      </w:r>
      <w:r w:rsidRPr="008F4CFF">
        <w:rPr>
          <w:szCs w:val="24"/>
        </w:rPr>
        <w:t>1023 „Grozījumi Ministru kabineta 2011. gada 14. jūnija noteikumos Nr.</w:t>
      </w:r>
      <w:r w:rsidR="00F3620B">
        <w:rPr>
          <w:szCs w:val="24"/>
        </w:rPr>
        <w:t> </w:t>
      </w:r>
      <w:r w:rsidRPr="008F4CFF">
        <w:rPr>
          <w:szCs w:val="24"/>
        </w:rPr>
        <w:t>450 "Noteikumi par valsts naftas produktu rezervju apmēru, kādā maksājama valsts nodeva par drošības rezervju uzturēšanu, kā arī tās aprēķināšanas, maksāšanas un administrēšanas kārtību", tiek pilnveidota naftas produktu rezervju izveides un uzglabāšanas kārtība, paplašinot valsts nodevas par drošības rezervju uzturēšanu bāzi, no 2012. gada ieviešot nodevu arī par benzīna rezervju uzturēšanu (fiskālā ietekme 2012. gadā +3,3 milj. latu).</w:t>
      </w:r>
    </w:p>
    <w:p w:rsidR="00163B37" w:rsidRPr="00163B37" w:rsidRDefault="00283B8B" w:rsidP="00163B37">
      <w:pPr>
        <w:pStyle w:val="PIRMAIS"/>
        <w:rPr>
          <w:highlight w:val="yellow"/>
        </w:rPr>
      </w:pPr>
      <w:bookmarkStart w:id="71" w:name="_Toc323120298"/>
      <w:r>
        <w:lastRenderedPageBreak/>
        <w:t>8</w:t>
      </w:r>
      <w:r w:rsidR="000F6956" w:rsidRPr="009C61B1">
        <w:t>.</w:t>
      </w:r>
      <w:r w:rsidR="000F6956" w:rsidRPr="009C61B1">
        <w:tab/>
        <w:t>Valsts finanšu ilgtspēja</w:t>
      </w:r>
      <w:bookmarkStart w:id="72" w:name="_Toc323120299"/>
      <w:bookmarkEnd w:id="69"/>
      <w:bookmarkEnd w:id="70"/>
      <w:bookmarkEnd w:id="71"/>
    </w:p>
    <w:p w:rsidR="0087768C" w:rsidRDefault="0087768C" w:rsidP="00163B37">
      <w:pPr>
        <w:pStyle w:val="Heading3"/>
        <w:ind w:firstLine="0"/>
        <w:rPr>
          <w:rFonts w:ascii="Times New Roman" w:hAnsi="Times New Roman"/>
          <w:sz w:val="32"/>
          <w:szCs w:val="32"/>
          <w:lang w:val="lv-LV"/>
        </w:rPr>
      </w:pPr>
      <w:r w:rsidRPr="00905DA5">
        <w:rPr>
          <w:rFonts w:ascii="Times New Roman" w:hAnsi="Times New Roman"/>
          <w:sz w:val="32"/>
          <w:szCs w:val="32"/>
        </w:rPr>
        <w:t>8.1. Budžeta ilgtermiņa prognozes</w:t>
      </w:r>
      <w:bookmarkEnd w:id="72"/>
    </w:p>
    <w:p w:rsidR="00163B37" w:rsidRPr="00163B37" w:rsidRDefault="00163B37" w:rsidP="00163B37"/>
    <w:p w:rsidR="000634FF" w:rsidRDefault="000634FF" w:rsidP="002D62B9">
      <w:pPr>
        <w:rPr>
          <w:szCs w:val="24"/>
        </w:rPr>
      </w:pPr>
      <w:r>
        <w:rPr>
          <w:szCs w:val="24"/>
        </w:rPr>
        <w:t xml:space="preserve">Demogrāfiskās izmaiņas, sevišķi vecāka gadagājuma iedzīvotāju skaita pieaugums, neveicot izmaiņas pastāvošajās sistēmās, var veicināt vispārējās valdības izdevumu pieaugumu ilgtermiņā. Tāpat, valsts finanšu ilgtspēju nosaka arī sākotnējā budžeta pozīcija, kas pēdējo gadu laikā tika uzlabota, veicot budžeta konsolidāciju un uzsākot strukturālās reformas vairākās nozarēs. </w:t>
      </w:r>
      <w:r w:rsidRPr="009D3509">
        <w:rPr>
          <w:szCs w:val="24"/>
        </w:rPr>
        <w:t>Lai nodrošinātu valsts finanšu ilgtspēju, Latvijas valdība par galveno mērķi ir noteikusi vispārējās valdības budžeta deficīta samazināšanu, kas turpmāk sasniedzams</w:t>
      </w:r>
      <w:r>
        <w:rPr>
          <w:szCs w:val="24"/>
        </w:rPr>
        <w:t>,</w:t>
      </w:r>
      <w:r w:rsidRPr="009D3509">
        <w:rPr>
          <w:szCs w:val="24"/>
        </w:rPr>
        <w:t xml:space="preserve"> īstenojot strukturālās reformas un </w:t>
      </w:r>
      <w:r>
        <w:rPr>
          <w:szCs w:val="24"/>
        </w:rPr>
        <w:t xml:space="preserve">veicot </w:t>
      </w:r>
      <w:r w:rsidRPr="009D3509">
        <w:rPr>
          <w:szCs w:val="24"/>
        </w:rPr>
        <w:t>izmaiņas pastāvošajās sistēmās, tajā skaitā sociālās apdrošināšanas, izglītības un veselības aprūpes nozarēs, kas ir būtiski sabiedrības novecošanās kontekstā.</w:t>
      </w:r>
      <w:r>
        <w:rPr>
          <w:szCs w:val="24"/>
        </w:rPr>
        <w:t xml:space="preserve"> </w:t>
      </w:r>
    </w:p>
    <w:p w:rsidR="000634FF" w:rsidRDefault="000634FF" w:rsidP="002D62B9">
      <w:pPr>
        <w:rPr>
          <w:szCs w:val="24"/>
        </w:rPr>
      </w:pPr>
      <w:r>
        <w:rPr>
          <w:szCs w:val="24"/>
        </w:rPr>
        <w:t>Eiropas Komisija sadarbībā ar dalībvalstīm vienu reizi trijos gados izstrādā ilgtermiņa budžeta prognozes,</w:t>
      </w:r>
      <w:r w:rsidRPr="00E81870">
        <w:rPr>
          <w:szCs w:val="24"/>
        </w:rPr>
        <w:t xml:space="preserve"> </w:t>
      </w:r>
      <w:r>
        <w:rPr>
          <w:szCs w:val="24"/>
        </w:rPr>
        <w:t xml:space="preserve">ņemot vērā sabiedrības novecošanās ietekmi, kā arī novērtē valsts finanšu ilgtspēju katrai dalībvalstij. Ilgtermiņa budžeta prognožu pamatā ir demogrāfiskās prognozes, ko sniedz </w:t>
      </w:r>
      <w:r w:rsidRPr="008F71F2">
        <w:rPr>
          <w:i/>
          <w:noProof/>
          <w:szCs w:val="24"/>
        </w:rPr>
        <w:t>Eurostat</w:t>
      </w:r>
      <w:r>
        <w:rPr>
          <w:noProof/>
          <w:szCs w:val="24"/>
        </w:rPr>
        <w:t xml:space="preserve">, un pieņēmumi par ekonomisko izaugsmi un tās noteicošajiem faktoriem ilgtermiņā. 2010. gada beigās tika uzsākts jauns prognozēšanas cikls, </w:t>
      </w:r>
      <w:r>
        <w:rPr>
          <w:szCs w:val="24"/>
        </w:rPr>
        <w:t>kura rezultātā 2012. gadā tiks publicētas jaunas budžeta ilgtermiņa prognozes. Jāatzīmē, ka 2011. gada beigās tika publicēts starpziņojums par pieņēmumiem un prognozēšanas metodoloģijām.</w:t>
      </w:r>
    </w:p>
    <w:p w:rsidR="000634FF" w:rsidRDefault="000634FF" w:rsidP="002D62B9">
      <w:pPr>
        <w:rPr>
          <w:szCs w:val="24"/>
        </w:rPr>
      </w:pPr>
      <w:r>
        <w:rPr>
          <w:szCs w:val="24"/>
        </w:rPr>
        <w:t>I</w:t>
      </w:r>
      <w:r w:rsidRPr="007A723A">
        <w:rPr>
          <w:szCs w:val="24"/>
        </w:rPr>
        <w:t xml:space="preserve">lgtermiņa </w:t>
      </w:r>
      <w:r w:rsidRPr="00AD1C4D">
        <w:rPr>
          <w:b/>
          <w:szCs w:val="24"/>
        </w:rPr>
        <w:t>demogrāfiskās prognozes</w:t>
      </w:r>
      <w:r>
        <w:rPr>
          <w:szCs w:val="24"/>
        </w:rPr>
        <w:t xml:space="preserve"> </w:t>
      </w:r>
      <w:r w:rsidRPr="00EB3C75">
        <w:rPr>
          <w:szCs w:val="24"/>
        </w:rPr>
        <w:t>(</w:t>
      </w:r>
      <w:r w:rsidRPr="00EB3C75">
        <w:rPr>
          <w:i/>
          <w:szCs w:val="24"/>
        </w:rPr>
        <w:t>EUROPOP20</w:t>
      </w:r>
      <w:r>
        <w:rPr>
          <w:i/>
          <w:szCs w:val="24"/>
        </w:rPr>
        <w:t>10</w:t>
      </w:r>
      <w:r w:rsidRPr="00EB3C75">
        <w:rPr>
          <w:szCs w:val="24"/>
        </w:rPr>
        <w:t xml:space="preserve">) </w:t>
      </w:r>
      <w:r>
        <w:rPr>
          <w:szCs w:val="24"/>
        </w:rPr>
        <w:t>tika veidotas, ņemot vērā 2010</w:t>
      </w:r>
      <w:r w:rsidRPr="007A723A">
        <w:rPr>
          <w:szCs w:val="24"/>
        </w:rPr>
        <w:t>.</w:t>
      </w:r>
      <w:r>
        <w:rPr>
          <w:szCs w:val="24"/>
        </w:rPr>
        <w:t xml:space="preserve"> gada faktiskos </w:t>
      </w:r>
      <w:r w:rsidRPr="007A723A">
        <w:rPr>
          <w:szCs w:val="24"/>
        </w:rPr>
        <w:t>datus</w:t>
      </w:r>
      <w:r>
        <w:rPr>
          <w:szCs w:val="24"/>
        </w:rPr>
        <w:t xml:space="preserve"> pirms tautas skaitīšanas un a</w:t>
      </w:r>
      <w:r w:rsidRPr="004B23E9">
        <w:rPr>
          <w:szCs w:val="24"/>
        </w:rPr>
        <w:t xml:space="preserve">tbilstoši </w:t>
      </w:r>
      <w:r>
        <w:rPr>
          <w:szCs w:val="24"/>
        </w:rPr>
        <w:t xml:space="preserve">faktiskajiem </w:t>
      </w:r>
      <w:r w:rsidRPr="004B23E9">
        <w:rPr>
          <w:i/>
          <w:noProof/>
          <w:szCs w:val="24"/>
        </w:rPr>
        <w:t>Eurostat</w:t>
      </w:r>
      <w:r w:rsidRPr="004B23E9">
        <w:rPr>
          <w:szCs w:val="24"/>
        </w:rPr>
        <w:t xml:space="preserve"> datiem 2010.</w:t>
      </w:r>
      <w:r>
        <w:rPr>
          <w:szCs w:val="24"/>
        </w:rPr>
        <w:t xml:space="preserve"> gada </w:t>
      </w:r>
      <w:r w:rsidRPr="004B23E9">
        <w:rPr>
          <w:szCs w:val="24"/>
        </w:rPr>
        <w:t>1.</w:t>
      </w:r>
      <w:r>
        <w:rPr>
          <w:szCs w:val="24"/>
        </w:rPr>
        <w:t> </w:t>
      </w:r>
      <w:r w:rsidRPr="004B23E9">
        <w:rPr>
          <w:szCs w:val="24"/>
        </w:rPr>
        <w:t xml:space="preserve">janvārī </w:t>
      </w:r>
      <w:r w:rsidRPr="00AD1C4D">
        <w:rPr>
          <w:szCs w:val="24"/>
        </w:rPr>
        <w:t>Latvijas iedzīvotāju kopējais skaits</w:t>
      </w:r>
      <w:r>
        <w:rPr>
          <w:szCs w:val="24"/>
        </w:rPr>
        <w:t xml:space="preserve"> bija 2,25 </w:t>
      </w:r>
      <w:r w:rsidRPr="004B23E9">
        <w:rPr>
          <w:szCs w:val="24"/>
        </w:rPr>
        <w:t>miljoni</w:t>
      </w:r>
      <w:r>
        <w:rPr>
          <w:szCs w:val="24"/>
        </w:rPr>
        <w:t xml:space="preserve">. 2011. gadā Latvijā tika veikta tautas skaitīšana, kuras rezultātā iedzīvotāju skaits 2011. gada 1. martā bija 2,07 miljoni, kas ir par 178,0 tūkstošiem mazāk nekā izmantots ilgtermiņa prognozēs. Demogrāfiskās statistikas datus, atbilstoši tautas skaitīšanas rezultātiem, </w:t>
      </w:r>
      <w:r w:rsidR="00A0175C">
        <w:rPr>
          <w:szCs w:val="24"/>
        </w:rPr>
        <w:t>CSP</w:t>
      </w:r>
      <w:r>
        <w:rPr>
          <w:szCs w:val="24"/>
        </w:rPr>
        <w:t xml:space="preserve"> plāno publicēt līdz 2013. gada maijam.</w:t>
      </w:r>
    </w:p>
    <w:p w:rsidR="000634FF" w:rsidRPr="00EB3C75" w:rsidRDefault="00BD6F38" w:rsidP="002D62B9">
      <w:pPr>
        <w:jc w:val="center"/>
        <w:rPr>
          <w:szCs w:val="24"/>
        </w:rPr>
      </w:pPr>
      <w:r>
        <w:rPr>
          <w:noProof/>
          <w:lang w:eastAsia="lv-LV"/>
        </w:rPr>
        <w:pict w14:anchorId="15955078">
          <v:shape id="_x0000_i1039" type="#_x0000_t75" style="width:367.5pt;height:209.1pt;visibility:visible">
            <v:imagedata r:id="rId33" o:title="" croptop="6968f" cropbottom="11667f" cropleft="6487f" cropright="5217f"/>
          </v:shape>
        </w:pict>
      </w:r>
    </w:p>
    <w:p w:rsidR="000634FF" w:rsidRPr="00FA4F76" w:rsidRDefault="00A013CB" w:rsidP="002D62B9">
      <w:pPr>
        <w:pStyle w:val="Zpar"/>
        <w:spacing w:after="240"/>
        <w:ind w:firstLine="0"/>
        <w:jc w:val="center"/>
        <w:rPr>
          <w:rFonts w:ascii="Times New Roman" w:hAnsi="Times New Roman"/>
          <w:i w:val="0"/>
          <w:sz w:val="24"/>
          <w:szCs w:val="24"/>
          <w:highlight w:val="yellow"/>
        </w:rPr>
      </w:pPr>
      <w:r>
        <w:rPr>
          <w:rFonts w:ascii="Times New Roman" w:hAnsi="Times New Roman"/>
          <w:i w:val="0"/>
          <w:sz w:val="24"/>
          <w:szCs w:val="24"/>
        </w:rPr>
        <w:t>8</w:t>
      </w:r>
      <w:r w:rsidR="000634FF">
        <w:rPr>
          <w:rFonts w:ascii="Times New Roman" w:hAnsi="Times New Roman"/>
          <w:i w:val="0"/>
          <w:sz w:val="24"/>
          <w:szCs w:val="24"/>
        </w:rPr>
        <w:t>.1. </w:t>
      </w:r>
      <w:r w:rsidR="000634FF" w:rsidRPr="00FA4F76">
        <w:rPr>
          <w:rFonts w:ascii="Times New Roman" w:hAnsi="Times New Roman"/>
          <w:i w:val="0"/>
          <w:noProof/>
          <w:sz w:val="24"/>
          <w:szCs w:val="24"/>
        </w:rPr>
        <w:t>att</w:t>
      </w:r>
      <w:r w:rsidR="000634FF" w:rsidRPr="00FA4F76">
        <w:rPr>
          <w:rFonts w:ascii="Times New Roman" w:hAnsi="Times New Roman"/>
          <w:i w:val="0"/>
          <w:sz w:val="24"/>
          <w:szCs w:val="24"/>
        </w:rPr>
        <w:t>. Latvijas iedzīvotāju vecuma struktūra</w:t>
      </w:r>
      <w:r w:rsidR="00195423">
        <w:rPr>
          <w:rFonts w:ascii="Times New Roman" w:hAnsi="Times New Roman"/>
          <w:i w:val="0"/>
          <w:sz w:val="24"/>
          <w:szCs w:val="24"/>
        </w:rPr>
        <w:t xml:space="preserve"> </w:t>
      </w:r>
      <w:r w:rsidR="000634FF" w:rsidRPr="00FA4F76">
        <w:rPr>
          <w:rFonts w:ascii="Times New Roman" w:hAnsi="Times New Roman"/>
          <w:i w:val="0"/>
          <w:sz w:val="24"/>
          <w:szCs w:val="24"/>
        </w:rPr>
        <w:t>2010</w:t>
      </w:r>
      <w:r w:rsidR="000634FF">
        <w:rPr>
          <w:rFonts w:ascii="Times New Roman" w:hAnsi="Times New Roman"/>
          <w:i w:val="0"/>
          <w:sz w:val="24"/>
          <w:szCs w:val="24"/>
        </w:rPr>
        <w:t>.</w:t>
      </w:r>
      <w:r w:rsidR="0035776A">
        <w:rPr>
          <w:rFonts w:ascii="Times New Roman" w:hAnsi="Times New Roman"/>
          <w:i w:val="0"/>
          <w:sz w:val="24"/>
          <w:szCs w:val="24"/>
        </w:rPr>
        <w:t>–</w:t>
      </w:r>
      <w:r w:rsidR="000634FF">
        <w:rPr>
          <w:rFonts w:ascii="Times New Roman" w:hAnsi="Times New Roman"/>
          <w:i w:val="0"/>
          <w:sz w:val="24"/>
          <w:szCs w:val="24"/>
        </w:rPr>
        <w:t>2060. </w:t>
      </w:r>
      <w:r w:rsidR="000634FF" w:rsidRPr="00FA4F76">
        <w:rPr>
          <w:rFonts w:ascii="Times New Roman" w:hAnsi="Times New Roman"/>
          <w:i w:val="0"/>
          <w:sz w:val="24"/>
          <w:szCs w:val="24"/>
        </w:rPr>
        <w:t>gadā</w:t>
      </w:r>
      <w:r w:rsidR="000634FF" w:rsidRPr="00FA4F76">
        <w:rPr>
          <w:rFonts w:ascii="Times New Roman" w:hAnsi="Times New Roman"/>
          <w:i w:val="0"/>
          <w:sz w:val="24"/>
          <w:szCs w:val="24"/>
        </w:rPr>
        <w:br/>
        <w:t xml:space="preserve"> (Datu avots: </w:t>
      </w:r>
      <w:r w:rsidR="000634FF" w:rsidRPr="00FA4F76">
        <w:rPr>
          <w:rFonts w:ascii="Times New Roman" w:hAnsi="Times New Roman"/>
          <w:i w:val="0"/>
          <w:noProof/>
          <w:sz w:val="24"/>
          <w:szCs w:val="24"/>
        </w:rPr>
        <w:t>Eurostat</w:t>
      </w:r>
      <w:r w:rsidR="000634FF" w:rsidRPr="00FA4F76">
        <w:rPr>
          <w:rFonts w:ascii="Times New Roman" w:hAnsi="Times New Roman"/>
          <w:i w:val="0"/>
          <w:sz w:val="24"/>
          <w:szCs w:val="24"/>
        </w:rPr>
        <w:t>)</w:t>
      </w:r>
    </w:p>
    <w:p w:rsidR="00BE0A51" w:rsidRDefault="00BE0A51" w:rsidP="002D62B9">
      <w:pPr>
        <w:tabs>
          <w:tab w:val="left" w:pos="993"/>
          <w:tab w:val="left" w:pos="8080"/>
        </w:tabs>
        <w:rPr>
          <w:szCs w:val="24"/>
        </w:rPr>
      </w:pPr>
    </w:p>
    <w:p w:rsidR="000634FF" w:rsidRDefault="000634FF" w:rsidP="002D62B9">
      <w:pPr>
        <w:tabs>
          <w:tab w:val="left" w:pos="993"/>
          <w:tab w:val="left" w:pos="8080"/>
        </w:tabs>
        <w:rPr>
          <w:szCs w:val="24"/>
        </w:rPr>
      </w:pPr>
      <w:r w:rsidRPr="008944A3">
        <w:rPr>
          <w:szCs w:val="24"/>
        </w:rPr>
        <w:lastRenderedPageBreak/>
        <w:t xml:space="preserve">Saskaņā ar </w:t>
      </w:r>
      <w:r w:rsidRPr="008944A3">
        <w:rPr>
          <w:i/>
          <w:noProof/>
          <w:szCs w:val="24"/>
        </w:rPr>
        <w:t>Eurostat</w:t>
      </w:r>
      <w:r w:rsidRPr="008944A3">
        <w:rPr>
          <w:szCs w:val="24"/>
        </w:rPr>
        <w:t xml:space="preserve"> demogrāfiskajām prognozēm Latvijas iedzīvotāju kopējais skaits</w:t>
      </w:r>
      <w:r>
        <w:rPr>
          <w:szCs w:val="24"/>
        </w:rPr>
        <w:t xml:space="preserve"> turpinās samazināties un 2060. </w:t>
      </w:r>
      <w:r w:rsidRPr="008944A3">
        <w:rPr>
          <w:szCs w:val="24"/>
        </w:rPr>
        <w:t>gadā būs par 2</w:t>
      </w:r>
      <w:r>
        <w:rPr>
          <w:szCs w:val="24"/>
        </w:rPr>
        <w:t>5,6</w:t>
      </w:r>
      <w:r w:rsidR="00F3620B">
        <w:rPr>
          <w:szCs w:val="24"/>
        </w:rPr>
        <w:t> </w:t>
      </w:r>
      <w:r w:rsidRPr="008944A3">
        <w:rPr>
          <w:szCs w:val="24"/>
        </w:rPr>
        <w:t xml:space="preserve">% </w:t>
      </w:r>
      <w:r>
        <w:rPr>
          <w:szCs w:val="24"/>
        </w:rPr>
        <w:t xml:space="preserve">jeb 576,6 tūkst. </w:t>
      </w:r>
      <w:r w:rsidRPr="008944A3">
        <w:rPr>
          <w:szCs w:val="24"/>
        </w:rPr>
        <w:t>mazāks nekā 20</w:t>
      </w:r>
      <w:r>
        <w:rPr>
          <w:szCs w:val="24"/>
        </w:rPr>
        <w:t>10. </w:t>
      </w:r>
      <w:r w:rsidRPr="008944A3">
        <w:rPr>
          <w:szCs w:val="24"/>
        </w:rPr>
        <w:t>gadā.</w:t>
      </w:r>
      <w:r>
        <w:rPr>
          <w:szCs w:val="24"/>
        </w:rPr>
        <w:t xml:space="preserve"> </w:t>
      </w:r>
      <w:r w:rsidRPr="008944A3">
        <w:rPr>
          <w:szCs w:val="24"/>
        </w:rPr>
        <w:t>Tiek prognozēts, ka darbspējas vecuma (15</w:t>
      </w:r>
      <w:r w:rsidR="00804E6F">
        <w:rPr>
          <w:szCs w:val="24"/>
        </w:rPr>
        <w:t xml:space="preserve"> – </w:t>
      </w:r>
      <w:r w:rsidRPr="008944A3">
        <w:rPr>
          <w:szCs w:val="24"/>
        </w:rPr>
        <w:t>64</w:t>
      </w:r>
      <w:r w:rsidR="00804E6F">
        <w:rPr>
          <w:szCs w:val="24"/>
        </w:rPr>
        <w:t xml:space="preserve"> gadi</w:t>
      </w:r>
      <w:r w:rsidRPr="008944A3">
        <w:rPr>
          <w:szCs w:val="24"/>
        </w:rPr>
        <w:t>) iedzīvotāju skaits, salīdzinot ar 20</w:t>
      </w:r>
      <w:r>
        <w:rPr>
          <w:szCs w:val="24"/>
        </w:rPr>
        <w:t>10</w:t>
      </w:r>
      <w:r w:rsidRPr="008944A3">
        <w:rPr>
          <w:szCs w:val="24"/>
        </w:rPr>
        <w:t>.</w:t>
      </w:r>
      <w:r>
        <w:rPr>
          <w:szCs w:val="24"/>
        </w:rPr>
        <w:t> gadu, 2060. </w:t>
      </w:r>
      <w:r w:rsidRPr="008944A3">
        <w:rPr>
          <w:szCs w:val="24"/>
        </w:rPr>
        <w:t xml:space="preserve">gadā būs par </w:t>
      </w:r>
      <w:r>
        <w:rPr>
          <w:szCs w:val="24"/>
        </w:rPr>
        <w:t>43,4</w:t>
      </w:r>
      <w:r w:rsidR="004438CE">
        <w:rPr>
          <w:szCs w:val="24"/>
        </w:rPr>
        <w:t xml:space="preserve"> </w:t>
      </w:r>
      <w:r>
        <w:rPr>
          <w:szCs w:val="24"/>
        </w:rPr>
        <w:t>% </w:t>
      </w:r>
      <w:r w:rsidRPr="008944A3">
        <w:rPr>
          <w:szCs w:val="24"/>
        </w:rPr>
        <w:t>mazāks. Latvijā turpinās samazināties arī bērnu skaits</w:t>
      </w:r>
      <w:r>
        <w:rPr>
          <w:szCs w:val="24"/>
        </w:rPr>
        <w:t xml:space="preserve"> un 2060. </w:t>
      </w:r>
      <w:r w:rsidRPr="008944A3">
        <w:rPr>
          <w:szCs w:val="24"/>
        </w:rPr>
        <w:t xml:space="preserve">gadā salīdzinājumā ar </w:t>
      </w:r>
      <w:r>
        <w:rPr>
          <w:szCs w:val="24"/>
        </w:rPr>
        <w:t>2010. </w:t>
      </w:r>
      <w:r w:rsidRPr="008944A3">
        <w:rPr>
          <w:szCs w:val="24"/>
        </w:rPr>
        <w:t xml:space="preserve">gadu tas būs par </w:t>
      </w:r>
      <w:r>
        <w:rPr>
          <w:szCs w:val="24"/>
        </w:rPr>
        <w:t>35,6</w:t>
      </w:r>
      <w:r w:rsidR="00F3620B">
        <w:rPr>
          <w:szCs w:val="24"/>
        </w:rPr>
        <w:t> </w:t>
      </w:r>
      <w:r>
        <w:rPr>
          <w:szCs w:val="24"/>
        </w:rPr>
        <w:t>% </w:t>
      </w:r>
      <w:r w:rsidRPr="008944A3">
        <w:rPr>
          <w:szCs w:val="24"/>
        </w:rPr>
        <w:t>mazāks</w:t>
      </w:r>
      <w:r>
        <w:rPr>
          <w:szCs w:val="24"/>
        </w:rPr>
        <w:t xml:space="preserve">. Tas izskaidrojams ar salīdzinoši zemu dzimstības līmeni un ilgtermiņā prognozētais uzlabojums nav pietiekams, lai notiktu iedzīvotāju atražošanās. </w:t>
      </w:r>
      <w:r w:rsidRPr="008944A3">
        <w:rPr>
          <w:szCs w:val="24"/>
        </w:rPr>
        <w:t>Savukārt</w:t>
      </w:r>
      <w:r>
        <w:rPr>
          <w:szCs w:val="24"/>
        </w:rPr>
        <w:t>,</w:t>
      </w:r>
      <w:r w:rsidRPr="008944A3">
        <w:rPr>
          <w:szCs w:val="24"/>
        </w:rPr>
        <w:t xml:space="preserve"> iedzīvotāju skaits </w:t>
      </w:r>
      <w:r>
        <w:rPr>
          <w:szCs w:val="24"/>
        </w:rPr>
        <w:t>vecumā virs 65 </w:t>
      </w:r>
      <w:r w:rsidRPr="008944A3">
        <w:rPr>
          <w:szCs w:val="24"/>
        </w:rPr>
        <w:t>gadiem 2060.</w:t>
      </w:r>
      <w:r>
        <w:rPr>
          <w:szCs w:val="24"/>
        </w:rPr>
        <w:t> </w:t>
      </w:r>
      <w:r w:rsidRPr="008944A3">
        <w:rPr>
          <w:szCs w:val="24"/>
        </w:rPr>
        <w:t>gadā salīdzinājumā ar 20</w:t>
      </w:r>
      <w:r>
        <w:rPr>
          <w:szCs w:val="24"/>
        </w:rPr>
        <w:t>10</w:t>
      </w:r>
      <w:r w:rsidRPr="008944A3">
        <w:rPr>
          <w:szCs w:val="24"/>
        </w:rPr>
        <w:t>.</w:t>
      </w:r>
      <w:r>
        <w:rPr>
          <w:szCs w:val="24"/>
        </w:rPr>
        <w:t> </w:t>
      </w:r>
      <w:r w:rsidRPr="008944A3">
        <w:rPr>
          <w:szCs w:val="24"/>
        </w:rPr>
        <w:t xml:space="preserve">gadu palielināsies par </w:t>
      </w:r>
      <w:r>
        <w:rPr>
          <w:szCs w:val="24"/>
        </w:rPr>
        <w:t>52,7</w:t>
      </w:r>
      <w:r w:rsidR="004438CE">
        <w:rPr>
          <w:szCs w:val="24"/>
        </w:rPr>
        <w:t xml:space="preserve"> </w:t>
      </w:r>
      <w:r>
        <w:rPr>
          <w:szCs w:val="24"/>
        </w:rPr>
        <w:t>%</w:t>
      </w:r>
      <w:r w:rsidRPr="008944A3">
        <w:rPr>
          <w:szCs w:val="24"/>
        </w:rPr>
        <w:t>,</w:t>
      </w:r>
      <w:r>
        <w:rPr>
          <w:szCs w:val="24"/>
        </w:rPr>
        <w:t xml:space="preserve"> bet vecumā virs 80 gadiem</w:t>
      </w:r>
      <w:r w:rsidRPr="008944A3">
        <w:rPr>
          <w:szCs w:val="24"/>
        </w:rPr>
        <w:t xml:space="preserve"> par </w:t>
      </w:r>
      <w:r>
        <w:rPr>
          <w:szCs w:val="24"/>
        </w:rPr>
        <w:t>140,3</w:t>
      </w:r>
      <w:r w:rsidR="00F3620B">
        <w:rPr>
          <w:szCs w:val="24"/>
        </w:rPr>
        <w:t> </w:t>
      </w:r>
      <w:r>
        <w:rPr>
          <w:szCs w:val="24"/>
        </w:rPr>
        <w:t xml:space="preserve">%. Jāsecina, ka, salīdzinot ar iepriekšējām </w:t>
      </w:r>
      <w:r w:rsidRPr="0027522A">
        <w:rPr>
          <w:i/>
          <w:szCs w:val="24"/>
        </w:rPr>
        <w:t>Eurostat</w:t>
      </w:r>
      <w:r>
        <w:rPr>
          <w:szCs w:val="24"/>
        </w:rPr>
        <w:t xml:space="preserve"> demogrāfiskajām prognozēm (</w:t>
      </w:r>
      <w:r w:rsidRPr="0027522A">
        <w:rPr>
          <w:i/>
          <w:szCs w:val="24"/>
        </w:rPr>
        <w:t>EUROPOP2008</w:t>
      </w:r>
      <w:r>
        <w:rPr>
          <w:szCs w:val="24"/>
        </w:rPr>
        <w:t>), netiek prognozētas būtiskas izmaiņas kopējā iedzīvotāju skaitā, bet tiek prognozēts lielāks vecāka gadagājuma iedzīvotāju īpatsvars, kas izskaidrojams ar lielāku paredzamā mūža ilgumu, kas, savukārt, ir konverģences pieņēmuma nosacījums. Konverģences pieņēmums ilgtermiņā paredz jauno dalībvalstu tuvošanos ES vidējam labklājības līmenim.</w:t>
      </w:r>
    </w:p>
    <w:p w:rsidR="000634FF" w:rsidRPr="009500FA" w:rsidRDefault="00BD6F38" w:rsidP="002D62B9">
      <w:pPr>
        <w:tabs>
          <w:tab w:val="left" w:pos="993"/>
          <w:tab w:val="left" w:pos="8080"/>
        </w:tabs>
        <w:ind w:firstLine="0"/>
        <w:jc w:val="center"/>
        <w:rPr>
          <w:szCs w:val="24"/>
        </w:rPr>
      </w:pPr>
      <w:r>
        <w:rPr>
          <w:noProof/>
          <w:lang w:eastAsia="lv-LV"/>
        </w:rPr>
        <w:pict>
          <v:shape id="_x0000_i1040" type="#_x0000_t75" style="width:395.7pt;height:241.05pt;visibility:visible">
            <v:imagedata r:id="rId34" o:title=""/>
          </v:shape>
        </w:pict>
      </w:r>
    </w:p>
    <w:p w:rsidR="000634FF" w:rsidRPr="00B32576" w:rsidRDefault="00A013CB" w:rsidP="002D62B9">
      <w:pPr>
        <w:pStyle w:val="Zpar"/>
        <w:spacing w:after="240"/>
        <w:ind w:firstLine="0"/>
        <w:jc w:val="center"/>
        <w:rPr>
          <w:rFonts w:ascii="Times New Roman" w:hAnsi="Times New Roman"/>
          <w:i w:val="0"/>
          <w:sz w:val="24"/>
          <w:szCs w:val="24"/>
        </w:rPr>
      </w:pPr>
      <w:r>
        <w:rPr>
          <w:rFonts w:ascii="Times New Roman" w:hAnsi="Times New Roman"/>
          <w:i w:val="0"/>
          <w:noProof/>
          <w:sz w:val="24"/>
          <w:szCs w:val="24"/>
        </w:rPr>
        <w:t>8</w:t>
      </w:r>
      <w:r w:rsidR="000634FF" w:rsidRPr="00B32576">
        <w:rPr>
          <w:rFonts w:ascii="Times New Roman" w:hAnsi="Times New Roman"/>
          <w:i w:val="0"/>
          <w:noProof/>
          <w:sz w:val="24"/>
          <w:szCs w:val="24"/>
        </w:rPr>
        <w:t>.2. att. Latvijas iedzīvotāju skaits sadalījumā pa vecuma kategorijām 2010.</w:t>
      </w:r>
      <w:r w:rsidR="0035776A">
        <w:rPr>
          <w:rFonts w:ascii="Times New Roman" w:hAnsi="Times New Roman"/>
          <w:i w:val="0"/>
          <w:noProof/>
          <w:sz w:val="24"/>
          <w:szCs w:val="24"/>
        </w:rPr>
        <w:t>–</w:t>
      </w:r>
      <w:r w:rsidR="000634FF" w:rsidRPr="00B32576">
        <w:rPr>
          <w:rFonts w:ascii="Times New Roman" w:hAnsi="Times New Roman"/>
          <w:i w:val="0"/>
          <w:noProof/>
          <w:sz w:val="24"/>
          <w:szCs w:val="24"/>
        </w:rPr>
        <w:t>2060.</w:t>
      </w:r>
      <w:r w:rsidR="000634FF">
        <w:rPr>
          <w:rFonts w:ascii="Times New Roman" w:hAnsi="Times New Roman"/>
          <w:i w:val="0"/>
          <w:noProof/>
          <w:sz w:val="24"/>
          <w:szCs w:val="24"/>
        </w:rPr>
        <w:t> </w:t>
      </w:r>
      <w:r w:rsidR="000634FF" w:rsidRPr="00B32576">
        <w:rPr>
          <w:rFonts w:ascii="Times New Roman" w:hAnsi="Times New Roman"/>
          <w:i w:val="0"/>
          <w:noProof/>
          <w:sz w:val="24"/>
          <w:szCs w:val="24"/>
        </w:rPr>
        <w:t>gadā (Datu avots: Eurostat</w:t>
      </w:r>
      <w:r w:rsidR="000634FF" w:rsidRPr="00B32576">
        <w:rPr>
          <w:rFonts w:ascii="Times New Roman" w:hAnsi="Times New Roman"/>
          <w:i w:val="0"/>
          <w:sz w:val="24"/>
          <w:szCs w:val="24"/>
        </w:rPr>
        <w:t>)</w:t>
      </w:r>
    </w:p>
    <w:p w:rsidR="000634FF" w:rsidRDefault="000634FF" w:rsidP="002D62B9">
      <w:pPr>
        <w:rPr>
          <w:szCs w:val="24"/>
        </w:rPr>
      </w:pPr>
      <w:r w:rsidRPr="00690F72">
        <w:rPr>
          <w:szCs w:val="24"/>
        </w:rPr>
        <w:t xml:space="preserve">Ņemot vērā iedzīvotāju vecuma sastāva izmaiņas, tiek prognozēts, ka </w:t>
      </w:r>
      <w:r>
        <w:rPr>
          <w:szCs w:val="24"/>
        </w:rPr>
        <w:t xml:space="preserve">kopējais </w:t>
      </w:r>
      <w:r w:rsidRPr="00690F72">
        <w:rPr>
          <w:szCs w:val="24"/>
        </w:rPr>
        <w:t>demogrāfiskās slodzes līmenis</w:t>
      </w:r>
      <w:r w:rsidRPr="00690F72">
        <w:rPr>
          <w:rStyle w:val="FootnoteReference"/>
          <w:szCs w:val="24"/>
        </w:rPr>
        <w:footnoteReference w:id="9"/>
      </w:r>
      <w:r w:rsidRPr="00690F72">
        <w:rPr>
          <w:szCs w:val="24"/>
        </w:rPr>
        <w:t xml:space="preserve"> darbspējas vecuma iedzīvotājiem ilgtermiņā pieaugs gandrīz divas reizes. </w:t>
      </w:r>
      <w:r>
        <w:rPr>
          <w:szCs w:val="24"/>
        </w:rPr>
        <w:t xml:space="preserve">Turklāt, </w:t>
      </w:r>
      <w:r w:rsidRPr="00690F72">
        <w:rPr>
          <w:szCs w:val="24"/>
        </w:rPr>
        <w:t>2060.</w:t>
      </w:r>
      <w:r>
        <w:rPr>
          <w:szCs w:val="24"/>
        </w:rPr>
        <w:t> </w:t>
      </w:r>
      <w:r w:rsidRPr="00690F72">
        <w:rPr>
          <w:szCs w:val="24"/>
        </w:rPr>
        <w:t>gadā uz 1 iedzīvotāju vecumā virs 65 gadiem</w:t>
      </w:r>
      <w:r>
        <w:rPr>
          <w:szCs w:val="24"/>
        </w:rPr>
        <w:t xml:space="preserve"> būs 1,5 iedzīvotājs darbspējas vecumā (</w:t>
      </w:r>
      <w:r w:rsidRPr="00690F72">
        <w:rPr>
          <w:szCs w:val="24"/>
        </w:rPr>
        <w:t>2010.</w:t>
      </w:r>
      <w:r>
        <w:rPr>
          <w:szCs w:val="24"/>
        </w:rPr>
        <w:t> </w:t>
      </w:r>
      <w:r w:rsidRPr="00690F72">
        <w:rPr>
          <w:szCs w:val="24"/>
        </w:rPr>
        <w:t xml:space="preserve">gadā šī </w:t>
      </w:r>
      <w:r>
        <w:rPr>
          <w:szCs w:val="24"/>
        </w:rPr>
        <w:t>attiecība bija 1:4)</w:t>
      </w:r>
      <w:r w:rsidRPr="00690F72">
        <w:rPr>
          <w:szCs w:val="24"/>
        </w:rPr>
        <w:t xml:space="preserve">. </w:t>
      </w:r>
      <w:r>
        <w:rPr>
          <w:szCs w:val="24"/>
        </w:rPr>
        <w:t xml:space="preserve">Saskaņā ar prognozēm, ekonomiskās </w:t>
      </w:r>
      <w:r w:rsidRPr="00690F72">
        <w:rPr>
          <w:szCs w:val="24"/>
        </w:rPr>
        <w:t>slodzes līmenis</w:t>
      </w:r>
      <w:r>
        <w:rPr>
          <w:rStyle w:val="FootnoteReference"/>
          <w:szCs w:val="24"/>
        </w:rPr>
        <w:footnoteReference w:id="10"/>
      </w:r>
      <w:r>
        <w:rPr>
          <w:szCs w:val="24"/>
        </w:rPr>
        <w:t xml:space="preserve"> palielināsies lēnāk nekā kopējais demogrāfiskās slodzes līmenis, tomēr jau 2010. gadā šis rādītājs bija ļoti augsts, ko noteica pensijas un bezdarbnieku pabalsta saņēmēju skaita pieaugums un nodarbināto skaita samazinājums. Lai gan 2011. gadā bija vērojams nodarbināto skaita pieaugums, tomēr ilgtermiņā prognozētais ekonomiskās slodzes līmenis norāda uz nepieciešamību kāpināt </w:t>
      </w:r>
      <w:r w:rsidRPr="00B06541">
        <w:rPr>
          <w:szCs w:val="24"/>
        </w:rPr>
        <w:t>nodarbinātību, ko arī paredz strukturālajās reformās iekļautie pasākumi.</w:t>
      </w:r>
    </w:p>
    <w:p w:rsidR="000634FF" w:rsidRDefault="000634FF" w:rsidP="002D62B9">
      <w:pPr>
        <w:rPr>
          <w:szCs w:val="24"/>
        </w:rPr>
      </w:pPr>
      <w:r w:rsidRPr="00C63AC9">
        <w:rPr>
          <w:szCs w:val="24"/>
        </w:rPr>
        <w:t xml:space="preserve">Būtiska nozīme ilgtspējas nodrošināšanā ir ekonomiskajai izaugsmei. </w:t>
      </w:r>
      <w:r>
        <w:rPr>
          <w:szCs w:val="24"/>
        </w:rPr>
        <w:t xml:space="preserve">Tiek prognozēts, ka </w:t>
      </w:r>
      <w:r w:rsidRPr="00C63AC9">
        <w:rPr>
          <w:szCs w:val="24"/>
        </w:rPr>
        <w:t xml:space="preserve">demogrāfisko izmaiņu ietekmē būs vērojamas izmaiņas nodarbinātības attīstībā. </w:t>
      </w:r>
      <w:r w:rsidRPr="00C63AC9">
        <w:rPr>
          <w:szCs w:val="24"/>
        </w:rPr>
        <w:lastRenderedPageBreak/>
        <w:t>Paredzams, ka ilgtermiņā pieaugs gan līdzdalības līmenis</w:t>
      </w:r>
      <w:r w:rsidRPr="00C63AC9">
        <w:rPr>
          <w:rStyle w:val="FootnoteReference"/>
          <w:szCs w:val="24"/>
        </w:rPr>
        <w:footnoteReference w:id="11"/>
      </w:r>
      <w:r w:rsidRPr="00C63AC9">
        <w:rPr>
          <w:szCs w:val="24"/>
        </w:rPr>
        <w:t>, gan samazināsies bezdarbs. Tas daļēji ļaus kompensēt darbspējas vecuma iedzīvotāju skaita samazināšanās ietekmi uz nodarbinātību. Tiek prognozēts, ka produktivitāte ilgtermiņā būs noteicošais ekonomiskās izaugsmes faktors un tas būs k</w:t>
      </w:r>
      <w:r>
        <w:rPr>
          <w:szCs w:val="24"/>
        </w:rPr>
        <w:t xml:space="preserve">onverģences pamats ilgtermiņā. Tomēr, salīdzinot ar iepriekšējām ilgtermiņa prognozēm, jaunākie pieņēmumi paredz lēnāku produktivitātes kāpumu, līdz ar to arī lēnāku ekonomisko izaugsmi. </w:t>
      </w:r>
      <w:r w:rsidRPr="00C63AC9">
        <w:rPr>
          <w:szCs w:val="24"/>
        </w:rPr>
        <w:t>Produktivitātes kāpumu var sekmēt strukturālās reformas, tehnoloģiskais progress, izglītība un profesionālā sagatavošana, resursu izvietošanas ef</w:t>
      </w:r>
      <w:r>
        <w:rPr>
          <w:szCs w:val="24"/>
        </w:rPr>
        <w:t>ektivitāte un kapitāla krājumi.</w:t>
      </w:r>
    </w:p>
    <w:p w:rsidR="007935DE" w:rsidRDefault="007935DE" w:rsidP="002D62B9">
      <w:pPr>
        <w:rPr>
          <w:szCs w:val="24"/>
        </w:rPr>
      </w:pPr>
      <w:r w:rsidRPr="007935DE">
        <w:rPr>
          <w:szCs w:val="24"/>
        </w:rPr>
        <w:t xml:space="preserve">Vērtējot valsts finanšu ilgtspēju, tiek vērtētas arī vispārējās valdības budžeta izdevumu prognozes ar sabiedrības novecošanos saistītajiem izdevumiem, </w:t>
      </w:r>
      <w:r w:rsidRPr="007935DE">
        <w:rPr>
          <w:noProof/>
          <w:szCs w:val="24"/>
        </w:rPr>
        <w:t>t.i.,</w:t>
      </w:r>
      <w:r w:rsidRPr="007935DE">
        <w:rPr>
          <w:szCs w:val="24"/>
        </w:rPr>
        <w:t xml:space="preserve"> izdevumi pensijām, veselības aprūpei, ilglaicīgai aprūpei un izglītībai. Papildus tiek vērtētas izdevumu prognozes bezdarbnieku pabalstiem.</w:t>
      </w:r>
    </w:p>
    <w:p w:rsidR="000634FF" w:rsidRDefault="00A013CB" w:rsidP="002D62B9">
      <w:pPr>
        <w:jc w:val="right"/>
        <w:rPr>
          <w:szCs w:val="24"/>
        </w:rPr>
      </w:pPr>
      <w:r>
        <w:rPr>
          <w:szCs w:val="24"/>
        </w:rPr>
        <w:t>8</w:t>
      </w:r>
      <w:r w:rsidR="000634FF">
        <w:rPr>
          <w:szCs w:val="24"/>
        </w:rPr>
        <w:t>.1. tabula. Budžeta ilgtermiņa prognozes (Datu avots: EPC AWG</w:t>
      </w:r>
      <w:r w:rsidR="000634FF">
        <w:rPr>
          <w:rStyle w:val="FootnoteReference"/>
          <w:szCs w:val="24"/>
        </w:rPr>
        <w:footnoteReference w:id="12"/>
      </w:r>
      <w:r w:rsidR="000634FF">
        <w:rPr>
          <w:szCs w:val="24"/>
        </w:rPr>
        <w:t>)</w:t>
      </w:r>
    </w:p>
    <w:tbl>
      <w:tblPr>
        <w:tblW w:w="0" w:type="auto"/>
        <w:jc w:val="center"/>
        <w:tblLayout w:type="fixed"/>
        <w:tblCellMar>
          <w:left w:w="0" w:type="dxa"/>
          <w:right w:w="0" w:type="dxa"/>
        </w:tblCellMar>
        <w:tblLook w:val="0000" w:firstRow="0" w:lastRow="0" w:firstColumn="0" w:lastColumn="0" w:noHBand="0" w:noVBand="0"/>
      </w:tblPr>
      <w:tblGrid>
        <w:gridCol w:w="3840"/>
        <w:gridCol w:w="754"/>
        <w:gridCol w:w="754"/>
        <w:gridCol w:w="754"/>
        <w:gridCol w:w="754"/>
        <w:gridCol w:w="754"/>
        <w:gridCol w:w="754"/>
      </w:tblGrid>
      <w:tr w:rsidR="000634FF" w:rsidRPr="00E604BB" w:rsidTr="00C1532A">
        <w:trPr>
          <w:tblHeader/>
          <w:jc w:val="center"/>
        </w:trPr>
        <w:tc>
          <w:tcPr>
            <w:tcW w:w="3840" w:type="dxa"/>
            <w:tcBorders>
              <w:top w:val="double" w:sz="6" w:space="0" w:color="auto"/>
              <w:left w:val="double" w:sz="6" w:space="0" w:color="auto"/>
              <w:bottom w:val="double" w:sz="6" w:space="0" w:color="auto"/>
              <w:right w:val="double" w:sz="6" w:space="0" w:color="auto"/>
            </w:tcBorders>
            <w:vAlign w:val="bottom"/>
          </w:tcPr>
          <w:p w:rsidR="000634FF" w:rsidRPr="00E604BB" w:rsidRDefault="000634FF" w:rsidP="002D62B9">
            <w:pPr>
              <w:pStyle w:val="tabteksts"/>
            </w:pPr>
            <w:r w:rsidRPr="00E604BB">
              <w:t>% no IKP</w:t>
            </w:r>
          </w:p>
        </w:tc>
        <w:tc>
          <w:tcPr>
            <w:tcW w:w="754" w:type="dxa"/>
            <w:tcBorders>
              <w:top w:val="double" w:sz="6" w:space="0" w:color="auto"/>
              <w:left w:val="nil"/>
              <w:bottom w:val="double" w:sz="6" w:space="0" w:color="auto"/>
              <w:right w:val="single" w:sz="4" w:space="0" w:color="auto"/>
            </w:tcBorders>
            <w:vAlign w:val="bottom"/>
          </w:tcPr>
          <w:p w:rsidR="000634FF" w:rsidRPr="00E604BB" w:rsidRDefault="000634FF" w:rsidP="002D62B9">
            <w:pPr>
              <w:pStyle w:val="tabteksts"/>
              <w:jc w:val="center"/>
              <w:rPr>
                <w:b/>
              </w:rPr>
            </w:pPr>
            <w:r w:rsidRPr="00E604BB">
              <w:rPr>
                <w:b/>
              </w:rPr>
              <w:t>2010</w:t>
            </w:r>
          </w:p>
        </w:tc>
        <w:tc>
          <w:tcPr>
            <w:tcW w:w="754" w:type="dxa"/>
            <w:tcBorders>
              <w:top w:val="double" w:sz="6" w:space="0" w:color="auto"/>
              <w:left w:val="single" w:sz="4" w:space="0" w:color="auto"/>
              <w:bottom w:val="double" w:sz="6" w:space="0" w:color="auto"/>
              <w:right w:val="single" w:sz="4" w:space="0" w:color="auto"/>
            </w:tcBorders>
            <w:vAlign w:val="bottom"/>
          </w:tcPr>
          <w:p w:rsidR="000634FF" w:rsidRPr="00E604BB" w:rsidRDefault="000634FF" w:rsidP="002D62B9">
            <w:pPr>
              <w:pStyle w:val="tabteksts"/>
              <w:jc w:val="center"/>
              <w:rPr>
                <w:b/>
              </w:rPr>
            </w:pPr>
            <w:r w:rsidRPr="00E604BB">
              <w:rPr>
                <w:b/>
              </w:rPr>
              <w:t>2020</w:t>
            </w:r>
          </w:p>
        </w:tc>
        <w:tc>
          <w:tcPr>
            <w:tcW w:w="754" w:type="dxa"/>
            <w:tcBorders>
              <w:top w:val="double" w:sz="6" w:space="0" w:color="auto"/>
              <w:left w:val="nil"/>
              <w:bottom w:val="double" w:sz="6" w:space="0" w:color="auto"/>
              <w:right w:val="single" w:sz="4" w:space="0" w:color="auto"/>
            </w:tcBorders>
            <w:vAlign w:val="bottom"/>
          </w:tcPr>
          <w:p w:rsidR="000634FF" w:rsidRPr="00E604BB" w:rsidRDefault="000634FF" w:rsidP="002D62B9">
            <w:pPr>
              <w:pStyle w:val="tabteksts"/>
              <w:jc w:val="center"/>
              <w:rPr>
                <w:b/>
              </w:rPr>
            </w:pPr>
            <w:r w:rsidRPr="00E604BB">
              <w:rPr>
                <w:b/>
              </w:rPr>
              <w:t>2030</w:t>
            </w:r>
          </w:p>
        </w:tc>
        <w:tc>
          <w:tcPr>
            <w:tcW w:w="754" w:type="dxa"/>
            <w:tcBorders>
              <w:top w:val="double" w:sz="6" w:space="0" w:color="auto"/>
              <w:left w:val="nil"/>
              <w:bottom w:val="double" w:sz="6" w:space="0" w:color="auto"/>
              <w:right w:val="single" w:sz="4" w:space="0" w:color="auto"/>
            </w:tcBorders>
            <w:vAlign w:val="bottom"/>
          </w:tcPr>
          <w:p w:rsidR="000634FF" w:rsidRPr="00E604BB" w:rsidRDefault="000634FF" w:rsidP="002D62B9">
            <w:pPr>
              <w:pStyle w:val="tabteksts"/>
              <w:jc w:val="center"/>
              <w:rPr>
                <w:b/>
              </w:rPr>
            </w:pPr>
            <w:r>
              <w:rPr>
                <w:b/>
              </w:rPr>
              <w:t>2040</w:t>
            </w:r>
          </w:p>
        </w:tc>
        <w:tc>
          <w:tcPr>
            <w:tcW w:w="754" w:type="dxa"/>
            <w:tcBorders>
              <w:top w:val="double" w:sz="6" w:space="0" w:color="auto"/>
              <w:left w:val="nil"/>
              <w:bottom w:val="double" w:sz="6" w:space="0" w:color="auto"/>
              <w:right w:val="single" w:sz="4" w:space="0" w:color="auto"/>
            </w:tcBorders>
          </w:tcPr>
          <w:p w:rsidR="000634FF" w:rsidRPr="00E604BB" w:rsidRDefault="000634FF" w:rsidP="002D62B9">
            <w:pPr>
              <w:pStyle w:val="tabteksts"/>
              <w:jc w:val="center"/>
              <w:rPr>
                <w:b/>
              </w:rPr>
            </w:pPr>
            <w:r w:rsidRPr="00E604BB">
              <w:rPr>
                <w:b/>
              </w:rPr>
              <w:t>2050</w:t>
            </w:r>
          </w:p>
        </w:tc>
        <w:tc>
          <w:tcPr>
            <w:tcW w:w="754" w:type="dxa"/>
            <w:tcBorders>
              <w:top w:val="double" w:sz="6" w:space="0" w:color="auto"/>
              <w:left w:val="single" w:sz="4" w:space="0" w:color="auto"/>
              <w:bottom w:val="double" w:sz="6" w:space="0" w:color="auto"/>
              <w:right w:val="double" w:sz="6" w:space="0" w:color="auto"/>
            </w:tcBorders>
            <w:vAlign w:val="bottom"/>
          </w:tcPr>
          <w:p w:rsidR="000634FF" w:rsidRPr="00E604BB" w:rsidRDefault="000634FF" w:rsidP="002D62B9">
            <w:pPr>
              <w:pStyle w:val="tabteksts"/>
              <w:jc w:val="center"/>
              <w:rPr>
                <w:b/>
              </w:rPr>
            </w:pPr>
            <w:r>
              <w:rPr>
                <w:b/>
              </w:rPr>
              <w:t>2060</w:t>
            </w:r>
          </w:p>
        </w:tc>
      </w:tr>
      <w:tr w:rsidR="000634FF" w:rsidRPr="00E604BB" w:rsidTr="00C1532A">
        <w:trPr>
          <w:jc w:val="center"/>
        </w:trPr>
        <w:tc>
          <w:tcPr>
            <w:tcW w:w="3840" w:type="dxa"/>
            <w:tcBorders>
              <w:top w:val="double" w:sz="6" w:space="0" w:color="auto"/>
              <w:left w:val="double" w:sz="6" w:space="0" w:color="auto"/>
              <w:bottom w:val="single" w:sz="4" w:space="0" w:color="auto"/>
              <w:right w:val="double" w:sz="6" w:space="0" w:color="auto"/>
            </w:tcBorders>
            <w:vAlign w:val="bottom"/>
          </w:tcPr>
          <w:p w:rsidR="000634FF" w:rsidRPr="00FE1FB1" w:rsidRDefault="000634FF" w:rsidP="002D62B9">
            <w:pPr>
              <w:pStyle w:val="tabteksts"/>
            </w:pPr>
            <w:r w:rsidRPr="00FE1FB1">
              <w:t>Kopējie izdevumi</w:t>
            </w:r>
          </w:p>
        </w:tc>
        <w:tc>
          <w:tcPr>
            <w:tcW w:w="754" w:type="dxa"/>
            <w:tcBorders>
              <w:top w:val="double" w:sz="6" w:space="0" w:color="auto"/>
              <w:left w:val="nil"/>
              <w:bottom w:val="single" w:sz="4" w:space="0" w:color="auto"/>
              <w:right w:val="single" w:sz="4" w:space="0" w:color="auto"/>
            </w:tcBorders>
            <w:vAlign w:val="bottom"/>
          </w:tcPr>
          <w:p w:rsidR="000634FF" w:rsidRPr="00FE1FB1" w:rsidRDefault="000634FF" w:rsidP="002D62B9">
            <w:pPr>
              <w:pStyle w:val="tabteksts"/>
              <w:tabs>
                <w:tab w:val="decimal" w:pos="436"/>
              </w:tabs>
            </w:pPr>
          </w:p>
        </w:tc>
        <w:tc>
          <w:tcPr>
            <w:tcW w:w="754" w:type="dxa"/>
            <w:tcBorders>
              <w:top w:val="double" w:sz="6" w:space="0" w:color="auto"/>
              <w:left w:val="single" w:sz="4" w:space="0" w:color="auto"/>
              <w:bottom w:val="single" w:sz="4" w:space="0" w:color="auto"/>
              <w:right w:val="single" w:sz="4" w:space="0" w:color="auto"/>
            </w:tcBorders>
            <w:vAlign w:val="bottom"/>
          </w:tcPr>
          <w:p w:rsidR="000634FF" w:rsidRPr="00FE1FB1" w:rsidRDefault="000634FF" w:rsidP="002D62B9">
            <w:pPr>
              <w:pStyle w:val="tabteksts"/>
              <w:tabs>
                <w:tab w:val="decimal" w:pos="436"/>
              </w:tabs>
            </w:pPr>
          </w:p>
        </w:tc>
        <w:tc>
          <w:tcPr>
            <w:tcW w:w="754" w:type="dxa"/>
            <w:tcBorders>
              <w:top w:val="double" w:sz="6" w:space="0" w:color="auto"/>
              <w:left w:val="nil"/>
              <w:bottom w:val="single" w:sz="4" w:space="0" w:color="auto"/>
              <w:right w:val="single" w:sz="4" w:space="0" w:color="auto"/>
            </w:tcBorders>
            <w:vAlign w:val="bottom"/>
          </w:tcPr>
          <w:p w:rsidR="000634FF" w:rsidRPr="00FE1FB1" w:rsidRDefault="000634FF" w:rsidP="002D62B9">
            <w:pPr>
              <w:pStyle w:val="tabteksts"/>
              <w:tabs>
                <w:tab w:val="decimal" w:pos="436"/>
              </w:tabs>
            </w:pPr>
          </w:p>
        </w:tc>
        <w:tc>
          <w:tcPr>
            <w:tcW w:w="754" w:type="dxa"/>
            <w:tcBorders>
              <w:top w:val="double" w:sz="6" w:space="0" w:color="auto"/>
              <w:left w:val="nil"/>
              <w:bottom w:val="single" w:sz="4" w:space="0" w:color="auto"/>
              <w:right w:val="single" w:sz="4" w:space="0" w:color="auto"/>
            </w:tcBorders>
            <w:vAlign w:val="bottom"/>
          </w:tcPr>
          <w:p w:rsidR="000634FF" w:rsidRPr="00FE1FB1" w:rsidRDefault="000634FF" w:rsidP="002D62B9">
            <w:pPr>
              <w:pStyle w:val="tabteksts"/>
              <w:tabs>
                <w:tab w:val="decimal" w:pos="436"/>
              </w:tabs>
            </w:pPr>
          </w:p>
        </w:tc>
        <w:tc>
          <w:tcPr>
            <w:tcW w:w="754" w:type="dxa"/>
            <w:tcBorders>
              <w:top w:val="double" w:sz="6" w:space="0" w:color="auto"/>
              <w:left w:val="nil"/>
              <w:bottom w:val="single" w:sz="4" w:space="0" w:color="auto"/>
              <w:right w:val="single" w:sz="4" w:space="0" w:color="auto"/>
            </w:tcBorders>
            <w:vAlign w:val="bottom"/>
          </w:tcPr>
          <w:p w:rsidR="000634FF" w:rsidRPr="00FE1FB1" w:rsidRDefault="000634FF" w:rsidP="002D62B9">
            <w:pPr>
              <w:pStyle w:val="tabteksts"/>
              <w:tabs>
                <w:tab w:val="decimal" w:pos="436"/>
              </w:tabs>
            </w:pPr>
          </w:p>
        </w:tc>
        <w:tc>
          <w:tcPr>
            <w:tcW w:w="754" w:type="dxa"/>
            <w:tcBorders>
              <w:top w:val="double" w:sz="6" w:space="0" w:color="auto"/>
              <w:left w:val="single" w:sz="4" w:space="0" w:color="auto"/>
              <w:bottom w:val="single" w:sz="4" w:space="0" w:color="auto"/>
              <w:right w:val="double" w:sz="6" w:space="0" w:color="auto"/>
            </w:tcBorders>
            <w:vAlign w:val="bottom"/>
          </w:tcPr>
          <w:p w:rsidR="000634FF" w:rsidRPr="00E604BB" w:rsidRDefault="000634FF" w:rsidP="002D62B9">
            <w:pPr>
              <w:pStyle w:val="tabteksts"/>
              <w:tabs>
                <w:tab w:val="decimal" w:pos="436"/>
              </w:tabs>
            </w:pPr>
          </w:p>
        </w:tc>
      </w:tr>
      <w:tr w:rsidR="000634FF" w:rsidRPr="00E604BB" w:rsidTr="00C1532A">
        <w:trPr>
          <w:jc w:val="center"/>
        </w:trPr>
        <w:tc>
          <w:tcPr>
            <w:tcW w:w="3840" w:type="dxa"/>
            <w:tcBorders>
              <w:top w:val="single" w:sz="4" w:space="0" w:color="auto"/>
              <w:left w:val="double" w:sz="6" w:space="0" w:color="auto"/>
              <w:bottom w:val="single" w:sz="4" w:space="0" w:color="auto"/>
              <w:right w:val="double" w:sz="6" w:space="0" w:color="auto"/>
            </w:tcBorders>
            <w:vAlign w:val="bottom"/>
          </w:tcPr>
          <w:p w:rsidR="000634FF" w:rsidRPr="00E604BB" w:rsidRDefault="000634FF" w:rsidP="002D62B9">
            <w:pPr>
              <w:pStyle w:val="tabteksts"/>
              <w:rPr>
                <w:noProof/>
              </w:rPr>
            </w:pPr>
            <w:r w:rsidRPr="00E604BB">
              <w:rPr>
                <w:noProof/>
              </w:rPr>
              <w:t>t.sk. ar vecumu saistītie izdevumi</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t>19,2</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E604BB" w:rsidRDefault="000634FF" w:rsidP="002D62B9">
            <w:pPr>
              <w:pStyle w:val="tabteksts"/>
              <w:tabs>
                <w:tab w:val="decimal" w:pos="436"/>
              </w:tabs>
            </w:pPr>
            <w:r>
              <w:t>16,5</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t>15,4</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t>14,9</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t>15,4</w:t>
            </w:r>
          </w:p>
        </w:tc>
        <w:tc>
          <w:tcPr>
            <w:tcW w:w="754" w:type="dxa"/>
            <w:tcBorders>
              <w:top w:val="single" w:sz="4" w:space="0" w:color="auto"/>
              <w:left w:val="single" w:sz="4" w:space="0" w:color="auto"/>
              <w:bottom w:val="single" w:sz="4" w:space="0" w:color="auto"/>
              <w:right w:val="double" w:sz="6" w:space="0" w:color="auto"/>
            </w:tcBorders>
            <w:vAlign w:val="bottom"/>
          </w:tcPr>
          <w:p w:rsidR="000634FF" w:rsidRPr="00E604BB" w:rsidRDefault="000634FF" w:rsidP="002D62B9">
            <w:pPr>
              <w:pStyle w:val="tabteksts"/>
              <w:tabs>
                <w:tab w:val="decimal" w:pos="436"/>
              </w:tabs>
            </w:pPr>
            <w:r w:rsidRPr="00E604BB">
              <w:t>1</w:t>
            </w:r>
            <w:r>
              <w:t>5,4</w:t>
            </w:r>
          </w:p>
        </w:tc>
      </w:tr>
      <w:tr w:rsidR="000634FF" w:rsidRPr="00E604BB" w:rsidTr="00C1532A">
        <w:trPr>
          <w:jc w:val="center"/>
        </w:trPr>
        <w:tc>
          <w:tcPr>
            <w:tcW w:w="3840" w:type="dxa"/>
            <w:tcBorders>
              <w:top w:val="single" w:sz="4" w:space="0" w:color="auto"/>
              <w:left w:val="double" w:sz="6" w:space="0" w:color="auto"/>
              <w:bottom w:val="single" w:sz="4" w:space="0" w:color="auto"/>
              <w:right w:val="double" w:sz="6" w:space="0" w:color="auto"/>
            </w:tcBorders>
            <w:vAlign w:val="bottom"/>
          </w:tcPr>
          <w:p w:rsidR="000634FF" w:rsidRPr="00E604BB" w:rsidRDefault="000634FF" w:rsidP="002D62B9">
            <w:pPr>
              <w:pStyle w:val="tabteksts"/>
              <w:rPr>
                <w:noProof/>
              </w:rPr>
            </w:pPr>
            <w:r w:rsidRPr="00E604BB">
              <w:rPr>
                <w:noProof/>
              </w:rPr>
              <w:t>Pensiju izdevumi</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t>9,7</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E604BB" w:rsidRDefault="000634FF" w:rsidP="002D62B9">
            <w:pPr>
              <w:pStyle w:val="tabteksts"/>
              <w:tabs>
                <w:tab w:val="decimal" w:pos="436"/>
              </w:tabs>
              <w:jc w:val="center"/>
            </w:pPr>
            <w:r>
              <w:t>7,3</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t>6,5</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t>6,3</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t>6,4</w:t>
            </w:r>
          </w:p>
        </w:tc>
        <w:tc>
          <w:tcPr>
            <w:tcW w:w="754" w:type="dxa"/>
            <w:tcBorders>
              <w:top w:val="single" w:sz="4" w:space="0" w:color="auto"/>
              <w:left w:val="single" w:sz="4" w:space="0" w:color="auto"/>
              <w:bottom w:val="single" w:sz="4" w:space="0" w:color="auto"/>
              <w:right w:val="double" w:sz="6" w:space="0" w:color="auto"/>
            </w:tcBorders>
            <w:vAlign w:val="bottom"/>
          </w:tcPr>
          <w:p w:rsidR="000634FF" w:rsidRPr="00E604BB" w:rsidRDefault="000634FF" w:rsidP="002D62B9">
            <w:pPr>
              <w:pStyle w:val="tabteksts"/>
              <w:tabs>
                <w:tab w:val="decimal" w:pos="436"/>
              </w:tabs>
            </w:pPr>
            <w:r>
              <w:t>5,9</w:t>
            </w:r>
          </w:p>
        </w:tc>
      </w:tr>
      <w:tr w:rsidR="000634FF" w:rsidRPr="00E604BB" w:rsidTr="00C1532A">
        <w:trPr>
          <w:jc w:val="center"/>
        </w:trPr>
        <w:tc>
          <w:tcPr>
            <w:tcW w:w="3840" w:type="dxa"/>
            <w:tcBorders>
              <w:top w:val="single" w:sz="4" w:space="0" w:color="auto"/>
              <w:left w:val="double" w:sz="6" w:space="0" w:color="auto"/>
              <w:bottom w:val="single" w:sz="4" w:space="0" w:color="auto"/>
              <w:right w:val="double" w:sz="6" w:space="0" w:color="auto"/>
            </w:tcBorders>
            <w:vAlign w:val="bottom"/>
          </w:tcPr>
          <w:p w:rsidR="000634FF" w:rsidRPr="00E604BB" w:rsidRDefault="000634FF" w:rsidP="002D62B9">
            <w:pPr>
              <w:pStyle w:val="tabteksts"/>
              <w:rPr>
                <w:noProof/>
              </w:rPr>
            </w:pPr>
            <w:r w:rsidRPr="00E604BB">
              <w:rPr>
                <w:noProof/>
              </w:rPr>
              <w:t>Sociālās apdrošināšanas pensijas</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t>9,7</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E604BB" w:rsidRDefault="000634FF" w:rsidP="002D62B9">
            <w:pPr>
              <w:pStyle w:val="tabteksts"/>
              <w:tabs>
                <w:tab w:val="decimal" w:pos="436"/>
              </w:tabs>
            </w:pPr>
            <w:r>
              <w:t>7,3</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t>6,5</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t>6,3</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t>6,4</w:t>
            </w:r>
          </w:p>
        </w:tc>
        <w:tc>
          <w:tcPr>
            <w:tcW w:w="754" w:type="dxa"/>
            <w:tcBorders>
              <w:top w:val="single" w:sz="4" w:space="0" w:color="auto"/>
              <w:left w:val="single" w:sz="4" w:space="0" w:color="auto"/>
              <w:bottom w:val="single" w:sz="4" w:space="0" w:color="auto"/>
              <w:right w:val="double" w:sz="6" w:space="0" w:color="auto"/>
            </w:tcBorders>
            <w:vAlign w:val="bottom"/>
          </w:tcPr>
          <w:p w:rsidR="000634FF" w:rsidRPr="00E604BB" w:rsidRDefault="000634FF" w:rsidP="002D62B9">
            <w:pPr>
              <w:pStyle w:val="tabteksts"/>
              <w:tabs>
                <w:tab w:val="decimal" w:pos="436"/>
              </w:tabs>
            </w:pPr>
            <w:r w:rsidRPr="00E604BB">
              <w:t>5</w:t>
            </w:r>
            <w:r>
              <w:t>,9</w:t>
            </w:r>
          </w:p>
        </w:tc>
      </w:tr>
      <w:tr w:rsidR="000634FF" w:rsidRPr="00E604BB" w:rsidTr="00C1532A">
        <w:trPr>
          <w:jc w:val="center"/>
        </w:trPr>
        <w:tc>
          <w:tcPr>
            <w:tcW w:w="3840" w:type="dxa"/>
            <w:tcBorders>
              <w:top w:val="single" w:sz="4" w:space="0" w:color="auto"/>
              <w:left w:val="double" w:sz="6" w:space="0" w:color="auto"/>
              <w:bottom w:val="single" w:sz="4" w:space="0" w:color="auto"/>
              <w:right w:val="double" w:sz="6" w:space="0" w:color="auto"/>
            </w:tcBorders>
            <w:vAlign w:val="bottom"/>
          </w:tcPr>
          <w:p w:rsidR="000634FF" w:rsidRPr="00E604BB" w:rsidRDefault="000634FF" w:rsidP="002D62B9">
            <w:pPr>
              <w:pStyle w:val="tabteksts"/>
              <w:rPr>
                <w:noProof/>
              </w:rPr>
            </w:pPr>
            <w:r w:rsidRPr="00E604BB">
              <w:rPr>
                <w:noProof/>
              </w:rPr>
              <w:t>Vecuma un priekšlaicīgās pensijas</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t>8,7</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E604BB" w:rsidRDefault="000634FF" w:rsidP="002D62B9">
            <w:pPr>
              <w:pStyle w:val="tabteksts"/>
              <w:tabs>
                <w:tab w:val="decimal" w:pos="436"/>
              </w:tabs>
            </w:pPr>
            <w:r>
              <w:t>6,5</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t>5,9</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t>5,8</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t>5,9</w:t>
            </w:r>
          </w:p>
        </w:tc>
        <w:tc>
          <w:tcPr>
            <w:tcW w:w="754" w:type="dxa"/>
            <w:tcBorders>
              <w:top w:val="single" w:sz="4" w:space="0" w:color="auto"/>
              <w:left w:val="single" w:sz="4" w:space="0" w:color="auto"/>
              <w:bottom w:val="single" w:sz="4" w:space="0" w:color="auto"/>
              <w:right w:val="double" w:sz="6" w:space="0" w:color="auto"/>
            </w:tcBorders>
            <w:vAlign w:val="bottom"/>
          </w:tcPr>
          <w:p w:rsidR="000634FF" w:rsidRPr="00E604BB" w:rsidRDefault="000634FF" w:rsidP="002D62B9">
            <w:pPr>
              <w:pStyle w:val="tabteksts"/>
              <w:tabs>
                <w:tab w:val="decimal" w:pos="436"/>
              </w:tabs>
            </w:pPr>
            <w:r>
              <w:t>5,5</w:t>
            </w:r>
          </w:p>
        </w:tc>
      </w:tr>
      <w:tr w:rsidR="000634FF" w:rsidRPr="00E604BB" w:rsidTr="00C1532A">
        <w:trPr>
          <w:jc w:val="center"/>
        </w:trPr>
        <w:tc>
          <w:tcPr>
            <w:tcW w:w="3840" w:type="dxa"/>
            <w:tcBorders>
              <w:top w:val="single" w:sz="4" w:space="0" w:color="auto"/>
              <w:left w:val="double" w:sz="6" w:space="0" w:color="auto"/>
              <w:bottom w:val="single" w:sz="4" w:space="0" w:color="auto"/>
              <w:right w:val="double" w:sz="6" w:space="0" w:color="auto"/>
            </w:tcBorders>
            <w:vAlign w:val="bottom"/>
          </w:tcPr>
          <w:p w:rsidR="000634FF" w:rsidRPr="00E604BB" w:rsidRDefault="000634FF" w:rsidP="002D62B9">
            <w:pPr>
              <w:pStyle w:val="tabteksts"/>
              <w:rPr>
                <w:noProof/>
              </w:rPr>
            </w:pPr>
            <w:r w:rsidRPr="00E604BB">
              <w:rPr>
                <w:noProof/>
              </w:rPr>
              <w:t>Citas pensijas (invaliditātes, apgādnieka zaudējuma)</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t>1,0</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E604BB" w:rsidRDefault="000634FF" w:rsidP="002D62B9">
            <w:pPr>
              <w:pStyle w:val="tabteksts"/>
              <w:tabs>
                <w:tab w:val="decimal" w:pos="436"/>
              </w:tabs>
            </w:pPr>
            <w:r w:rsidRPr="00E604BB">
              <w:t>0</w:t>
            </w:r>
            <w:r>
              <w:t>,7</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rsidRPr="00E604BB">
              <w:t>0</w:t>
            </w:r>
            <w:r>
              <w:t>,5</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t>0,5</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rsidRPr="00E604BB">
              <w:t>0</w:t>
            </w:r>
            <w:r>
              <w:t>,4</w:t>
            </w:r>
          </w:p>
        </w:tc>
        <w:tc>
          <w:tcPr>
            <w:tcW w:w="754" w:type="dxa"/>
            <w:tcBorders>
              <w:top w:val="single" w:sz="4" w:space="0" w:color="auto"/>
              <w:left w:val="single" w:sz="4" w:space="0" w:color="auto"/>
              <w:bottom w:val="single" w:sz="4" w:space="0" w:color="auto"/>
              <w:right w:val="double" w:sz="6" w:space="0" w:color="auto"/>
            </w:tcBorders>
            <w:vAlign w:val="bottom"/>
          </w:tcPr>
          <w:p w:rsidR="000634FF" w:rsidRPr="00E604BB" w:rsidRDefault="000634FF" w:rsidP="002D62B9">
            <w:pPr>
              <w:pStyle w:val="tabteksts"/>
              <w:tabs>
                <w:tab w:val="decimal" w:pos="436"/>
              </w:tabs>
            </w:pPr>
            <w:r w:rsidRPr="00E604BB">
              <w:t>0</w:t>
            </w:r>
            <w:r>
              <w:t>,4</w:t>
            </w:r>
          </w:p>
        </w:tc>
      </w:tr>
      <w:tr w:rsidR="000634FF" w:rsidRPr="00E604BB" w:rsidTr="00C1532A">
        <w:trPr>
          <w:jc w:val="center"/>
        </w:trPr>
        <w:tc>
          <w:tcPr>
            <w:tcW w:w="3840" w:type="dxa"/>
            <w:tcBorders>
              <w:top w:val="single" w:sz="4" w:space="0" w:color="auto"/>
              <w:left w:val="double" w:sz="6" w:space="0" w:color="auto"/>
              <w:bottom w:val="single" w:sz="4" w:space="0" w:color="auto"/>
              <w:right w:val="double" w:sz="6" w:space="0" w:color="auto"/>
            </w:tcBorders>
            <w:vAlign w:val="bottom"/>
          </w:tcPr>
          <w:p w:rsidR="000634FF" w:rsidRPr="00E604BB" w:rsidRDefault="000634FF" w:rsidP="002D62B9">
            <w:pPr>
              <w:pStyle w:val="tabteksts"/>
              <w:rPr>
                <w:noProof/>
              </w:rPr>
            </w:pPr>
            <w:r w:rsidRPr="00E604BB">
              <w:rPr>
                <w:noProof/>
              </w:rPr>
              <w:t>Arodpensijas (ja vispārējā valdībā)</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E604BB" w:rsidRDefault="000634FF" w:rsidP="002D62B9">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p>
        </w:tc>
        <w:tc>
          <w:tcPr>
            <w:tcW w:w="754" w:type="dxa"/>
            <w:tcBorders>
              <w:top w:val="single" w:sz="4" w:space="0" w:color="auto"/>
              <w:left w:val="single" w:sz="4" w:space="0" w:color="auto"/>
              <w:bottom w:val="single" w:sz="4" w:space="0" w:color="auto"/>
              <w:right w:val="double" w:sz="6" w:space="0" w:color="auto"/>
            </w:tcBorders>
            <w:vAlign w:val="bottom"/>
          </w:tcPr>
          <w:p w:rsidR="000634FF" w:rsidRPr="00E604BB" w:rsidRDefault="000634FF" w:rsidP="002D62B9">
            <w:pPr>
              <w:pStyle w:val="tabteksts"/>
              <w:tabs>
                <w:tab w:val="decimal" w:pos="436"/>
              </w:tabs>
            </w:pPr>
          </w:p>
        </w:tc>
      </w:tr>
      <w:tr w:rsidR="000634FF" w:rsidRPr="00E604BB" w:rsidTr="00C1532A">
        <w:trPr>
          <w:jc w:val="center"/>
        </w:trPr>
        <w:tc>
          <w:tcPr>
            <w:tcW w:w="3840" w:type="dxa"/>
            <w:tcBorders>
              <w:top w:val="single" w:sz="4" w:space="0" w:color="auto"/>
              <w:left w:val="double" w:sz="6" w:space="0" w:color="auto"/>
              <w:bottom w:val="single" w:sz="4" w:space="0" w:color="auto"/>
              <w:right w:val="double" w:sz="6" w:space="0" w:color="auto"/>
            </w:tcBorders>
            <w:vAlign w:val="bottom"/>
          </w:tcPr>
          <w:p w:rsidR="000634FF" w:rsidRPr="00E604BB" w:rsidRDefault="000634FF" w:rsidP="002D62B9">
            <w:pPr>
              <w:pStyle w:val="tabteksts"/>
              <w:rPr>
                <w:noProof/>
              </w:rPr>
            </w:pPr>
            <w:r w:rsidRPr="00E604BB">
              <w:rPr>
                <w:noProof/>
              </w:rPr>
              <w:t>Veselības aprūpe</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t>3,7</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E604BB" w:rsidRDefault="000634FF" w:rsidP="002D62B9">
            <w:pPr>
              <w:pStyle w:val="tabteksts"/>
              <w:tabs>
                <w:tab w:val="decimal" w:pos="436"/>
              </w:tabs>
            </w:pPr>
            <w:r w:rsidRPr="00E604BB">
              <w:t>3</w:t>
            </w:r>
            <w:r>
              <w:t>,8</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t>4,0</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t>4,1</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rsidRPr="00E604BB">
              <w:t>4</w:t>
            </w:r>
            <w:r>
              <w:t>,2</w:t>
            </w:r>
          </w:p>
        </w:tc>
        <w:tc>
          <w:tcPr>
            <w:tcW w:w="754" w:type="dxa"/>
            <w:tcBorders>
              <w:top w:val="single" w:sz="4" w:space="0" w:color="auto"/>
              <w:left w:val="single" w:sz="4" w:space="0" w:color="auto"/>
              <w:bottom w:val="single" w:sz="4" w:space="0" w:color="auto"/>
              <w:right w:val="double" w:sz="6" w:space="0" w:color="auto"/>
            </w:tcBorders>
            <w:vAlign w:val="bottom"/>
          </w:tcPr>
          <w:p w:rsidR="000634FF" w:rsidRPr="00E604BB" w:rsidRDefault="000634FF" w:rsidP="002D62B9">
            <w:pPr>
              <w:pStyle w:val="tabteksts"/>
              <w:tabs>
                <w:tab w:val="decimal" w:pos="436"/>
              </w:tabs>
            </w:pPr>
            <w:r w:rsidRPr="00E604BB">
              <w:t>4</w:t>
            </w:r>
            <w:r>
              <w:t>,3</w:t>
            </w:r>
          </w:p>
        </w:tc>
      </w:tr>
      <w:tr w:rsidR="000634FF" w:rsidRPr="00E604BB" w:rsidTr="00C1532A">
        <w:trPr>
          <w:jc w:val="center"/>
        </w:trPr>
        <w:tc>
          <w:tcPr>
            <w:tcW w:w="3840" w:type="dxa"/>
            <w:tcBorders>
              <w:top w:val="single" w:sz="4" w:space="0" w:color="auto"/>
              <w:left w:val="double" w:sz="6" w:space="0" w:color="auto"/>
              <w:bottom w:val="single" w:sz="4" w:space="0" w:color="auto"/>
              <w:right w:val="double" w:sz="6" w:space="0" w:color="auto"/>
            </w:tcBorders>
            <w:vAlign w:val="bottom"/>
          </w:tcPr>
          <w:p w:rsidR="000634FF" w:rsidRPr="00E604BB" w:rsidRDefault="000634FF" w:rsidP="002D62B9">
            <w:pPr>
              <w:pStyle w:val="tabteksts"/>
              <w:rPr>
                <w:noProof/>
              </w:rPr>
            </w:pPr>
            <w:r w:rsidRPr="00E604BB">
              <w:rPr>
                <w:noProof/>
              </w:rPr>
              <w:t>Ilglaicīgā aprūpe</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rsidRPr="00E604BB">
              <w:t>0</w:t>
            </w:r>
            <w:r>
              <w:t>,7</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E604BB" w:rsidRDefault="000634FF" w:rsidP="002D62B9">
            <w:pPr>
              <w:pStyle w:val="tabteksts"/>
              <w:tabs>
                <w:tab w:val="decimal" w:pos="436"/>
              </w:tabs>
            </w:pPr>
            <w:r w:rsidRPr="00E604BB">
              <w:t>0</w:t>
            </w:r>
            <w:r>
              <w:t>,7</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rsidRPr="00E604BB">
              <w:t>0</w:t>
            </w:r>
            <w:r>
              <w:t>,7</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t>0,8</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rsidRPr="00E604BB">
              <w:t>0</w:t>
            </w:r>
            <w:r>
              <w:t>,9</w:t>
            </w:r>
          </w:p>
        </w:tc>
        <w:tc>
          <w:tcPr>
            <w:tcW w:w="754" w:type="dxa"/>
            <w:tcBorders>
              <w:top w:val="single" w:sz="4" w:space="0" w:color="auto"/>
              <w:left w:val="single" w:sz="4" w:space="0" w:color="auto"/>
              <w:bottom w:val="single" w:sz="4" w:space="0" w:color="auto"/>
              <w:right w:val="double" w:sz="6" w:space="0" w:color="auto"/>
            </w:tcBorders>
            <w:vAlign w:val="bottom"/>
          </w:tcPr>
          <w:p w:rsidR="000634FF" w:rsidRPr="00E604BB" w:rsidRDefault="000634FF" w:rsidP="002D62B9">
            <w:pPr>
              <w:pStyle w:val="tabteksts"/>
              <w:tabs>
                <w:tab w:val="decimal" w:pos="436"/>
              </w:tabs>
            </w:pPr>
            <w:r>
              <w:t>1,0</w:t>
            </w:r>
          </w:p>
        </w:tc>
      </w:tr>
      <w:tr w:rsidR="000634FF" w:rsidRPr="00E604BB" w:rsidTr="00C1532A">
        <w:trPr>
          <w:jc w:val="center"/>
        </w:trPr>
        <w:tc>
          <w:tcPr>
            <w:tcW w:w="3840" w:type="dxa"/>
            <w:tcBorders>
              <w:top w:val="single" w:sz="4" w:space="0" w:color="auto"/>
              <w:left w:val="double" w:sz="6" w:space="0" w:color="auto"/>
              <w:bottom w:val="single" w:sz="4" w:space="0" w:color="auto"/>
              <w:right w:val="double" w:sz="6" w:space="0" w:color="auto"/>
            </w:tcBorders>
            <w:vAlign w:val="bottom"/>
          </w:tcPr>
          <w:p w:rsidR="000634FF" w:rsidRPr="00E604BB" w:rsidRDefault="000634FF" w:rsidP="002D62B9">
            <w:pPr>
              <w:pStyle w:val="tabteksts"/>
              <w:rPr>
                <w:noProof/>
              </w:rPr>
            </w:pPr>
            <w:r w:rsidRPr="00E604BB">
              <w:rPr>
                <w:noProof/>
              </w:rPr>
              <w:t>Izglītības izdevumi</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t>4,4</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E604BB" w:rsidRDefault="000634FF" w:rsidP="002D62B9">
            <w:pPr>
              <w:pStyle w:val="tabteksts"/>
              <w:tabs>
                <w:tab w:val="decimal" w:pos="436"/>
              </w:tabs>
            </w:pPr>
            <w:r>
              <w:t>4,</w:t>
            </w:r>
            <w:r w:rsidRPr="00E604BB">
              <w:t>0</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rsidRPr="00E604BB">
              <w:t>3</w:t>
            </w:r>
            <w:r>
              <w:t>,7</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t>3,3</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rsidRPr="00E604BB">
              <w:t>3</w:t>
            </w:r>
            <w:r>
              <w:t>,5</w:t>
            </w:r>
          </w:p>
        </w:tc>
        <w:tc>
          <w:tcPr>
            <w:tcW w:w="754" w:type="dxa"/>
            <w:tcBorders>
              <w:top w:val="single" w:sz="4" w:space="0" w:color="auto"/>
              <w:left w:val="single" w:sz="4" w:space="0" w:color="auto"/>
              <w:bottom w:val="single" w:sz="4" w:space="0" w:color="auto"/>
              <w:right w:val="double" w:sz="6" w:space="0" w:color="auto"/>
            </w:tcBorders>
            <w:vAlign w:val="bottom"/>
          </w:tcPr>
          <w:p w:rsidR="000634FF" w:rsidRPr="00E604BB" w:rsidRDefault="000634FF" w:rsidP="002D62B9">
            <w:pPr>
              <w:pStyle w:val="tabteksts"/>
              <w:tabs>
                <w:tab w:val="decimal" w:pos="436"/>
              </w:tabs>
            </w:pPr>
            <w:r w:rsidRPr="00E604BB">
              <w:t>3</w:t>
            </w:r>
            <w:r>
              <w:t>,8</w:t>
            </w:r>
          </w:p>
        </w:tc>
      </w:tr>
      <w:tr w:rsidR="000634FF" w:rsidRPr="00E604BB" w:rsidTr="00C1532A">
        <w:trPr>
          <w:jc w:val="center"/>
        </w:trPr>
        <w:tc>
          <w:tcPr>
            <w:tcW w:w="3840" w:type="dxa"/>
            <w:tcBorders>
              <w:top w:val="single" w:sz="4" w:space="0" w:color="auto"/>
              <w:left w:val="double" w:sz="6" w:space="0" w:color="auto"/>
              <w:bottom w:val="single" w:sz="4" w:space="0" w:color="auto"/>
              <w:right w:val="double" w:sz="6" w:space="0" w:color="auto"/>
            </w:tcBorders>
            <w:vAlign w:val="bottom"/>
          </w:tcPr>
          <w:p w:rsidR="000634FF" w:rsidRPr="00E604BB" w:rsidRDefault="000634FF" w:rsidP="002D62B9">
            <w:pPr>
              <w:pStyle w:val="tabteksts"/>
              <w:rPr>
                <w:noProof/>
              </w:rPr>
            </w:pPr>
            <w:r w:rsidRPr="00E604BB">
              <w:rPr>
                <w:noProof/>
              </w:rPr>
              <w:t>Citi ar vecumu saistītie izdevumi</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rsidRPr="00E604BB">
              <w:t>0</w:t>
            </w:r>
            <w:r>
              <w:t>,7</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E604BB" w:rsidRDefault="000634FF" w:rsidP="002D62B9">
            <w:pPr>
              <w:pStyle w:val="tabteksts"/>
              <w:tabs>
                <w:tab w:val="decimal" w:pos="436"/>
              </w:tabs>
            </w:pPr>
            <w:r w:rsidRPr="00E604BB">
              <w:t>0</w:t>
            </w:r>
            <w:r>
              <w:t>,7</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rsidRPr="00E604BB">
              <w:t>0</w:t>
            </w:r>
            <w:r>
              <w:t>,5</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t>0,4</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rsidRPr="00E604BB">
              <w:t>0</w:t>
            </w:r>
            <w:r>
              <w:t>,4</w:t>
            </w:r>
          </w:p>
        </w:tc>
        <w:tc>
          <w:tcPr>
            <w:tcW w:w="754" w:type="dxa"/>
            <w:tcBorders>
              <w:top w:val="single" w:sz="4" w:space="0" w:color="auto"/>
              <w:left w:val="single" w:sz="4" w:space="0" w:color="auto"/>
              <w:bottom w:val="single" w:sz="4" w:space="0" w:color="auto"/>
              <w:right w:val="double" w:sz="6" w:space="0" w:color="auto"/>
            </w:tcBorders>
            <w:vAlign w:val="bottom"/>
          </w:tcPr>
          <w:p w:rsidR="000634FF" w:rsidRPr="00E604BB" w:rsidRDefault="000634FF" w:rsidP="002D62B9">
            <w:pPr>
              <w:pStyle w:val="tabteksts"/>
              <w:tabs>
                <w:tab w:val="decimal" w:pos="436"/>
              </w:tabs>
            </w:pPr>
            <w:r w:rsidRPr="00E604BB">
              <w:t>0</w:t>
            </w:r>
            <w:r>
              <w:t>,4</w:t>
            </w:r>
          </w:p>
        </w:tc>
      </w:tr>
      <w:tr w:rsidR="000634FF" w:rsidRPr="00E604BB" w:rsidTr="00C1532A">
        <w:trPr>
          <w:jc w:val="center"/>
        </w:trPr>
        <w:tc>
          <w:tcPr>
            <w:tcW w:w="3840" w:type="dxa"/>
            <w:tcBorders>
              <w:top w:val="single" w:sz="4" w:space="0" w:color="auto"/>
              <w:left w:val="double" w:sz="6" w:space="0" w:color="auto"/>
              <w:bottom w:val="single" w:sz="4" w:space="0" w:color="auto"/>
              <w:right w:val="double" w:sz="6" w:space="0" w:color="auto"/>
            </w:tcBorders>
            <w:vAlign w:val="bottom"/>
          </w:tcPr>
          <w:p w:rsidR="000634FF" w:rsidRPr="00E604BB" w:rsidRDefault="000634FF" w:rsidP="002D62B9">
            <w:pPr>
              <w:pStyle w:val="tabteksts"/>
              <w:rPr>
                <w:noProof/>
              </w:rPr>
            </w:pPr>
            <w:r w:rsidRPr="00E604BB">
              <w:rPr>
                <w:noProof/>
              </w:rPr>
              <w:t>Procentu izdevumi</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E604BB" w:rsidRDefault="000634FF" w:rsidP="002D62B9">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p>
        </w:tc>
        <w:tc>
          <w:tcPr>
            <w:tcW w:w="754" w:type="dxa"/>
            <w:tcBorders>
              <w:top w:val="single" w:sz="4" w:space="0" w:color="auto"/>
              <w:left w:val="single" w:sz="4" w:space="0" w:color="auto"/>
              <w:bottom w:val="single" w:sz="4" w:space="0" w:color="auto"/>
              <w:right w:val="double" w:sz="6" w:space="0" w:color="auto"/>
            </w:tcBorders>
            <w:vAlign w:val="bottom"/>
          </w:tcPr>
          <w:p w:rsidR="000634FF" w:rsidRPr="00E604BB" w:rsidRDefault="000634FF" w:rsidP="002D62B9">
            <w:pPr>
              <w:pStyle w:val="tabteksts"/>
              <w:tabs>
                <w:tab w:val="decimal" w:pos="436"/>
              </w:tabs>
            </w:pPr>
          </w:p>
        </w:tc>
      </w:tr>
      <w:tr w:rsidR="000634FF" w:rsidRPr="00E604BB" w:rsidTr="00C1532A">
        <w:trPr>
          <w:jc w:val="center"/>
        </w:trPr>
        <w:tc>
          <w:tcPr>
            <w:tcW w:w="3840" w:type="dxa"/>
            <w:tcBorders>
              <w:top w:val="single" w:sz="4" w:space="0" w:color="auto"/>
              <w:left w:val="double" w:sz="6" w:space="0" w:color="auto"/>
              <w:bottom w:val="single" w:sz="4" w:space="0" w:color="auto"/>
              <w:right w:val="double" w:sz="6" w:space="0" w:color="auto"/>
            </w:tcBorders>
            <w:vAlign w:val="bottom"/>
          </w:tcPr>
          <w:p w:rsidR="000634FF" w:rsidRPr="00FE1FB1" w:rsidRDefault="000634FF" w:rsidP="002D62B9">
            <w:pPr>
              <w:pStyle w:val="tabteksts"/>
              <w:rPr>
                <w:noProof/>
              </w:rPr>
            </w:pPr>
            <w:r w:rsidRPr="00FE1FB1">
              <w:rPr>
                <w:noProof/>
              </w:rPr>
              <w:t>Kopējie ieņēmumi</w:t>
            </w:r>
          </w:p>
        </w:tc>
        <w:tc>
          <w:tcPr>
            <w:tcW w:w="754" w:type="dxa"/>
            <w:tcBorders>
              <w:top w:val="single" w:sz="4" w:space="0" w:color="auto"/>
              <w:left w:val="nil"/>
              <w:bottom w:val="single" w:sz="4" w:space="0" w:color="auto"/>
              <w:right w:val="single" w:sz="4" w:space="0" w:color="auto"/>
            </w:tcBorders>
            <w:vAlign w:val="bottom"/>
          </w:tcPr>
          <w:p w:rsidR="000634FF" w:rsidRPr="00FE1FB1" w:rsidRDefault="000634FF" w:rsidP="002D62B9">
            <w:pPr>
              <w:pStyle w:val="tabteksts"/>
              <w:tabs>
                <w:tab w:val="decimal" w:pos="436"/>
              </w:tabs>
            </w:pP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FE1FB1" w:rsidRDefault="000634FF" w:rsidP="002D62B9">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rsidR="000634FF" w:rsidRPr="00FE1FB1" w:rsidRDefault="000634FF" w:rsidP="002D62B9">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rsidR="000634FF" w:rsidRPr="00FE1FB1" w:rsidRDefault="000634FF" w:rsidP="002D62B9">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rsidR="000634FF" w:rsidRPr="00FE1FB1" w:rsidRDefault="000634FF" w:rsidP="002D62B9">
            <w:pPr>
              <w:pStyle w:val="tabteksts"/>
              <w:tabs>
                <w:tab w:val="decimal" w:pos="436"/>
              </w:tabs>
            </w:pPr>
          </w:p>
        </w:tc>
        <w:tc>
          <w:tcPr>
            <w:tcW w:w="754" w:type="dxa"/>
            <w:tcBorders>
              <w:top w:val="single" w:sz="4" w:space="0" w:color="auto"/>
              <w:left w:val="single" w:sz="4" w:space="0" w:color="auto"/>
              <w:bottom w:val="single" w:sz="4" w:space="0" w:color="auto"/>
              <w:right w:val="double" w:sz="6" w:space="0" w:color="auto"/>
            </w:tcBorders>
            <w:vAlign w:val="bottom"/>
          </w:tcPr>
          <w:p w:rsidR="000634FF" w:rsidRPr="00E604BB" w:rsidRDefault="000634FF" w:rsidP="002D62B9">
            <w:pPr>
              <w:pStyle w:val="tabteksts"/>
              <w:tabs>
                <w:tab w:val="decimal" w:pos="436"/>
              </w:tabs>
            </w:pPr>
          </w:p>
        </w:tc>
      </w:tr>
      <w:tr w:rsidR="000634FF" w:rsidRPr="00E604BB" w:rsidTr="00C1532A">
        <w:trPr>
          <w:jc w:val="center"/>
        </w:trPr>
        <w:tc>
          <w:tcPr>
            <w:tcW w:w="3840" w:type="dxa"/>
            <w:tcBorders>
              <w:top w:val="single" w:sz="4" w:space="0" w:color="auto"/>
              <w:left w:val="double" w:sz="6" w:space="0" w:color="auto"/>
              <w:bottom w:val="single" w:sz="4" w:space="0" w:color="auto"/>
              <w:right w:val="double" w:sz="6" w:space="0" w:color="auto"/>
            </w:tcBorders>
            <w:vAlign w:val="bottom"/>
          </w:tcPr>
          <w:p w:rsidR="000634FF" w:rsidRPr="00E604BB" w:rsidRDefault="000634FF" w:rsidP="002D62B9">
            <w:pPr>
              <w:pStyle w:val="tabteksts"/>
              <w:rPr>
                <w:noProof/>
              </w:rPr>
            </w:pPr>
            <w:r w:rsidRPr="00E604BB">
              <w:rPr>
                <w:noProof/>
              </w:rPr>
              <w:t>t.sk.: īpašuma ieņēmumi</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E604BB" w:rsidRDefault="000634FF" w:rsidP="002D62B9">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p>
        </w:tc>
        <w:tc>
          <w:tcPr>
            <w:tcW w:w="754" w:type="dxa"/>
            <w:tcBorders>
              <w:top w:val="single" w:sz="4" w:space="0" w:color="auto"/>
              <w:left w:val="single" w:sz="4" w:space="0" w:color="auto"/>
              <w:bottom w:val="single" w:sz="4" w:space="0" w:color="auto"/>
              <w:right w:val="double" w:sz="6" w:space="0" w:color="auto"/>
            </w:tcBorders>
            <w:vAlign w:val="bottom"/>
          </w:tcPr>
          <w:p w:rsidR="000634FF" w:rsidRPr="00E604BB" w:rsidRDefault="000634FF" w:rsidP="002D62B9">
            <w:pPr>
              <w:pStyle w:val="tabteksts"/>
              <w:tabs>
                <w:tab w:val="decimal" w:pos="436"/>
              </w:tabs>
            </w:pPr>
          </w:p>
        </w:tc>
      </w:tr>
      <w:tr w:rsidR="000634FF" w:rsidRPr="00E604BB" w:rsidTr="00C1532A">
        <w:trPr>
          <w:jc w:val="center"/>
        </w:trPr>
        <w:tc>
          <w:tcPr>
            <w:tcW w:w="3840" w:type="dxa"/>
            <w:tcBorders>
              <w:top w:val="single" w:sz="4" w:space="0" w:color="auto"/>
              <w:left w:val="double" w:sz="6" w:space="0" w:color="auto"/>
              <w:bottom w:val="single" w:sz="4" w:space="0" w:color="auto"/>
              <w:right w:val="double" w:sz="6" w:space="0" w:color="auto"/>
            </w:tcBorders>
            <w:vAlign w:val="bottom"/>
          </w:tcPr>
          <w:p w:rsidR="000634FF" w:rsidRPr="00E604BB" w:rsidRDefault="000634FF" w:rsidP="002D62B9">
            <w:pPr>
              <w:pStyle w:val="tabteksts"/>
              <w:rPr>
                <w:noProof/>
              </w:rPr>
            </w:pPr>
            <w:r w:rsidRPr="00E604BB">
              <w:rPr>
                <w:noProof/>
              </w:rPr>
              <w:t>t.sk.: pensiju iemaksas</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t>6,9</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E604BB" w:rsidRDefault="000634FF" w:rsidP="002D62B9">
            <w:pPr>
              <w:pStyle w:val="tabteksts"/>
              <w:tabs>
                <w:tab w:val="decimal" w:pos="436"/>
              </w:tabs>
            </w:pPr>
            <w:r>
              <w:t>8,9</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t>8,8</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t>9,1</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t>9,0</w:t>
            </w:r>
          </w:p>
        </w:tc>
        <w:tc>
          <w:tcPr>
            <w:tcW w:w="754" w:type="dxa"/>
            <w:tcBorders>
              <w:top w:val="single" w:sz="4" w:space="0" w:color="auto"/>
              <w:left w:val="single" w:sz="4" w:space="0" w:color="auto"/>
              <w:bottom w:val="single" w:sz="4" w:space="0" w:color="auto"/>
              <w:right w:val="double" w:sz="6" w:space="0" w:color="auto"/>
            </w:tcBorders>
            <w:vAlign w:val="bottom"/>
          </w:tcPr>
          <w:p w:rsidR="000634FF" w:rsidRPr="00E604BB" w:rsidRDefault="000634FF" w:rsidP="002D62B9">
            <w:pPr>
              <w:pStyle w:val="tabteksts"/>
              <w:tabs>
                <w:tab w:val="decimal" w:pos="436"/>
              </w:tabs>
            </w:pPr>
            <w:r>
              <w:t>8,</w:t>
            </w:r>
            <w:r w:rsidRPr="00E604BB">
              <w:t>8</w:t>
            </w:r>
          </w:p>
        </w:tc>
      </w:tr>
      <w:tr w:rsidR="000634FF" w:rsidRPr="00E604BB" w:rsidTr="00C1532A">
        <w:trPr>
          <w:jc w:val="center"/>
        </w:trPr>
        <w:tc>
          <w:tcPr>
            <w:tcW w:w="3840" w:type="dxa"/>
            <w:tcBorders>
              <w:top w:val="single" w:sz="4" w:space="0" w:color="auto"/>
              <w:left w:val="double" w:sz="6" w:space="0" w:color="auto"/>
              <w:bottom w:val="single" w:sz="4" w:space="0" w:color="auto"/>
              <w:right w:val="double" w:sz="6" w:space="0" w:color="auto"/>
            </w:tcBorders>
            <w:vAlign w:val="bottom"/>
          </w:tcPr>
          <w:p w:rsidR="000634FF" w:rsidRPr="00E604BB" w:rsidRDefault="000634FF" w:rsidP="002D62B9">
            <w:pPr>
              <w:pStyle w:val="tabteksts"/>
              <w:rPr>
                <w:noProof/>
              </w:rPr>
            </w:pPr>
            <w:r w:rsidRPr="00E604BB">
              <w:rPr>
                <w:noProof/>
              </w:rPr>
              <w:t>Pensiju rezerves fondu aktīvi</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E604BB" w:rsidRDefault="000634FF" w:rsidP="002D62B9">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p>
        </w:tc>
        <w:tc>
          <w:tcPr>
            <w:tcW w:w="754" w:type="dxa"/>
            <w:tcBorders>
              <w:top w:val="single" w:sz="4" w:space="0" w:color="auto"/>
              <w:left w:val="single" w:sz="4" w:space="0" w:color="auto"/>
              <w:bottom w:val="single" w:sz="4" w:space="0" w:color="auto"/>
              <w:right w:val="double" w:sz="6" w:space="0" w:color="auto"/>
            </w:tcBorders>
            <w:vAlign w:val="bottom"/>
          </w:tcPr>
          <w:p w:rsidR="000634FF" w:rsidRPr="00E604BB" w:rsidRDefault="000634FF" w:rsidP="002D62B9">
            <w:pPr>
              <w:pStyle w:val="tabteksts"/>
              <w:tabs>
                <w:tab w:val="decimal" w:pos="436"/>
              </w:tabs>
            </w:pPr>
          </w:p>
        </w:tc>
      </w:tr>
      <w:tr w:rsidR="000634FF" w:rsidRPr="00E604BB" w:rsidTr="00C1532A">
        <w:trPr>
          <w:jc w:val="center"/>
        </w:trPr>
        <w:tc>
          <w:tcPr>
            <w:tcW w:w="3840" w:type="dxa"/>
            <w:tcBorders>
              <w:top w:val="single" w:sz="4" w:space="0" w:color="auto"/>
              <w:left w:val="double" w:sz="6" w:space="0" w:color="auto"/>
              <w:bottom w:val="single" w:sz="4" w:space="0" w:color="auto"/>
              <w:right w:val="double" w:sz="6" w:space="0" w:color="auto"/>
            </w:tcBorders>
            <w:vAlign w:val="bottom"/>
          </w:tcPr>
          <w:p w:rsidR="000634FF" w:rsidRPr="00E604BB" w:rsidRDefault="000634FF" w:rsidP="002D62B9">
            <w:pPr>
              <w:pStyle w:val="tabteksts"/>
              <w:rPr>
                <w:noProof/>
              </w:rPr>
            </w:pPr>
            <w:r>
              <w:rPr>
                <w:noProof/>
              </w:rPr>
              <w:t>t</w:t>
            </w:r>
            <w:r w:rsidRPr="00E604BB">
              <w:rPr>
                <w:noProof/>
              </w:rPr>
              <w:t>.sk. konsolidētie valsts pensiju fondu aktīvi (ne valdības saistības)</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E604BB" w:rsidRDefault="000634FF" w:rsidP="002D62B9">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p>
        </w:tc>
        <w:tc>
          <w:tcPr>
            <w:tcW w:w="754" w:type="dxa"/>
            <w:tcBorders>
              <w:top w:val="single" w:sz="4" w:space="0" w:color="auto"/>
              <w:left w:val="single" w:sz="4" w:space="0" w:color="auto"/>
              <w:bottom w:val="single" w:sz="4" w:space="0" w:color="auto"/>
              <w:right w:val="double" w:sz="6" w:space="0" w:color="auto"/>
            </w:tcBorders>
            <w:vAlign w:val="bottom"/>
          </w:tcPr>
          <w:p w:rsidR="000634FF" w:rsidRPr="00E604BB" w:rsidRDefault="000634FF" w:rsidP="002D62B9">
            <w:pPr>
              <w:pStyle w:val="tabteksts"/>
              <w:tabs>
                <w:tab w:val="decimal" w:pos="436"/>
              </w:tabs>
            </w:pPr>
          </w:p>
        </w:tc>
      </w:tr>
      <w:tr w:rsidR="000634FF" w:rsidRPr="00E604BB" w:rsidTr="00C1532A">
        <w:trPr>
          <w:jc w:val="center"/>
        </w:trPr>
        <w:tc>
          <w:tcPr>
            <w:tcW w:w="3840" w:type="dxa"/>
            <w:tcBorders>
              <w:top w:val="single" w:sz="4" w:space="0" w:color="auto"/>
              <w:left w:val="double" w:sz="6" w:space="0" w:color="auto"/>
              <w:bottom w:val="single" w:sz="4" w:space="0" w:color="auto"/>
              <w:right w:val="double" w:sz="6" w:space="0" w:color="auto"/>
            </w:tcBorders>
            <w:vAlign w:val="bottom"/>
          </w:tcPr>
          <w:p w:rsidR="000634FF" w:rsidRPr="00E604BB" w:rsidRDefault="000634FF" w:rsidP="002D62B9">
            <w:pPr>
              <w:pStyle w:val="tabteksts"/>
              <w:rPr>
                <w:noProof/>
              </w:rPr>
            </w:pPr>
            <w:r>
              <w:rPr>
                <w:noProof/>
              </w:rPr>
              <w:t>Pensiju iemaksas valsts fondēto pensiju shēmā</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t>0,5</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E604BB" w:rsidRDefault="000634FF" w:rsidP="002D62B9">
            <w:pPr>
              <w:pStyle w:val="tabteksts"/>
              <w:tabs>
                <w:tab w:val="decimal" w:pos="436"/>
              </w:tabs>
            </w:pPr>
            <w:r>
              <w:t>1,6</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t>1,7</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t>1,8</w:t>
            </w:r>
          </w:p>
        </w:tc>
        <w:tc>
          <w:tcPr>
            <w:tcW w:w="754" w:type="dxa"/>
            <w:tcBorders>
              <w:top w:val="single" w:sz="4" w:space="0" w:color="auto"/>
              <w:left w:val="nil"/>
              <w:bottom w:val="single" w:sz="4" w:space="0" w:color="auto"/>
              <w:right w:val="single" w:sz="4" w:space="0" w:color="auto"/>
            </w:tcBorders>
            <w:vAlign w:val="bottom"/>
          </w:tcPr>
          <w:p w:rsidR="000634FF" w:rsidRPr="00E604BB" w:rsidRDefault="000634FF" w:rsidP="002D62B9">
            <w:pPr>
              <w:pStyle w:val="tabteksts"/>
              <w:tabs>
                <w:tab w:val="decimal" w:pos="436"/>
              </w:tabs>
            </w:pPr>
            <w:r>
              <w:t>1,7</w:t>
            </w:r>
          </w:p>
        </w:tc>
        <w:tc>
          <w:tcPr>
            <w:tcW w:w="754" w:type="dxa"/>
            <w:tcBorders>
              <w:top w:val="single" w:sz="4" w:space="0" w:color="auto"/>
              <w:left w:val="single" w:sz="4" w:space="0" w:color="auto"/>
              <w:bottom w:val="single" w:sz="4" w:space="0" w:color="auto"/>
              <w:right w:val="double" w:sz="6" w:space="0" w:color="auto"/>
            </w:tcBorders>
            <w:vAlign w:val="bottom"/>
          </w:tcPr>
          <w:p w:rsidR="000634FF" w:rsidRPr="00E604BB" w:rsidRDefault="000634FF" w:rsidP="002D62B9">
            <w:pPr>
              <w:pStyle w:val="tabteksts"/>
              <w:tabs>
                <w:tab w:val="decimal" w:pos="436"/>
              </w:tabs>
            </w:pPr>
            <w:r>
              <w:t>1,7</w:t>
            </w:r>
          </w:p>
        </w:tc>
      </w:tr>
      <w:tr w:rsidR="000634FF" w:rsidRPr="00E604BB" w:rsidTr="00C1532A">
        <w:trPr>
          <w:jc w:val="center"/>
        </w:trPr>
        <w:tc>
          <w:tcPr>
            <w:tcW w:w="3840" w:type="dxa"/>
            <w:tcBorders>
              <w:top w:val="single" w:sz="4" w:space="0" w:color="auto"/>
              <w:left w:val="double" w:sz="6" w:space="0" w:color="auto"/>
              <w:bottom w:val="double" w:sz="6" w:space="0" w:color="auto"/>
              <w:right w:val="double" w:sz="6" w:space="0" w:color="auto"/>
            </w:tcBorders>
            <w:vAlign w:val="bottom"/>
          </w:tcPr>
          <w:p w:rsidR="000634FF" w:rsidRPr="00E604BB" w:rsidRDefault="000634FF" w:rsidP="002D62B9">
            <w:pPr>
              <w:pStyle w:val="tabteksts"/>
              <w:rPr>
                <w:noProof/>
              </w:rPr>
            </w:pPr>
            <w:r>
              <w:rPr>
                <w:noProof/>
              </w:rPr>
              <w:t>Pensiju izdevumi no valsts fondēto pensiju shēmas</w:t>
            </w:r>
          </w:p>
        </w:tc>
        <w:tc>
          <w:tcPr>
            <w:tcW w:w="754" w:type="dxa"/>
            <w:tcBorders>
              <w:top w:val="single" w:sz="4" w:space="0" w:color="auto"/>
              <w:left w:val="nil"/>
              <w:bottom w:val="double" w:sz="6" w:space="0" w:color="auto"/>
              <w:right w:val="single" w:sz="4" w:space="0" w:color="auto"/>
            </w:tcBorders>
            <w:vAlign w:val="bottom"/>
          </w:tcPr>
          <w:p w:rsidR="000634FF" w:rsidRPr="00E604BB" w:rsidRDefault="000634FF" w:rsidP="002D62B9">
            <w:pPr>
              <w:pStyle w:val="tabteksts"/>
              <w:tabs>
                <w:tab w:val="decimal" w:pos="423"/>
              </w:tabs>
            </w:pPr>
            <w:r>
              <w:t>0,0</w:t>
            </w:r>
          </w:p>
        </w:tc>
        <w:tc>
          <w:tcPr>
            <w:tcW w:w="754" w:type="dxa"/>
            <w:tcBorders>
              <w:top w:val="single" w:sz="4" w:space="0" w:color="auto"/>
              <w:left w:val="single" w:sz="4" w:space="0" w:color="auto"/>
              <w:bottom w:val="double" w:sz="6" w:space="0" w:color="auto"/>
              <w:right w:val="single" w:sz="4" w:space="0" w:color="auto"/>
            </w:tcBorders>
            <w:vAlign w:val="bottom"/>
          </w:tcPr>
          <w:p w:rsidR="000634FF" w:rsidRPr="00E604BB" w:rsidRDefault="000634FF" w:rsidP="002D62B9">
            <w:pPr>
              <w:pStyle w:val="tabteksts"/>
              <w:tabs>
                <w:tab w:val="decimal" w:pos="423"/>
              </w:tabs>
            </w:pPr>
            <w:r>
              <w:t>0,1</w:t>
            </w:r>
          </w:p>
        </w:tc>
        <w:tc>
          <w:tcPr>
            <w:tcW w:w="754" w:type="dxa"/>
            <w:tcBorders>
              <w:top w:val="single" w:sz="4" w:space="0" w:color="auto"/>
              <w:left w:val="nil"/>
              <w:bottom w:val="double" w:sz="6" w:space="0" w:color="auto"/>
              <w:right w:val="single" w:sz="4" w:space="0" w:color="auto"/>
            </w:tcBorders>
            <w:vAlign w:val="bottom"/>
          </w:tcPr>
          <w:p w:rsidR="000634FF" w:rsidRPr="00E604BB" w:rsidRDefault="000634FF" w:rsidP="002D62B9">
            <w:pPr>
              <w:pStyle w:val="tabteksts"/>
              <w:tabs>
                <w:tab w:val="decimal" w:pos="423"/>
              </w:tabs>
            </w:pPr>
            <w:r>
              <w:t>0,3</w:t>
            </w:r>
          </w:p>
        </w:tc>
        <w:tc>
          <w:tcPr>
            <w:tcW w:w="754" w:type="dxa"/>
            <w:tcBorders>
              <w:top w:val="single" w:sz="4" w:space="0" w:color="auto"/>
              <w:left w:val="nil"/>
              <w:bottom w:val="double" w:sz="6" w:space="0" w:color="auto"/>
              <w:right w:val="single" w:sz="4" w:space="0" w:color="auto"/>
            </w:tcBorders>
            <w:vAlign w:val="bottom"/>
          </w:tcPr>
          <w:p w:rsidR="000634FF" w:rsidRPr="00E604BB" w:rsidRDefault="000634FF" w:rsidP="002D62B9">
            <w:pPr>
              <w:pStyle w:val="tabteksts"/>
              <w:tabs>
                <w:tab w:val="decimal" w:pos="423"/>
              </w:tabs>
            </w:pPr>
            <w:r>
              <w:t>0,9</w:t>
            </w:r>
          </w:p>
        </w:tc>
        <w:tc>
          <w:tcPr>
            <w:tcW w:w="754" w:type="dxa"/>
            <w:tcBorders>
              <w:top w:val="single" w:sz="4" w:space="0" w:color="auto"/>
              <w:left w:val="nil"/>
              <w:bottom w:val="double" w:sz="6" w:space="0" w:color="auto"/>
              <w:right w:val="single" w:sz="4" w:space="0" w:color="auto"/>
            </w:tcBorders>
            <w:vAlign w:val="bottom"/>
          </w:tcPr>
          <w:p w:rsidR="000634FF" w:rsidRPr="00E604BB" w:rsidRDefault="000634FF" w:rsidP="002D62B9">
            <w:pPr>
              <w:pStyle w:val="tabteksts"/>
              <w:tabs>
                <w:tab w:val="decimal" w:pos="423"/>
              </w:tabs>
            </w:pPr>
            <w:r>
              <w:t>1,9</w:t>
            </w:r>
          </w:p>
        </w:tc>
        <w:tc>
          <w:tcPr>
            <w:tcW w:w="754" w:type="dxa"/>
            <w:tcBorders>
              <w:top w:val="single" w:sz="4" w:space="0" w:color="auto"/>
              <w:left w:val="single" w:sz="4" w:space="0" w:color="auto"/>
              <w:bottom w:val="double" w:sz="6" w:space="0" w:color="auto"/>
              <w:right w:val="double" w:sz="6" w:space="0" w:color="auto"/>
            </w:tcBorders>
            <w:vAlign w:val="bottom"/>
          </w:tcPr>
          <w:p w:rsidR="000634FF" w:rsidRPr="00E604BB" w:rsidRDefault="000634FF" w:rsidP="002D62B9">
            <w:pPr>
              <w:pStyle w:val="tabteksts"/>
              <w:tabs>
                <w:tab w:val="decimal" w:pos="423"/>
              </w:tabs>
            </w:pPr>
            <w:r>
              <w:t>2,9</w:t>
            </w:r>
          </w:p>
        </w:tc>
      </w:tr>
      <w:tr w:rsidR="000634FF" w:rsidRPr="00E604BB" w:rsidTr="00C1532A">
        <w:trPr>
          <w:jc w:val="center"/>
        </w:trPr>
        <w:tc>
          <w:tcPr>
            <w:tcW w:w="3840" w:type="dxa"/>
            <w:tcBorders>
              <w:top w:val="double" w:sz="6" w:space="0" w:color="auto"/>
              <w:left w:val="double" w:sz="6" w:space="0" w:color="auto"/>
              <w:bottom w:val="single" w:sz="4" w:space="0" w:color="auto"/>
              <w:right w:val="double" w:sz="6" w:space="0" w:color="auto"/>
            </w:tcBorders>
            <w:vAlign w:val="bottom"/>
          </w:tcPr>
          <w:p w:rsidR="000634FF" w:rsidRPr="00E604BB" w:rsidRDefault="000634FF" w:rsidP="002D62B9">
            <w:pPr>
              <w:pStyle w:val="tabteksts"/>
              <w:rPr>
                <w:noProof/>
              </w:rPr>
            </w:pPr>
            <w:r w:rsidRPr="00E604BB">
              <w:rPr>
                <w:noProof/>
              </w:rPr>
              <w:t>Darba produktivitātes pieaugums</w:t>
            </w:r>
            <w:r>
              <w:rPr>
                <w:noProof/>
              </w:rPr>
              <w:t xml:space="preserve"> (stundā)</w:t>
            </w:r>
          </w:p>
        </w:tc>
        <w:tc>
          <w:tcPr>
            <w:tcW w:w="754" w:type="dxa"/>
            <w:tcBorders>
              <w:top w:val="double" w:sz="6" w:space="0" w:color="auto"/>
              <w:left w:val="single" w:sz="4" w:space="0" w:color="auto"/>
              <w:bottom w:val="single" w:sz="4" w:space="0" w:color="auto"/>
              <w:right w:val="single" w:sz="4" w:space="0" w:color="auto"/>
            </w:tcBorders>
            <w:vAlign w:val="bottom"/>
          </w:tcPr>
          <w:p w:rsidR="000634FF" w:rsidRPr="00A22A15" w:rsidRDefault="000634FF" w:rsidP="002D62B9">
            <w:pPr>
              <w:pStyle w:val="tabteksts"/>
              <w:tabs>
                <w:tab w:val="decimal" w:pos="436"/>
              </w:tabs>
            </w:pPr>
            <w:r w:rsidRPr="00A22A15">
              <w:t>5</w:t>
            </w:r>
            <w:r>
              <w:t>,4</w:t>
            </w:r>
          </w:p>
        </w:tc>
        <w:tc>
          <w:tcPr>
            <w:tcW w:w="754" w:type="dxa"/>
            <w:tcBorders>
              <w:top w:val="double" w:sz="6" w:space="0" w:color="auto"/>
              <w:left w:val="single" w:sz="4" w:space="0" w:color="auto"/>
              <w:bottom w:val="single" w:sz="4" w:space="0" w:color="auto"/>
              <w:right w:val="single" w:sz="4" w:space="0" w:color="auto"/>
            </w:tcBorders>
            <w:vAlign w:val="bottom"/>
          </w:tcPr>
          <w:p w:rsidR="000634FF" w:rsidRPr="00A22A15" w:rsidRDefault="000634FF" w:rsidP="002D62B9">
            <w:pPr>
              <w:pStyle w:val="tabteksts"/>
              <w:tabs>
                <w:tab w:val="decimal" w:pos="436"/>
              </w:tabs>
            </w:pPr>
            <w:r>
              <w:t>1,9</w:t>
            </w:r>
          </w:p>
        </w:tc>
        <w:tc>
          <w:tcPr>
            <w:tcW w:w="754" w:type="dxa"/>
            <w:tcBorders>
              <w:top w:val="double" w:sz="6" w:space="0" w:color="auto"/>
              <w:left w:val="single" w:sz="4" w:space="0" w:color="auto"/>
              <w:bottom w:val="single" w:sz="4" w:space="0" w:color="auto"/>
              <w:right w:val="single" w:sz="4" w:space="0" w:color="auto"/>
            </w:tcBorders>
            <w:vAlign w:val="bottom"/>
          </w:tcPr>
          <w:p w:rsidR="000634FF" w:rsidRPr="00A22A15" w:rsidRDefault="000634FF" w:rsidP="002D62B9">
            <w:pPr>
              <w:pStyle w:val="tabteksts"/>
              <w:tabs>
                <w:tab w:val="decimal" w:pos="436"/>
              </w:tabs>
            </w:pPr>
            <w:r w:rsidRPr="00A22A15">
              <w:t>2</w:t>
            </w:r>
            <w:r>
              <w:t>,3</w:t>
            </w:r>
          </w:p>
        </w:tc>
        <w:tc>
          <w:tcPr>
            <w:tcW w:w="754" w:type="dxa"/>
            <w:tcBorders>
              <w:top w:val="double" w:sz="6" w:space="0" w:color="auto"/>
              <w:left w:val="single" w:sz="4" w:space="0" w:color="auto"/>
              <w:bottom w:val="single" w:sz="4" w:space="0" w:color="auto"/>
              <w:right w:val="single" w:sz="4" w:space="0" w:color="auto"/>
            </w:tcBorders>
            <w:vAlign w:val="bottom"/>
          </w:tcPr>
          <w:p w:rsidR="000634FF" w:rsidRPr="00A22A15" w:rsidRDefault="000634FF" w:rsidP="002D62B9">
            <w:pPr>
              <w:pStyle w:val="tabteksts"/>
              <w:tabs>
                <w:tab w:val="decimal" w:pos="436"/>
              </w:tabs>
            </w:pPr>
            <w:r>
              <w:t>2,3</w:t>
            </w:r>
          </w:p>
        </w:tc>
        <w:tc>
          <w:tcPr>
            <w:tcW w:w="754" w:type="dxa"/>
            <w:tcBorders>
              <w:top w:val="double" w:sz="6" w:space="0" w:color="auto"/>
              <w:left w:val="single" w:sz="4" w:space="0" w:color="auto"/>
              <w:bottom w:val="single" w:sz="4" w:space="0" w:color="auto"/>
              <w:right w:val="single" w:sz="4" w:space="0" w:color="auto"/>
            </w:tcBorders>
            <w:vAlign w:val="bottom"/>
          </w:tcPr>
          <w:p w:rsidR="000634FF" w:rsidRPr="00A22A15" w:rsidRDefault="000634FF" w:rsidP="002D62B9">
            <w:pPr>
              <w:pStyle w:val="tabteksts"/>
              <w:tabs>
                <w:tab w:val="decimal" w:pos="436"/>
              </w:tabs>
            </w:pPr>
            <w:r w:rsidRPr="00A22A15">
              <w:t>1</w:t>
            </w:r>
            <w:r>
              <w:t>,9</w:t>
            </w:r>
          </w:p>
        </w:tc>
        <w:tc>
          <w:tcPr>
            <w:tcW w:w="754" w:type="dxa"/>
            <w:tcBorders>
              <w:top w:val="double" w:sz="6" w:space="0" w:color="auto"/>
              <w:left w:val="single" w:sz="4" w:space="0" w:color="auto"/>
              <w:bottom w:val="single" w:sz="4" w:space="0" w:color="auto"/>
              <w:right w:val="double" w:sz="6" w:space="0" w:color="auto"/>
            </w:tcBorders>
            <w:vAlign w:val="bottom"/>
          </w:tcPr>
          <w:p w:rsidR="000634FF" w:rsidRPr="00A22A15" w:rsidRDefault="000634FF" w:rsidP="002D62B9">
            <w:pPr>
              <w:pStyle w:val="tabteksts"/>
              <w:tabs>
                <w:tab w:val="decimal" w:pos="436"/>
              </w:tabs>
            </w:pPr>
            <w:r w:rsidRPr="00A22A15">
              <w:t>1</w:t>
            </w:r>
            <w:r>
              <w:t>,5</w:t>
            </w:r>
          </w:p>
        </w:tc>
      </w:tr>
      <w:tr w:rsidR="000634FF" w:rsidRPr="00E604BB" w:rsidTr="00C1532A">
        <w:trPr>
          <w:jc w:val="center"/>
        </w:trPr>
        <w:tc>
          <w:tcPr>
            <w:tcW w:w="3840" w:type="dxa"/>
            <w:tcBorders>
              <w:top w:val="single" w:sz="4" w:space="0" w:color="auto"/>
              <w:left w:val="double" w:sz="6" w:space="0" w:color="auto"/>
              <w:bottom w:val="single" w:sz="4" w:space="0" w:color="auto"/>
              <w:right w:val="double" w:sz="6" w:space="0" w:color="auto"/>
            </w:tcBorders>
            <w:vAlign w:val="bottom"/>
          </w:tcPr>
          <w:p w:rsidR="000634FF" w:rsidRPr="00E604BB" w:rsidRDefault="000634FF" w:rsidP="002D62B9">
            <w:pPr>
              <w:pStyle w:val="tabteksts"/>
            </w:pPr>
            <w:r w:rsidRPr="00E604BB">
              <w:t>IKP pieaugums, salīdzināmās cenās</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A22A15" w:rsidRDefault="000634FF" w:rsidP="002D62B9">
            <w:pPr>
              <w:pStyle w:val="tabteksts"/>
              <w:tabs>
                <w:tab w:val="decimal" w:pos="436"/>
              </w:tabs>
            </w:pPr>
            <w:r>
              <w:t>-0,3</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A22A15" w:rsidRDefault="000634FF" w:rsidP="002D62B9">
            <w:pPr>
              <w:pStyle w:val="tabteksts"/>
              <w:tabs>
                <w:tab w:val="decimal" w:pos="436"/>
              </w:tabs>
            </w:pPr>
            <w:r>
              <w:t>1,9</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A22A15" w:rsidRDefault="000634FF" w:rsidP="002D62B9">
            <w:pPr>
              <w:pStyle w:val="tabteksts"/>
              <w:tabs>
                <w:tab w:val="decimal" w:pos="436"/>
              </w:tabs>
            </w:pPr>
            <w:r w:rsidRPr="00A22A15">
              <w:t>1</w:t>
            </w:r>
            <w:r>
              <w:t>,9</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A22A15" w:rsidRDefault="000634FF" w:rsidP="002D62B9">
            <w:pPr>
              <w:pStyle w:val="tabteksts"/>
              <w:tabs>
                <w:tab w:val="decimal" w:pos="436"/>
              </w:tabs>
            </w:pPr>
            <w:r>
              <w:t>1,3</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A22A15" w:rsidRDefault="000634FF" w:rsidP="002D62B9">
            <w:pPr>
              <w:pStyle w:val="tabteksts"/>
              <w:tabs>
                <w:tab w:val="decimal" w:pos="436"/>
              </w:tabs>
            </w:pPr>
            <w:r>
              <w:t>0,3</w:t>
            </w:r>
          </w:p>
        </w:tc>
        <w:tc>
          <w:tcPr>
            <w:tcW w:w="754" w:type="dxa"/>
            <w:tcBorders>
              <w:top w:val="single" w:sz="4" w:space="0" w:color="auto"/>
              <w:left w:val="single" w:sz="4" w:space="0" w:color="auto"/>
              <w:bottom w:val="single" w:sz="4" w:space="0" w:color="auto"/>
              <w:right w:val="double" w:sz="6" w:space="0" w:color="auto"/>
            </w:tcBorders>
            <w:vAlign w:val="bottom"/>
          </w:tcPr>
          <w:p w:rsidR="000634FF" w:rsidRPr="00A22A15" w:rsidRDefault="000634FF" w:rsidP="002D62B9">
            <w:pPr>
              <w:pStyle w:val="tabteksts"/>
              <w:tabs>
                <w:tab w:val="decimal" w:pos="436"/>
              </w:tabs>
            </w:pPr>
            <w:r>
              <w:t>0,6</w:t>
            </w:r>
          </w:p>
        </w:tc>
      </w:tr>
      <w:tr w:rsidR="000634FF" w:rsidRPr="00E604BB" w:rsidTr="00C1532A">
        <w:trPr>
          <w:jc w:val="center"/>
        </w:trPr>
        <w:tc>
          <w:tcPr>
            <w:tcW w:w="3840" w:type="dxa"/>
            <w:tcBorders>
              <w:top w:val="single" w:sz="4" w:space="0" w:color="auto"/>
              <w:left w:val="double" w:sz="6" w:space="0" w:color="auto"/>
              <w:bottom w:val="single" w:sz="4" w:space="0" w:color="auto"/>
              <w:right w:val="double" w:sz="6" w:space="0" w:color="auto"/>
            </w:tcBorders>
            <w:vAlign w:val="bottom"/>
          </w:tcPr>
          <w:p w:rsidR="000634FF" w:rsidRPr="00E604BB" w:rsidRDefault="000634FF" w:rsidP="002D62B9">
            <w:pPr>
              <w:pStyle w:val="tabteksts"/>
            </w:pPr>
            <w:r w:rsidRPr="00E604BB">
              <w:t>Līdzdalības līmenis, vīrieši (20-64)</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A22A15" w:rsidRDefault="000634FF" w:rsidP="002D62B9">
            <w:pPr>
              <w:pStyle w:val="tabteksts"/>
              <w:tabs>
                <w:tab w:val="decimal" w:pos="436"/>
              </w:tabs>
            </w:pPr>
            <w:r w:rsidRPr="00A22A15">
              <w:t>8</w:t>
            </w:r>
            <w:r>
              <w:t>3,2</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A22A15" w:rsidRDefault="000634FF" w:rsidP="002D62B9">
            <w:pPr>
              <w:pStyle w:val="tabteksts"/>
              <w:tabs>
                <w:tab w:val="decimal" w:pos="436"/>
              </w:tabs>
            </w:pPr>
            <w:r w:rsidRPr="00A22A15">
              <w:t>8</w:t>
            </w:r>
            <w:r>
              <w:t>5,5</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A22A15" w:rsidRDefault="000634FF" w:rsidP="002D62B9">
            <w:pPr>
              <w:pStyle w:val="tabteksts"/>
              <w:tabs>
                <w:tab w:val="decimal" w:pos="436"/>
              </w:tabs>
            </w:pPr>
            <w:r w:rsidRPr="00A22A15">
              <w:t>8</w:t>
            </w:r>
            <w:r>
              <w:t>5,2</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A22A15" w:rsidRDefault="000634FF" w:rsidP="002D62B9">
            <w:pPr>
              <w:pStyle w:val="tabteksts"/>
              <w:tabs>
                <w:tab w:val="decimal" w:pos="436"/>
              </w:tabs>
            </w:pPr>
            <w:r>
              <w:t>84,6</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A22A15" w:rsidRDefault="000634FF" w:rsidP="002D62B9">
            <w:pPr>
              <w:pStyle w:val="tabteksts"/>
              <w:tabs>
                <w:tab w:val="decimal" w:pos="436"/>
              </w:tabs>
            </w:pPr>
            <w:r w:rsidRPr="00A22A15">
              <w:t>8</w:t>
            </w:r>
            <w:r>
              <w:t>2,8</w:t>
            </w:r>
          </w:p>
        </w:tc>
        <w:tc>
          <w:tcPr>
            <w:tcW w:w="754" w:type="dxa"/>
            <w:tcBorders>
              <w:top w:val="single" w:sz="4" w:space="0" w:color="auto"/>
              <w:left w:val="single" w:sz="4" w:space="0" w:color="auto"/>
              <w:bottom w:val="single" w:sz="4" w:space="0" w:color="auto"/>
              <w:right w:val="double" w:sz="6" w:space="0" w:color="auto"/>
            </w:tcBorders>
            <w:vAlign w:val="bottom"/>
          </w:tcPr>
          <w:p w:rsidR="000634FF" w:rsidRPr="00A22A15" w:rsidRDefault="000634FF" w:rsidP="002D62B9">
            <w:pPr>
              <w:pStyle w:val="tabteksts"/>
              <w:tabs>
                <w:tab w:val="decimal" w:pos="436"/>
              </w:tabs>
            </w:pPr>
            <w:r w:rsidRPr="00A22A15">
              <w:t>8</w:t>
            </w:r>
            <w:r>
              <w:t>5,3</w:t>
            </w:r>
          </w:p>
        </w:tc>
      </w:tr>
      <w:tr w:rsidR="000634FF" w:rsidRPr="00E604BB" w:rsidTr="00C1532A">
        <w:trPr>
          <w:jc w:val="center"/>
        </w:trPr>
        <w:tc>
          <w:tcPr>
            <w:tcW w:w="3840" w:type="dxa"/>
            <w:tcBorders>
              <w:top w:val="single" w:sz="4" w:space="0" w:color="auto"/>
              <w:left w:val="double" w:sz="6" w:space="0" w:color="auto"/>
              <w:bottom w:val="single" w:sz="4" w:space="0" w:color="auto"/>
              <w:right w:val="double" w:sz="6" w:space="0" w:color="auto"/>
            </w:tcBorders>
            <w:vAlign w:val="bottom"/>
          </w:tcPr>
          <w:p w:rsidR="000634FF" w:rsidRPr="00E604BB" w:rsidRDefault="000634FF" w:rsidP="002D62B9">
            <w:pPr>
              <w:pStyle w:val="tabteksts"/>
            </w:pPr>
            <w:r w:rsidRPr="00E604BB">
              <w:t>Līdzdalības līmenis, sievietes (20-64)</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A22A15" w:rsidRDefault="000634FF" w:rsidP="002D62B9">
            <w:pPr>
              <w:pStyle w:val="tabteksts"/>
              <w:tabs>
                <w:tab w:val="decimal" w:pos="436"/>
              </w:tabs>
            </w:pPr>
            <w:r w:rsidRPr="00A22A15">
              <w:t>7</w:t>
            </w:r>
            <w:r>
              <w:t>6,7</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A22A15" w:rsidRDefault="000634FF" w:rsidP="002D62B9">
            <w:pPr>
              <w:pStyle w:val="tabteksts"/>
              <w:tabs>
                <w:tab w:val="decimal" w:pos="436"/>
              </w:tabs>
            </w:pPr>
            <w:r w:rsidRPr="00A22A15">
              <w:t>7</w:t>
            </w:r>
            <w:r>
              <w:t>9,4</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A22A15" w:rsidRDefault="000634FF" w:rsidP="002D62B9">
            <w:pPr>
              <w:pStyle w:val="tabteksts"/>
              <w:tabs>
                <w:tab w:val="decimal" w:pos="436"/>
              </w:tabs>
            </w:pPr>
            <w:r w:rsidRPr="00A22A15">
              <w:t>7</w:t>
            </w:r>
            <w:r>
              <w:t>9,6</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A22A15" w:rsidRDefault="000634FF" w:rsidP="002D62B9">
            <w:pPr>
              <w:pStyle w:val="tabteksts"/>
              <w:tabs>
                <w:tab w:val="decimal" w:pos="436"/>
              </w:tabs>
            </w:pPr>
            <w:r>
              <w:t>79,2</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A22A15" w:rsidRDefault="000634FF" w:rsidP="002D62B9">
            <w:pPr>
              <w:pStyle w:val="tabteksts"/>
              <w:tabs>
                <w:tab w:val="decimal" w:pos="436"/>
              </w:tabs>
            </w:pPr>
            <w:r w:rsidRPr="00A22A15">
              <w:t>7</w:t>
            </w:r>
            <w:r>
              <w:t>8,1</w:t>
            </w:r>
          </w:p>
        </w:tc>
        <w:tc>
          <w:tcPr>
            <w:tcW w:w="754" w:type="dxa"/>
            <w:tcBorders>
              <w:top w:val="single" w:sz="4" w:space="0" w:color="auto"/>
              <w:left w:val="single" w:sz="4" w:space="0" w:color="auto"/>
              <w:bottom w:val="single" w:sz="4" w:space="0" w:color="auto"/>
              <w:right w:val="double" w:sz="6" w:space="0" w:color="auto"/>
            </w:tcBorders>
            <w:vAlign w:val="bottom"/>
          </w:tcPr>
          <w:p w:rsidR="000634FF" w:rsidRPr="00A22A15" w:rsidRDefault="000634FF" w:rsidP="002D62B9">
            <w:pPr>
              <w:pStyle w:val="tabteksts"/>
              <w:tabs>
                <w:tab w:val="decimal" w:pos="436"/>
              </w:tabs>
            </w:pPr>
            <w:r>
              <w:t>80,9</w:t>
            </w:r>
          </w:p>
        </w:tc>
      </w:tr>
      <w:tr w:rsidR="000634FF" w:rsidRPr="00E604BB" w:rsidTr="00C1532A">
        <w:trPr>
          <w:jc w:val="center"/>
        </w:trPr>
        <w:tc>
          <w:tcPr>
            <w:tcW w:w="3840" w:type="dxa"/>
            <w:tcBorders>
              <w:top w:val="single" w:sz="4" w:space="0" w:color="auto"/>
              <w:left w:val="double" w:sz="6" w:space="0" w:color="auto"/>
              <w:bottom w:val="single" w:sz="4" w:space="0" w:color="auto"/>
              <w:right w:val="double" w:sz="6" w:space="0" w:color="auto"/>
            </w:tcBorders>
            <w:vAlign w:val="bottom"/>
          </w:tcPr>
          <w:p w:rsidR="000634FF" w:rsidRPr="00E604BB" w:rsidRDefault="000634FF" w:rsidP="002D62B9">
            <w:pPr>
              <w:pStyle w:val="tabteksts"/>
            </w:pPr>
            <w:r w:rsidRPr="00E604BB">
              <w:t>Līdzdalības līmenis, kopā (20-64)</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A22A15" w:rsidRDefault="000634FF" w:rsidP="002D62B9">
            <w:pPr>
              <w:pStyle w:val="tabteksts"/>
              <w:tabs>
                <w:tab w:val="decimal" w:pos="436"/>
              </w:tabs>
            </w:pPr>
            <w:r>
              <w:t>79,9</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A22A15" w:rsidRDefault="000634FF" w:rsidP="002D62B9">
            <w:pPr>
              <w:pStyle w:val="tabteksts"/>
              <w:tabs>
                <w:tab w:val="decimal" w:pos="436"/>
              </w:tabs>
            </w:pPr>
            <w:r>
              <w:t>82,4</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A22A15" w:rsidRDefault="000634FF" w:rsidP="002D62B9">
            <w:pPr>
              <w:pStyle w:val="tabteksts"/>
              <w:tabs>
                <w:tab w:val="decimal" w:pos="436"/>
              </w:tabs>
            </w:pPr>
            <w:r>
              <w:t>82,4</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A22A15" w:rsidRDefault="000634FF" w:rsidP="002D62B9">
            <w:pPr>
              <w:pStyle w:val="tabteksts"/>
              <w:tabs>
                <w:tab w:val="decimal" w:pos="436"/>
              </w:tabs>
            </w:pPr>
            <w:r>
              <w:t>81,9</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A22A15" w:rsidRDefault="000634FF" w:rsidP="002D62B9">
            <w:pPr>
              <w:pStyle w:val="tabteksts"/>
              <w:tabs>
                <w:tab w:val="decimal" w:pos="436"/>
              </w:tabs>
            </w:pPr>
            <w:r>
              <w:t>80,4</w:t>
            </w:r>
          </w:p>
        </w:tc>
        <w:tc>
          <w:tcPr>
            <w:tcW w:w="754" w:type="dxa"/>
            <w:tcBorders>
              <w:top w:val="single" w:sz="4" w:space="0" w:color="auto"/>
              <w:left w:val="single" w:sz="4" w:space="0" w:color="auto"/>
              <w:bottom w:val="single" w:sz="4" w:space="0" w:color="auto"/>
              <w:right w:val="double" w:sz="6" w:space="0" w:color="auto"/>
            </w:tcBorders>
            <w:vAlign w:val="bottom"/>
          </w:tcPr>
          <w:p w:rsidR="000634FF" w:rsidRPr="00A22A15" w:rsidRDefault="000634FF" w:rsidP="002D62B9">
            <w:pPr>
              <w:pStyle w:val="tabteksts"/>
              <w:tabs>
                <w:tab w:val="decimal" w:pos="436"/>
              </w:tabs>
            </w:pPr>
            <w:r>
              <w:t>83,1</w:t>
            </w:r>
          </w:p>
        </w:tc>
      </w:tr>
      <w:tr w:rsidR="000634FF" w:rsidRPr="00E604BB" w:rsidTr="00C1532A">
        <w:trPr>
          <w:jc w:val="center"/>
        </w:trPr>
        <w:tc>
          <w:tcPr>
            <w:tcW w:w="3840" w:type="dxa"/>
            <w:tcBorders>
              <w:top w:val="single" w:sz="4" w:space="0" w:color="auto"/>
              <w:left w:val="double" w:sz="6" w:space="0" w:color="auto"/>
              <w:bottom w:val="single" w:sz="4" w:space="0" w:color="auto"/>
              <w:right w:val="double" w:sz="6" w:space="0" w:color="auto"/>
            </w:tcBorders>
            <w:vAlign w:val="bottom"/>
          </w:tcPr>
          <w:p w:rsidR="000634FF" w:rsidRPr="00E604BB" w:rsidRDefault="000634FF" w:rsidP="002D62B9">
            <w:pPr>
              <w:pStyle w:val="tabteksts"/>
            </w:pPr>
            <w:r w:rsidRPr="00E604BB">
              <w:t>Bezdarba līmenis</w:t>
            </w:r>
            <w:r>
              <w:t xml:space="preserve"> (20-64)</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A22A15" w:rsidRDefault="000634FF" w:rsidP="002D62B9">
            <w:pPr>
              <w:pStyle w:val="tabteksts"/>
              <w:tabs>
                <w:tab w:val="decimal" w:pos="436"/>
              </w:tabs>
            </w:pPr>
            <w:r>
              <w:t>18,4</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A22A15" w:rsidRDefault="000634FF" w:rsidP="002D62B9">
            <w:pPr>
              <w:pStyle w:val="tabteksts"/>
              <w:tabs>
                <w:tab w:val="decimal" w:pos="436"/>
              </w:tabs>
            </w:pPr>
            <w:r>
              <w:t>18,0</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A22A15" w:rsidRDefault="000634FF" w:rsidP="002D62B9">
            <w:pPr>
              <w:pStyle w:val="tabteksts"/>
              <w:tabs>
                <w:tab w:val="decimal" w:pos="436"/>
              </w:tabs>
            </w:pPr>
            <w:r>
              <w:t>8,6</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A22A15" w:rsidRDefault="000634FF" w:rsidP="002D62B9">
            <w:pPr>
              <w:pStyle w:val="tabteksts"/>
              <w:tabs>
                <w:tab w:val="decimal" w:pos="436"/>
              </w:tabs>
            </w:pPr>
            <w:r>
              <w:t>7,5</w:t>
            </w:r>
          </w:p>
        </w:tc>
        <w:tc>
          <w:tcPr>
            <w:tcW w:w="754" w:type="dxa"/>
            <w:tcBorders>
              <w:top w:val="single" w:sz="4" w:space="0" w:color="auto"/>
              <w:left w:val="single" w:sz="4" w:space="0" w:color="auto"/>
              <w:bottom w:val="single" w:sz="4" w:space="0" w:color="auto"/>
              <w:right w:val="single" w:sz="4" w:space="0" w:color="auto"/>
            </w:tcBorders>
            <w:vAlign w:val="bottom"/>
          </w:tcPr>
          <w:p w:rsidR="000634FF" w:rsidRPr="00A22A15" w:rsidRDefault="000634FF" w:rsidP="002D62B9">
            <w:pPr>
              <w:pStyle w:val="tabteksts"/>
              <w:tabs>
                <w:tab w:val="decimal" w:pos="436"/>
              </w:tabs>
            </w:pPr>
            <w:r>
              <w:t>7,2</w:t>
            </w:r>
          </w:p>
        </w:tc>
        <w:tc>
          <w:tcPr>
            <w:tcW w:w="754" w:type="dxa"/>
            <w:tcBorders>
              <w:top w:val="single" w:sz="4" w:space="0" w:color="auto"/>
              <w:left w:val="single" w:sz="4" w:space="0" w:color="auto"/>
              <w:bottom w:val="single" w:sz="4" w:space="0" w:color="auto"/>
              <w:right w:val="double" w:sz="6" w:space="0" w:color="auto"/>
            </w:tcBorders>
            <w:vAlign w:val="bottom"/>
          </w:tcPr>
          <w:p w:rsidR="000634FF" w:rsidRPr="00A22A15" w:rsidRDefault="000634FF" w:rsidP="002D62B9">
            <w:pPr>
              <w:pStyle w:val="tabteksts"/>
              <w:tabs>
                <w:tab w:val="decimal" w:pos="436"/>
              </w:tabs>
            </w:pPr>
            <w:r>
              <w:t>7,1</w:t>
            </w:r>
          </w:p>
        </w:tc>
      </w:tr>
      <w:tr w:rsidR="000634FF" w:rsidRPr="00E604BB" w:rsidTr="00C1532A">
        <w:trPr>
          <w:jc w:val="center"/>
        </w:trPr>
        <w:tc>
          <w:tcPr>
            <w:tcW w:w="3840" w:type="dxa"/>
            <w:tcBorders>
              <w:top w:val="single" w:sz="4" w:space="0" w:color="auto"/>
              <w:left w:val="double" w:sz="6" w:space="0" w:color="auto"/>
              <w:bottom w:val="double" w:sz="6" w:space="0" w:color="auto"/>
              <w:right w:val="double" w:sz="6" w:space="0" w:color="auto"/>
            </w:tcBorders>
            <w:vAlign w:val="bottom"/>
          </w:tcPr>
          <w:p w:rsidR="000634FF" w:rsidRPr="00E604BB" w:rsidRDefault="000634FF" w:rsidP="002D62B9">
            <w:pPr>
              <w:pStyle w:val="tabteksts"/>
            </w:pPr>
            <w:r w:rsidRPr="00E604BB">
              <w:t>Iedzīvotāji vecāki par 65 gadiem no kopējā iedzīvotāju skaita</w:t>
            </w:r>
          </w:p>
        </w:tc>
        <w:tc>
          <w:tcPr>
            <w:tcW w:w="754" w:type="dxa"/>
            <w:tcBorders>
              <w:top w:val="single" w:sz="4" w:space="0" w:color="auto"/>
              <w:left w:val="single" w:sz="4" w:space="0" w:color="auto"/>
              <w:bottom w:val="double" w:sz="6" w:space="0" w:color="auto"/>
              <w:right w:val="single" w:sz="4" w:space="0" w:color="auto"/>
            </w:tcBorders>
            <w:vAlign w:val="bottom"/>
          </w:tcPr>
          <w:p w:rsidR="000634FF" w:rsidRPr="00A22A15" w:rsidRDefault="000634FF" w:rsidP="002D62B9">
            <w:pPr>
              <w:pStyle w:val="tabteksts"/>
              <w:tabs>
                <w:tab w:val="decimal" w:pos="436"/>
              </w:tabs>
            </w:pPr>
            <w:r w:rsidRPr="00A22A15">
              <w:t>17</w:t>
            </w:r>
            <w:r>
              <w:t>,3</w:t>
            </w:r>
          </w:p>
        </w:tc>
        <w:tc>
          <w:tcPr>
            <w:tcW w:w="754" w:type="dxa"/>
            <w:tcBorders>
              <w:top w:val="single" w:sz="4" w:space="0" w:color="auto"/>
              <w:left w:val="single" w:sz="4" w:space="0" w:color="auto"/>
              <w:bottom w:val="double" w:sz="6" w:space="0" w:color="auto"/>
              <w:right w:val="single" w:sz="4" w:space="0" w:color="auto"/>
            </w:tcBorders>
            <w:vAlign w:val="bottom"/>
          </w:tcPr>
          <w:p w:rsidR="000634FF" w:rsidRPr="00A22A15" w:rsidRDefault="000634FF" w:rsidP="002D62B9">
            <w:pPr>
              <w:pStyle w:val="tabteksts"/>
              <w:tabs>
                <w:tab w:val="decimal" w:pos="436"/>
              </w:tabs>
            </w:pPr>
            <w:r w:rsidRPr="00A22A15">
              <w:t>1</w:t>
            </w:r>
            <w:r>
              <w:t>9,2</w:t>
            </w:r>
          </w:p>
        </w:tc>
        <w:tc>
          <w:tcPr>
            <w:tcW w:w="754" w:type="dxa"/>
            <w:tcBorders>
              <w:top w:val="single" w:sz="4" w:space="0" w:color="auto"/>
              <w:left w:val="single" w:sz="4" w:space="0" w:color="auto"/>
              <w:bottom w:val="double" w:sz="6" w:space="0" w:color="auto"/>
              <w:right w:val="single" w:sz="4" w:space="0" w:color="auto"/>
            </w:tcBorders>
            <w:vAlign w:val="bottom"/>
          </w:tcPr>
          <w:p w:rsidR="000634FF" w:rsidRPr="00A22A15" w:rsidRDefault="000634FF" w:rsidP="002D62B9">
            <w:pPr>
              <w:pStyle w:val="tabteksts"/>
              <w:tabs>
                <w:tab w:val="decimal" w:pos="436"/>
              </w:tabs>
            </w:pPr>
            <w:r w:rsidRPr="00A22A15">
              <w:t>2</w:t>
            </w:r>
            <w:r>
              <w:t>3,2</w:t>
            </w:r>
          </w:p>
        </w:tc>
        <w:tc>
          <w:tcPr>
            <w:tcW w:w="754" w:type="dxa"/>
            <w:tcBorders>
              <w:top w:val="single" w:sz="4" w:space="0" w:color="auto"/>
              <w:left w:val="single" w:sz="4" w:space="0" w:color="auto"/>
              <w:bottom w:val="double" w:sz="6" w:space="0" w:color="auto"/>
              <w:right w:val="single" w:sz="4" w:space="0" w:color="auto"/>
            </w:tcBorders>
            <w:vAlign w:val="bottom"/>
          </w:tcPr>
          <w:p w:rsidR="000634FF" w:rsidRPr="00A22A15" w:rsidRDefault="000634FF" w:rsidP="002D62B9">
            <w:pPr>
              <w:pStyle w:val="tabteksts"/>
              <w:tabs>
                <w:tab w:val="decimal" w:pos="436"/>
              </w:tabs>
            </w:pPr>
            <w:r>
              <w:t>26,8</w:t>
            </w:r>
          </w:p>
        </w:tc>
        <w:tc>
          <w:tcPr>
            <w:tcW w:w="754" w:type="dxa"/>
            <w:tcBorders>
              <w:top w:val="single" w:sz="4" w:space="0" w:color="auto"/>
              <w:left w:val="single" w:sz="4" w:space="0" w:color="auto"/>
              <w:bottom w:val="double" w:sz="6" w:space="0" w:color="auto"/>
              <w:right w:val="single" w:sz="4" w:space="0" w:color="auto"/>
            </w:tcBorders>
            <w:vAlign w:val="bottom"/>
          </w:tcPr>
          <w:p w:rsidR="000634FF" w:rsidRPr="00A22A15" w:rsidRDefault="000634FF" w:rsidP="002D62B9">
            <w:pPr>
              <w:pStyle w:val="tabteksts"/>
              <w:tabs>
                <w:tab w:val="decimal" w:pos="436"/>
              </w:tabs>
            </w:pPr>
            <w:r>
              <w:t>31,2</w:t>
            </w:r>
          </w:p>
        </w:tc>
        <w:tc>
          <w:tcPr>
            <w:tcW w:w="754" w:type="dxa"/>
            <w:tcBorders>
              <w:top w:val="single" w:sz="4" w:space="0" w:color="auto"/>
              <w:left w:val="single" w:sz="4" w:space="0" w:color="auto"/>
              <w:bottom w:val="double" w:sz="6" w:space="0" w:color="auto"/>
              <w:right w:val="double" w:sz="6" w:space="0" w:color="auto"/>
            </w:tcBorders>
            <w:vAlign w:val="bottom"/>
          </w:tcPr>
          <w:p w:rsidR="000634FF" w:rsidRPr="00A22A15" w:rsidRDefault="000634FF" w:rsidP="002D62B9">
            <w:pPr>
              <w:pStyle w:val="tabteksts"/>
              <w:tabs>
                <w:tab w:val="decimal" w:pos="436"/>
              </w:tabs>
            </w:pPr>
            <w:r w:rsidRPr="00A22A15">
              <w:t>3</w:t>
            </w:r>
            <w:r>
              <w:t>5,6</w:t>
            </w:r>
          </w:p>
        </w:tc>
      </w:tr>
    </w:tbl>
    <w:p w:rsidR="000634FF" w:rsidRDefault="000634FF" w:rsidP="002D62B9">
      <w:pPr>
        <w:rPr>
          <w:szCs w:val="24"/>
        </w:rPr>
      </w:pPr>
    </w:p>
    <w:p w:rsidR="0087768C" w:rsidRDefault="000634FF" w:rsidP="0087768C">
      <w:pPr>
        <w:rPr>
          <w:szCs w:val="24"/>
        </w:rPr>
      </w:pPr>
      <w:r w:rsidRPr="00B73EE2">
        <w:rPr>
          <w:szCs w:val="24"/>
        </w:rPr>
        <w:t xml:space="preserve">Saskaņā </w:t>
      </w:r>
      <w:r w:rsidRPr="00900F58">
        <w:rPr>
          <w:szCs w:val="24"/>
        </w:rPr>
        <w:t xml:space="preserve">ar </w:t>
      </w:r>
      <w:r w:rsidR="0087768C">
        <w:t>Ekonomikas politikas komitejas Sabiedrības novecošanās un valsts finanšu ilgtspējas darba grupas</w:t>
      </w:r>
      <w:r w:rsidR="0087768C" w:rsidRPr="00746854" w:rsidDel="004A76A3">
        <w:rPr>
          <w:i/>
          <w:szCs w:val="24"/>
        </w:rPr>
        <w:t xml:space="preserve"> </w:t>
      </w:r>
      <w:r w:rsidR="00193D91">
        <w:rPr>
          <w:szCs w:val="24"/>
        </w:rPr>
        <w:t xml:space="preserve">(turpmāk </w:t>
      </w:r>
      <w:r w:rsidR="00193D91" w:rsidRPr="00FA1355">
        <w:rPr>
          <w:szCs w:val="24"/>
        </w:rPr>
        <w:t xml:space="preserve">– </w:t>
      </w:r>
      <w:r w:rsidRPr="00FA1355">
        <w:rPr>
          <w:szCs w:val="24"/>
        </w:rPr>
        <w:t>AWG</w:t>
      </w:r>
      <w:r w:rsidR="00193D91" w:rsidRPr="00FA1355">
        <w:rPr>
          <w:szCs w:val="24"/>
        </w:rPr>
        <w:t>)</w:t>
      </w:r>
      <w:r w:rsidRPr="00FA1355">
        <w:rPr>
          <w:szCs w:val="24"/>
        </w:rPr>
        <w:t xml:space="preserve"> jaunākajām prognozēm, kas tiks publicētas 2012. gadā, vispārējās valdības izdevumi saistībā ar sabiedrības novecošanos</w:t>
      </w:r>
      <w:r>
        <w:rPr>
          <w:szCs w:val="24"/>
        </w:rPr>
        <w:t xml:space="preserve"> </w:t>
      </w:r>
      <w:r w:rsidR="0087768C">
        <w:rPr>
          <w:szCs w:val="24"/>
        </w:rPr>
        <w:t xml:space="preserve">īpatsvars </w:t>
      </w:r>
      <w:r w:rsidR="0087768C">
        <w:rPr>
          <w:szCs w:val="24"/>
        </w:rPr>
        <w:lastRenderedPageBreak/>
        <w:t xml:space="preserve">iekšzemes kopproduktā 2060. gadā </w:t>
      </w:r>
      <w:r w:rsidR="0087768C" w:rsidRPr="00B73EE2">
        <w:rPr>
          <w:szCs w:val="24"/>
        </w:rPr>
        <w:t>salīdzinājumā ar 20</w:t>
      </w:r>
      <w:r w:rsidR="0087768C">
        <w:rPr>
          <w:szCs w:val="24"/>
        </w:rPr>
        <w:t>10</w:t>
      </w:r>
      <w:r w:rsidR="0087768C" w:rsidRPr="00B73EE2">
        <w:rPr>
          <w:szCs w:val="24"/>
        </w:rPr>
        <w:t>.</w:t>
      </w:r>
      <w:r w:rsidR="0087768C">
        <w:rPr>
          <w:szCs w:val="24"/>
        </w:rPr>
        <w:t> gadu</w:t>
      </w:r>
      <w:r w:rsidR="0087768C" w:rsidRPr="00B73EE2">
        <w:rPr>
          <w:szCs w:val="24"/>
        </w:rPr>
        <w:t xml:space="preserve"> </w:t>
      </w:r>
      <w:r w:rsidR="0087768C">
        <w:rPr>
          <w:szCs w:val="24"/>
        </w:rPr>
        <w:t>samazināsies par 3,8</w:t>
      </w:r>
      <w:r w:rsidR="004438CE">
        <w:rPr>
          <w:szCs w:val="24"/>
        </w:rPr>
        <w:t xml:space="preserve"> </w:t>
      </w:r>
      <w:r w:rsidR="0087768C">
        <w:rPr>
          <w:szCs w:val="24"/>
        </w:rPr>
        <w:t>% no IKP (no 19,2</w:t>
      </w:r>
      <w:r w:rsidR="004438CE">
        <w:rPr>
          <w:szCs w:val="24"/>
        </w:rPr>
        <w:t xml:space="preserve"> </w:t>
      </w:r>
      <w:r w:rsidR="0087768C">
        <w:rPr>
          <w:szCs w:val="24"/>
        </w:rPr>
        <w:t>% no IKP līdz 15,4</w:t>
      </w:r>
      <w:r w:rsidR="004438CE">
        <w:rPr>
          <w:szCs w:val="24"/>
        </w:rPr>
        <w:t xml:space="preserve"> </w:t>
      </w:r>
      <w:r w:rsidR="0087768C">
        <w:rPr>
          <w:szCs w:val="24"/>
        </w:rPr>
        <w:t>% no IKP)</w:t>
      </w:r>
      <w:r w:rsidR="0087768C" w:rsidRPr="00B73EE2">
        <w:rPr>
          <w:szCs w:val="24"/>
        </w:rPr>
        <w:t xml:space="preserve">. </w:t>
      </w:r>
      <w:r w:rsidR="0087768C">
        <w:rPr>
          <w:szCs w:val="24"/>
        </w:rPr>
        <w:t>Ilgtermiņa prognozēs par bāzes gadu tika izmantots 2010. gads, kas, ņemot vērā 2008.</w:t>
      </w:r>
      <w:r w:rsidR="004438CE">
        <w:rPr>
          <w:szCs w:val="24"/>
        </w:rPr>
        <w:t xml:space="preserve"> </w:t>
      </w:r>
      <w:r w:rsidR="0035776A">
        <w:rPr>
          <w:szCs w:val="24"/>
        </w:rPr>
        <w:t>–</w:t>
      </w:r>
      <w:r w:rsidR="004438CE">
        <w:rPr>
          <w:szCs w:val="24"/>
        </w:rPr>
        <w:t xml:space="preserve"> </w:t>
      </w:r>
      <w:r w:rsidR="0087768C">
        <w:rPr>
          <w:szCs w:val="24"/>
        </w:rPr>
        <w:t>2009. gada ekonomikas un finanšu krīzes sekas, arī ietekmēja ilgtermiņa prognožu iznākumu. Salīdzinot ar 2009. gadā izstrādātajām ilgtermiņa prognozēm, tendences izdevumos ir līdzīgas.</w:t>
      </w:r>
    </w:p>
    <w:p w:rsidR="0087768C" w:rsidRPr="00630C02" w:rsidRDefault="000634FF" w:rsidP="0087768C">
      <w:pPr>
        <w:rPr>
          <w:szCs w:val="24"/>
        </w:rPr>
      </w:pPr>
      <w:r>
        <w:rPr>
          <w:szCs w:val="24"/>
        </w:rPr>
        <w:t xml:space="preserve">Saskaņā ar prognozēm </w:t>
      </w:r>
      <w:r w:rsidRPr="00B73EE2">
        <w:rPr>
          <w:szCs w:val="24"/>
        </w:rPr>
        <w:t>izdevum</w:t>
      </w:r>
      <w:r w:rsidR="0087768C">
        <w:rPr>
          <w:szCs w:val="24"/>
        </w:rPr>
        <w:t>u</w:t>
      </w:r>
      <w:r>
        <w:rPr>
          <w:szCs w:val="24"/>
        </w:rPr>
        <w:t xml:space="preserve"> pensijām </w:t>
      </w:r>
      <w:r w:rsidR="0087768C">
        <w:rPr>
          <w:szCs w:val="24"/>
        </w:rPr>
        <w:t xml:space="preserve">īpatsvars IKP </w:t>
      </w:r>
      <w:r>
        <w:rPr>
          <w:szCs w:val="24"/>
        </w:rPr>
        <w:t xml:space="preserve">samazināsies </w:t>
      </w:r>
      <w:r w:rsidR="0087768C">
        <w:rPr>
          <w:szCs w:val="24"/>
        </w:rPr>
        <w:t>no 9,7</w:t>
      </w:r>
      <w:r w:rsidR="004438CE">
        <w:rPr>
          <w:szCs w:val="24"/>
        </w:rPr>
        <w:t xml:space="preserve"> </w:t>
      </w:r>
      <w:r w:rsidR="0087768C">
        <w:rPr>
          <w:szCs w:val="24"/>
        </w:rPr>
        <w:t>% no IKP 2010. gadā līdz 5,9</w:t>
      </w:r>
      <w:r w:rsidR="004438CE">
        <w:rPr>
          <w:szCs w:val="24"/>
        </w:rPr>
        <w:t xml:space="preserve"> </w:t>
      </w:r>
      <w:r w:rsidR="0087768C">
        <w:rPr>
          <w:szCs w:val="24"/>
        </w:rPr>
        <w:t>% no IKP 2060. gadā. Īpatsvara samazināšanos pamatā noteiks iekšzemes kopprodukta pieaugums, kas būs straujāks nekā izdevumu pensijām pieaugums. Tiek prognozēts, ka nominālajā izteiksmē izdevumi pensijām turpinās pieaugt, galvenokārt pieaugot vecāka gadagājuma cilvēku īpatsvaram. Prognozēs ņemts vērā, ka lēnāku pensiju izdevumu pieaugumu ilgtermiņā nodrošinās tādas izmaiņas sociālās apdrošināšanas sistēmā kā atceltās pensiju piemaksas no jauna piešķirtajām pensijām</w:t>
      </w:r>
      <w:r w:rsidR="0087768C" w:rsidRPr="0063367F">
        <w:rPr>
          <w:szCs w:val="24"/>
        </w:rPr>
        <w:t xml:space="preserve">, </w:t>
      </w:r>
      <w:r w:rsidR="0087768C">
        <w:rPr>
          <w:szCs w:val="24"/>
        </w:rPr>
        <w:t>uz laiku apturētā pensiju indeksācija, kā arī iemaksu likmes</w:t>
      </w:r>
      <w:r w:rsidR="0087768C" w:rsidRPr="0063367F">
        <w:rPr>
          <w:szCs w:val="24"/>
        </w:rPr>
        <w:t xml:space="preserve"> </w:t>
      </w:r>
      <w:r w:rsidR="0087768C">
        <w:rPr>
          <w:szCs w:val="24"/>
        </w:rPr>
        <w:t xml:space="preserve">palielināšana </w:t>
      </w:r>
      <w:r w:rsidR="0087768C" w:rsidRPr="0063367F">
        <w:rPr>
          <w:szCs w:val="24"/>
        </w:rPr>
        <w:t>valsts fondēto pensiju shēmā.</w:t>
      </w:r>
      <w:r w:rsidR="0087768C">
        <w:rPr>
          <w:szCs w:val="24"/>
        </w:rPr>
        <w:t xml:space="preserve"> Pensiju izdevumu prognozēs</w:t>
      </w:r>
      <w:r w:rsidR="0087768C">
        <w:rPr>
          <w:bCs/>
          <w:szCs w:val="24"/>
        </w:rPr>
        <w:t xml:space="preserve"> netika iekļautas šādas izmaiņas:</w:t>
      </w:r>
    </w:p>
    <w:p w:rsidR="0087768C" w:rsidRPr="000634FF" w:rsidRDefault="0087768C" w:rsidP="0087768C">
      <w:pPr>
        <w:pStyle w:val="ListParagraph"/>
        <w:numPr>
          <w:ilvl w:val="0"/>
          <w:numId w:val="3"/>
        </w:numPr>
        <w:spacing w:after="120" w:line="240" w:lineRule="auto"/>
        <w:ind w:left="1281" w:hanging="357"/>
        <w:contextualSpacing w:val="0"/>
        <w:jc w:val="both"/>
        <w:rPr>
          <w:rFonts w:ascii="Times New Roman" w:hAnsi="Times New Roman"/>
          <w:sz w:val="24"/>
          <w:szCs w:val="24"/>
        </w:rPr>
      </w:pPr>
      <w:r w:rsidRPr="000634FF">
        <w:rPr>
          <w:rFonts w:ascii="Times New Roman" w:hAnsi="Times New Roman"/>
          <w:sz w:val="24"/>
          <w:szCs w:val="24"/>
        </w:rPr>
        <w:t>Pensionēšanās vecuma pakāpeniska paaugstināšana līdz 65 gadiem, sākot ar 2014. gadu: ar 2014. gada 1. janvāri un 2015. gada 1. janvāri palie</w:t>
      </w:r>
      <w:r>
        <w:rPr>
          <w:rFonts w:ascii="Times New Roman" w:hAnsi="Times New Roman"/>
          <w:sz w:val="24"/>
          <w:szCs w:val="24"/>
        </w:rPr>
        <w:t>linājums par 3 mēnešiem; ar 2016</w:t>
      </w:r>
      <w:r w:rsidRPr="000634FF">
        <w:rPr>
          <w:rFonts w:ascii="Times New Roman" w:hAnsi="Times New Roman"/>
          <w:sz w:val="24"/>
          <w:szCs w:val="24"/>
        </w:rPr>
        <w:t>. gada 1. janvāri katru gadu līdz 2020. gadam palielinājums par 6 mēnešiem;</w:t>
      </w:r>
    </w:p>
    <w:p w:rsidR="0087768C" w:rsidRPr="000634FF" w:rsidRDefault="0087768C" w:rsidP="0087768C">
      <w:pPr>
        <w:pStyle w:val="ListParagraph"/>
        <w:numPr>
          <w:ilvl w:val="0"/>
          <w:numId w:val="3"/>
        </w:numPr>
        <w:spacing w:after="120" w:line="240" w:lineRule="auto"/>
        <w:ind w:left="1281" w:hanging="357"/>
        <w:contextualSpacing w:val="0"/>
        <w:jc w:val="both"/>
        <w:rPr>
          <w:rFonts w:ascii="Times New Roman" w:hAnsi="Times New Roman"/>
          <w:sz w:val="24"/>
          <w:szCs w:val="24"/>
        </w:rPr>
      </w:pPr>
      <w:r w:rsidRPr="000634FF">
        <w:rPr>
          <w:rFonts w:ascii="Times New Roman" w:hAnsi="Times New Roman"/>
          <w:sz w:val="24"/>
          <w:szCs w:val="24"/>
        </w:rPr>
        <w:t>Vienlaicīgi ar pensionēšanās vecuma paaugstināšanu, priekšlaicīgās pensionēšanās vecuma paaugstināšana sākot ar 2014. gadu;</w:t>
      </w:r>
    </w:p>
    <w:p w:rsidR="0087768C" w:rsidRPr="000634FF" w:rsidRDefault="0087768C" w:rsidP="0087768C">
      <w:pPr>
        <w:pStyle w:val="ListParagraph"/>
        <w:numPr>
          <w:ilvl w:val="0"/>
          <w:numId w:val="3"/>
        </w:numPr>
        <w:spacing w:after="120" w:line="240" w:lineRule="auto"/>
        <w:ind w:left="1281" w:hanging="357"/>
        <w:contextualSpacing w:val="0"/>
        <w:jc w:val="both"/>
        <w:rPr>
          <w:rFonts w:ascii="Times New Roman" w:hAnsi="Times New Roman"/>
          <w:sz w:val="24"/>
          <w:szCs w:val="24"/>
        </w:rPr>
      </w:pPr>
      <w:r w:rsidRPr="000634FF">
        <w:rPr>
          <w:rFonts w:ascii="Times New Roman" w:hAnsi="Times New Roman"/>
          <w:sz w:val="24"/>
          <w:szCs w:val="24"/>
        </w:rPr>
        <w:t>Minimālā apdrošināšanas stāža palielināšana tiesībām uz valsts vecuma pensiju līdz 15 gadiem, sākot ar 2014. gadu, un līdz 20 gadiem, sākot ar 2020. gadu.</w:t>
      </w:r>
    </w:p>
    <w:p w:rsidR="0087768C" w:rsidRPr="00480A1F" w:rsidRDefault="0087768C" w:rsidP="00480A1F">
      <w:pPr>
        <w:ind w:firstLine="0"/>
      </w:pPr>
      <w:r>
        <w:t>2012. gada 19. aprīlī likumprojekts „Grozījumi likumā „Par valsts pensijām”” pirmajā lasījumā tika apstiprināts Saeimā. Šo izmaiņu rezultātā tiktu uzlabota situācija valsts sociālās apdrošināšanas budžetā, pieaugtu personu līdzdalība darba tirgū, kā arī samazinātos sociālās apd</w:t>
      </w:r>
      <w:r w:rsidR="00480A1F">
        <w:t xml:space="preserve">rošināšanas sistēmas noslodze. </w:t>
      </w:r>
    </w:p>
    <w:p w:rsidR="000634FF" w:rsidRDefault="0087768C" w:rsidP="002D62B9">
      <w:pPr>
        <w:rPr>
          <w:szCs w:val="24"/>
        </w:rPr>
      </w:pPr>
      <w:r>
        <w:rPr>
          <w:szCs w:val="24"/>
        </w:rPr>
        <w:t>Īpatsvara iekšzemes kopproduktā</w:t>
      </w:r>
      <w:r w:rsidR="000634FF">
        <w:rPr>
          <w:szCs w:val="24"/>
        </w:rPr>
        <w:t xml:space="preserve"> samazinājums tiek prognozēts </w:t>
      </w:r>
      <w:r>
        <w:rPr>
          <w:szCs w:val="24"/>
        </w:rPr>
        <w:t xml:space="preserve">arī </w:t>
      </w:r>
      <w:r w:rsidR="000634FF">
        <w:rPr>
          <w:szCs w:val="24"/>
        </w:rPr>
        <w:t>izdevumiem izglītībai (par 0,6</w:t>
      </w:r>
      <w:r w:rsidR="004438CE">
        <w:rPr>
          <w:szCs w:val="24"/>
        </w:rPr>
        <w:t xml:space="preserve"> </w:t>
      </w:r>
      <w:r w:rsidR="000634FF">
        <w:rPr>
          <w:szCs w:val="24"/>
        </w:rPr>
        <w:t>% no IKP), ko pamatā noteiks ilgtermiņa demogrāfiskās tendences.Tiek prognozēts, ka 2060. gadā salīdzinot ar 2010. gadu izdevumi veselības aprūpei pieaugs par 0,6</w:t>
      </w:r>
      <w:r w:rsidR="00F3620B">
        <w:rPr>
          <w:szCs w:val="24"/>
        </w:rPr>
        <w:t> </w:t>
      </w:r>
      <w:r w:rsidR="000634FF">
        <w:rPr>
          <w:szCs w:val="24"/>
        </w:rPr>
        <w:t>% no IKP, savukārt izdevumi ilgtermiņa aprūpei pieaugs par 0,3</w:t>
      </w:r>
      <w:r w:rsidR="004438CE">
        <w:rPr>
          <w:szCs w:val="24"/>
        </w:rPr>
        <w:t xml:space="preserve"> </w:t>
      </w:r>
      <w:r w:rsidR="000634FF">
        <w:rPr>
          <w:szCs w:val="24"/>
        </w:rPr>
        <w:t xml:space="preserve">% no IKP. Tas ir skaidrojams ar to, ka veselības un ilglaicīgās aprūpes pakalpojumi pamatā ir attiecināmi </w:t>
      </w:r>
      <w:r w:rsidR="000634FF" w:rsidRPr="00BE69A8">
        <w:rPr>
          <w:szCs w:val="24"/>
        </w:rPr>
        <w:t>uz vec</w:t>
      </w:r>
      <w:r w:rsidR="000634FF">
        <w:rPr>
          <w:szCs w:val="24"/>
        </w:rPr>
        <w:t>āka gadagājuma</w:t>
      </w:r>
      <w:r w:rsidR="000634FF" w:rsidRPr="00BE69A8">
        <w:rPr>
          <w:szCs w:val="24"/>
        </w:rPr>
        <w:t xml:space="preserve"> cilvēkiem</w:t>
      </w:r>
      <w:r w:rsidR="000634FF">
        <w:rPr>
          <w:szCs w:val="24"/>
        </w:rPr>
        <w:t xml:space="preserve">, kuru īpatsvars ilgtermiņā palielināsies. Gan veselības, </w:t>
      </w:r>
      <w:r w:rsidR="000634FF" w:rsidRPr="002F75C0">
        <w:rPr>
          <w:szCs w:val="24"/>
        </w:rPr>
        <w:t>gan ilglaicīgās</w:t>
      </w:r>
      <w:r w:rsidR="000634FF">
        <w:rPr>
          <w:szCs w:val="24"/>
        </w:rPr>
        <w:t xml:space="preserve"> aprūpes izdevumus līdz ar demogrāfiskajām izmaiņām būtiski var ietekmēt tehnoloģiskais progress un tautsaimniecības attīstība. Līdz ar to ir svarīgas reformas, kas ir vērstas uz veselības aprūpes sistēmas, tai skaitā finansēšanas mehānisma optimizāciju. Jāmin, ka ilglaicīgās aprūpes izdevumu īpatsvars kopējos ar novecošanos saistītajos izdevumos ir neliels (4</w:t>
      </w:r>
      <w:r w:rsidR="00F3620B">
        <w:rPr>
          <w:szCs w:val="24"/>
        </w:rPr>
        <w:t> </w:t>
      </w:r>
      <w:r w:rsidR="000634FF">
        <w:rPr>
          <w:szCs w:val="24"/>
        </w:rPr>
        <w:t>%).</w:t>
      </w:r>
    </w:p>
    <w:p w:rsidR="000634FF" w:rsidRPr="000634FF" w:rsidRDefault="000634FF" w:rsidP="002D62B9">
      <w:pPr>
        <w:rPr>
          <w:szCs w:val="24"/>
        </w:rPr>
      </w:pPr>
      <w:r w:rsidRPr="000634FF">
        <w:rPr>
          <w:szCs w:val="24"/>
        </w:rPr>
        <w:t>Vērtējot vispārējās valdības budžeta izdevumus, saistītus ar sabiedrības novecošanos, ir jāņem vērā samērā liela pieņēmumu nenoteiktība. Atsevišķu faktoru ietekmē īpaši veselības un ilglaicīgās aprūpes jomās kopējo izdevumu apjoms varētu pieaugt pat par 3</w:t>
      </w:r>
      <w:r w:rsidR="004438CE">
        <w:rPr>
          <w:szCs w:val="24"/>
        </w:rPr>
        <w:t xml:space="preserve"> </w:t>
      </w:r>
      <w:r w:rsidR="0035776A">
        <w:rPr>
          <w:szCs w:val="24"/>
        </w:rPr>
        <w:t>–</w:t>
      </w:r>
      <w:r w:rsidR="004438CE">
        <w:rPr>
          <w:szCs w:val="24"/>
        </w:rPr>
        <w:t xml:space="preserve"> </w:t>
      </w:r>
      <w:r w:rsidRPr="000634FF">
        <w:rPr>
          <w:szCs w:val="24"/>
        </w:rPr>
        <w:t>4</w:t>
      </w:r>
      <w:r w:rsidR="004438CE">
        <w:rPr>
          <w:szCs w:val="24"/>
        </w:rPr>
        <w:t xml:space="preserve"> </w:t>
      </w:r>
      <w:r w:rsidRPr="000634FF">
        <w:rPr>
          <w:szCs w:val="24"/>
        </w:rPr>
        <w:t xml:space="preserve">% no IKP. </w:t>
      </w:r>
    </w:p>
    <w:p w:rsidR="00BB58C9" w:rsidRPr="00480A1F" w:rsidRDefault="000634FF" w:rsidP="00480A1F">
      <w:pPr>
        <w:rPr>
          <w:szCs w:val="24"/>
        </w:rPr>
      </w:pPr>
      <w:r w:rsidRPr="000634FF">
        <w:rPr>
          <w:szCs w:val="24"/>
        </w:rPr>
        <w:t>Saskaņā ar Eiropas Komisijas 2011. gada novērtējumu</w:t>
      </w:r>
      <w:r w:rsidRPr="000634FF">
        <w:rPr>
          <w:rStyle w:val="FootnoteReference"/>
          <w:rFonts w:ascii="Times New Roman" w:hAnsi="Times New Roman"/>
          <w:sz w:val="24"/>
          <w:szCs w:val="24"/>
        </w:rPr>
        <w:footnoteReference w:id="13"/>
      </w:r>
      <w:r w:rsidRPr="000634FF">
        <w:rPr>
          <w:szCs w:val="24"/>
        </w:rPr>
        <w:t xml:space="preserve"> Latvija ir pieskaitāma pie valstīm ar vidēju risku attiecībā uz valsts</w:t>
      </w:r>
      <w:r>
        <w:rPr>
          <w:szCs w:val="24"/>
        </w:rPr>
        <w:t xml:space="preserve"> finanšu ilgtspēju. </w:t>
      </w:r>
      <w:r w:rsidRPr="00B456DD">
        <w:rPr>
          <w:szCs w:val="24"/>
        </w:rPr>
        <w:t xml:space="preserve">Jāatzīmē, ka </w:t>
      </w:r>
      <w:r>
        <w:rPr>
          <w:bCs/>
          <w:szCs w:val="24"/>
        </w:rPr>
        <w:t>2009. </w:t>
      </w:r>
      <w:r w:rsidRPr="00B456DD">
        <w:rPr>
          <w:bCs/>
          <w:szCs w:val="24"/>
        </w:rPr>
        <w:t>gada EK Ilgtspējas ziņojumā</w:t>
      </w:r>
      <w:r w:rsidRPr="00B456DD">
        <w:rPr>
          <w:rStyle w:val="FootnoteReference"/>
          <w:bCs/>
          <w:szCs w:val="24"/>
        </w:rPr>
        <w:footnoteReference w:id="14"/>
      </w:r>
      <w:r w:rsidRPr="00B456DD">
        <w:rPr>
          <w:bCs/>
          <w:szCs w:val="24"/>
        </w:rPr>
        <w:t xml:space="preserve"> Latvija bija ierindota pie valstīm ar augstu risku attiecībā uz publisko </w:t>
      </w:r>
      <w:r w:rsidRPr="00B456DD">
        <w:rPr>
          <w:bCs/>
          <w:szCs w:val="24"/>
        </w:rPr>
        <w:lastRenderedPageBreak/>
        <w:t>finanšu ilgtspēju, galvenokārt sākotnējās budžeta pozīcijas dēļ, kura ir</w:t>
      </w:r>
      <w:r>
        <w:rPr>
          <w:bCs/>
          <w:szCs w:val="24"/>
        </w:rPr>
        <w:t xml:space="preserve"> ievērojami uzlabota pēdējo</w:t>
      </w:r>
      <w:r w:rsidRPr="00B456DD">
        <w:rPr>
          <w:bCs/>
          <w:szCs w:val="24"/>
        </w:rPr>
        <w:t xml:space="preserve"> gadu laikā. </w:t>
      </w:r>
    </w:p>
    <w:p w:rsidR="005A06FA" w:rsidRPr="00905DA5" w:rsidRDefault="00E85A8F" w:rsidP="00163B37">
      <w:pPr>
        <w:pStyle w:val="Heading3"/>
        <w:ind w:firstLine="0"/>
        <w:rPr>
          <w:rFonts w:ascii="Times New Roman" w:hAnsi="Times New Roman"/>
          <w:sz w:val="32"/>
          <w:szCs w:val="32"/>
        </w:rPr>
      </w:pPr>
      <w:bookmarkStart w:id="73" w:name="_Toc313631322"/>
      <w:bookmarkStart w:id="74" w:name="_Toc322679621"/>
      <w:bookmarkStart w:id="75" w:name="_Toc323120300"/>
      <w:bookmarkStart w:id="76" w:name="_Toc284924065"/>
      <w:r w:rsidRPr="00905DA5">
        <w:rPr>
          <w:rFonts w:ascii="Times New Roman" w:hAnsi="Times New Roman"/>
          <w:sz w:val="32"/>
          <w:szCs w:val="32"/>
        </w:rPr>
        <w:t xml:space="preserve">8.2. </w:t>
      </w:r>
      <w:r w:rsidR="005A06FA" w:rsidRPr="00905DA5">
        <w:rPr>
          <w:rFonts w:ascii="Times New Roman" w:hAnsi="Times New Roman"/>
          <w:sz w:val="32"/>
          <w:szCs w:val="32"/>
        </w:rPr>
        <w:t>Valsts sniegtie galvojumi</w:t>
      </w:r>
      <w:bookmarkEnd w:id="73"/>
      <w:bookmarkEnd w:id="74"/>
      <w:bookmarkEnd w:id="75"/>
    </w:p>
    <w:p w:rsidR="000C03FB" w:rsidRPr="00B1534C" w:rsidRDefault="000C03FB" w:rsidP="002D62B9">
      <w:pPr>
        <w:ind w:firstLine="720"/>
        <w:rPr>
          <w:szCs w:val="24"/>
        </w:rPr>
      </w:pPr>
      <w:r w:rsidRPr="00B1534C">
        <w:rPr>
          <w:szCs w:val="24"/>
        </w:rPr>
        <w:t>Likums par budžetu un finanšu vadību nosaka, ka tikai finanšu ministram ir tiesības valsts vārdā gadskārtējā valsts budžeta likuma ietvaros sniegt galvojumus, kas uzliek saistības valsts līdzekļiem valsts investīciju projektu un komercdarbības atbalsta programmu īstenošanai, kā arī studiju un studējošo kreditēšanai.</w:t>
      </w:r>
    </w:p>
    <w:p w:rsidR="000C03FB" w:rsidRPr="00B1534C" w:rsidRDefault="000C03FB" w:rsidP="002D62B9">
      <w:pPr>
        <w:ind w:firstLine="720"/>
        <w:rPr>
          <w:szCs w:val="24"/>
        </w:rPr>
      </w:pPr>
      <w:r w:rsidRPr="00B1534C">
        <w:rPr>
          <w:szCs w:val="24"/>
        </w:rPr>
        <w:t xml:space="preserve">Valsts galvojumu sniegšanas procesa caurspīdīgumu nodrošina Ministru kabineta noteikumi, nosakot, ka potenciālie valsts vārdā sniedzamo galvojumu saņēmēji un viņu realizējamie projekti tiek izvērtēti pēc vienotiem kritērijiem pirms galvojumu iekļaušanas gadskārtējā valsts budžeta likumā. Izvērtēšanu veic nozares ministrija un Finanšu ministrija. Finanšu ministrijas ieteikto konkrētajā gadā sniedzamo galvojumu sarakstu apstiprina Ministru kabinets, iekļaujot to gadskārtējā valsts budžeta likumprojektā. </w:t>
      </w:r>
    </w:p>
    <w:p w:rsidR="000C03FB" w:rsidRPr="00B1534C" w:rsidRDefault="000C03FB" w:rsidP="002D62B9">
      <w:pPr>
        <w:pStyle w:val="BodyText3"/>
        <w:ind w:firstLine="720"/>
        <w:rPr>
          <w:sz w:val="24"/>
          <w:szCs w:val="24"/>
        </w:rPr>
      </w:pPr>
      <w:r w:rsidRPr="00B1534C">
        <w:rPr>
          <w:sz w:val="24"/>
          <w:szCs w:val="24"/>
        </w:rPr>
        <w:t xml:space="preserve">Valsts galvojumu risku vadība tiek nodrošināta, pirms galvojuma sniegšanas veicot sniedzamo galvojumu biznesa plānu, projekta realizētāja kredītspējas, īstenojamā projekta </w:t>
      </w:r>
      <w:r w:rsidR="00A51D1B" w:rsidRPr="00B1534C">
        <w:rPr>
          <w:sz w:val="24"/>
          <w:szCs w:val="24"/>
        </w:rPr>
        <w:t>risk</w:t>
      </w:r>
      <w:r w:rsidR="00A51D1B">
        <w:rPr>
          <w:sz w:val="24"/>
          <w:szCs w:val="24"/>
        </w:rPr>
        <w:t>u analīzi</w:t>
      </w:r>
      <w:r w:rsidRPr="00B1534C">
        <w:rPr>
          <w:sz w:val="24"/>
          <w:szCs w:val="24"/>
        </w:rPr>
        <w:t>, galvojuma nodrošinājumu izvērtēšanu un finanšu ministram pieņemot lēmumu par galvojuma izsniegšanu un piemērojamās riska procentu likmes apmēru. Pēc galvojuma sniegšanas tiek veikta tā uzraudzība, analizējot aizņēmēja regulāri sniegtos finanšu pārskatus, izvērtējot galvotā aizņēmuma atmaksas iespējamību un atbilstoši veicot uzkrājumus.</w:t>
      </w:r>
    </w:p>
    <w:p w:rsidR="000C03FB" w:rsidRDefault="000C03FB" w:rsidP="002D62B9">
      <w:pPr>
        <w:ind w:firstLine="720"/>
      </w:pPr>
      <w:r w:rsidRPr="00B1534C">
        <w:rPr>
          <w:szCs w:val="24"/>
        </w:rPr>
        <w:t>2011.</w:t>
      </w:r>
      <w:r w:rsidR="00DC5F28">
        <w:rPr>
          <w:szCs w:val="24"/>
        </w:rPr>
        <w:t> </w:t>
      </w:r>
      <w:r w:rsidRPr="00B1534C">
        <w:rPr>
          <w:szCs w:val="24"/>
        </w:rPr>
        <w:t>gadā izsniegti valsts galvojumi 115 milj.latu apmērā, t.sk. izglītības nozarei 12 milj.</w:t>
      </w:r>
      <w:r w:rsidR="00DC5F28">
        <w:rPr>
          <w:szCs w:val="24"/>
        </w:rPr>
        <w:t> </w:t>
      </w:r>
      <w:r w:rsidRPr="00B1534C">
        <w:rPr>
          <w:szCs w:val="24"/>
        </w:rPr>
        <w:t>latu, sporta nozarei 3,2 milj.</w:t>
      </w:r>
      <w:r w:rsidR="00DC5F28">
        <w:rPr>
          <w:szCs w:val="24"/>
        </w:rPr>
        <w:t> </w:t>
      </w:r>
      <w:r w:rsidRPr="00B1534C">
        <w:rPr>
          <w:szCs w:val="24"/>
        </w:rPr>
        <w:t>latu, rūpniecības nozarei 5 milj.</w:t>
      </w:r>
      <w:r w:rsidR="00DC5F28">
        <w:rPr>
          <w:szCs w:val="24"/>
        </w:rPr>
        <w:t> </w:t>
      </w:r>
      <w:r w:rsidRPr="00B1534C">
        <w:rPr>
          <w:szCs w:val="24"/>
        </w:rPr>
        <w:t>latu, valsts sektoram 23,8 milj.</w:t>
      </w:r>
      <w:r w:rsidR="00DC5F28">
        <w:rPr>
          <w:szCs w:val="24"/>
        </w:rPr>
        <w:t> </w:t>
      </w:r>
      <w:r w:rsidRPr="00B1534C">
        <w:rPr>
          <w:szCs w:val="24"/>
        </w:rPr>
        <w:t>latu, kā arī saskaņā ar likumu “Par valsts budžetu 2011.</w:t>
      </w:r>
      <w:r w:rsidR="00804E6F">
        <w:rPr>
          <w:szCs w:val="24"/>
        </w:rPr>
        <w:t xml:space="preserve"> </w:t>
      </w:r>
      <w:r w:rsidRPr="00B1534C">
        <w:rPr>
          <w:szCs w:val="24"/>
        </w:rPr>
        <w:t>gadam” sniegts valsts galvojums</w:t>
      </w:r>
      <w:r>
        <w:t xml:space="preserve"> par akciju sabiedrības “Citadele banka” aizņēmumu no Eiropas Investīciju bankas 71,0 milj.</w:t>
      </w:r>
      <w:r w:rsidR="00DC5F28">
        <w:t> </w:t>
      </w:r>
      <w:r>
        <w:t>latu apmērā atbilstoši Eiropas Komisijas saskaņotajam akciju sabiedrības “Parex banka” Valsts atbalsta restrukturizācijas plānam.</w:t>
      </w:r>
    </w:p>
    <w:p w:rsidR="000C03FB" w:rsidRDefault="000C03FB" w:rsidP="002D62B9">
      <w:pPr>
        <w:ind w:firstLine="720"/>
      </w:pPr>
      <w:r>
        <w:t>Valsts galvoto aizdevumu atlikums uz 2011.</w:t>
      </w:r>
      <w:r w:rsidR="00DC5F28">
        <w:t> </w:t>
      </w:r>
      <w:r>
        <w:t xml:space="preserve">gada decembra beigām ir 498,4 milj. latu (sk. </w:t>
      </w:r>
      <w:r w:rsidR="008C1488">
        <w:t>8.</w:t>
      </w:r>
      <w:r w:rsidR="00881BC4">
        <w:t>3</w:t>
      </w:r>
      <w:r>
        <w:t>.</w:t>
      </w:r>
      <w:r w:rsidR="00DC5F28">
        <w:t> </w:t>
      </w:r>
      <w:r>
        <w:t>attēlu), kas salīdzinājumā ar valsts galvoto aizdevumu atlikumu uz 2010.</w:t>
      </w:r>
      <w:r w:rsidR="00DC5F28">
        <w:t> </w:t>
      </w:r>
      <w:r>
        <w:t>gada beigām 597,1 milj.</w:t>
      </w:r>
      <w:r w:rsidR="00DC5F28">
        <w:t> </w:t>
      </w:r>
      <w:r>
        <w:t>latu ir samazinājies par 98,7 milj.</w:t>
      </w:r>
      <w:r w:rsidR="00DC5F28">
        <w:t> </w:t>
      </w:r>
      <w:r>
        <w:t>latu.</w:t>
      </w:r>
    </w:p>
    <w:p w:rsidR="000C03FB" w:rsidRDefault="000C03FB" w:rsidP="002D62B9">
      <w:pPr>
        <w:rPr>
          <w:bCs/>
          <w:szCs w:val="24"/>
          <w:highlight w:val="yellow"/>
        </w:rPr>
      </w:pPr>
    </w:p>
    <w:p w:rsidR="000C03FB" w:rsidRDefault="00BD6F38" w:rsidP="002D62B9">
      <w:pPr>
        <w:jc w:val="center"/>
        <w:rPr>
          <w:bCs/>
          <w:highlight w:val="yellow"/>
        </w:rPr>
      </w:pPr>
      <w:r>
        <w:rPr>
          <w:noProof/>
          <w:lang w:eastAsia="lv-LV"/>
        </w:rPr>
        <w:pict>
          <v:shape id="Chart 12" o:spid="_x0000_i1041" type="#_x0000_t75" style="width:356.85pt;height:208.5pt;visibility:visible" o:gfxdata="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">
            <v:imagedata r:id="rId35" o:title=""/>
            <o:lock v:ext="edit" aspectratio="f"/>
          </v:shape>
        </w:pict>
      </w:r>
    </w:p>
    <w:p w:rsidR="000C03FB" w:rsidRPr="00881BC4" w:rsidRDefault="008C1488" w:rsidP="002D62B9">
      <w:pPr>
        <w:jc w:val="center"/>
        <w:rPr>
          <w:bCs/>
          <w:color w:val="FF0000"/>
        </w:rPr>
      </w:pPr>
      <w:r>
        <w:rPr>
          <w:bCs/>
        </w:rPr>
        <w:t>8.</w:t>
      </w:r>
      <w:r w:rsidR="00881BC4">
        <w:rPr>
          <w:bCs/>
        </w:rPr>
        <w:t>3</w:t>
      </w:r>
      <w:r w:rsidR="000C03FB" w:rsidRPr="00881BC4">
        <w:rPr>
          <w:bCs/>
        </w:rPr>
        <w:t>.attēls. Valsts galvoto aizdevumu atlikums uz attiecīgā gada beigām (milj. LVL)</w:t>
      </w:r>
    </w:p>
    <w:p w:rsidR="000C03FB" w:rsidRDefault="000C03FB" w:rsidP="002D62B9">
      <w:pPr>
        <w:pStyle w:val="BodyText"/>
      </w:pPr>
    </w:p>
    <w:p w:rsidR="000C03FB" w:rsidRDefault="008C1488" w:rsidP="002D62B9">
      <w:pPr>
        <w:pStyle w:val="BodyText"/>
      </w:pPr>
      <w:r>
        <w:lastRenderedPageBreak/>
        <w:t>8.</w:t>
      </w:r>
      <w:r w:rsidR="00881BC4">
        <w:t>4</w:t>
      </w:r>
      <w:r w:rsidR="000C03FB">
        <w:t>.</w:t>
      </w:r>
      <w:r w:rsidR="00DC5F28">
        <w:t> </w:t>
      </w:r>
      <w:r w:rsidR="000C03FB">
        <w:t>attēlā tiek atspoguļots vispārējā kārtībā sniegto valsts galvoto aizdevumu izlietojums pa nozarēm.</w:t>
      </w:r>
    </w:p>
    <w:p w:rsidR="000C03FB" w:rsidRDefault="000C03FB" w:rsidP="002D62B9">
      <w:pPr>
        <w:pStyle w:val="BodyText"/>
      </w:pPr>
    </w:p>
    <w:p w:rsidR="000C03FB" w:rsidRDefault="00BD6F38" w:rsidP="002D62B9">
      <w:pPr>
        <w:pStyle w:val="BodyText"/>
        <w:rPr>
          <w:b/>
          <w:highlight w:val="yellow"/>
        </w:rPr>
      </w:pPr>
      <w:r>
        <w:rPr>
          <w:noProof/>
          <w:lang w:eastAsia="lv-LV"/>
        </w:rPr>
        <w:pict>
          <v:shape id="Chart 31" o:spid="_x0000_i1042" type="#_x0000_t75" style="width:363.75pt;height:190.95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">
            <v:imagedata r:id="rId36" o:title=""/>
            <o:lock v:ext="edit" aspectratio="f"/>
          </v:shape>
        </w:pict>
      </w:r>
    </w:p>
    <w:p w:rsidR="000C03FB" w:rsidRPr="00881BC4" w:rsidRDefault="008C1488" w:rsidP="002D62B9">
      <w:pPr>
        <w:pStyle w:val="BodyText"/>
        <w:spacing w:before="120"/>
        <w:jc w:val="center"/>
        <w:rPr>
          <w:bCs/>
        </w:rPr>
      </w:pPr>
      <w:r>
        <w:rPr>
          <w:bCs/>
        </w:rPr>
        <w:t>8.</w:t>
      </w:r>
      <w:r w:rsidR="00881BC4">
        <w:rPr>
          <w:bCs/>
        </w:rPr>
        <w:t>4</w:t>
      </w:r>
      <w:r w:rsidR="000C03FB" w:rsidRPr="00881BC4">
        <w:rPr>
          <w:bCs/>
        </w:rPr>
        <w:t>.attēls. Vispārējā kārtībā sniegto valsts galvoto aizdevumu izlietojums pa nozarēm uz 2011.gada beigām (%)</w:t>
      </w:r>
    </w:p>
    <w:p w:rsidR="000C03FB" w:rsidRDefault="000C03FB" w:rsidP="002D62B9">
      <w:pPr>
        <w:ind w:firstLine="720"/>
      </w:pPr>
      <w:r>
        <w:t>Izvērtējot pašreizējo informāciju par aizņēmēju finansiālo stāvokli, līdzšinējo kredītvēsturi, nodrošinājuma likviditāti un apjomu, kā arī citu pieejamo informāciju, kā relatīvi riskantāki novērtēti galvojumi 16 aizņēmējiem, lielāko daļu no kuriem veido slimnīcām un finanšu sektora atbalstam izsniegtie galvotie aizdevumi. Minētajiem aizņēmējiem galvoto aizņēmumu neatmaksātais atlikums 2011.</w:t>
      </w:r>
      <w:r w:rsidR="00DC5F28">
        <w:t> </w:t>
      </w:r>
      <w:r>
        <w:t>gada 31.</w:t>
      </w:r>
      <w:r w:rsidR="00DC5F28">
        <w:t> </w:t>
      </w:r>
      <w:r>
        <w:t>decembrī veidoja 54,7</w:t>
      </w:r>
      <w:r w:rsidR="00DC5F28">
        <w:t> </w:t>
      </w:r>
      <w:r>
        <w:t>% no kopējā galvoto aizdevumu neatmaksātā atlikuma jeb 272,5 milj.</w:t>
      </w:r>
      <w:r w:rsidR="00DC5F28">
        <w:t> </w:t>
      </w:r>
      <w:r>
        <w:t>latu. Ņemot vērā šos apstākļus, pastāv varbūtība, ka relatīvi riskanto valsts galvoto aizdevumu saistības vai to daļa varētu netikt izpildītas noteiktajā termiņā. Likumā „Par valsts budžetu 2012.</w:t>
      </w:r>
      <w:r w:rsidR="00DC5F28">
        <w:t> </w:t>
      </w:r>
      <w:r>
        <w:t>gadam” valdības rīcības pieļaujamās robežas, lai segtu izdevumus, kas var rasties, pildot uz valsts budžetu attiecināmās valsts galvotā parāda saistības 2012.</w:t>
      </w:r>
      <w:r w:rsidR="00DC5F28">
        <w:t> </w:t>
      </w:r>
      <w:r>
        <w:t>gadā, ir noteiktas 101,5 milj.</w:t>
      </w:r>
      <w:r w:rsidR="00DC5F28">
        <w:t> </w:t>
      </w:r>
      <w:r>
        <w:t>latu apmērā (~0,7</w:t>
      </w:r>
      <w:r w:rsidR="00DC5F28">
        <w:t> </w:t>
      </w:r>
      <w:r>
        <w:t>% no IKP).</w:t>
      </w:r>
    </w:p>
    <w:p w:rsidR="000C03FB" w:rsidRPr="000C03FB" w:rsidRDefault="000C03FB" w:rsidP="002D62B9"/>
    <w:p w:rsidR="000F6956" w:rsidRPr="009C61B1" w:rsidRDefault="00283B8B" w:rsidP="002D62B9">
      <w:pPr>
        <w:pStyle w:val="PIRMAIS"/>
      </w:pPr>
      <w:bookmarkStart w:id="77" w:name="_Toc323120301"/>
      <w:r>
        <w:lastRenderedPageBreak/>
        <w:t>9</w:t>
      </w:r>
      <w:r w:rsidR="000F6956" w:rsidRPr="009C61B1">
        <w:t>.</w:t>
      </w:r>
      <w:r w:rsidR="000F6956" w:rsidRPr="009C61B1">
        <w:tab/>
        <w:t xml:space="preserve">Valsts </w:t>
      </w:r>
      <w:r w:rsidR="000F6956">
        <w:t>finanš</w:t>
      </w:r>
      <w:r w:rsidR="000F6956" w:rsidRPr="009C61B1">
        <w:t>u institucionālās iezīmes</w:t>
      </w:r>
      <w:bookmarkEnd w:id="76"/>
      <w:bookmarkEnd w:id="77"/>
    </w:p>
    <w:p w:rsidR="00316611" w:rsidRPr="004438CE" w:rsidRDefault="00283B8B" w:rsidP="002D62B9">
      <w:pPr>
        <w:pStyle w:val="otrais"/>
        <w:rPr>
          <w:szCs w:val="32"/>
        </w:rPr>
      </w:pPr>
      <w:bookmarkStart w:id="78" w:name="_Toc284924067"/>
      <w:bookmarkStart w:id="79" w:name="_Toc323120302"/>
      <w:r w:rsidRPr="004438CE">
        <w:rPr>
          <w:szCs w:val="32"/>
        </w:rPr>
        <w:t>9</w:t>
      </w:r>
      <w:r w:rsidR="00316611" w:rsidRPr="004438CE">
        <w:rPr>
          <w:szCs w:val="32"/>
        </w:rPr>
        <w:t>.1. Valsts budžeta noteikumu ieviešana</w:t>
      </w:r>
      <w:bookmarkEnd w:id="78"/>
      <w:bookmarkEnd w:id="79"/>
    </w:p>
    <w:p w:rsidR="003A5DC4" w:rsidRPr="00612AB9" w:rsidRDefault="003A5DC4" w:rsidP="002D62B9">
      <w:pPr>
        <w:ind w:firstLine="720"/>
        <w:rPr>
          <w:szCs w:val="24"/>
        </w:rPr>
      </w:pPr>
      <w:r w:rsidRPr="00612AB9">
        <w:rPr>
          <w:szCs w:val="24"/>
        </w:rPr>
        <w:t>Latvijā valsts budžeta un pašvaldību budžetu izstrādāšanas, apstiprināšanas un izpildes kārtību un atbildību budžeta procesā nosaka Likums par budžetu un finanšu vadību.</w:t>
      </w:r>
    </w:p>
    <w:p w:rsidR="003A5DC4" w:rsidRPr="00612AB9" w:rsidRDefault="003A5DC4" w:rsidP="002D62B9">
      <w:pPr>
        <w:ind w:firstLine="720"/>
        <w:rPr>
          <w:szCs w:val="24"/>
        </w:rPr>
      </w:pPr>
      <w:r w:rsidRPr="00612AB9">
        <w:rPr>
          <w:szCs w:val="24"/>
        </w:rPr>
        <w:t>Šis likums paredz, ka valsts budžeta likums ietver valsts budžeta finansiālo bilanci un valsts parāda maksimāli pieļaujamo apjomu saimnieciskā gada beigās, kā arī valsts vārdā izsniegto galvojumu saistību izpildei paredzamo apjomu valsts parādā un no jauna saimnieciskajā gadā izsniedzamo galvojumu apjomus.</w:t>
      </w:r>
    </w:p>
    <w:p w:rsidR="003A5DC4" w:rsidRPr="00612AB9" w:rsidRDefault="003A5DC4" w:rsidP="002D62B9">
      <w:pPr>
        <w:ind w:firstLine="720"/>
        <w:rPr>
          <w:szCs w:val="24"/>
        </w:rPr>
      </w:pPr>
      <w:r w:rsidRPr="00612AB9">
        <w:rPr>
          <w:szCs w:val="24"/>
        </w:rPr>
        <w:t>Saskaņā ar Likuma par budžetu un finanšu vadību 24.</w:t>
      </w:r>
      <w:r w:rsidR="00DC5F28">
        <w:rPr>
          <w:szCs w:val="24"/>
        </w:rPr>
        <w:t> </w:t>
      </w:r>
      <w:r w:rsidRPr="00612AB9">
        <w:rPr>
          <w:szCs w:val="24"/>
        </w:rPr>
        <w:t>pantu valsts budžeta izpildītāji var veikt valsts budžeta izdevumus vai uzņemties īstermiņa saistības tikai to finansēšanas plānos noteikto asignējumu ietvaros, kurus izsniedz Valsts kase. Savukārt Valsts kase piešķir asignējumus izdevumiem saskaņā ar gadskārtējā valsts budžeta likumā noteikto apropriāciju un nodrošina to izpildi Ministru kabinetā noteiktajā kārtībā. Budžeta iestādes var uzņemties valsts budžeta ilgtermiņa saistības, nepārsniedzot saimnieciskā gada valsts budžeta likumā noteiktos valsts budžeta ilgtermiņa saistību maksimāli pieļaujamos apjomus.</w:t>
      </w:r>
    </w:p>
    <w:p w:rsidR="003A5DC4" w:rsidRPr="00612AB9" w:rsidRDefault="003A5DC4" w:rsidP="002D62B9">
      <w:pPr>
        <w:spacing w:after="0"/>
        <w:ind w:firstLine="720"/>
        <w:rPr>
          <w:szCs w:val="24"/>
        </w:rPr>
      </w:pPr>
      <w:r w:rsidRPr="00612AB9">
        <w:rPr>
          <w:szCs w:val="24"/>
        </w:rPr>
        <w:t>Lai saglabātu vispārējo ekonomisko līdzsvaru un nodrošinātu vienotu valsts finansiālo politiku, gadskārtējā valsts budžeta likumā atsevišķi tiek noteikti pašvaldību aizņēmumu un galvojumu kopējā palielinājuma apjomi. No summas, kas pašvaldībai pienākas no iedzīvotāju ienākuma nodokļa, vai no pašvaldību finanšu izlīdzināšanas fonda dotācijas Valsts kasei ir tiesības ieturēt summas šādos gadījumos un šādā apmērā:</w:t>
      </w:r>
    </w:p>
    <w:p w:rsidR="003A5DC4" w:rsidRPr="00612AB9" w:rsidRDefault="003A5DC4" w:rsidP="002D62B9">
      <w:pPr>
        <w:spacing w:after="0"/>
        <w:ind w:firstLine="720"/>
        <w:rPr>
          <w:szCs w:val="24"/>
        </w:rPr>
      </w:pPr>
      <w:r w:rsidRPr="00612AB9">
        <w:rPr>
          <w:szCs w:val="24"/>
        </w:rPr>
        <w:t>1) ja pašvaldība nenodrošina valsts aizdevumu līgumos noteikto saistību savlaicīgu izpildi, — savlaicīgi nesamaksātās summas apmērā;</w:t>
      </w:r>
    </w:p>
    <w:p w:rsidR="00CC5508" w:rsidRDefault="003A5DC4" w:rsidP="002D62B9">
      <w:pPr>
        <w:ind w:firstLine="720"/>
        <w:rPr>
          <w:szCs w:val="24"/>
        </w:rPr>
      </w:pPr>
      <w:r w:rsidRPr="00612AB9">
        <w:rPr>
          <w:szCs w:val="24"/>
        </w:rPr>
        <w:t>2) ja pašvaldība nenodrošina valsts aizdevuma izmantošanu atbilstoši aizdevuma līgumā noteiktajam mērķim, — pēc finanšu ministra rīkojuma neatbilstoši līgumā noteiktajam mērķim izmantotās aizdevuma summas apmērā.</w:t>
      </w:r>
    </w:p>
    <w:p w:rsidR="003A5DC4" w:rsidRPr="00612AB9" w:rsidRDefault="003A5DC4" w:rsidP="002D62B9">
      <w:pPr>
        <w:ind w:firstLine="709"/>
        <w:rPr>
          <w:color w:val="000000"/>
          <w:szCs w:val="24"/>
        </w:rPr>
      </w:pPr>
      <w:r w:rsidRPr="00612AB9">
        <w:rPr>
          <w:color w:val="000000"/>
          <w:szCs w:val="24"/>
        </w:rPr>
        <w:t>Lai stiprinātu līdzekļu izlietojuma kontroles iespējas, kā arī, lai dotu finanšu ministram pilnvaras operatīvi pielāgot izdevumu veikšanu straujajām izmaiņām ekonomikā, 2009.</w:t>
      </w:r>
      <w:r w:rsidR="009D0EDE">
        <w:rPr>
          <w:color w:val="000000"/>
          <w:szCs w:val="24"/>
        </w:rPr>
        <w:t xml:space="preserve"> </w:t>
      </w:r>
      <w:r w:rsidRPr="00612AB9">
        <w:rPr>
          <w:color w:val="000000"/>
          <w:szCs w:val="24"/>
        </w:rPr>
        <w:t>gadā Likums par budžetu un finanšu vadību tika papildināts ar attiecīgajām normām par asignējumu aizkavēšanu vai samazināšanu.</w:t>
      </w:r>
    </w:p>
    <w:p w:rsidR="003A5DC4" w:rsidRPr="00612AB9" w:rsidRDefault="003A5DC4" w:rsidP="002D62B9">
      <w:pPr>
        <w:ind w:firstLine="709"/>
        <w:rPr>
          <w:color w:val="000000"/>
          <w:szCs w:val="24"/>
        </w:rPr>
      </w:pPr>
      <w:r w:rsidRPr="00612AB9">
        <w:rPr>
          <w:color w:val="000000"/>
          <w:szCs w:val="24"/>
        </w:rPr>
        <w:t>Saskaņā ar Likumu par budžetu un finanšu vadību, finanšu ministrs var  aizkavēt vai samazināt asignējumu uz laiku līdz trim mēnešiem, dodot rīkojumu par to Valsts kasei, ja pastāv vismaz viens no šādiem nosacījumiem:</w:t>
      </w:r>
    </w:p>
    <w:p w:rsidR="003A5DC4" w:rsidRPr="00612AB9" w:rsidRDefault="003A5DC4" w:rsidP="002D62B9">
      <w:pPr>
        <w:ind w:left="1134" w:hanging="425"/>
        <w:rPr>
          <w:color w:val="000000"/>
          <w:szCs w:val="24"/>
        </w:rPr>
      </w:pPr>
      <w:r w:rsidRPr="00612AB9">
        <w:rPr>
          <w:color w:val="000000"/>
          <w:szCs w:val="24"/>
        </w:rPr>
        <w:t>•</w:t>
      </w:r>
      <w:r w:rsidRPr="00612AB9">
        <w:rPr>
          <w:color w:val="000000"/>
          <w:szCs w:val="24"/>
        </w:rPr>
        <w:tab/>
        <w:t xml:space="preserve">triju mēnešu periodā valsts budžeta nodokļu un nenodokļu faktiskie ieņēmumi attiecībā pret attiecīgajā periodā paredzētajiem ieņēmumiem samazinās vairāk nekā par 0,5 procentiem no gadskārtējā valsts budžeta likumā noteiktās </w:t>
      </w:r>
      <w:r w:rsidR="00AC104C">
        <w:rPr>
          <w:color w:val="000000"/>
          <w:szCs w:val="24"/>
        </w:rPr>
        <w:t>IKP</w:t>
      </w:r>
      <w:r w:rsidRPr="00612AB9">
        <w:rPr>
          <w:color w:val="000000"/>
          <w:szCs w:val="24"/>
        </w:rPr>
        <w:t xml:space="preserve"> prognozes;</w:t>
      </w:r>
    </w:p>
    <w:p w:rsidR="003A5DC4" w:rsidRPr="00612AB9" w:rsidRDefault="003A5DC4" w:rsidP="002D62B9">
      <w:pPr>
        <w:ind w:left="1134" w:hanging="425"/>
        <w:rPr>
          <w:color w:val="000000"/>
          <w:szCs w:val="24"/>
        </w:rPr>
      </w:pPr>
      <w:r w:rsidRPr="00612AB9">
        <w:rPr>
          <w:color w:val="000000"/>
          <w:szCs w:val="24"/>
        </w:rPr>
        <w:t>•</w:t>
      </w:r>
      <w:r w:rsidRPr="00612AB9">
        <w:rPr>
          <w:color w:val="000000"/>
          <w:szCs w:val="24"/>
        </w:rPr>
        <w:tab/>
        <w:t xml:space="preserve">faktiskais uzkrātais valsts budžeta finansiālais deficīts triju mēnešu periodā pārsniedz attiecīgajam periodam paredzēto valsts budžeta finansiālo deficītu vairāk nekā par 0,5 procentiem no gadskārtējā valsts budžeta likumā noteiktās </w:t>
      </w:r>
      <w:r w:rsidR="00AC104C">
        <w:rPr>
          <w:color w:val="000000"/>
          <w:szCs w:val="24"/>
        </w:rPr>
        <w:t>IKP</w:t>
      </w:r>
      <w:r w:rsidRPr="00612AB9">
        <w:rPr>
          <w:color w:val="000000"/>
          <w:szCs w:val="24"/>
        </w:rPr>
        <w:t xml:space="preserve"> prognozes;</w:t>
      </w:r>
    </w:p>
    <w:p w:rsidR="003A5DC4" w:rsidRPr="00612AB9" w:rsidRDefault="003A5DC4" w:rsidP="002D62B9">
      <w:pPr>
        <w:ind w:left="1134" w:hanging="425"/>
        <w:rPr>
          <w:color w:val="000000"/>
          <w:szCs w:val="24"/>
        </w:rPr>
      </w:pPr>
      <w:r w:rsidRPr="00612AB9">
        <w:rPr>
          <w:color w:val="000000"/>
          <w:szCs w:val="24"/>
        </w:rPr>
        <w:t>•</w:t>
      </w:r>
      <w:r w:rsidRPr="00612AB9">
        <w:rPr>
          <w:color w:val="000000"/>
          <w:szCs w:val="24"/>
        </w:rPr>
        <w:tab/>
        <w:t>ja Valsts kases budžeta kontos nav pietiekama līdzekļu apjoma, lai segtu nākamajam mēnesim plānotās maksājumu saistības.</w:t>
      </w:r>
    </w:p>
    <w:p w:rsidR="003A5DC4" w:rsidRPr="00612AB9" w:rsidRDefault="003A5DC4" w:rsidP="002D62B9">
      <w:pPr>
        <w:ind w:firstLine="720"/>
      </w:pPr>
      <w:r w:rsidRPr="00612AB9">
        <w:rPr>
          <w:color w:val="000000"/>
          <w:szCs w:val="24"/>
        </w:rPr>
        <w:lastRenderedPageBreak/>
        <w:t>Ministru kabinetam ir tiesības noteikt valsts un pašvaldību budžeta plānošanas un izpildes papildu nosacījumus, lai nodrošinātu makroekonomisko procesu izraisīto paaugstināto fiskālo, ekonomisko un sociālo risku ietekmes mazināšanas un novēršanas pasākumus un nodrošinātu starptautiskajās saistībās noteikto fiskālo kritēriju izpildi.</w:t>
      </w:r>
    </w:p>
    <w:p w:rsidR="00316611" w:rsidRPr="004438CE" w:rsidRDefault="00283B8B" w:rsidP="002D62B9">
      <w:pPr>
        <w:pStyle w:val="otrais"/>
        <w:rPr>
          <w:szCs w:val="32"/>
        </w:rPr>
      </w:pPr>
      <w:bookmarkStart w:id="80" w:name="_Toc323120303"/>
      <w:bookmarkStart w:id="81" w:name="_Toc284924068"/>
      <w:bookmarkStart w:id="82" w:name="_Toc155751092"/>
      <w:r w:rsidRPr="004438CE">
        <w:rPr>
          <w:szCs w:val="32"/>
        </w:rPr>
        <w:t>9</w:t>
      </w:r>
      <w:r w:rsidR="00316611" w:rsidRPr="004438CE">
        <w:rPr>
          <w:szCs w:val="32"/>
        </w:rPr>
        <w:t xml:space="preserve">.2. Budžeta procedūras, t.sk. </w:t>
      </w:r>
      <w:r w:rsidR="006F0333" w:rsidRPr="004438CE">
        <w:rPr>
          <w:szCs w:val="32"/>
        </w:rPr>
        <w:t>v</w:t>
      </w:r>
      <w:r w:rsidR="00316611" w:rsidRPr="004438CE">
        <w:rPr>
          <w:szCs w:val="32"/>
        </w:rPr>
        <w:t>alsts finanšu statistikas pārvalde</w:t>
      </w:r>
      <w:bookmarkEnd w:id="80"/>
      <w:r w:rsidR="00316611" w:rsidRPr="004438CE">
        <w:rPr>
          <w:szCs w:val="32"/>
        </w:rPr>
        <w:t xml:space="preserve"> </w:t>
      </w:r>
      <w:bookmarkEnd w:id="81"/>
    </w:p>
    <w:p w:rsidR="00316611" w:rsidRPr="004438CE" w:rsidRDefault="00283B8B" w:rsidP="002D62B9">
      <w:pPr>
        <w:pStyle w:val="tresais"/>
        <w:rPr>
          <w:szCs w:val="28"/>
        </w:rPr>
      </w:pPr>
      <w:bookmarkStart w:id="83" w:name="_Toc323120304"/>
      <w:bookmarkStart w:id="84" w:name="_Toc284924069"/>
      <w:r w:rsidRPr="004438CE">
        <w:rPr>
          <w:szCs w:val="28"/>
        </w:rPr>
        <w:t>9</w:t>
      </w:r>
      <w:r w:rsidR="00316611" w:rsidRPr="004438CE">
        <w:rPr>
          <w:szCs w:val="28"/>
        </w:rPr>
        <w:t>.2.1. Budžeta procedūras</w:t>
      </w:r>
      <w:bookmarkEnd w:id="83"/>
    </w:p>
    <w:p w:rsidR="003A5DC4" w:rsidRPr="00612AB9" w:rsidRDefault="003A5DC4" w:rsidP="002D62B9">
      <w:pPr>
        <w:ind w:firstLine="720"/>
        <w:rPr>
          <w:strike/>
          <w:szCs w:val="24"/>
        </w:rPr>
      </w:pPr>
      <w:r w:rsidRPr="00612AB9">
        <w:rPr>
          <w:szCs w:val="24"/>
        </w:rPr>
        <w:t xml:space="preserve">Latvijas Republikas Satversme nosaka, ka Saeima ik gadu pirms saimnieciskā gada sākšanās lemj par valsts ienākumu un izdevumu budžetu, kura projektu tai iesniedz Ministru kabinets. </w:t>
      </w:r>
      <w:r w:rsidRPr="00612AB9">
        <w:rPr>
          <w:b/>
          <w:szCs w:val="24"/>
        </w:rPr>
        <w:t>Likumu par valsts budžetu apstiprina Saeima.</w:t>
      </w:r>
      <w:r w:rsidRPr="00612AB9">
        <w:rPr>
          <w:szCs w:val="24"/>
        </w:rPr>
        <w:t xml:space="preserve"> </w:t>
      </w:r>
    </w:p>
    <w:p w:rsidR="000D6A66" w:rsidRPr="00612AB9" w:rsidRDefault="000D6A66" w:rsidP="000D6A66">
      <w:pPr>
        <w:ind w:firstLine="720"/>
        <w:rPr>
          <w:color w:val="000000"/>
          <w:szCs w:val="24"/>
        </w:rPr>
      </w:pPr>
      <w:r w:rsidRPr="00612AB9">
        <w:rPr>
          <w:color w:val="000000"/>
          <w:szCs w:val="24"/>
        </w:rPr>
        <w:t>Līdz 2012.</w:t>
      </w:r>
      <w:r>
        <w:rPr>
          <w:color w:val="000000"/>
          <w:szCs w:val="24"/>
        </w:rPr>
        <w:t> </w:t>
      </w:r>
      <w:r w:rsidRPr="00612AB9">
        <w:rPr>
          <w:color w:val="000000"/>
          <w:szCs w:val="24"/>
        </w:rPr>
        <w:t>gadam Latvijas valsts budžeta plānošanas process paredzēja apstiprināt valsts budžeta likumu vienam gadam</w:t>
      </w:r>
      <w:r>
        <w:rPr>
          <w:color w:val="000000"/>
          <w:szCs w:val="24"/>
        </w:rPr>
        <w:t xml:space="preserve">, to apstiprinot Saeimā, savukārt </w:t>
      </w:r>
      <w:r w:rsidRPr="00612AB9">
        <w:rPr>
          <w:color w:val="000000"/>
          <w:szCs w:val="24"/>
        </w:rPr>
        <w:t xml:space="preserve"> maksimāli pieļaujamo izdevumu kopapjomu turpmākajiem diviem gadiem</w:t>
      </w:r>
      <w:r>
        <w:rPr>
          <w:color w:val="000000"/>
          <w:szCs w:val="24"/>
        </w:rPr>
        <w:t xml:space="preserve"> akceptēja MK</w:t>
      </w:r>
      <w:r w:rsidRPr="00612AB9">
        <w:rPr>
          <w:color w:val="000000"/>
          <w:szCs w:val="24"/>
        </w:rPr>
        <w:t>.</w:t>
      </w:r>
    </w:p>
    <w:p w:rsidR="003A5DC4" w:rsidRPr="00612AB9" w:rsidRDefault="003A5DC4" w:rsidP="002D62B9">
      <w:pPr>
        <w:ind w:firstLine="720"/>
        <w:rPr>
          <w:color w:val="000000"/>
          <w:szCs w:val="24"/>
        </w:rPr>
      </w:pPr>
      <w:r w:rsidRPr="00612AB9">
        <w:rPr>
          <w:color w:val="000000"/>
          <w:szCs w:val="24"/>
        </w:rPr>
        <w:t xml:space="preserve"> Saskaņā ar </w:t>
      </w:r>
      <w:r w:rsidR="00414BFC">
        <w:rPr>
          <w:color w:val="000000"/>
          <w:szCs w:val="24"/>
        </w:rPr>
        <w:t>pēdējiem</w:t>
      </w:r>
      <w:r w:rsidR="00414BFC" w:rsidRPr="00612AB9">
        <w:rPr>
          <w:color w:val="000000"/>
          <w:szCs w:val="24"/>
        </w:rPr>
        <w:t xml:space="preserve"> </w:t>
      </w:r>
      <w:r w:rsidRPr="00612AB9">
        <w:rPr>
          <w:color w:val="000000"/>
          <w:szCs w:val="24"/>
        </w:rPr>
        <w:t>grozījumiem Likumā par budžetu un finanšu vadību, kas stājās spēkā ar 2012.</w:t>
      </w:r>
      <w:r w:rsidR="00DC5F28">
        <w:rPr>
          <w:color w:val="000000"/>
          <w:szCs w:val="24"/>
        </w:rPr>
        <w:t> </w:t>
      </w:r>
      <w:r w:rsidRPr="00612AB9">
        <w:rPr>
          <w:color w:val="000000"/>
          <w:szCs w:val="24"/>
        </w:rPr>
        <w:t>gada 1.</w:t>
      </w:r>
      <w:r w:rsidR="00DC5F28">
        <w:rPr>
          <w:color w:val="000000"/>
          <w:szCs w:val="24"/>
        </w:rPr>
        <w:t> </w:t>
      </w:r>
      <w:r w:rsidRPr="00612AB9">
        <w:rPr>
          <w:color w:val="000000"/>
          <w:szCs w:val="24"/>
        </w:rPr>
        <w:t>janvāri, katru gadu tiks izstrādāts Vidēja termiņa budžeta ietvara likums, ko apstiprinās Saeima. To izstrādās katru gadu, nākamo triju gadu periodam, pie tam katra nākamā Vidēja termiņa budžeta ietvara likuma perioda pirmajam un otrajam gadam tiks izmantoti iepriekšējā Vidēja termiņa budžeta ietvara likumā noteiktie rādītāji, savukārt trešajā gadā plānotie rādītāji būs jauni. Vidēja termiņa budžeta ietvara likumā katram perioda gadam tiks iekļauti galvenie makroekonomikas un finanšu rādītāji, tai skaitā maksimāli pieļaujamais izdevumu apjoms, kā arī veicamie pasākumi un sasniedzamie rezultāti  nacionālajā attīstības plānā un valsts aizsardzības koncepcijā noteikto mērķu ieviešanai. Pirmo Vidēja termiņa budžeta ietvara likumu ir paredzēts izstrādāt 2013.</w:t>
      </w:r>
      <w:r w:rsidR="009D0EDE">
        <w:rPr>
          <w:color w:val="000000"/>
          <w:szCs w:val="24"/>
        </w:rPr>
        <w:t xml:space="preserve"> </w:t>
      </w:r>
      <w:r w:rsidR="0035776A">
        <w:rPr>
          <w:color w:val="000000"/>
          <w:szCs w:val="24"/>
        </w:rPr>
        <w:t>–</w:t>
      </w:r>
      <w:r w:rsidR="009D0EDE">
        <w:rPr>
          <w:color w:val="000000"/>
          <w:szCs w:val="24"/>
        </w:rPr>
        <w:t xml:space="preserve"> </w:t>
      </w:r>
      <w:r w:rsidRPr="00612AB9">
        <w:rPr>
          <w:color w:val="000000"/>
          <w:szCs w:val="24"/>
        </w:rPr>
        <w:t>2015.</w:t>
      </w:r>
      <w:r w:rsidR="00DC5F28">
        <w:rPr>
          <w:color w:val="000000"/>
          <w:szCs w:val="24"/>
        </w:rPr>
        <w:t> </w:t>
      </w:r>
      <w:r w:rsidRPr="00612AB9">
        <w:rPr>
          <w:color w:val="000000"/>
          <w:szCs w:val="24"/>
        </w:rPr>
        <w:t>gadu periodam un iesniegt Saeimā kopā ar likumprojektu „Par valsts budžetu 2013.</w:t>
      </w:r>
      <w:r w:rsidR="009D0EDE">
        <w:rPr>
          <w:color w:val="000000"/>
          <w:szCs w:val="24"/>
        </w:rPr>
        <w:t xml:space="preserve"> </w:t>
      </w:r>
      <w:r w:rsidRPr="00612AB9">
        <w:rPr>
          <w:color w:val="000000"/>
          <w:szCs w:val="24"/>
        </w:rPr>
        <w:t>gadam”, savukārt visus nākamos Vidēja termiņa budžeta ietvara likumus Ministru kabinets iesniegs Saeimā līdz 30.</w:t>
      </w:r>
      <w:r w:rsidR="009D0EDE">
        <w:rPr>
          <w:color w:val="000000"/>
          <w:szCs w:val="24"/>
        </w:rPr>
        <w:t xml:space="preserve"> </w:t>
      </w:r>
      <w:r w:rsidRPr="00612AB9">
        <w:rPr>
          <w:color w:val="000000"/>
          <w:szCs w:val="24"/>
        </w:rPr>
        <w:t>aprīlim.</w:t>
      </w:r>
    </w:p>
    <w:p w:rsidR="003A5DC4" w:rsidRPr="00612AB9" w:rsidRDefault="003A5DC4" w:rsidP="002D62B9">
      <w:pPr>
        <w:ind w:firstLine="720"/>
        <w:rPr>
          <w:color w:val="000000"/>
          <w:szCs w:val="24"/>
        </w:rPr>
      </w:pPr>
      <w:r w:rsidRPr="00612AB9">
        <w:rPr>
          <w:color w:val="000000"/>
          <w:szCs w:val="24"/>
        </w:rPr>
        <w:t>Gadskārtējais budžeta likums viennozīmīgi izrietēs no Vidēja termiņa budžeta ietvara likumā pirmajam gadam noteiktajiem finanšu rādītājiem. Taču kopumā ministriju un citu centrālo valsts iestāžu budžeta izdevumu aprēķināšanas principi netiek būtiski mainīti.</w:t>
      </w:r>
    </w:p>
    <w:p w:rsidR="003A5DC4" w:rsidRPr="00612AB9" w:rsidRDefault="003A5DC4" w:rsidP="002D62B9">
      <w:pPr>
        <w:ind w:firstLine="720"/>
        <w:rPr>
          <w:szCs w:val="24"/>
        </w:rPr>
      </w:pPr>
      <w:r w:rsidRPr="00612AB9">
        <w:rPr>
          <w:szCs w:val="24"/>
        </w:rPr>
        <w:t>Valsts budžeta izdevumu plānošanā sākotnēji tiek aprēķināti un saskaņoti budžeta bāzes izdevumi. Tādējādi tiek noteikts nepieciešamais izdevumu apjoms, lai nodrošinātu valsts funkciju izpildi nemainīgā līmenī salīdzinājumā ar iepriekšējo gadu. Papildus tam ministrijas un citas centrālās valsts iestādes var iesniegt priekšlikumus par budžeta bāzes izdevumu samazināšanas iespējām, kas izriet no reorganizācijām vai funkciju pārskatīšanas.</w:t>
      </w:r>
    </w:p>
    <w:p w:rsidR="0066394A" w:rsidRDefault="003A5DC4" w:rsidP="002D62B9">
      <w:pPr>
        <w:spacing w:after="0"/>
        <w:ind w:firstLine="720"/>
        <w:rPr>
          <w:szCs w:val="24"/>
        </w:rPr>
      </w:pPr>
      <w:r w:rsidRPr="00612AB9">
        <w:rPr>
          <w:szCs w:val="24"/>
        </w:rPr>
        <w:t xml:space="preserve">Gadskārtējā valsts budžeta likumprojekta sagatavošanas procesā tiek kompleksi vērtēti un pēc tam atspoguļoti valsts budžeta likumā šādi rādītāji: </w:t>
      </w:r>
    </w:p>
    <w:p w:rsidR="0066394A" w:rsidRDefault="003A5DC4" w:rsidP="002D62B9">
      <w:pPr>
        <w:numPr>
          <w:ilvl w:val="0"/>
          <w:numId w:val="31"/>
        </w:numPr>
        <w:spacing w:after="0"/>
        <w:rPr>
          <w:szCs w:val="24"/>
        </w:rPr>
      </w:pPr>
      <w:r w:rsidRPr="00612AB9">
        <w:rPr>
          <w:szCs w:val="24"/>
        </w:rPr>
        <w:t xml:space="preserve">valsts budžeta ieņēmumi sadalījumā pa ieņēmumu veidiem; </w:t>
      </w:r>
    </w:p>
    <w:p w:rsidR="0066394A" w:rsidRDefault="003A5DC4" w:rsidP="002D62B9">
      <w:pPr>
        <w:numPr>
          <w:ilvl w:val="0"/>
          <w:numId w:val="31"/>
        </w:numPr>
        <w:spacing w:after="0"/>
        <w:rPr>
          <w:szCs w:val="24"/>
        </w:rPr>
      </w:pPr>
      <w:r w:rsidRPr="00612AB9">
        <w:rPr>
          <w:szCs w:val="24"/>
        </w:rPr>
        <w:t xml:space="preserve">valsts budžeta izdevumi sadalījumā pa programmām (apakšprogrammām) un izdevumu veidiem atbilstoši ekonomiskajai būtībai; </w:t>
      </w:r>
    </w:p>
    <w:p w:rsidR="0066394A" w:rsidRDefault="003A5DC4" w:rsidP="002D62B9">
      <w:pPr>
        <w:numPr>
          <w:ilvl w:val="0"/>
          <w:numId w:val="31"/>
        </w:numPr>
        <w:spacing w:after="0"/>
        <w:rPr>
          <w:szCs w:val="24"/>
        </w:rPr>
      </w:pPr>
      <w:r w:rsidRPr="00612AB9">
        <w:rPr>
          <w:szCs w:val="24"/>
        </w:rPr>
        <w:t xml:space="preserve">valsts budžeta finansiālā bilance; </w:t>
      </w:r>
    </w:p>
    <w:p w:rsidR="0066394A" w:rsidRDefault="003A5DC4" w:rsidP="002D62B9">
      <w:pPr>
        <w:numPr>
          <w:ilvl w:val="0"/>
          <w:numId w:val="31"/>
        </w:numPr>
        <w:spacing w:after="0"/>
        <w:rPr>
          <w:szCs w:val="24"/>
        </w:rPr>
      </w:pPr>
      <w:r w:rsidRPr="00612AB9">
        <w:rPr>
          <w:szCs w:val="24"/>
        </w:rPr>
        <w:t xml:space="preserve">maksimālais valsts parāds gada beigās; </w:t>
      </w:r>
    </w:p>
    <w:p w:rsidR="0066394A" w:rsidRDefault="003A5DC4" w:rsidP="002D62B9">
      <w:pPr>
        <w:numPr>
          <w:ilvl w:val="0"/>
          <w:numId w:val="31"/>
        </w:numPr>
        <w:spacing w:after="0"/>
        <w:rPr>
          <w:szCs w:val="24"/>
        </w:rPr>
      </w:pPr>
      <w:r w:rsidRPr="00612AB9">
        <w:rPr>
          <w:szCs w:val="24"/>
        </w:rPr>
        <w:t xml:space="preserve">valsts vārdā izsniedzamo galvojumu apmērs; </w:t>
      </w:r>
    </w:p>
    <w:p w:rsidR="0066394A" w:rsidRDefault="003A5DC4" w:rsidP="002D62B9">
      <w:pPr>
        <w:numPr>
          <w:ilvl w:val="0"/>
          <w:numId w:val="31"/>
        </w:numPr>
        <w:spacing w:after="0"/>
        <w:rPr>
          <w:szCs w:val="24"/>
        </w:rPr>
      </w:pPr>
      <w:r w:rsidRPr="00612AB9">
        <w:rPr>
          <w:szCs w:val="24"/>
        </w:rPr>
        <w:t xml:space="preserve">valsts budžeta aizdevumu kopējais palielinājums; </w:t>
      </w:r>
    </w:p>
    <w:p w:rsidR="0066394A" w:rsidRDefault="003A5DC4" w:rsidP="002D62B9">
      <w:pPr>
        <w:numPr>
          <w:ilvl w:val="0"/>
          <w:numId w:val="31"/>
        </w:numPr>
        <w:spacing w:after="0"/>
        <w:rPr>
          <w:szCs w:val="24"/>
        </w:rPr>
      </w:pPr>
      <w:r w:rsidRPr="00612AB9">
        <w:rPr>
          <w:szCs w:val="24"/>
        </w:rPr>
        <w:t xml:space="preserve">valsts budžeta mērķdotāciju apmērs pašvaldībām, kā arī valsts budžeta dotācijas apmērs pašvaldību finanšu izlīdzināšanas fondam; </w:t>
      </w:r>
    </w:p>
    <w:p w:rsidR="0066394A" w:rsidRDefault="003A5DC4" w:rsidP="002D62B9">
      <w:pPr>
        <w:numPr>
          <w:ilvl w:val="0"/>
          <w:numId w:val="31"/>
        </w:numPr>
        <w:spacing w:after="0"/>
        <w:rPr>
          <w:szCs w:val="24"/>
        </w:rPr>
      </w:pPr>
      <w:r w:rsidRPr="00612AB9">
        <w:rPr>
          <w:szCs w:val="24"/>
        </w:rPr>
        <w:lastRenderedPageBreak/>
        <w:t xml:space="preserve">pašvaldību aizņēmumu kopējais palielinājums un pašvaldību sniegto galvojumu kopējais palielinājums; </w:t>
      </w:r>
    </w:p>
    <w:p w:rsidR="00CF7798" w:rsidRPr="004438CE" w:rsidRDefault="003A5DC4" w:rsidP="004438CE">
      <w:pPr>
        <w:numPr>
          <w:ilvl w:val="0"/>
          <w:numId w:val="31"/>
        </w:numPr>
        <w:rPr>
          <w:szCs w:val="24"/>
        </w:rPr>
      </w:pPr>
      <w:r w:rsidRPr="00612AB9">
        <w:rPr>
          <w:szCs w:val="24"/>
        </w:rPr>
        <w:t>citi nosacījumi, piemēram, valsts fondēto pensiju shēmas iemaksu likme un iemaksu summa.</w:t>
      </w:r>
    </w:p>
    <w:p w:rsidR="003A5DC4" w:rsidRPr="00612AB9" w:rsidRDefault="003A5DC4" w:rsidP="004438CE">
      <w:pPr>
        <w:ind w:firstLine="720"/>
        <w:rPr>
          <w:szCs w:val="24"/>
        </w:rPr>
      </w:pPr>
      <w:r w:rsidRPr="00612AB9">
        <w:rPr>
          <w:szCs w:val="24"/>
        </w:rPr>
        <w:t>Ministru kabinetam ir tiesības noteikt valsts un pašvaldību budžeta plānošanas un izpildes papildu nosacījumus, lai nodrošinātu makroekonomisko procesu izraisīto paaugstināto fiskālo, ekonomisko un sociālo risku ietekmes mazināšanas un novēršanas pasākumus un nodrošinātu starptautiskajās saistībās noteikto fiskālo kritēriju izpildi.</w:t>
      </w:r>
    </w:p>
    <w:p w:rsidR="003A5DC4" w:rsidRPr="00612AB9" w:rsidRDefault="003A5DC4" w:rsidP="002D62B9">
      <w:pPr>
        <w:ind w:firstLine="720"/>
        <w:rPr>
          <w:color w:val="000000"/>
          <w:szCs w:val="24"/>
        </w:rPr>
      </w:pPr>
      <w:r w:rsidRPr="00612AB9">
        <w:rPr>
          <w:color w:val="000000"/>
          <w:szCs w:val="24"/>
        </w:rPr>
        <w:t>Uz Likuma par budžetu un finanšu vadību 17.</w:t>
      </w:r>
      <w:r w:rsidR="00DC5F28">
        <w:rPr>
          <w:color w:val="000000"/>
          <w:szCs w:val="24"/>
        </w:rPr>
        <w:t> </w:t>
      </w:r>
      <w:r w:rsidRPr="00612AB9">
        <w:rPr>
          <w:color w:val="000000"/>
          <w:szCs w:val="24"/>
        </w:rPr>
        <w:t>panta pirmās daļas pamata izdotie Ministru kabineta 2009.</w:t>
      </w:r>
      <w:r w:rsidR="00DC5F28">
        <w:rPr>
          <w:color w:val="000000"/>
          <w:szCs w:val="24"/>
        </w:rPr>
        <w:t> </w:t>
      </w:r>
      <w:r w:rsidRPr="00612AB9">
        <w:rPr>
          <w:color w:val="000000"/>
          <w:szCs w:val="24"/>
        </w:rPr>
        <w:t>gada 3.</w:t>
      </w:r>
      <w:r w:rsidR="00DC5F28">
        <w:rPr>
          <w:color w:val="000000"/>
          <w:szCs w:val="24"/>
        </w:rPr>
        <w:t> </w:t>
      </w:r>
      <w:r w:rsidRPr="00612AB9">
        <w:rPr>
          <w:color w:val="000000"/>
          <w:szCs w:val="24"/>
        </w:rPr>
        <w:t>oktobra noteikumi Nr.</w:t>
      </w:r>
      <w:r w:rsidR="00DC5F28">
        <w:rPr>
          <w:color w:val="000000"/>
          <w:szCs w:val="24"/>
        </w:rPr>
        <w:t> </w:t>
      </w:r>
      <w:r w:rsidRPr="00612AB9">
        <w:rPr>
          <w:color w:val="000000"/>
          <w:szCs w:val="24"/>
        </w:rPr>
        <w:t>1127 „Noteikumi par budžeta pieprasījumu izstrādāšanas un iesniegšanas pamatprincipiem” nosaka kārtību, kādā ministrijas un citas centrālās valsts iestādes izstrādā un iesniedz Finanšu ministrijā budžeta pieprasījumus vidējam termiņam. 2011.</w:t>
      </w:r>
      <w:r w:rsidR="00DC5F28">
        <w:rPr>
          <w:color w:val="000000"/>
          <w:szCs w:val="24"/>
        </w:rPr>
        <w:t> </w:t>
      </w:r>
      <w:r w:rsidRPr="00612AB9">
        <w:rPr>
          <w:color w:val="000000"/>
          <w:szCs w:val="24"/>
        </w:rPr>
        <w:t>gada 4.</w:t>
      </w:r>
      <w:r w:rsidR="00DC5F28">
        <w:rPr>
          <w:color w:val="000000"/>
          <w:szCs w:val="24"/>
        </w:rPr>
        <w:t> </w:t>
      </w:r>
      <w:r w:rsidRPr="00612AB9">
        <w:rPr>
          <w:color w:val="000000"/>
          <w:szCs w:val="24"/>
        </w:rPr>
        <w:t>janvārī Ministru kabinets apstiprināja grozījumus šajos noteikumos, iekļaujot tajos nosacījumus par darbības rezultātu un rezultatīvo rādītāju plānošanu, tādējādi sasaistot budžeta izstrādi ar politikas plānošanu. Šo grozījumu mērķis bija sistematizēt rezultātu un rezultatīvo rādītāju noteikšanu, lai uzlabotu to informatīvo kvalitāti un praktisko izmantošanu politikas plānošanas, īstenošanas un uzraudzības procesā, kā arī budžeta plānošanas, izpildes un uzraudzības procesā.</w:t>
      </w:r>
    </w:p>
    <w:p w:rsidR="003A5DC4" w:rsidRPr="00612AB9" w:rsidRDefault="003A5DC4" w:rsidP="002D62B9">
      <w:pPr>
        <w:spacing w:after="0"/>
        <w:ind w:firstLine="720"/>
        <w:rPr>
          <w:szCs w:val="24"/>
        </w:rPr>
      </w:pPr>
      <w:r w:rsidRPr="00612AB9">
        <w:rPr>
          <w:szCs w:val="24"/>
        </w:rPr>
        <w:t xml:space="preserve">Ministrijas un citas centrālās valsts iestādes izstrādā un iesniedz Finanšu ministrijai budžeta pieprasījumus atbilstoši maksimāli pieļaujamajam valsts budžeta izdevumu apjomam katrai ministrijai un citai centrālajai valsts iestādei. </w:t>
      </w:r>
      <w:r w:rsidR="00414BFC">
        <w:rPr>
          <w:szCs w:val="24"/>
        </w:rPr>
        <w:t xml:space="preserve">Budžets tiek sagatavots </w:t>
      </w:r>
      <w:r w:rsidRPr="00612AB9">
        <w:rPr>
          <w:szCs w:val="24"/>
        </w:rPr>
        <w:t>šādās sadaļās:</w:t>
      </w:r>
    </w:p>
    <w:p w:rsidR="003A5DC4" w:rsidRPr="00612AB9" w:rsidRDefault="003A5DC4" w:rsidP="002D62B9">
      <w:pPr>
        <w:spacing w:after="0"/>
        <w:ind w:firstLine="720"/>
        <w:rPr>
          <w:szCs w:val="24"/>
        </w:rPr>
      </w:pPr>
      <w:r w:rsidRPr="00612AB9">
        <w:rPr>
          <w:szCs w:val="24"/>
        </w:rPr>
        <w:t>1) Valsts pamatfunkciju īstenošana (izņemot Eiropas Savienības politiku instrumentu un pārējās ārvalstu finanšu palīdzības līdzfinansētos un finansētos projektus un pasākumus);</w:t>
      </w:r>
    </w:p>
    <w:p w:rsidR="002D3003" w:rsidRPr="00612AB9" w:rsidRDefault="003A5DC4" w:rsidP="002D62B9">
      <w:pPr>
        <w:ind w:firstLine="720"/>
        <w:rPr>
          <w:szCs w:val="24"/>
        </w:rPr>
      </w:pPr>
      <w:r w:rsidRPr="00612AB9">
        <w:rPr>
          <w:szCs w:val="24"/>
        </w:rPr>
        <w:t>2) Eiropas Savienības politiku instrumentu un pārējās ārvalstu finanšu palīdzības līdzfinansēto un finansēto projektu un pasākumu īstenošana.</w:t>
      </w:r>
    </w:p>
    <w:p w:rsidR="003A5DC4" w:rsidRPr="00612AB9" w:rsidRDefault="003A5DC4" w:rsidP="002D62B9">
      <w:pPr>
        <w:ind w:firstLine="720"/>
        <w:rPr>
          <w:szCs w:val="24"/>
        </w:rPr>
      </w:pPr>
      <w:r w:rsidRPr="00612AB9">
        <w:rPr>
          <w:szCs w:val="24"/>
        </w:rPr>
        <w:t>Budžeta dalījums divās iepriekšminētajās sadaļās nodrošina sabiedrībai uzskatāmu priekšstatu par to, kādi resursi ir iesaistīti valsts pamatfunkciju īstenošanā, un kādi – Eiropas Savienības un citu ārvalstu politiku instrumentu pasākumu ieviešanā.</w:t>
      </w:r>
    </w:p>
    <w:p w:rsidR="003A5DC4" w:rsidRPr="00612AB9" w:rsidRDefault="003A5DC4" w:rsidP="002D62B9">
      <w:pPr>
        <w:ind w:firstLine="720"/>
        <w:rPr>
          <w:szCs w:val="24"/>
        </w:rPr>
      </w:pPr>
      <w:r w:rsidRPr="00612AB9">
        <w:rPr>
          <w:szCs w:val="24"/>
        </w:rPr>
        <w:t>Budžeta likum</w:t>
      </w:r>
      <w:r w:rsidR="00414BFC">
        <w:rPr>
          <w:szCs w:val="24"/>
        </w:rPr>
        <w:t>projekta</w:t>
      </w:r>
      <w:r w:rsidRPr="00612AB9">
        <w:rPr>
          <w:szCs w:val="24"/>
        </w:rPr>
        <w:t xml:space="preserve"> paskaidrojumos tiek ietverta informācija par makroekonomiskās stratēģijas aprakstu un fiskālo apskatu, ieņēmumu analīzi un izdevumu plānošanas būtiskākajiem elementiem, plānotām investīcijām un finansiālajām saistībām, kā arī par budžeta likumprojektu paketes ietvaros veiktajiem grozījumiem normatīvajos aktos. Katrai valsts budžeta likumprojektā ietvertajai pamatbudžeta vai speciālā budžeta programmai (apakšprogrammai) budžeta paskaidrojumi tiek sagatavoti atsevišķā sadaļā, kur jāietver informācija par programmas (apakšprogrammas) mērķiem, plānotiem rezultātiem un rezultatīviem rādītājiem, institūcijām, kas nodrošinās programmas (apakšprogrammas) izpildi, līdzekļu saņēmējiem (sabiedrības mērķa grupas, kuru intereses tiek aptvertas, vai institūcijas), kā arī plānotās galvenās aktivitātes, lielākie projekti, pasākumi vai sniegtie pakalpojumi atbilstoši normatīvajiem aktiem, kas tiks īstenoti nākamajā gadā, kā arī izpildi par iepriekšējo gadu. Tāpat programmu (apakšprogrammu) paskaidrojumos ir pieejama arī informācija par vidējo amata vietu skaitu un attiecīgi vidējo atlīdzību.</w:t>
      </w:r>
    </w:p>
    <w:p w:rsidR="003A5DC4" w:rsidRPr="00612AB9" w:rsidRDefault="003A5DC4" w:rsidP="002D62B9">
      <w:pPr>
        <w:ind w:firstLine="720"/>
        <w:rPr>
          <w:color w:val="000000"/>
          <w:szCs w:val="24"/>
        </w:rPr>
      </w:pPr>
      <w:r w:rsidRPr="00612AB9">
        <w:rPr>
          <w:szCs w:val="24"/>
        </w:rPr>
        <w:t xml:space="preserve">Valsts budžeta </w:t>
      </w:r>
      <w:r w:rsidR="007E0A14">
        <w:rPr>
          <w:szCs w:val="24"/>
        </w:rPr>
        <w:t>likum</w:t>
      </w:r>
      <w:r w:rsidRPr="00612AB9">
        <w:rPr>
          <w:szCs w:val="24"/>
        </w:rPr>
        <w:t xml:space="preserve">projekta izstrādes gaitā notiek LPS un </w:t>
      </w:r>
      <w:r w:rsidR="007E0A14">
        <w:rPr>
          <w:szCs w:val="24"/>
        </w:rPr>
        <w:t>FM</w:t>
      </w:r>
      <w:r w:rsidRPr="00612AB9">
        <w:rPr>
          <w:szCs w:val="24"/>
        </w:rPr>
        <w:t xml:space="preserve"> sarunas, kuru rezultātā tiek sagatavots </w:t>
      </w:r>
      <w:r w:rsidR="007E0A14">
        <w:rPr>
          <w:szCs w:val="24"/>
        </w:rPr>
        <w:t>MK</w:t>
      </w:r>
      <w:r w:rsidRPr="00612AB9">
        <w:rPr>
          <w:szCs w:val="24"/>
        </w:rPr>
        <w:t xml:space="preserve">un LPS domstarpību un vienošanās protokola projekts (turpmāk – protokola projekts). Protokola projektā tiek iekļauti jautājumi par finanšu resursiem pašvaldību pamatbudžetam un speciālajam budžetam, pašvaldību finanšu izlīdzināšanu, aizņēmumiem, galvojumiem un ilgtermiņa saistībām, sociālās drošības stratēģijas pasākumiem, ES Struktūrfondu apguvi un normatīvo aktu prasību izpildei nepieciešamo finansējumu. Protokola projekts tiek iesniegts izskatīšanai paplašinātajā Ministru kabineta </w:t>
      </w:r>
      <w:r w:rsidRPr="00612AB9">
        <w:rPr>
          <w:szCs w:val="24"/>
        </w:rPr>
        <w:lastRenderedPageBreak/>
        <w:t xml:space="preserve">komitejas sēdē. </w:t>
      </w:r>
      <w:r w:rsidR="004438CE">
        <w:rPr>
          <w:szCs w:val="24"/>
        </w:rPr>
        <w:t>MK</w:t>
      </w:r>
      <w:r w:rsidRPr="00612AB9">
        <w:rPr>
          <w:szCs w:val="24"/>
        </w:rPr>
        <w:t xml:space="preserve"> un LPS domstarpību un vienošanās protokols ir obligāti jāpievieno nākamā gada budžeta projektam, valdībai iesniedzot to Saeimā. </w:t>
      </w:r>
      <w:r w:rsidRPr="00612AB9">
        <w:rPr>
          <w:color w:val="000000"/>
          <w:szCs w:val="24"/>
        </w:rPr>
        <w:t>Likums par budžetu un finanšu vadību paredz veikt sarunas ar LPS arī Vidēja termiņa budžeta ietvara likumprojekta izstrādes gaitā, un sarunu rezultātu protokola veidā pievienot likumprojektam.</w:t>
      </w:r>
    </w:p>
    <w:p w:rsidR="003A5DC4" w:rsidRPr="00612AB9" w:rsidRDefault="007E0A14" w:rsidP="002D62B9">
      <w:pPr>
        <w:ind w:firstLine="720"/>
        <w:rPr>
          <w:color w:val="000000"/>
          <w:szCs w:val="24"/>
        </w:rPr>
      </w:pPr>
      <w:r>
        <w:rPr>
          <w:color w:val="000000"/>
          <w:szCs w:val="24"/>
        </w:rPr>
        <w:t>Ir</w:t>
      </w:r>
      <w:r w:rsidRPr="00612AB9">
        <w:rPr>
          <w:color w:val="000000"/>
          <w:szCs w:val="24"/>
        </w:rPr>
        <w:t xml:space="preserve"> </w:t>
      </w:r>
      <w:r w:rsidR="003A5DC4" w:rsidRPr="00612AB9">
        <w:rPr>
          <w:color w:val="000000"/>
          <w:szCs w:val="24"/>
        </w:rPr>
        <w:t>pastiprināta neatkarīgo iestāžu (tiesas, Valsts kontrole, Tiesībsargs un citas) loma budžeta procesā. Sākot ar 2012.</w:t>
      </w:r>
      <w:r w:rsidR="00A70F97">
        <w:rPr>
          <w:color w:val="000000"/>
          <w:szCs w:val="24"/>
        </w:rPr>
        <w:t> </w:t>
      </w:r>
      <w:r w:rsidR="003A5DC4" w:rsidRPr="00612AB9">
        <w:rPr>
          <w:color w:val="000000"/>
          <w:szCs w:val="24"/>
        </w:rPr>
        <w:t xml:space="preserve">gadu, Likums par budžetu un finanšu vadību noteic, ka </w:t>
      </w:r>
      <w:r w:rsidR="002D3003">
        <w:rPr>
          <w:color w:val="000000"/>
          <w:szCs w:val="24"/>
        </w:rPr>
        <w:t>MK</w:t>
      </w:r>
      <w:r w:rsidR="003A5DC4" w:rsidRPr="00612AB9">
        <w:rPr>
          <w:color w:val="000000"/>
          <w:szCs w:val="24"/>
        </w:rPr>
        <w:t xml:space="preserve">, </w:t>
      </w:r>
      <w:r w:rsidRPr="00612AB9">
        <w:rPr>
          <w:color w:val="000000"/>
          <w:szCs w:val="24"/>
        </w:rPr>
        <w:t>sa</w:t>
      </w:r>
      <w:r>
        <w:rPr>
          <w:color w:val="000000"/>
          <w:szCs w:val="24"/>
        </w:rPr>
        <w:t>gatavojot</w:t>
      </w:r>
      <w:r w:rsidRPr="00612AB9">
        <w:rPr>
          <w:color w:val="000000"/>
          <w:szCs w:val="24"/>
        </w:rPr>
        <w:t xml:space="preserve"> </w:t>
      </w:r>
      <w:r w:rsidR="003A5DC4" w:rsidRPr="00612AB9">
        <w:rPr>
          <w:color w:val="000000"/>
          <w:szCs w:val="24"/>
        </w:rPr>
        <w:t>Vidēja termiņa budžeta ietvara likuma projektu un gadskārtējā valsts budžeta likuma projektu, ir jāuzklausa neatkarīgo iestāžu viedoklis par attiecīgo iestāžu finansējuma</w:t>
      </w:r>
      <w:r w:rsidR="003A5DC4" w:rsidRPr="00612AB9">
        <w:rPr>
          <w:color w:val="FF0000"/>
          <w:szCs w:val="24"/>
        </w:rPr>
        <w:t xml:space="preserve"> </w:t>
      </w:r>
      <w:r w:rsidR="003A5DC4" w:rsidRPr="00612AB9">
        <w:rPr>
          <w:color w:val="000000"/>
          <w:szCs w:val="24"/>
        </w:rPr>
        <w:t>sadaļām, jāpamato MK viedoklis finansējuma samazinājuma gadījumā, kā arī minēto sarunu rezultāti protokola veidā ir jādara zināmi likumdevējam, pievienojot tos attiecīgajiem likumprojektiem.</w:t>
      </w:r>
    </w:p>
    <w:p w:rsidR="003A5DC4" w:rsidRPr="00612AB9" w:rsidRDefault="003A5DC4" w:rsidP="002D62B9">
      <w:pPr>
        <w:ind w:firstLine="720"/>
        <w:rPr>
          <w:szCs w:val="24"/>
        </w:rPr>
      </w:pPr>
      <w:r w:rsidRPr="00612AB9">
        <w:rPr>
          <w:szCs w:val="24"/>
        </w:rPr>
        <w:t>Ja, sākoties saimnieciskajam gadam, nav stājies spēkā gadskārtējais valsts budžeta likums, finanšu ministrs apstiprina valsts darbībai nepieciešamos valsts budžeta izdevumus, aizdevumus un aizņēmumu limitus ar noteikumu, ka izdevumi mēnesī nepārsniedz divpadsmito daļu no iepriekšējā gada apropriācijas.</w:t>
      </w:r>
    </w:p>
    <w:p w:rsidR="00316611" w:rsidRPr="004438CE" w:rsidRDefault="00283B8B" w:rsidP="002D62B9">
      <w:pPr>
        <w:pStyle w:val="tresais"/>
        <w:rPr>
          <w:szCs w:val="28"/>
        </w:rPr>
      </w:pPr>
      <w:bookmarkStart w:id="85" w:name="_Toc323120305"/>
      <w:r w:rsidRPr="004438CE">
        <w:rPr>
          <w:szCs w:val="28"/>
        </w:rPr>
        <w:t>9</w:t>
      </w:r>
      <w:r w:rsidR="00316611" w:rsidRPr="004438CE">
        <w:rPr>
          <w:szCs w:val="28"/>
        </w:rPr>
        <w:t>.2.2. Valsts finanšu statistikas pārvaldība</w:t>
      </w:r>
      <w:bookmarkEnd w:id="85"/>
    </w:p>
    <w:p w:rsidR="00612AB9" w:rsidRDefault="00612AB9" w:rsidP="002D62B9">
      <w:pPr>
        <w:ind w:firstLine="720"/>
      </w:pPr>
      <w:r>
        <w:t xml:space="preserve">CSP apkopo valsts finanšu statistiku, kas aprēķināta atbilstoši EKS </w:t>
      </w:r>
      <w:r w:rsidR="00AC104C">
        <w:t>metodoloģijai</w:t>
      </w:r>
      <w:r>
        <w:t>.</w:t>
      </w:r>
    </w:p>
    <w:p w:rsidR="00612AB9" w:rsidRDefault="00612AB9" w:rsidP="002D62B9">
      <w:pPr>
        <w:pStyle w:val="BodyTextIndent2"/>
      </w:pPr>
      <w:r>
        <w:rPr>
          <w:szCs w:val="24"/>
        </w:rPr>
        <w:t xml:space="preserve">Vispārējās valdības sektora </w:t>
      </w:r>
      <w:r>
        <w:t xml:space="preserve">(S.13) ietvars Latvijā </w:t>
      </w:r>
      <w:r>
        <w:rPr>
          <w:szCs w:val="24"/>
        </w:rPr>
        <w:t xml:space="preserve">atbilstoši EKS metodoloģijai sastāv no trim apakšsektoriem: </w:t>
      </w:r>
      <w:r>
        <w:t>centrālās valdības apakšsektora (S.1311), pašvaldību apakšsektora (S.1313) un</w:t>
      </w:r>
      <w:r w:rsidR="00A70F97">
        <w:t xml:space="preserve"> </w:t>
      </w:r>
      <w:r>
        <w:t>sociālās apdrošināšanas apakšsektora (S.1314).</w:t>
      </w:r>
    </w:p>
    <w:p w:rsidR="00612AB9" w:rsidRDefault="00612AB9" w:rsidP="002D62B9">
      <w:pPr>
        <w:pStyle w:val="BodyTextIndent"/>
        <w:spacing w:after="0"/>
        <w:ind w:left="0" w:firstLine="720"/>
      </w:pPr>
      <w:r>
        <w:t>Vispārējās valdības sektorā uz 2011.</w:t>
      </w:r>
      <w:r w:rsidR="00A70F97">
        <w:t> </w:t>
      </w:r>
      <w:r>
        <w:t>gada 31.</w:t>
      </w:r>
      <w:r w:rsidR="00A70F97">
        <w:t> </w:t>
      </w:r>
      <w:r>
        <w:t xml:space="preserve">decembri bija 1205 neatkarīga budžeta iestāde, no tām centrālās valdības apakšsektorā </w:t>
      </w:r>
      <w:r w:rsidR="0035776A">
        <w:rPr>
          <w:lang w:val="lv-LV"/>
        </w:rPr>
        <w:t>-</w:t>
      </w:r>
      <w:r>
        <w:t xml:space="preserve"> 295 iestāde, pašvaldību apakšsektorā – 909 iestādes un sociālās apdrošināšanas fonda apakšsektorā – 1 iestāde, bez tam - 143 valsts un pašvaldību kontrolēti un finansēti komersanti, no tiem valsts kontrolēti – 39 komersanti, pašvaldību kontrolēti – 94 komersants. </w:t>
      </w:r>
    </w:p>
    <w:p w:rsidR="00612AB9" w:rsidRDefault="00612AB9" w:rsidP="002D62B9">
      <w:pPr>
        <w:spacing w:after="0"/>
        <w:ind w:firstLine="720"/>
      </w:pPr>
      <w:r>
        <w:t>Uz vispārējās valdības sektoru attiecināmo komersantu sarakstu sastāda CSP, pārbaudot komersanta atbilstību sekojošiem kritērijiem:</w:t>
      </w:r>
    </w:p>
    <w:p w:rsidR="00612AB9" w:rsidRDefault="00612AB9" w:rsidP="002D62B9">
      <w:pPr>
        <w:numPr>
          <w:ilvl w:val="0"/>
          <w:numId w:val="32"/>
        </w:numPr>
        <w:spacing w:after="0"/>
      </w:pPr>
      <w:r>
        <w:t>vai tam ir institucionālas vienības pazīmes;</w:t>
      </w:r>
    </w:p>
    <w:p w:rsidR="00612AB9" w:rsidRDefault="00612AB9" w:rsidP="002D62B9">
      <w:pPr>
        <w:numPr>
          <w:ilvl w:val="0"/>
          <w:numId w:val="32"/>
        </w:numPr>
        <w:spacing w:after="0"/>
      </w:pPr>
      <w:r>
        <w:t>vai tas ir piederīgs publiskajam sektoram (valsts un pašvaldību līdzdalība komersanta pamatkapitālā pārsniedz 50 %);</w:t>
      </w:r>
    </w:p>
    <w:p w:rsidR="00612AB9" w:rsidRDefault="00612AB9" w:rsidP="002D62B9">
      <w:pPr>
        <w:numPr>
          <w:ilvl w:val="0"/>
          <w:numId w:val="32"/>
        </w:numPr>
        <w:spacing w:after="0"/>
      </w:pPr>
      <w:r>
        <w:t>vai tas ir uzskatāms par ārpustirgus publiskā sektora institucionālo vienību.</w:t>
      </w:r>
    </w:p>
    <w:p w:rsidR="002D3003" w:rsidRDefault="002D3003" w:rsidP="002D62B9">
      <w:pPr>
        <w:spacing w:after="0"/>
        <w:ind w:left="720" w:firstLine="0"/>
      </w:pPr>
    </w:p>
    <w:p w:rsidR="00612AB9" w:rsidRDefault="00612AB9" w:rsidP="002D62B9">
      <w:pPr>
        <w:ind w:firstLine="720"/>
      </w:pPr>
      <w:r>
        <w:t>Ja vienības galvenā funkcija ir līdzdalība nacionālā ienākuma un bagātības pārdalē un tai ir piešķirts Vispārējās ekonomiskās darbības klasifikācijas NACE 2 red. kods, kas sākas ar “84” (klasifikācijas nodaļa “Valsts pārvalde un aizsardzība; obligātā sociālā apdrošināšana”), vienība tiek attiecināta uz vispārējās valdības sektoru. Piederību vispārējās valdības sektoram nosaka, analizējot vienības gada pārskatā sniegtos datus par finansiālo darbību. Analīzē tiek lietoti pēdējo piecu gadu pārskatu dati. Ja stabili (pēdējos trijos gados) izpildās nosacījums, ka vienības neto apgrozījums mīnus saņemtie valsts vai pašvaldības budžeta asignējumi ir mazāk kā 50</w:t>
      </w:r>
      <w:r w:rsidR="004438CE">
        <w:t xml:space="preserve"> </w:t>
      </w:r>
      <w:r>
        <w:t>% no vienības darbības izmaksām, vienība tiek attiecināta uz vispārējās valdības sektoru. Bez tam, ja vienības galvenais ienākuma avots ir citu valdības vienību maksa par pakalpojumiem, tā tiek attiecināta uz vispārējās valdības sektoru.</w:t>
      </w:r>
    </w:p>
    <w:p w:rsidR="00612AB9" w:rsidRDefault="00612AB9" w:rsidP="002D62B9">
      <w:pPr>
        <w:ind w:firstLine="720"/>
        <w:rPr>
          <w:i/>
        </w:rPr>
      </w:pPr>
      <w:r>
        <w:t xml:space="preserve">CSP katru ceturksni gatavo detalizētu informāciju par vispārējās valdības sektora ieņēmumiem, izdevumiem, kā arī finanšu kontiem un valsts parādu, kuru sniedz Eiropas Savienības Statistikas birojam </w:t>
      </w:r>
      <w:r>
        <w:rPr>
          <w:i/>
        </w:rPr>
        <w:t>Eurosta</w:t>
      </w:r>
      <w:r w:rsidR="00AC104C">
        <w:rPr>
          <w:i/>
        </w:rPr>
        <w:t>t</w:t>
      </w:r>
      <w:r>
        <w:rPr>
          <w:i/>
        </w:rPr>
        <w:t xml:space="preserve"> </w:t>
      </w:r>
      <w:r>
        <w:t>3 mēnešus pēc pārskata perioda beigām.</w:t>
      </w:r>
    </w:p>
    <w:p w:rsidR="00612AB9" w:rsidRDefault="00612AB9" w:rsidP="004438CE">
      <w:pPr>
        <w:pStyle w:val="BodyTextIndent"/>
        <w:ind w:left="0" w:firstLine="720"/>
      </w:pPr>
      <w:r>
        <w:rPr>
          <w:szCs w:val="24"/>
        </w:rPr>
        <w:lastRenderedPageBreak/>
        <w:t>Bez tam noteiktajos termiņos (2 reizes gadā – līdz 1.</w:t>
      </w:r>
      <w:r w:rsidR="00A70F97">
        <w:rPr>
          <w:szCs w:val="24"/>
        </w:rPr>
        <w:t> </w:t>
      </w:r>
      <w:r>
        <w:rPr>
          <w:szCs w:val="24"/>
        </w:rPr>
        <w:t>aprīlim (operatīvie dati) un līdz 1.</w:t>
      </w:r>
      <w:r w:rsidR="00A70F97">
        <w:rPr>
          <w:szCs w:val="24"/>
        </w:rPr>
        <w:t> </w:t>
      </w:r>
      <w:r>
        <w:rPr>
          <w:szCs w:val="24"/>
        </w:rPr>
        <w:t xml:space="preserve">oktobrim – (gala dati) tiek gatavota </w:t>
      </w:r>
      <w:r w:rsidR="00804E6F">
        <w:rPr>
          <w:szCs w:val="24"/>
        </w:rPr>
        <w:t xml:space="preserve">vispārējās valdības </w:t>
      </w:r>
      <w:r>
        <w:rPr>
          <w:szCs w:val="24"/>
        </w:rPr>
        <w:t>budžeta deficīta un parāda notifikācija, kura tiek regulāri sūtīta ES institūcijām pēc visām ES dalībvalstīm noteiktas vienotas formas.</w:t>
      </w:r>
      <w:r>
        <w:t xml:space="preserve"> Par notifikācijas sagatavošanu atbildīgā iestāde ir CSP, kura notifikācijas sagatavošanas laikā vada regulāras starpinstitūciju darba grupas sanāksmes. Notifikācijas sagatavošanā ir iesaistīti speciālisti no </w:t>
      </w:r>
      <w:r w:rsidR="004438CE">
        <w:rPr>
          <w:lang w:val="lv-LV"/>
        </w:rPr>
        <w:t>FM</w:t>
      </w:r>
      <w:r>
        <w:t xml:space="preserve">, Valsts Kases un Ekonomikas ministrijas, kā arī no </w:t>
      </w:r>
      <w:r w:rsidR="004438CE">
        <w:rPr>
          <w:lang w:val="lv-LV"/>
        </w:rPr>
        <w:t>LB</w:t>
      </w:r>
      <w:r>
        <w:t>. Vajadzības gadījumā papildus tiek piesaistīti speciālisti no citām institūcijām (Aizsardzības ministrijas, Labklājības ministrijas, Rīgas Domes u.c).</w:t>
      </w:r>
    </w:p>
    <w:p w:rsidR="00612AB9" w:rsidRDefault="00612AB9" w:rsidP="004438CE">
      <w:pPr>
        <w:pStyle w:val="ridk"/>
        <w:spacing w:before="0" w:beforeAutospacing="0" w:after="120" w:afterAutospacing="0"/>
        <w:ind w:firstLine="720"/>
        <w:jc w:val="both"/>
        <w:rPr>
          <w:rFonts w:ascii="Times New Roman" w:hAnsi="Times New Roman" w:cs="Times New Roman"/>
          <w:color w:val="FF0000"/>
          <w:lang w:val="lv-LV"/>
        </w:rPr>
      </w:pPr>
      <w:r>
        <w:rPr>
          <w:rFonts w:ascii="Times New Roman" w:hAnsi="Times New Roman" w:cs="Times New Roman"/>
          <w:lang w:val="lv-LV"/>
        </w:rPr>
        <w:t xml:space="preserve">Ar </w:t>
      </w:r>
      <w:r w:rsidR="00804E6F">
        <w:rPr>
          <w:rFonts w:ascii="Times New Roman" w:hAnsi="Times New Roman" w:cs="Times New Roman"/>
          <w:lang w:val="lv-LV"/>
        </w:rPr>
        <w:t xml:space="preserve">vispārējās valdības </w:t>
      </w:r>
      <w:r>
        <w:rPr>
          <w:rFonts w:ascii="Times New Roman" w:hAnsi="Times New Roman" w:cs="Times New Roman"/>
          <w:lang w:val="lv-LV"/>
        </w:rPr>
        <w:t xml:space="preserve">budžeta deficīta un parāda notifikāciju ES dalībvalstis informē </w:t>
      </w:r>
      <w:r w:rsidR="00AC104C">
        <w:rPr>
          <w:rFonts w:ascii="Times New Roman" w:hAnsi="Times New Roman" w:cs="Times New Roman"/>
          <w:lang w:val="lv-LV"/>
        </w:rPr>
        <w:t>EK</w:t>
      </w:r>
      <w:r>
        <w:rPr>
          <w:rFonts w:ascii="Times New Roman" w:hAnsi="Times New Roman" w:cs="Times New Roman"/>
          <w:lang w:val="lv-LV"/>
        </w:rPr>
        <w:t xml:space="preserve"> par savas valsts rīcībā esošiem budžeta līdzekļiem un to izlietojumu.</w:t>
      </w:r>
    </w:p>
    <w:p w:rsidR="00612AB9" w:rsidRDefault="00612AB9" w:rsidP="002D62B9">
      <w:pPr>
        <w:pStyle w:val="BodyTextIndent2"/>
        <w:rPr>
          <w:szCs w:val="24"/>
        </w:rPr>
      </w:pPr>
      <w:r>
        <w:rPr>
          <w:szCs w:val="24"/>
        </w:rPr>
        <w:t xml:space="preserve">Notifikāciju rezultāti tiek izmantoti valstu izvērtēšanai par to, kā tiek nodrošināta ekonomisko rādītāju atbilstība Māstrihtas līgumā noteiktajiem kritērijiem, t.i., plānotā un faktiskā vispārējās valdības sektora budžeta deficīta attiecība pret </w:t>
      </w:r>
      <w:r w:rsidR="00AC104C">
        <w:rPr>
          <w:szCs w:val="24"/>
        </w:rPr>
        <w:t>IKP</w:t>
      </w:r>
      <w:r>
        <w:rPr>
          <w:szCs w:val="24"/>
        </w:rPr>
        <w:t xml:space="preserve"> tirgus cenās nedrīkst pārsniegt 3</w:t>
      </w:r>
      <w:r w:rsidR="00A70F97">
        <w:rPr>
          <w:szCs w:val="24"/>
        </w:rPr>
        <w:t> </w:t>
      </w:r>
      <w:r>
        <w:rPr>
          <w:szCs w:val="24"/>
        </w:rPr>
        <w:t xml:space="preserve">% un valdības parāda attiecība pret </w:t>
      </w:r>
      <w:r w:rsidR="00AC104C">
        <w:rPr>
          <w:szCs w:val="24"/>
        </w:rPr>
        <w:t>IKP</w:t>
      </w:r>
      <w:r>
        <w:rPr>
          <w:szCs w:val="24"/>
        </w:rPr>
        <w:t xml:space="preserve"> tirgus cenās nedrīkst būt lielāka par 60</w:t>
      </w:r>
      <w:r w:rsidR="00A70F97">
        <w:rPr>
          <w:szCs w:val="24"/>
        </w:rPr>
        <w:t> </w:t>
      </w:r>
      <w:r>
        <w:rPr>
          <w:szCs w:val="24"/>
        </w:rPr>
        <w:t xml:space="preserve">%, kas aprēķināti atbilstoši EKS </w:t>
      </w:r>
      <w:r w:rsidR="00AC104C">
        <w:rPr>
          <w:szCs w:val="24"/>
        </w:rPr>
        <w:t>metodoloģijai</w:t>
      </w:r>
      <w:r>
        <w:rPr>
          <w:szCs w:val="24"/>
        </w:rPr>
        <w:t>.</w:t>
      </w:r>
    </w:p>
    <w:p w:rsidR="00612AB9" w:rsidRPr="00612AB9" w:rsidRDefault="00612AB9" w:rsidP="002D62B9">
      <w:pPr>
        <w:pStyle w:val="BodyTextIndent2"/>
        <w:rPr>
          <w:szCs w:val="24"/>
        </w:rPr>
      </w:pPr>
      <w:r>
        <w:rPr>
          <w:szCs w:val="24"/>
        </w:rPr>
        <w:t xml:space="preserve">Visai iepriekš minētajai informācijai galvenie datu avoti ir </w:t>
      </w:r>
      <w:r w:rsidR="004438CE">
        <w:rPr>
          <w:szCs w:val="24"/>
          <w:lang w:val="lv-LV"/>
        </w:rPr>
        <w:t>FM</w:t>
      </w:r>
      <w:r>
        <w:rPr>
          <w:szCs w:val="24"/>
        </w:rPr>
        <w:t xml:space="preserve"> „Gada pārskats par valsts budžeta izpildi un par pašvaldību budžetiem n-1</w:t>
      </w:r>
      <w:r w:rsidR="00A70F97">
        <w:rPr>
          <w:szCs w:val="24"/>
        </w:rPr>
        <w:t> </w:t>
      </w:r>
      <w:r>
        <w:rPr>
          <w:szCs w:val="24"/>
        </w:rPr>
        <w:t>gadā” (operatīvajiem datiem –</w:t>
      </w:r>
      <w:r w:rsidR="00AC104C">
        <w:rPr>
          <w:szCs w:val="24"/>
        </w:rPr>
        <w:t xml:space="preserve"> </w:t>
      </w:r>
      <w:r>
        <w:rPr>
          <w:szCs w:val="24"/>
        </w:rPr>
        <w:t xml:space="preserve">Valsts kases „Oficiālais mēneša pārskats par budžeta izpildi n-1 gada janvārī – decembrī”), </w:t>
      </w:r>
      <w:r>
        <w:rPr>
          <w:bCs/>
          <w:szCs w:val="24"/>
        </w:rPr>
        <w:t>Valsts un pašvaldību budžeta iestāžu grāmatvedības bilanču kopsavilkumi uz n-1</w:t>
      </w:r>
      <w:r w:rsidR="00A70F97">
        <w:rPr>
          <w:bCs/>
          <w:szCs w:val="24"/>
        </w:rPr>
        <w:t> </w:t>
      </w:r>
      <w:r>
        <w:rPr>
          <w:bCs/>
          <w:szCs w:val="24"/>
        </w:rPr>
        <w:t>gada beigām (</w:t>
      </w:r>
      <w:r>
        <w:rPr>
          <w:szCs w:val="24"/>
        </w:rPr>
        <w:t>operatīvajiem datiem – Kopsavilkums par finanšu aktīviem un pasīviem n-1</w:t>
      </w:r>
      <w:r w:rsidR="00A70F97">
        <w:rPr>
          <w:szCs w:val="24"/>
        </w:rPr>
        <w:t> </w:t>
      </w:r>
      <w:r>
        <w:rPr>
          <w:szCs w:val="24"/>
        </w:rPr>
        <w:t>gadā), kā arī informācija no CSP statistikas pārskata veidlapas 1- FAP „Finanšu aktīvi un pasīvi n-1</w:t>
      </w:r>
      <w:r w:rsidR="00A70F97">
        <w:rPr>
          <w:szCs w:val="24"/>
        </w:rPr>
        <w:t> </w:t>
      </w:r>
      <w:r>
        <w:rPr>
          <w:szCs w:val="24"/>
        </w:rPr>
        <w:t xml:space="preserve">gadā” </w:t>
      </w:r>
      <w:r>
        <w:rPr>
          <w:bCs/>
          <w:szCs w:val="24"/>
        </w:rPr>
        <w:t>(</w:t>
      </w:r>
      <w:r>
        <w:rPr>
          <w:szCs w:val="24"/>
        </w:rPr>
        <w:t>operatīvajiem datiem – 2-FAP „Finanšu aktīvi un pasīvi n-1</w:t>
      </w:r>
      <w:r w:rsidR="00A70F97">
        <w:rPr>
          <w:szCs w:val="24"/>
        </w:rPr>
        <w:t> </w:t>
      </w:r>
      <w:r>
        <w:rPr>
          <w:szCs w:val="24"/>
        </w:rPr>
        <w:t>gadā”).</w:t>
      </w:r>
    </w:p>
    <w:p w:rsidR="00316611" w:rsidRPr="004438CE" w:rsidRDefault="00283B8B" w:rsidP="002D62B9">
      <w:pPr>
        <w:pStyle w:val="otrais"/>
        <w:rPr>
          <w:szCs w:val="32"/>
        </w:rPr>
      </w:pPr>
      <w:bookmarkStart w:id="86" w:name="_Toc284924066"/>
      <w:bookmarkStart w:id="87" w:name="_Toc323120306"/>
      <w:bookmarkEnd w:id="82"/>
      <w:bookmarkEnd w:id="84"/>
      <w:r w:rsidRPr="004438CE">
        <w:rPr>
          <w:szCs w:val="32"/>
        </w:rPr>
        <w:t>9</w:t>
      </w:r>
      <w:r w:rsidR="00316611" w:rsidRPr="004438CE">
        <w:rPr>
          <w:szCs w:val="32"/>
        </w:rPr>
        <w:t xml:space="preserve">.3. Citas institucionālās </w:t>
      </w:r>
      <w:r w:rsidR="00316611" w:rsidRPr="004438CE">
        <w:rPr>
          <w:bCs/>
          <w:szCs w:val="32"/>
        </w:rPr>
        <w:t>attīstības</w:t>
      </w:r>
      <w:r w:rsidR="00316611" w:rsidRPr="004438CE">
        <w:rPr>
          <w:szCs w:val="32"/>
        </w:rPr>
        <w:t xml:space="preserve"> attiecībā uz valsts finansēm</w:t>
      </w:r>
      <w:bookmarkEnd w:id="86"/>
      <w:bookmarkEnd w:id="87"/>
    </w:p>
    <w:p w:rsidR="00663E9A" w:rsidRPr="00EC2DF4" w:rsidRDefault="00EC2DF4" w:rsidP="002D62B9">
      <w:pPr>
        <w:rPr>
          <w:color w:val="000000"/>
          <w:szCs w:val="24"/>
        </w:rPr>
      </w:pPr>
      <w:r w:rsidRPr="00EC2DF4">
        <w:rPr>
          <w:color w:val="000000"/>
          <w:szCs w:val="24"/>
        </w:rPr>
        <w:t>Šī gada 12.</w:t>
      </w:r>
      <w:r w:rsidR="000467C2">
        <w:rPr>
          <w:color w:val="000000"/>
          <w:szCs w:val="24"/>
        </w:rPr>
        <w:t> </w:t>
      </w:r>
      <w:r w:rsidRPr="00EC2DF4">
        <w:rPr>
          <w:color w:val="000000"/>
          <w:szCs w:val="24"/>
        </w:rPr>
        <w:t>janvārī Saeima 1.</w:t>
      </w:r>
      <w:r w:rsidR="000467C2">
        <w:rPr>
          <w:color w:val="000000"/>
          <w:szCs w:val="24"/>
        </w:rPr>
        <w:t> </w:t>
      </w:r>
      <w:r w:rsidRPr="00EC2DF4">
        <w:rPr>
          <w:color w:val="000000"/>
          <w:szCs w:val="24"/>
        </w:rPr>
        <w:t xml:space="preserve">lasījumā pieņēma FDL. Valdība un Saeima strādā saskaņā ar plānu, kurā paredzēts likumu pieņemt līdz Saeimas vasaras brīvdienām. </w:t>
      </w:r>
      <w:r w:rsidR="00C5432B">
        <w:rPr>
          <w:color w:val="000000"/>
          <w:szCs w:val="24"/>
        </w:rPr>
        <w:t xml:space="preserve">Tādējādi tiks nodrošināts, ka </w:t>
      </w:r>
      <w:r w:rsidR="005345D4">
        <w:rPr>
          <w:color w:val="000000"/>
          <w:szCs w:val="24"/>
        </w:rPr>
        <w:t xml:space="preserve">sākot ar </w:t>
      </w:r>
      <w:r w:rsidRPr="00EC2DF4">
        <w:rPr>
          <w:color w:val="000000"/>
          <w:szCs w:val="24"/>
        </w:rPr>
        <w:t>201</w:t>
      </w:r>
      <w:r w:rsidR="00C5432B">
        <w:rPr>
          <w:color w:val="000000"/>
          <w:szCs w:val="24"/>
        </w:rPr>
        <w:t>4</w:t>
      </w:r>
      <w:r w:rsidR="00A0175C">
        <w:rPr>
          <w:color w:val="000000"/>
          <w:szCs w:val="24"/>
        </w:rPr>
        <w:t xml:space="preserve">. </w:t>
      </w:r>
      <w:r w:rsidR="0035776A">
        <w:rPr>
          <w:color w:val="000000"/>
          <w:szCs w:val="24"/>
        </w:rPr>
        <w:t>–</w:t>
      </w:r>
      <w:r w:rsidR="00A0175C">
        <w:rPr>
          <w:color w:val="000000"/>
          <w:szCs w:val="24"/>
        </w:rPr>
        <w:t xml:space="preserve"> </w:t>
      </w:r>
      <w:r w:rsidRPr="00EC2DF4">
        <w:rPr>
          <w:color w:val="000000"/>
          <w:szCs w:val="24"/>
        </w:rPr>
        <w:t>201</w:t>
      </w:r>
      <w:r w:rsidR="00C5432B">
        <w:rPr>
          <w:color w:val="000000"/>
          <w:szCs w:val="24"/>
        </w:rPr>
        <w:t>6</w:t>
      </w:r>
      <w:r w:rsidRPr="00EC2DF4">
        <w:rPr>
          <w:color w:val="000000"/>
          <w:szCs w:val="24"/>
        </w:rPr>
        <w:t>.</w:t>
      </w:r>
      <w:r w:rsidR="00A0175C">
        <w:rPr>
          <w:color w:val="000000"/>
          <w:szCs w:val="24"/>
        </w:rPr>
        <w:t xml:space="preserve"> </w:t>
      </w:r>
      <w:r w:rsidRPr="00EC2DF4">
        <w:rPr>
          <w:color w:val="000000"/>
          <w:szCs w:val="24"/>
        </w:rPr>
        <w:t xml:space="preserve">gada </w:t>
      </w:r>
      <w:r w:rsidR="005345D4">
        <w:rPr>
          <w:color w:val="000000"/>
          <w:szCs w:val="24"/>
        </w:rPr>
        <w:t xml:space="preserve">periodu, </w:t>
      </w:r>
      <w:r w:rsidR="000467C2">
        <w:rPr>
          <w:color w:val="000000"/>
          <w:szCs w:val="24"/>
        </w:rPr>
        <w:t>I</w:t>
      </w:r>
      <w:r w:rsidRPr="00EC2DF4">
        <w:rPr>
          <w:color w:val="000000"/>
          <w:szCs w:val="24"/>
        </w:rPr>
        <w:t xml:space="preserve">etvara likums </w:t>
      </w:r>
      <w:r w:rsidR="00C5432B" w:rsidRPr="00EC2DF4">
        <w:rPr>
          <w:color w:val="000000"/>
          <w:szCs w:val="24"/>
        </w:rPr>
        <w:t>tik</w:t>
      </w:r>
      <w:r w:rsidR="00C5432B">
        <w:rPr>
          <w:color w:val="000000"/>
          <w:szCs w:val="24"/>
        </w:rPr>
        <w:t>s</w:t>
      </w:r>
      <w:r w:rsidR="00C5432B" w:rsidRPr="00EC2DF4">
        <w:rPr>
          <w:color w:val="000000"/>
          <w:szCs w:val="24"/>
        </w:rPr>
        <w:t xml:space="preserve"> </w:t>
      </w:r>
      <w:r w:rsidRPr="00EC2DF4">
        <w:rPr>
          <w:color w:val="000000"/>
          <w:szCs w:val="24"/>
        </w:rPr>
        <w:t xml:space="preserve">izstrādāts atbilstoši </w:t>
      </w:r>
      <w:r w:rsidR="00C5432B">
        <w:rPr>
          <w:color w:val="000000"/>
          <w:szCs w:val="24"/>
        </w:rPr>
        <w:t>FDL</w:t>
      </w:r>
      <w:r w:rsidRPr="00EC2DF4">
        <w:rPr>
          <w:color w:val="000000"/>
          <w:szCs w:val="24"/>
        </w:rPr>
        <w:t xml:space="preserve"> nosacījumiem.</w:t>
      </w:r>
    </w:p>
    <w:p w:rsidR="00EC2DF4" w:rsidRPr="00EC2DF4" w:rsidRDefault="009D0EDE" w:rsidP="002D62B9">
      <w:pPr>
        <w:rPr>
          <w:color w:val="000000"/>
          <w:szCs w:val="24"/>
        </w:rPr>
      </w:pPr>
      <w:r>
        <w:rPr>
          <w:color w:val="000000"/>
          <w:szCs w:val="24"/>
        </w:rPr>
        <w:t>FDL</w:t>
      </w:r>
      <w:r w:rsidR="00EC2DF4" w:rsidRPr="00EC2DF4">
        <w:rPr>
          <w:color w:val="000000"/>
          <w:szCs w:val="24"/>
        </w:rPr>
        <w:t xml:space="preserve"> tika izstrādāts laika posmā no 2010.</w:t>
      </w:r>
      <w:r w:rsidR="000467C2">
        <w:rPr>
          <w:color w:val="000000"/>
          <w:szCs w:val="24"/>
        </w:rPr>
        <w:t> </w:t>
      </w:r>
      <w:r w:rsidR="00EC2DF4" w:rsidRPr="00EC2DF4">
        <w:rPr>
          <w:color w:val="000000"/>
          <w:szCs w:val="24"/>
        </w:rPr>
        <w:t>gada jūnija līdz 2011.</w:t>
      </w:r>
      <w:r w:rsidR="000467C2">
        <w:rPr>
          <w:color w:val="000000"/>
          <w:szCs w:val="24"/>
        </w:rPr>
        <w:t> </w:t>
      </w:r>
      <w:r w:rsidR="00EC2DF4" w:rsidRPr="00EC2DF4">
        <w:rPr>
          <w:color w:val="000000"/>
          <w:szCs w:val="24"/>
        </w:rPr>
        <w:t xml:space="preserve">gada novembrim un pamatā tika veidots cieši sadarbojoties ar SVF </w:t>
      </w:r>
      <w:r w:rsidR="000467C2">
        <w:rPr>
          <w:color w:val="000000"/>
          <w:szCs w:val="24"/>
        </w:rPr>
        <w:t xml:space="preserve">un EK </w:t>
      </w:r>
      <w:r w:rsidR="00EC2DF4" w:rsidRPr="00EC2DF4">
        <w:rPr>
          <w:color w:val="000000"/>
          <w:szCs w:val="24"/>
        </w:rPr>
        <w:t xml:space="preserve">ekspertiem. </w:t>
      </w:r>
      <w:r w:rsidR="000467C2">
        <w:rPr>
          <w:color w:val="000000"/>
          <w:szCs w:val="24"/>
        </w:rPr>
        <w:t>FDL</w:t>
      </w:r>
      <w:r w:rsidR="00EC2DF4" w:rsidRPr="00EC2DF4">
        <w:rPr>
          <w:color w:val="000000"/>
          <w:szCs w:val="24"/>
        </w:rPr>
        <w:t xml:space="preserve"> pamatā ir nosacījums par ekonomiskajā ciklā sabalansētu vispārējās valdības budžetu, kas tiek nodrošināts ar bilances formulu, kas atkarībā no tā, vai IKP pieaug straujāk vai lēnāk par vidējo pieauguma tempu, nosaka minimālo pārpalikumu, kas jāveido, vai maksimāli pieļaujamo deficītu. Otrs pamatprincips paredz, ka ar </w:t>
      </w:r>
      <w:r w:rsidR="000467C2">
        <w:rPr>
          <w:color w:val="000000"/>
          <w:szCs w:val="24"/>
        </w:rPr>
        <w:t>I</w:t>
      </w:r>
      <w:r w:rsidR="00EC2DF4" w:rsidRPr="00EC2DF4">
        <w:rPr>
          <w:color w:val="000000"/>
          <w:szCs w:val="24"/>
        </w:rPr>
        <w:t>etvara likumu nākamajiem trīs gadiem tiek fiksēts centrālās valdības</w:t>
      </w:r>
      <w:r w:rsidR="003C1B28">
        <w:rPr>
          <w:color w:val="000000"/>
          <w:szCs w:val="24"/>
        </w:rPr>
        <w:t xml:space="preserve"> </w:t>
      </w:r>
      <w:r w:rsidR="00EC2DF4" w:rsidRPr="00EC2DF4">
        <w:rPr>
          <w:color w:val="000000"/>
          <w:szCs w:val="24"/>
        </w:rPr>
        <w:t>pieļaujamais izdevumu līmeni</w:t>
      </w:r>
      <w:r w:rsidR="009270AB">
        <w:rPr>
          <w:color w:val="000000"/>
          <w:szCs w:val="24"/>
        </w:rPr>
        <w:t xml:space="preserve">s, </w:t>
      </w:r>
      <w:r w:rsidR="00EC2DF4" w:rsidRPr="00EC2DF4">
        <w:rPr>
          <w:color w:val="000000"/>
          <w:szCs w:val="24"/>
        </w:rPr>
        <w:t xml:space="preserve">tādā veidā stiprinot vidēja termiņa izdevumu politikas plānošanu. </w:t>
      </w:r>
    </w:p>
    <w:p w:rsidR="00EC2DF4" w:rsidRPr="00EC2DF4" w:rsidRDefault="00EC2DF4" w:rsidP="002D62B9">
      <w:pPr>
        <w:rPr>
          <w:color w:val="000000"/>
          <w:szCs w:val="24"/>
        </w:rPr>
      </w:pPr>
      <w:r w:rsidRPr="00EC2DF4">
        <w:rPr>
          <w:color w:val="000000"/>
          <w:szCs w:val="24"/>
        </w:rPr>
        <w:t>Laika posmā starp 1.</w:t>
      </w:r>
      <w:r w:rsidR="003C1B28">
        <w:rPr>
          <w:color w:val="000000"/>
          <w:szCs w:val="24"/>
        </w:rPr>
        <w:t> </w:t>
      </w:r>
      <w:r w:rsidRPr="00EC2DF4">
        <w:rPr>
          <w:color w:val="000000"/>
          <w:szCs w:val="24"/>
        </w:rPr>
        <w:t>lasījumu un 2.</w:t>
      </w:r>
      <w:r w:rsidR="003C1B28">
        <w:rPr>
          <w:color w:val="000000"/>
          <w:szCs w:val="24"/>
        </w:rPr>
        <w:t> </w:t>
      </w:r>
      <w:r w:rsidRPr="00EC2DF4">
        <w:rPr>
          <w:color w:val="000000"/>
          <w:szCs w:val="24"/>
        </w:rPr>
        <w:t xml:space="preserve">lasījumu, Latvija parakstīja </w:t>
      </w:r>
      <w:r w:rsidR="00D9028A" w:rsidRPr="00EC2DF4">
        <w:rPr>
          <w:color w:val="000000"/>
          <w:szCs w:val="24"/>
        </w:rPr>
        <w:t>fiskāl</w:t>
      </w:r>
      <w:r w:rsidR="00D9028A">
        <w:rPr>
          <w:color w:val="000000"/>
          <w:szCs w:val="24"/>
        </w:rPr>
        <w:t>o</w:t>
      </w:r>
      <w:r w:rsidR="00D9028A" w:rsidRPr="00EC2DF4">
        <w:rPr>
          <w:color w:val="000000"/>
          <w:szCs w:val="24"/>
        </w:rPr>
        <w:t xml:space="preserve"> </w:t>
      </w:r>
      <w:r w:rsidRPr="00EC2DF4">
        <w:rPr>
          <w:color w:val="000000"/>
          <w:szCs w:val="24"/>
        </w:rPr>
        <w:t>līgum</w:t>
      </w:r>
      <w:r w:rsidR="00D9028A">
        <w:rPr>
          <w:color w:val="000000"/>
          <w:szCs w:val="24"/>
        </w:rPr>
        <w:t>u</w:t>
      </w:r>
      <w:r w:rsidRPr="00EC2DF4">
        <w:rPr>
          <w:color w:val="000000"/>
          <w:szCs w:val="24"/>
        </w:rPr>
        <w:t>, kas ES līmenī nostiprināja fiskālās disciplīnas principus, nosakot konkrētus fiskālos nosacījumus, ko līgumu parakstījušās valstis apņemas iestrādāt nacionālajos fiskālo disciplīnu regulējošajos normatīvajos aktos. Līdz ar to valdība atzina par lietderīgu FDL jau šajā posmā saskaņot ar fiskālā līguma nosacījumiem, nevis to pieņemt esošajā redakcijā un pēc tam grozīt saskaņā ar fiskālo līgumu. Tāpēc 2.</w:t>
      </w:r>
      <w:r w:rsidR="003C1B28">
        <w:rPr>
          <w:color w:val="000000"/>
          <w:szCs w:val="24"/>
        </w:rPr>
        <w:t> </w:t>
      </w:r>
      <w:r w:rsidRPr="00EC2DF4">
        <w:rPr>
          <w:color w:val="000000"/>
          <w:szCs w:val="24"/>
        </w:rPr>
        <w:t>lasījumam ir sagatavoti priekšlikumi, kas FDL iestrādā fiskālā līguma nosacījumus.</w:t>
      </w:r>
    </w:p>
    <w:p w:rsidR="00EC2DF4" w:rsidRPr="00EC2DF4" w:rsidRDefault="00EC2DF4" w:rsidP="002D62B9">
      <w:pPr>
        <w:rPr>
          <w:color w:val="000000"/>
          <w:szCs w:val="24"/>
        </w:rPr>
      </w:pPr>
      <w:r w:rsidRPr="00EC2DF4">
        <w:rPr>
          <w:color w:val="000000"/>
          <w:szCs w:val="24"/>
        </w:rPr>
        <w:t>FDL balstā</w:t>
      </w:r>
      <w:r w:rsidR="009270AB">
        <w:rPr>
          <w:color w:val="000000"/>
          <w:szCs w:val="24"/>
        </w:rPr>
        <w:t>s</w:t>
      </w:r>
      <w:r w:rsidRPr="00EC2DF4">
        <w:rPr>
          <w:color w:val="000000"/>
          <w:szCs w:val="24"/>
        </w:rPr>
        <w:t xml:space="preserve"> uz 3 skaitliskajiem fiskālajiem nosacījumiem:</w:t>
      </w:r>
    </w:p>
    <w:p w:rsidR="00EC2DF4" w:rsidRPr="00EC2DF4" w:rsidRDefault="00EC2DF4" w:rsidP="002D62B9">
      <w:pPr>
        <w:pStyle w:val="ListParagraph"/>
        <w:numPr>
          <w:ilvl w:val="0"/>
          <w:numId w:val="33"/>
        </w:numPr>
        <w:spacing w:after="0" w:line="240" w:lineRule="auto"/>
        <w:jc w:val="both"/>
        <w:rPr>
          <w:rFonts w:ascii="Times New Roman" w:hAnsi="Times New Roman"/>
          <w:color w:val="000000"/>
          <w:sz w:val="24"/>
          <w:szCs w:val="24"/>
        </w:rPr>
      </w:pPr>
      <w:r w:rsidRPr="00EC2DF4">
        <w:rPr>
          <w:rFonts w:ascii="Times New Roman" w:hAnsi="Times New Roman"/>
          <w:b/>
          <w:color w:val="000000"/>
          <w:sz w:val="24"/>
          <w:szCs w:val="24"/>
        </w:rPr>
        <w:t>Bilances nosacījums.</w:t>
      </w:r>
      <w:r w:rsidRPr="00EC2DF4">
        <w:rPr>
          <w:rFonts w:ascii="Times New Roman" w:hAnsi="Times New Roman"/>
          <w:color w:val="000000"/>
          <w:sz w:val="24"/>
          <w:szCs w:val="24"/>
        </w:rPr>
        <w:t xml:space="preserve"> FDL paredz sabalansētu budžetu strukturālajā izteiksmē, nosakot, ka strukturālā bilance nedrīkst būt zemāka par 0. No minētā nosacījuma var </w:t>
      </w:r>
      <w:r w:rsidRPr="00EC2DF4">
        <w:rPr>
          <w:rFonts w:ascii="Times New Roman" w:hAnsi="Times New Roman"/>
          <w:color w:val="000000"/>
          <w:sz w:val="24"/>
          <w:szCs w:val="24"/>
        </w:rPr>
        <w:lastRenderedPageBreak/>
        <w:t>atkāpties līdz bilances vērtībai</w:t>
      </w:r>
      <w:r w:rsidR="009270AB">
        <w:rPr>
          <w:rFonts w:ascii="Times New Roman" w:hAnsi="Times New Roman"/>
          <w:color w:val="000000"/>
          <w:sz w:val="24"/>
          <w:szCs w:val="24"/>
        </w:rPr>
        <w:t xml:space="preserve"> -0,5</w:t>
      </w:r>
      <w:r w:rsidR="004438CE">
        <w:rPr>
          <w:rFonts w:ascii="Times New Roman" w:hAnsi="Times New Roman"/>
          <w:color w:val="000000"/>
          <w:sz w:val="24"/>
          <w:szCs w:val="24"/>
          <w:lang w:val="lv-LV"/>
        </w:rPr>
        <w:t xml:space="preserve"> </w:t>
      </w:r>
      <w:r w:rsidR="009270AB">
        <w:rPr>
          <w:rFonts w:ascii="Times New Roman" w:hAnsi="Times New Roman"/>
          <w:color w:val="000000"/>
          <w:sz w:val="24"/>
          <w:szCs w:val="24"/>
        </w:rPr>
        <w:t>% no IKP, ja tiek īstenoti</w:t>
      </w:r>
      <w:r w:rsidRPr="00EC2DF4">
        <w:rPr>
          <w:rFonts w:ascii="Times New Roman" w:hAnsi="Times New Roman"/>
          <w:color w:val="000000"/>
          <w:sz w:val="24"/>
          <w:szCs w:val="24"/>
        </w:rPr>
        <w:t xml:space="preserve"> liela mēroga produktīvo investīciju projekti. Faktiski tas nozīmē, ka FDL atbilstošs </w:t>
      </w:r>
      <w:r w:rsidR="003C1B28">
        <w:rPr>
          <w:rFonts w:ascii="Times New Roman" w:hAnsi="Times New Roman"/>
          <w:color w:val="000000"/>
          <w:sz w:val="24"/>
          <w:szCs w:val="24"/>
        </w:rPr>
        <w:t>MTO</w:t>
      </w:r>
      <w:r w:rsidRPr="00EC2DF4">
        <w:rPr>
          <w:rFonts w:ascii="Times New Roman" w:hAnsi="Times New Roman"/>
          <w:color w:val="000000"/>
          <w:sz w:val="24"/>
          <w:szCs w:val="24"/>
        </w:rPr>
        <w:t xml:space="preserve"> ir -0,5</w:t>
      </w:r>
      <w:r w:rsidR="003C1B28">
        <w:rPr>
          <w:rFonts w:ascii="Times New Roman" w:hAnsi="Times New Roman"/>
          <w:color w:val="000000"/>
          <w:sz w:val="24"/>
          <w:szCs w:val="24"/>
        </w:rPr>
        <w:t> </w:t>
      </w:r>
      <w:r w:rsidRPr="00EC2DF4">
        <w:rPr>
          <w:rFonts w:ascii="Times New Roman" w:hAnsi="Times New Roman"/>
          <w:color w:val="000000"/>
          <w:sz w:val="24"/>
          <w:szCs w:val="24"/>
        </w:rPr>
        <w:t xml:space="preserve">% no IKP. Izstrādājot </w:t>
      </w:r>
      <w:r w:rsidR="003C1B28">
        <w:rPr>
          <w:rFonts w:ascii="Times New Roman" w:hAnsi="Times New Roman"/>
          <w:color w:val="000000"/>
          <w:sz w:val="24"/>
          <w:szCs w:val="24"/>
        </w:rPr>
        <w:t>I</w:t>
      </w:r>
      <w:r w:rsidRPr="00EC2DF4">
        <w:rPr>
          <w:rFonts w:ascii="Times New Roman" w:hAnsi="Times New Roman"/>
          <w:color w:val="000000"/>
          <w:sz w:val="24"/>
          <w:szCs w:val="24"/>
        </w:rPr>
        <w:t>etvara likumu, strukturālā bila</w:t>
      </w:r>
      <w:r w:rsidR="009270AB">
        <w:rPr>
          <w:rFonts w:ascii="Times New Roman" w:hAnsi="Times New Roman"/>
          <w:color w:val="000000"/>
          <w:sz w:val="24"/>
          <w:szCs w:val="24"/>
        </w:rPr>
        <w:t>nce tiks plānota kā 0% no IKP (</w:t>
      </w:r>
      <w:r w:rsidRPr="00EC2DF4">
        <w:rPr>
          <w:rFonts w:ascii="Times New Roman" w:hAnsi="Times New Roman"/>
          <w:color w:val="000000"/>
          <w:sz w:val="24"/>
          <w:szCs w:val="24"/>
        </w:rPr>
        <w:t xml:space="preserve">tātad augstāka kā MTO) un kā izņēmums, ja </w:t>
      </w:r>
      <w:r w:rsidR="003C1B28">
        <w:rPr>
          <w:rFonts w:ascii="Times New Roman" w:hAnsi="Times New Roman"/>
          <w:color w:val="000000"/>
          <w:sz w:val="24"/>
          <w:szCs w:val="24"/>
        </w:rPr>
        <w:t>I</w:t>
      </w:r>
      <w:r w:rsidRPr="00EC2DF4">
        <w:rPr>
          <w:rFonts w:ascii="Times New Roman" w:hAnsi="Times New Roman"/>
          <w:color w:val="000000"/>
          <w:sz w:val="24"/>
          <w:szCs w:val="24"/>
        </w:rPr>
        <w:t>etvara likumā būs identificēts konkrēts produktīvo investīciju projekts, projekta īstenošanai varēs plānot zemāku strukturālo bilanci, bet ne vairāk kā vi</w:t>
      </w:r>
      <w:r w:rsidR="009270AB">
        <w:rPr>
          <w:rFonts w:ascii="Times New Roman" w:hAnsi="Times New Roman"/>
          <w:color w:val="000000"/>
          <w:sz w:val="24"/>
          <w:szCs w:val="24"/>
        </w:rPr>
        <w:t>dēji -0,5</w:t>
      </w:r>
      <w:r w:rsidR="004438CE">
        <w:rPr>
          <w:rFonts w:ascii="Times New Roman" w:hAnsi="Times New Roman"/>
          <w:color w:val="000000"/>
          <w:sz w:val="24"/>
          <w:szCs w:val="24"/>
          <w:lang w:val="lv-LV"/>
        </w:rPr>
        <w:t xml:space="preserve"> </w:t>
      </w:r>
      <w:r w:rsidR="009270AB">
        <w:rPr>
          <w:rFonts w:ascii="Times New Roman" w:hAnsi="Times New Roman"/>
          <w:color w:val="000000"/>
          <w:sz w:val="24"/>
          <w:szCs w:val="24"/>
        </w:rPr>
        <w:t>% no IKP četros gados;</w:t>
      </w:r>
      <w:r w:rsidRPr="00EC2DF4">
        <w:rPr>
          <w:rFonts w:ascii="Times New Roman" w:hAnsi="Times New Roman"/>
          <w:color w:val="000000"/>
          <w:sz w:val="24"/>
          <w:szCs w:val="24"/>
        </w:rPr>
        <w:t xml:space="preserve">   </w:t>
      </w:r>
    </w:p>
    <w:p w:rsidR="00EC2DF4" w:rsidRPr="00EC2DF4" w:rsidRDefault="00EC2DF4" w:rsidP="00DE6E4F">
      <w:pPr>
        <w:pStyle w:val="ListParagraph"/>
        <w:numPr>
          <w:ilvl w:val="0"/>
          <w:numId w:val="33"/>
        </w:numPr>
        <w:spacing w:after="0" w:line="240" w:lineRule="auto"/>
        <w:jc w:val="both"/>
        <w:rPr>
          <w:rFonts w:ascii="Times New Roman" w:hAnsi="Times New Roman"/>
          <w:color w:val="000000"/>
          <w:sz w:val="24"/>
          <w:szCs w:val="24"/>
        </w:rPr>
      </w:pPr>
      <w:r w:rsidRPr="00EC2DF4">
        <w:rPr>
          <w:rFonts w:ascii="Times New Roman" w:hAnsi="Times New Roman"/>
          <w:b/>
          <w:color w:val="000000"/>
          <w:sz w:val="24"/>
          <w:szCs w:val="24"/>
        </w:rPr>
        <w:t>Izdevumu pieauguma tempa nosacījums.</w:t>
      </w:r>
      <w:r w:rsidRPr="00EC2DF4">
        <w:rPr>
          <w:rFonts w:ascii="Times New Roman" w:hAnsi="Times New Roman"/>
          <w:color w:val="000000"/>
          <w:sz w:val="24"/>
          <w:szCs w:val="24"/>
        </w:rPr>
        <w:t xml:space="preserve"> FDL paredz, ka papildus tam, ka tiek ierobežots strukturālais deficīts, tiek noteikts arī, ka izdevumi, izslēdzot IKP deflatoru (inflāciju), nedrīkst augt ātrāk kā potenciālā IKP pieaugums. Šim </w:t>
      </w:r>
      <w:r w:rsidR="009270AB">
        <w:rPr>
          <w:rFonts w:ascii="Times New Roman" w:hAnsi="Times New Roman"/>
          <w:color w:val="000000"/>
          <w:sz w:val="24"/>
          <w:szCs w:val="24"/>
        </w:rPr>
        <w:t>nosacījuma ir paredzēti izņēmumi</w:t>
      </w:r>
      <w:r w:rsidRPr="00EC2DF4">
        <w:rPr>
          <w:rFonts w:ascii="Times New Roman" w:hAnsi="Times New Roman"/>
          <w:color w:val="000000"/>
          <w:sz w:val="24"/>
          <w:szCs w:val="24"/>
        </w:rPr>
        <w:t xml:space="preserve"> saskaņā ar </w:t>
      </w:r>
      <w:r w:rsidR="003C1B28">
        <w:rPr>
          <w:rFonts w:ascii="Times New Roman" w:hAnsi="Times New Roman"/>
          <w:color w:val="000000"/>
          <w:sz w:val="24"/>
          <w:szCs w:val="24"/>
        </w:rPr>
        <w:t>Padomes Regulas</w:t>
      </w:r>
      <w:r w:rsidR="009270AB">
        <w:rPr>
          <w:rFonts w:ascii="Times New Roman" w:hAnsi="Times New Roman"/>
          <w:color w:val="000000"/>
          <w:sz w:val="24"/>
          <w:szCs w:val="24"/>
        </w:rPr>
        <w:t xml:space="preserve"> </w:t>
      </w:r>
      <w:r w:rsidR="003C1B28">
        <w:rPr>
          <w:rFonts w:ascii="Times New Roman" w:hAnsi="Times New Roman"/>
          <w:color w:val="000000"/>
          <w:sz w:val="24"/>
          <w:szCs w:val="24"/>
        </w:rPr>
        <w:t>Nr. </w:t>
      </w:r>
      <w:r w:rsidRPr="00EC2DF4">
        <w:rPr>
          <w:rFonts w:ascii="Times New Roman" w:hAnsi="Times New Roman"/>
          <w:color w:val="000000"/>
          <w:sz w:val="24"/>
          <w:szCs w:val="24"/>
        </w:rPr>
        <w:t>1175/2011</w:t>
      </w:r>
      <w:r w:rsidR="009270AB">
        <w:rPr>
          <w:rFonts w:ascii="Times New Roman" w:hAnsi="Times New Roman"/>
          <w:color w:val="000000"/>
          <w:sz w:val="24"/>
          <w:szCs w:val="24"/>
        </w:rPr>
        <w:t>,</w:t>
      </w:r>
      <w:r w:rsidR="003C1B28">
        <w:rPr>
          <w:rFonts w:ascii="Times New Roman" w:hAnsi="Times New Roman"/>
          <w:color w:val="000000"/>
          <w:sz w:val="24"/>
          <w:szCs w:val="24"/>
        </w:rPr>
        <w:t xml:space="preserve"> ar ko groza Padomes Regulu Nr. </w:t>
      </w:r>
      <w:r w:rsidRPr="00EC2DF4">
        <w:rPr>
          <w:rFonts w:ascii="Times New Roman" w:hAnsi="Times New Roman"/>
          <w:color w:val="000000"/>
          <w:sz w:val="24"/>
          <w:szCs w:val="24"/>
        </w:rPr>
        <w:t>1466/97 par budžeta stāvokļa uzraudzības un ekonomikas politikas uzraudzības un koordinācijas stiprināšanu</w:t>
      </w:r>
      <w:r w:rsidR="009270AB">
        <w:rPr>
          <w:rFonts w:ascii="Times New Roman" w:hAnsi="Times New Roman"/>
          <w:color w:val="000000"/>
          <w:sz w:val="24"/>
          <w:szCs w:val="24"/>
        </w:rPr>
        <w:t>,</w:t>
      </w:r>
      <w:r w:rsidR="003C1B28">
        <w:rPr>
          <w:rFonts w:ascii="Times New Roman" w:hAnsi="Times New Roman"/>
          <w:color w:val="000000"/>
          <w:sz w:val="24"/>
          <w:szCs w:val="24"/>
        </w:rPr>
        <w:t xml:space="preserve"> 9. </w:t>
      </w:r>
      <w:r w:rsidRPr="00EC2DF4">
        <w:rPr>
          <w:rFonts w:ascii="Times New Roman" w:hAnsi="Times New Roman"/>
          <w:color w:val="000000"/>
          <w:sz w:val="24"/>
          <w:szCs w:val="24"/>
        </w:rPr>
        <w:t xml:space="preserve">pantā noteiktajām atkāpēm. Jāatzīmē, ka FDL šo nosacījumu tiešā veidā attiecina uz </w:t>
      </w:r>
      <w:r w:rsidR="00DE6E4F">
        <w:rPr>
          <w:rFonts w:ascii="Times New Roman" w:hAnsi="Times New Roman"/>
          <w:color w:val="000000"/>
          <w:sz w:val="24"/>
          <w:szCs w:val="24"/>
        </w:rPr>
        <w:t>centrālās valdības un sociālās apdrošināšanas budžeta</w:t>
      </w:r>
      <w:r w:rsidR="00DE6E4F" w:rsidRPr="00DE6E4F">
        <w:rPr>
          <w:rFonts w:ascii="Times New Roman" w:hAnsi="Times New Roman"/>
          <w:color w:val="000000"/>
          <w:sz w:val="24"/>
          <w:szCs w:val="24"/>
        </w:rPr>
        <w:t xml:space="preserve"> </w:t>
      </w:r>
      <w:r w:rsidRPr="00EC2DF4">
        <w:rPr>
          <w:rFonts w:ascii="Times New Roman" w:hAnsi="Times New Roman"/>
          <w:color w:val="000000"/>
          <w:sz w:val="24"/>
          <w:szCs w:val="24"/>
        </w:rPr>
        <w:t>izdevumiem</w:t>
      </w:r>
      <w:r w:rsidR="0004418B">
        <w:rPr>
          <w:rFonts w:ascii="Times New Roman" w:hAnsi="Times New Roman"/>
          <w:color w:val="000000"/>
          <w:sz w:val="24"/>
          <w:szCs w:val="24"/>
        </w:rPr>
        <w:t>. Šī nosacījuma attiecināšana uz</w:t>
      </w:r>
      <w:r w:rsidRPr="00EC2DF4">
        <w:rPr>
          <w:rFonts w:ascii="Times New Roman" w:hAnsi="Times New Roman"/>
          <w:color w:val="000000"/>
          <w:sz w:val="24"/>
          <w:szCs w:val="24"/>
        </w:rPr>
        <w:t xml:space="preserve"> pārējiem vispārējās valdības sektoriem tiks nodrošināta pastarpināti ar ierobežojumiem pašvaldību izņēmumiem un galvojumi</w:t>
      </w:r>
      <w:r w:rsidR="009270AB">
        <w:rPr>
          <w:rFonts w:ascii="Times New Roman" w:hAnsi="Times New Roman"/>
          <w:color w:val="000000"/>
          <w:sz w:val="24"/>
          <w:szCs w:val="24"/>
        </w:rPr>
        <w:t>em, kas jau pašlaik tiek fiksēti valsts budžeta likumā;</w:t>
      </w:r>
    </w:p>
    <w:p w:rsidR="00EC2DF4" w:rsidRPr="004438CE" w:rsidRDefault="00EC2DF4" w:rsidP="004438CE">
      <w:pPr>
        <w:pStyle w:val="ListParagraph"/>
        <w:numPr>
          <w:ilvl w:val="0"/>
          <w:numId w:val="33"/>
        </w:numPr>
        <w:spacing w:after="0" w:line="240" w:lineRule="auto"/>
        <w:jc w:val="both"/>
        <w:rPr>
          <w:rFonts w:ascii="Times New Roman" w:hAnsi="Times New Roman"/>
          <w:color w:val="000000"/>
          <w:sz w:val="24"/>
          <w:szCs w:val="24"/>
        </w:rPr>
      </w:pPr>
      <w:r w:rsidRPr="00EC2DF4">
        <w:rPr>
          <w:rFonts w:ascii="Times New Roman" w:hAnsi="Times New Roman"/>
          <w:b/>
          <w:color w:val="000000"/>
          <w:sz w:val="24"/>
          <w:szCs w:val="24"/>
        </w:rPr>
        <w:t>Valsts budžeta izdevumu sliekšņu noteikšana vidējā termiņā.</w:t>
      </w:r>
      <w:r w:rsidRPr="00EC2DF4">
        <w:rPr>
          <w:rFonts w:ascii="Times New Roman" w:hAnsi="Times New Roman"/>
          <w:color w:val="000000"/>
          <w:sz w:val="24"/>
          <w:szCs w:val="24"/>
        </w:rPr>
        <w:t xml:space="preserve"> FDL dod sākotnējos fiskālos rādītājus</w:t>
      </w:r>
      <w:r w:rsidR="003C1B28">
        <w:rPr>
          <w:rFonts w:ascii="Times New Roman" w:hAnsi="Times New Roman"/>
          <w:color w:val="000000"/>
          <w:sz w:val="24"/>
          <w:szCs w:val="24"/>
        </w:rPr>
        <w:t>,</w:t>
      </w:r>
      <w:r w:rsidRPr="00EC2DF4">
        <w:rPr>
          <w:rFonts w:ascii="Times New Roman" w:hAnsi="Times New Roman"/>
          <w:color w:val="000000"/>
          <w:sz w:val="24"/>
          <w:szCs w:val="24"/>
        </w:rPr>
        <w:t xml:space="preserve"> saskaņā ar kuriem tiek izstrādāts </w:t>
      </w:r>
      <w:r w:rsidR="003C1B28">
        <w:rPr>
          <w:rFonts w:ascii="Times New Roman" w:hAnsi="Times New Roman"/>
          <w:color w:val="000000"/>
          <w:sz w:val="24"/>
          <w:szCs w:val="24"/>
        </w:rPr>
        <w:t>I</w:t>
      </w:r>
      <w:r w:rsidRPr="00EC2DF4">
        <w:rPr>
          <w:rFonts w:ascii="Times New Roman" w:hAnsi="Times New Roman"/>
          <w:color w:val="000000"/>
          <w:sz w:val="24"/>
          <w:szCs w:val="24"/>
        </w:rPr>
        <w:t xml:space="preserve">etvara likums. Šajā likumā viens no būtiskākajiem rādītājiem ir valsts izdevumu sliekšņi turpmākajiem 3 gadiem. FDL nosaka, ka kā standarta nosacījums darbojas šo izdevumu sliekšņu stabilitātes nosacījums – </w:t>
      </w:r>
      <w:r w:rsidR="003C1B28">
        <w:rPr>
          <w:rFonts w:ascii="Times New Roman" w:hAnsi="Times New Roman"/>
          <w:color w:val="000000"/>
          <w:sz w:val="24"/>
          <w:szCs w:val="24"/>
        </w:rPr>
        <w:t>I</w:t>
      </w:r>
      <w:r w:rsidR="003C1B28" w:rsidRPr="00EC2DF4">
        <w:rPr>
          <w:rFonts w:ascii="Times New Roman" w:hAnsi="Times New Roman"/>
          <w:color w:val="000000"/>
          <w:sz w:val="24"/>
          <w:szCs w:val="24"/>
        </w:rPr>
        <w:t xml:space="preserve">etvara </w:t>
      </w:r>
      <w:r w:rsidRPr="00EC2DF4">
        <w:rPr>
          <w:rFonts w:ascii="Times New Roman" w:hAnsi="Times New Roman"/>
          <w:color w:val="000000"/>
          <w:sz w:val="24"/>
          <w:szCs w:val="24"/>
        </w:rPr>
        <w:t xml:space="preserve">likuma pirmā un otrā gada izdevumu sliekšņi tiek pārmantoti no iepriekšējā </w:t>
      </w:r>
      <w:r w:rsidR="003C1B28">
        <w:rPr>
          <w:rFonts w:ascii="Times New Roman" w:hAnsi="Times New Roman"/>
          <w:color w:val="000000"/>
          <w:sz w:val="24"/>
          <w:szCs w:val="24"/>
        </w:rPr>
        <w:t>I</w:t>
      </w:r>
      <w:r w:rsidR="003C1B28" w:rsidRPr="00EC2DF4">
        <w:rPr>
          <w:rFonts w:ascii="Times New Roman" w:hAnsi="Times New Roman"/>
          <w:color w:val="000000"/>
          <w:sz w:val="24"/>
          <w:szCs w:val="24"/>
        </w:rPr>
        <w:t xml:space="preserve">etvara </w:t>
      </w:r>
      <w:r w:rsidRPr="00EC2DF4">
        <w:rPr>
          <w:rFonts w:ascii="Times New Roman" w:hAnsi="Times New Roman"/>
          <w:color w:val="000000"/>
          <w:sz w:val="24"/>
          <w:szCs w:val="24"/>
        </w:rPr>
        <w:t>likuma otrā un trešā gada izdevumu sliekšņiem.</w:t>
      </w:r>
      <w:r w:rsidR="0004418B">
        <w:rPr>
          <w:rFonts w:ascii="Times New Roman" w:hAnsi="Times New Roman"/>
          <w:color w:val="000000"/>
          <w:sz w:val="24"/>
          <w:szCs w:val="24"/>
        </w:rPr>
        <w:t xml:space="preserve"> Kā atkāpe no minētā nosacījuma -</w:t>
      </w:r>
      <w:r w:rsidRPr="00EC2DF4">
        <w:rPr>
          <w:rFonts w:ascii="Times New Roman" w:hAnsi="Times New Roman"/>
          <w:color w:val="000000"/>
          <w:sz w:val="24"/>
          <w:szCs w:val="24"/>
        </w:rPr>
        <w:t xml:space="preserve"> izdevumu sliekšņi netiek pārmantoti, ja sliekšņu lielums saskaņā ar atjaunotajām makroekonomiskajām prognozēm atšķiras no pārmantotajiem sliekš</w:t>
      </w:r>
      <w:r w:rsidR="003C1B28">
        <w:rPr>
          <w:rFonts w:ascii="Times New Roman" w:hAnsi="Times New Roman"/>
          <w:color w:val="000000"/>
          <w:sz w:val="24"/>
          <w:szCs w:val="24"/>
        </w:rPr>
        <w:t>ņiem vairāk kā par 0,5 % no IKP.</w:t>
      </w:r>
    </w:p>
    <w:p w:rsidR="004438CE" w:rsidRPr="004438CE" w:rsidRDefault="004438CE" w:rsidP="004438CE">
      <w:pPr>
        <w:pStyle w:val="ListParagraph"/>
        <w:spacing w:after="0" w:line="240" w:lineRule="auto"/>
        <w:ind w:left="360"/>
        <w:jc w:val="both"/>
        <w:rPr>
          <w:rFonts w:ascii="Times New Roman" w:hAnsi="Times New Roman"/>
          <w:color w:val="000000"/>
          <w:sz w:val="24"/>
          <w:szCs w:val="24"/>
        </w:rPr>
      </w:pPr>
    </w:p>
    <w:p w:rsidR="00EC2DF4" w:rsidRPr="00EC2DF4" w:rsidRDefault="003C1B28" w:rsidP="004438CE">
      <w:pPr>
        <w:rPr>
          <w:color w:val="000000"/>
          <w:szCs w:val="24"/>
        </w:rPr>
      </w:pPr>
      <w:r>
        <w:rPr>
          <w:color w:val="000000"/>
          <w:szCs w:val="24"/>
        </w:rPr>
        <w:t>FDL</w:t>
      </w:r>
      <w:r w:rsidR="00EC2DF4" w:rsidRPr="00EC2DF4">
        <w:rPr>
          <w:color w:val="000000"/>
          <w:szCs w:val="24"/>
        </w:rPr>
        <w:t xml:space="preserve"> nosaka arī virkni izņēmumus izd</w:t>
      </w:r>
      <w:r w:rsidR="0004418B">
        <w:rPr>
          <w:color w:val="000000"/>
          <w:szCs w:val="24"/>
        </w:rPr>
        <w:t>evumu sliekšņu nosacījumam (</w:t>
      </w:r>
      <w:r w:rsidR="00EC2DF4" w:rsidRPr="00EC2DF4">
        <w:rPr>
          <w:color w:val="000000"/>
          <w:szCs w:val="24"/>
        </w:rPr>
        <w:t>ārvalstu finanšu palīdzība, ieņēmumi no maksas pakalpojumiem un citiem pašu ieņēmumiem u.c). Tāpat, paredzēts izdevumu izlīdzināšanas mehānisms, kas novērš ES struktūrfondu un valsts parāda apkalpošanas izdevumu svārstību ietekmi uz citiem valsts budžeta izdevumiem.</w:t>
      </w:r>
    </w:p>
    <w:p w:rsidR="00EC2DF4" w:rsidRPr="00EC2DF4" w:rsidRDefault="00EC2DF4" w:rsidP="002D62B9">
      <w:pPr>
        <w:rPr>
          <w:color w:val="000000"/>
          <w:szCs w:val="24"/>
        </w:rPr>
      </w:pPr>
      <w:r w:rsidRPr="00EC2DF4">
        <w:rPr>
          <w:color w:val="000000"/>
          <w:szCs w:val="24"/>
        </w:rPr>
        <w:t xml:space="preserve">Atbilstoši fiskālajam līgumam FDL paredz automātisko ex-post korekcijas mehānismu. Ja budžeta izpildes gaitā strukturālā bilance pasliktinās pret plānoto vairāk kā par noteiktu lielumu, turpmākajos gados tiek noteikta korekcija, kas šo novirzi novērš. </w:t>
      </w:r>
    </w:p>
    <w:p w:rsidR="00EC2DF4" w:rsidRPr="00EC2DF4" w:rsidRDefault="0004418B" w:rsidP="002D62B9">
      <w:pPr>
        <w:rPr>
          <w:color w:val="000000"/>
          <w:szCs w:val="24"/>
        </w:rPr>
      </w:pPr>
      <w:r>
        <w:rPr>
          <w:color w:val="000000"/>
          <w:szCs w:val="24"/>
        </w:rPr>
        <w:t>Atbilstoši f</w:t>
      </w:r>
      <w:r w:rsidR="00EC2DF4" w:rsidRPr="00EC2DF4">
        <w:rPr>
          <w:color w:val="000000"/>
          <w:szCs w:val="24"/>
        </w:rPr>
        <w:t>iskālajam līgumam FDL paredz nošķirt vienre</w:t>
      </w:r>
      <w:r>
        <w:rPr>
          <w:color w:val="000000"/>
          <w:szCs w:val="24"/>
        </w:rPr>
        <w:t>izējos ieņēmumu paaugstināšanas</w:t>
      </w:r>
      <w:r w:rsidR="00EC2DF4" w:rsidRPr="00EC2DF4">
        <w:rPr>
          <w:color w:val="000000"/>
          <w:szCs w:val="24"/>
        </w:rPr>
        <w:t xml:space="preserve"> vai izdevumu sam</w:t>
      </w:r>
      <w:r>
        <w:rPr>
          <w:color w:val="000000"/>
          <w:szCs w:val="24"/>
        </w:rPr>
        <w:t>azināšanas pasākumus no tādiem ieņēmumu paaugstināšanas</w:t>
      </w:r>
      <w:r w:rsidR="00EC2DF4" w:rsidRPr="00EC2DF4">
        <w:rPr>
          <w:color w:val="000000"/>
          <w:szCs w:val="24"/>
        </w:rPr>
        <w:t xml:space="preserve"> vai izdevumu samazināšanas pasākumiem, kuriem ir paliekošs raksturs. Tas darīts ar mērķi, lai novērstu risku, ka budžeta deficīta samazināšana tiek panākta ar pasākumiem, kuri nav ilgtspējīgi. </w:t>
      </w:r>
    </w:p>
    <w:p w:rsidR="0063302C" w:rsidRDefault="00EC2DF4" w:rsidP="002D62B9">
      <w:pPr>
        <w:rPr>
          <w:color w:val="000000"/>
          <w:szCs w:val="24"/>
        </w:rPr>
      </w:pPr>
      <w:r w:rsidRPr="00EC2DF4">
        <w:rPr>
          <w:color w:val="000000"/>
          <w:szCs w:val="24"/>
        </w:rPr>
        <w:t xml:space="preserve">FDL paredz arī nosacījumus, kas jāievēro, ja valsts strukturālais deficīts pārsniedz vidēja termiņa mērķi. </w:t>
      </w:r>
      <w:r w:rsidR="003C1B28">
        <w:rPr>
          <w:color w:val="000000"/>
          <w:szCs w:val="24"/>
        </w:rPr>
        <w:t>Padomes Regula Nr. </w:t>
      </w:r>
      <w:r w:rsidRPr="00EC2DF4">
        <w:rPr>
          <w:color w:val="000000"/>
          <w:szCs w:val="24"/>
        </w:rPr>
        <w:t>1175/2011 paredz nos</w:t>
      </w:r>
      <w:r w:rsidR="005F72BD">
        <w:rPr>
          <w:color w:val="000000"/>
          <w:szCs w:val="24"/>
        </w:rPr>
        <w:t>acījumu, kas jāievēro, ja dalīb</w:t>
      </w:r>
      <w:r w:rsidRPr="00EC2DF4">
        <w:rPr>
          <w:color w:val="000000"/>
          <w:szCs w:val="24"/>
        </w:rPr>
        <w:t>valsts strukturālā bilance ir daudz negatīvāka par vidēja termiņ</w:t>
      </w:r>
      <w:r w:rsidR="00D553F9">
        <w:rPr>
          <w:color w:val="000000"/>
          <w:szCs w:val="24"/>
        </w:rPr>
        <w:t xml:space="preserve">a strukturālās bilances mērķi. </w:t>
      </w:r>
      <w:r w:rsidRPr="00EC2DF4">
        <w:rPr>
          <w:color w:val="000000"/>
          <w:szCs w:val="24"/>
        </w:rPr>
        <w:t>Šajā gadījumā strukturālā bilance ir jāuzlabo vismaz par 0,5</w:t>
      </w:r>
      <w:r w:rsidR="00777544">
        <w:rPr>
          <w:color w:val="000000"/>
          <w:szCs w:val="24"/>
        </w:rPr>
        <w:t xml:space="preserve"> </w:t>
      </w:r>
      <w:r w:rsidRPr="00EC2DF4">
        <w:rPr>
          <w:color w:val="000000"/>
          <w:szCs w:val="24"/>
        </w:rPr>
        <w:t>% no IKP gadā. Fiskālais līgums, savukārt, paredz, ka strukturālās bilances uzlabojuma ātrums tiek noteikts individuāli katrai valstij, pamatā vadoties no tā, lai stabilitātes programmas periodā strukturālā bilance sasniegtu vidēja termiņa mērķi. Saskaņā ar minēto regulu un fiskālo līgumu FDL paredz, ka strukturālās bilances uzlabojumam ir jānotiek ar ātrumu vismaz 0,5</w:t>
      </w:r>
      <w:r w:rsidR="00777544">
        <w:rPr>
          <w:color w:val="000000"/>
          <w:szCs w:val="24"/>
        </w:rPr>
        <w:t xml:space="preserve"> </w:t>
      </w:r>
      <w:r w:rsidRPr="00EC2DF4">
        <w:rPr>
          <w:color w:val="000000"/>
          <w:szCs w:val="24"/>
        </w:rPr>
        <w:t xml:space="preserve">% no IKP gadā, vai arī ar citu ātrumu, ja to nosaka saskaņā ar starptautisku līgumu. </w:t>
      </w:r>
      <w:r w:rsidR="00D553F9">
        <w:rPr>
          <w:color w:val="000000"/>
          <w:szCs w:val="24"/>
        </w:rPr>
        <w:t>Padomes</w:t>
      </w:r>
      <w:r w:rsidR="003C1B28">
        <w:rPr>
          <w:color w:val="000000"/>
          <w:szCs w:val="24"/>
        </w:rPr>
        <w:t xml:space="preserve"> Regula</w:t>
      </w:r>
      <w:r w:rsidR="00D553F9">
        <w:rPr>
          <w:color w:val="000000"/>
          <w:szCs w:val="24"/>
        </w:rPr>
        <w:t xml:space="preserve"> Nr.</w:t>
      </w:r>
      <w:r w:rsidR="003C1B28">
        <w:rPr>
          <w:color w:val="000000"/>
          <w:szCs w:val="24"/>
        </w:rPr>
        <w:t> </w:t>
      </w:r>
      <w:r w:rsidRPr="00EC2DF4">
        <w:rPr>
          <w:color w:val="000000"/>
          <w:szCs w:val="24"/>
        </w:rPr>
        <w:t>1175/2011 un fiskālais līgums paredz arī, ka strukturālās bilances uzlabojuma periodā izdevumiem ir jāaug lēnāk kā potenciālā IKP pieaugumam. FDL paredz analogu regulējumu.</w:t>
      </w:r>
    </w:p>
    <w:p w:rsidR="00EC2DF4" w:rsidRPr="00EC2DF4" w:rsidRDefault="00EC2DF4" w:rsidP="002D62B9">
      <w:pPr>
        <w:rPr>
          <w:color w:val="000000"/>
          <w:szCs w:val="24"/>
        </w:rPr>
      </w:pPr>
      <w:r w:rsidRPr="00EC2DF4">
        <w:rPr>
          <w:color w:val="000000"/>
          <w:szCs w:val="24"/>
        </w:rPr>
        <w:lastRenderedPageBreak/>
        <w:t>FDL paredz arī fiskālo risku vadību, paredzot ka vidēja termiņa budžeta ietvara likumam tiek pievienota fiskālo risku deklarācija, kurā tiek identificēti fiskālie riski, tos iedalot kvantificējamos un nekvantificējamos riskos. Kvantificējamiem fiskālajiem riskiem tiek noteikta iestāšanas varbūtība un fiskālā ietekme. Atbilstoši tam tiek aprēķināta fiskālā nodrošinājuma rezerve, kas nevar būt zemāka par 0,1</w:t>
      </w:r>
      <w:r w:rsidR="00777544">
        <w:rPr>
          <w:color w:val="000000"/>
          <w:szCs w:val="24"/>
        </w:rPr>
        <w:t xml:space="preserve"> </w:t>
      </w:r>
      <w:r w:rsidRPr="00EC2DF4">
        <w:rPr>
          <w:color w:val="000000"/>
          <w:szCs w:val="24"/>
        </w:rPr>
        <w:t>% no IKP un kura tiek atstāta rezervē, nosakot valsts budžeta izdevumu slieksni.</w:t>
      </w:r>
    </w:p>
    <w:p w:rsidR="00EC2DF4" w:rsidRPr="00EC2DF4" w:rsidRDefault="00EC2DF4" w:rsidP="002D62B9">
      <w:pPr>
        <w:rPr>
          <w:color w:val="000000"/>
          <w:szCs w:val="24"/>
        </w:rPr>
      </w:pPr>
      <w:r w:rsidRPr="00EC2DF4">
        <w:rPr>
          <w:color w:val="000000"/>
          <w:szCs w:val="24"/>
        </w:rPr>
        <w:t>Fiskālā ietvara direktīvas 2011/85 6.</w:t>
      </w:r>
      <w:r w:rsidR="003C1B28">
        <w:rPr>
          <w:color w:val="000000"/>
          <w:szCs w:val="24"/>
        </w:rPr>
        <w:t> </w:t>
      </w:r>
      <w:r w:rsidRPr="00EC2DF4">
        <w:rPr>
          <w:color w:val="000000"/>
          <w:szCs w:val="24"/>
        </w:rPr>
        <w:t xml:space="preserve">panta pirmās daļas b punkts paredz, ka dalībvalstis nodrošina no budžeta veidošanā iesaistīto institūciju neatkarīgu fiskālās disciplīnas normu ievērošanas uzraudzību. Analogu nosacījumu paredz arī fiskālais līgums. Atbilstoši tam FDL paredz Fiskālās padomes izveidošanu ar mērķi nodrošināt neatkarīgu fiskālās disciplīnas nosacījumu ievērošanas uzraudzību.   </w:t>
      </w:r>
    </w:p>
    <w:p w:rsidR="00042FC7" w:rsidRPr="00042FC7" w:rsidRDefault="009D0EDE" w:rsidP="002D62B9">
      <w:pPr>
        <w:rPr>
          <w:szCs w:val="24"/>
        </w:rPr>
      </w:pPr>
      <w:r>
        <w:rPr>
          <w:color w:val="000000"/>
          <w:szCs w:val="24"/>
        </w:rPr>
        <w:t>FDL</w:t>
      </w:r>
      <w:r w:rsidR="00EC2DF4" w:rsidRPr="00EC2DF4">
        <w:rPr>
          <w:color w:val="000000"/>
          <w:szCs w:val="24"/>
        </w:rPr>
        <w:t xml:space="preserve"> mērķis ir nodrošināt šīs sistēmiski jaunās pieejas fiskālās politikas veidošanā un disciplīnas ievērošanā ilglaicīgu pastāvēšanu, tai netiekot regulāri mainītai. </w:t>
      </w:r>
      <w:r w:rsidR="003C1B28">
        <w:rPr>
          <w:color w:val="000000"/>
          <w:szCs w:val="24"/>
        </w:rPr>
        <w:t>MK</w:t>
      </w:r>
      <w:r w:rsidR="00EC2DF4" w:rsidRPr="00EC2DF4">
        <w:rPr>
          <w:color w:val="000000"/>
          <w:szCs w:val="24"/>
        </w:rPr>
        <w:t xml:space="preserve"> ir </w:t>
      </w:r>
      <w:r w:rsidR="003C1B28">
        <w:rPr>
          <w:color w:val="000000"/>
          <w:szCs w:val="24"/>
        </w:rPr>
        <w:t>apstiprinājis</w:t>
      </w:r>
      <w:r w:rsidR="003C1B28" w:rsidRPr="00EC2DF4">
        <w:rPr>
          <w:color w:val="000000"/>
          <w:szCs w:val="24"/>
        </w:rPr>
        <w:t xml:space="preserve"> </w:t>
      </w:r>
      <w:r w:rsidR="00EC2DF4" w:rsidRPr="00EC2DF4">
        <w:rPr>
          <w:color w:val="000000"/>
          <w:szCs w:val="24"/>
        </w:rPr>
        <w:t xml:space="preserve">grozījumus </w:t>
      </w:r>
      <w:r w:rsidR="004522C7">
        <w:rPr>
          <w:color w:val="000000"/>
          <w:szCs w:val="24"/>
        </w:rPr>
        <w:t xml:space="preserve">arī </w:t>
      </w:r>
      <w:r w:rsidR="00EC2DF4" w:rsidRPr="00EC2DF4">
        <w:rPr>
          <w:color w:val="000000"/>
          <w:szCs w:val="24"/>
        </w:rPr>
        <w:t xml:space="preserve">Latvijas Republikas Satversmē, jo konsultācijās ar konstitucionālo tiesību ekspertiem tika secināts, ka efektīvai likuma darbībai ir nepieciešams konstitucionālajā līmenī nostiprināt ar fiskālās disciplīnas īstenošanu saistītus pamatprincipus. Šāda pieeja ļauj fiskālās disciplīnas pamatprincipus un svarīgākās normas nostiprināt konstitūcijā kā hierarhiski augstākajā tiesību aktā valstī, lai tās nebūtu iespējams mainīt vai atcelt parlamentā pieņemot citus tiesību aktus, piemēram, gadskārtējo valsts budžeta likumu. Jāņem vērā, ka Latvijas Republikas tiesību sistēma paredz, ka visiem Saeimā pieņemtiem likumiem ir vienāds spēks, savukārt, situācijā, kad </w:t>
      </w:r>
      <w:r w:rsidR="004522C7">
        <w:rPr>
          <w:color w:val="000000"/>
          <w:szCs w:val="24"/>
        </w:rPr>
        <w:t xml:space="preserve">starp </w:t>
      </w:r>
      <w:r w:rsidR="00EC2DF4" w:rsidRPr="00EC2DF4">
        <w:rPr>
          <w:color w:val="000000"/>
          <w:szCs w:val="24"/>
        </w:rPr>
        <w:t xml:space="preserve">divos likumos </w:t>
      </w:r>
      <w:r w:rsidR="004522C7" w:rsidRPr="00EC2DF4">
        <w:rPr>
          <w:color w:val="000000"/>
          <w:szCs w:val="24"/>
        </w:rPr>
        <w:t>iekļaut</w:t>
      </w:r>
      <w:r w:rsidR="004522C7">
        <w:rPr>
          <w:color w:val="000000"/>
          <w:szCs w:val="24"/>
        </w:rPr>
        <w:t>ajām</w:t>
      </w:r>
      <w:r w:rsidR="004522C7" w:rsidRPr="00EC2DF4">
        <w:rPr>
          <w:color w:val="000000"/>
          <w:szCs w:val="24"/>
        </w:rPr>
        <w:t xml:space="preserve"> norm</w:t>
      </w:r>
      <w:r w:rsidR="004522C7">
        <w:rPr>
          <w:color w:val="000000"/>
          <w:szCs w:val="24"/>
        </w:rPr>
        <w:t>ām</w:t>
      </w:r>
      <w:r w:rsidR="004522C7" w:rsidRPr="00EC2DF4">
        <w:rPr>
          <w:color w:val="000000"/>
          <w:szCs w:val="24"/>
        </w:rPr>
        <w:t xml:space="preserve"> </w:t>
      </w:r>
      <w:r w:rsidR="00EC2DF4" w:rsidRPr="00EC2DF4">
        <w:rPr>
          <w:color w:val="000000"/>
          <w:szCs w:val="24"/>
        </w:rPr>
        <w:t xml:space="preserve">veidojas kolīzija, tad spēkā ir tā likuma norma, kas pieņemta </w:t>
      </w:r>
      <w:r w:rsidR="004244A7">
        <w:rPr>
          <w:color w:val="000000"/>
          <w:szCs w:val="24"/>
        </w:rPr>
        <w:t>pēdējā</w:t>
      </w:r>
      <w:r w:rsidR="00EC2DF4" w:rsidRPr="00EC2DF4">
        <w:rPr>
          <w:color w:val="000000"/>
          <w:szCs w:val="24"/>
        </w:rPr>
        <w:t xml:space="preserve">, vai arī spēkā ir speciālā likuma norma, salīdzinājumā ar vispārējā likuma normu. </w:t>
      </w:r>
      <w:r w:rsidR="004244A7">
        <w:rPr>
          <w:color w:val="000000"/>
          <w:szCs w:val="24"/>
        </w:rPr>
        <w:t>V</w:t>
      </w:r>
      <w:r w:rsidR="00EC2DF4" w:rsidRPr="00EC2DF4">
        <w:rPr>
          <w:color w:val="000000"/>
          <w:szCs w:val="24"/>
        </w:rPr>
        <w:t xml:space="preserve">ienīgi nostiprinot atsevišķas fiskālās disciplīnas normas konstitucionālā līmenī var nodrošināt to neapdraudētu spēkā esamību ilgākā laika periodā. </w:t>
      </w:r>
      <w:r w:rsidR="00042FC7">
        <w:t xml:space="preserve">Likumprojekts „Grozījums Latvijas Republikas Satversmē” ir iesniegts Saeimā un </w:t>
      </w:r>
      <w:r w:rsidR="004522C7">
        <w:t xml:space="preserve">to turpina </w:t>
      </w:r>
      <w:r w:rsidR="00042FC7">
        <w:t>skatīt Saeimas komisij</w:t>
      </w:r>
      <w:r w:rsidR="004522C7">
        <w:t>a</w:t>
      </w:r>
      <w:r w:rsidR="004244A7">
        <w:t>s. 2011. gada 17. </w:t>
      </w:r>
      <w:r w:rsidR="00042FC7">
        <w:t xml:space="preserve">janvārī tas tika skatīts Saeimas Juridiskajā komisijā, kā rezultātā Satversmes grozījumu virzīšana tālākai </w:t>
      </w:r>
      <w:r w:rsidR="00042FC7" w:rsidRPr="00042FC7">
        <w:rPr>
          <w:szCs w:val="24"/>
        </w:rPr>
        <w:t xml:space="preserve">izskatīšanai ir atlikta uz laiku, kamēr darbu pabeigs Juridiskās komisijas pārraudzībā izveidota darba grupa, kas </w:t>
      </w:r>
      <w:r w:rsidR="00042FC7" w:rsidRPr="002048B4">
        <w:rPr>
          <w:color w:val="000000"/>
          <w:szCs w:val="24"/>
        </w:rPr>
        <w:t>strādās pie pašreiz iesniegto valsts pamatlikuma grozījumu projektu alternatīvām.</w:t>
      </w:r>
    </w:p>
    <w:p w:rsidR="00EC2DF4" w:rsidRPr="00EC2DF4" w:rsidRDefault="00042FC7" w:rsidP="002D62B9">
      <w:pPr>
        <w:rPr>
          <w:color w:val="000000"/>
          <w:szCs w:val="24"/>
        </w:rPr>
      </w:pPr>
      <w:r>
        <w:rPr>
          <w:color w:val="000000"/>
          <w:szCs w:val="24"/>
        </w:rPr>
        <w:t>Tomēr j</w:t>
      </w:r>
      <w:r w:rsidRPr="00EC2DF4">
        <w:rPr>
          <w:color w:val="000000"/>
          <w:szCs w:val="24"/>
        </w:rPr>
        <w:t xml:space="preserve">āņem vērā arī tas, ka Satversmes grozījumu veikšanai ir nepieciešams būtisks Parlamentā pārstāvēto deputātu balsu vairākums, tādēļ izmaiņu panākšana valsts pamatlikumā prasa plašu politisku </w:t>
      </w:r>
      <w:r w:rsidRPr="00963935">
        <w:rPr>
          <w:i/>
          <w:color w:val="000000"/>
          <w:szCs w:val="24"/>
        </w:rPr>
        <w:t>konsensus</w:t>
      </w:r>
      <w:r w:rsidR="00BD71A1">
        <w:rPr>
          <w:i/>
          <w:color w:val="000000"/>
          <w:szCs w:val="24"/>
        </w:rPr>
        <w:t>.</w:t>
      </w:r>
    </w:p>
    <w:p w:rsidR="00316611" w:rsidRPr="00777544" w:rsidRDefault="00283B8B" w:rsidP="002D62B9">
      <w:pPr>
        <w:pStyle w:val="otrais"/>
        <w:rPr>
          <w:szCs w:val="32"/>
        </w:rPr>
      </w:pPr>
      <w:bookmarkStart w:id="88" w:name="_Toc323120307"/>
      <w:r w:rsidRPr="00777544">
        <w:rPr>
          <w:szCs w:val="32"/>
        </w:rPr>
        <w:t>9</w:t>
      </w:r>
      <w:r w:rsidR="00316611" w:rsidRPr="00777544">
        <w:rPr>
          <w:szCs w:val="32"/>
        </w:rPr>
        <w:t>.4. Vidējā termiņa budžeta plānošana</w:t>
      </w:r>
      <w:bookmarkEnd w:id="88"/>
    </w:p>
    <w:p w:rsidR="003A5DC4" w:rsidRPr="007B6715" w:rsidRDefault="003A5DC4" w:rsidP="002D62B9">
      <w:pPr>
        <w:ind w:firstLine="720"/>
        <w:rPr>
          <w:szCs w:val="24"/>
        </w:rPr>
      </w:pPr>
      <w:r w:rsidRPr="007B6715">
        <w:rPr>
          <w:szCs w:val="24"/>
        </w:rPr>
        <w:t>Sākot ar 2007.</w:t>
      </w:r>
      <w:r w:rsidR="00A70F97">
        <w:rPr>
          <w:szCs w:val="24"/>
        </w:rPr>
        <w:t> </w:t>
      </w:r>
      <w:r w:rsidRPr="007B6715">
        <w:rPr>
          <w:szCs w:val="24"/>
        </w:rPr>
        <w:t xml:space="preserve">gadu, tiek gatavots Vidēja termiņa makroekonomiskās attīstības un fiskālās politikas ietvars (turpmāk - Ietvars) nākamajiem trijiem saimnieciskajiem gadiem, kurā tiek norādīta vidēja termiņa valsts makroekonomiskās situācijas analīze, valdības fiskālās politikas mērķi vidējam termiņam, valsts budžeta ieņēmumu prognozes un maksimāli pieļaujamo valsts budžeta kopējo izdevumu apjoms katrai ministrijai un citām centrālajām valsts iestādēm vidējam termiņam. Ietvaram </w:t>
      </w:r>
      <w:r w:rsidRPr="007B6715">
        <w:rPr>
          <w:color w:val="000000"/>
          <w:szCs w:val="24"/>
        </w:rPr>
        <w:t>nebija</w:t>
      </w:r>
      <w:r w:rsidRPr="007B6715">
        <w:rPr>
          <w:color w:val="7030A0"/>
          <w:szCs w:val="24"/>
        </w:rPr>
        <w:t xml:space="preserve"> </w:t>
      </w:r>
      <w:r w:rsidRPr="007B6715">
        <w:rPr>
          <w:szCs w:val="24"/>
        </w:rPr>
        <w:t>juridiski saistošs raksturs, tas tikai indikatīvi norā</w:t>
      </w:r>
      <w:r w:rsidRPr="00FD4302">
        <w:rPr>
          <w:szCs w:val="24"/>
        </w:rPr>
        <w:t>dīja</w:t>
      </w:r>
      <w:r w:rsidRPr="007B6715">
        <w:rPr>
          <w:szCs w:val="24"/>
        </w:rPr>
        <w:t xml:space="preserve"> maksimāli pieļaujamo valsts budžeta kopējo izdevumu apjomu vidējam termiņam.</w:t>
      </w:r>
    </w:p>
    <w:p w:rsidR="003A5DC4" w:rsidRPr="007B6715" w:rsidRDefault="004522C7" w:rsidP="002D62B9">
      <w:pPr>
        <w:ind w:firstLine="720"/>
        <w:rPr>
          <w:color w:val="000000"/>
          <w:szCs w:val="24"/>
        </w:rPr>
      </w:pPr>
      <w:r>
        <w:rPr>
          <w:color w:val="000000"/>
          <w:szCs w:val="24"/>
        </w:rPr>
        <w:t>Pēdējos</w:t>
      </w:r>
      <w:r w:rsidRPr="007B6715">
        <w:rPr>
          <w:color w:val="000000"/>
          <w:szCs w:val="24"/>
        </w:rPr>
        <w:t xml:space="preserve"> </w:t>
      </w:r>
      <w:r w:rsidR="003A5DC4" w:rsidRPr="007B6715">
        <w:rPr>
          <w:color w:val="000000"/>
          <w:szCs w:val="24"/>
        </w:rPr>
        <w:t>grozījumos Likumā par budžetu un finanšu vadību, kas stājās spēkā 2012.</w:t>
      </w:r>
      <w:r w:rsidR="00A70F97">
        <w:rPr>
          <w:color w:val="000000"/>
          <w:szCs w:val="24"/>
        </w:rPr>
        <w:t> </w:t>
      </w:r>
      <w:r w:rsidR="003A5DC4" w:rsidRPr="007B6715">
        <w:rPr>
          <w:color w:val="000000"/>
          <w:szCs w:val="24"/>
        </w:rPr>
        <w:t>gada 1.</w:t>
      </w:r>
      <w:r w:rsidR="00A70F97">
        <w:rPr>
          <w:color w:val="000000"/>
          <w:szCs w:val="24"/>
        </w:rPr>
        <w:t> </w:t>
      </w:r>
      <w:r w:rsidR="003A5DC4" w:rsidRPr="007B6715">
        <w:rPr>
          <w:color w:val="000000"/>
          <w:szCs w:val="24"/>
        </w:rPr>
        <w:t xml:space="preserve">janvārī, ir paredzēts līdzšinējo Ietvaru, ko apstiprināja </w:t>
      </w:r>
      <w:r w:rsidR="00777544">
        <w:rPr>
          <w:color w:val="000000"/>
          <w:szCs w:val="24"/>
        </w:rPr>
        <w:t>MK</w:t>
      </w:r>
      <w:r w:rsidR="003A5DC4" w:rsidRPr="007B6715">
        <w:rPr>
          <w:color w:val="000000"/>
          <w:szCs w:val="24"/>
        </w:rPr>
        <w:t xml:space="preserve">, izstrādāt likuma formā kā </w:t>
      </w:r>
      <w:r w:rsidR="00203D1A">
        <w:rPr>
          <w:color w:val="000000"/>
          <w:szCs w:val="24"/>
        </w:rPr>
        <w:t>I</w:t>
      </w:r>
      <w:r w:rsidR="003A5DC4" w:rsidRPr="007B6715">
        <w:rPr>
          <w:color w:val="000000"/>
          <w:szCs w:val="24"/>
        </w:rPr>
        <w:t xml:space="preserve">etvara likumu, ko apstiprina Saeima, tādējādi nodrošinot, ka </w:t>
      </w:r>
      <w:r w:rsidR="00203D1A">
        <w:rPr>
          <w:color w:val="000000"/>
          <w:szCs w:val="24"/>
        </w:rPr>
        <w:t>I</w:t>
      </w:r>
      <w:r w:rsidR="003A5DC4" w:rsidRPr="007B6715">
        <w:rPr>
          <w:color w:val="000000"/>
          <w:szCs w:val="24"/>
        </w:rPr>
        <w:t>etvara liku</w:t>
      </w:r>
      <w:r w:rsidR="00203D1A">
        <w:rPr>
          <w:color w:val="000000"/>
          <w:szCs w:val="24"/>
        </w:rPr>
        <w:t>mā iekļautajiem sasniedzamajiem</w:t>
      </w:r>
      <w:r w:rsidR="003A5DC4" w:rsidRPr="007B6715">
        <w:rPr>
          <w:color w:val="000000"/>
          <w:szCs w:val="24"/>
        </w:rPr>
        <w:t xml:space="preserve"> finanšu rādītājiem ir juridiski saistošs spēks un uz tiem ir jābalstās gadskārtējā vals</w:t>
      </w:r>
      <w:r w:rsidR="00203D1A">
        <w:rPr>
          <w:color w:val="000000"/>
          <w:szCs w:val="24"/>
        </w:rPr>
        <w:t>ts budžeta likuma izstrādāšanā.</w:t>
      </w:r>
    </w:p>
    <w:p w:rsidR="003A5DC4" w:rsidRPr="007B6715" w:rsidRDefault="00203D1A" w:rsidP="002D62B9">
      <w:pPr>
        <w:ind w:firstLine="720"/>
        <w:rPr>
          <w:color w:val="000000"/>
          <w:szCs w:val="24"/>
        </w:rPr>
      </w:pPr>
      <w:r>
        <w:rPr>
          <w:color w:val="000000"/>
          <w:szCs w:val="24"/>
        </w:rPr>
        <w:lastRenderedPageBreak/>
        <w:t>I</w:t>
      </w:r>
      <w:r w:rsidRPr="00EC2DF4">
        <w:rPr>
          <w:color w:val="000000"/>
          <w:szCs w:val="24"/>
        </w:rPr>
        <w:t>etvara</w:t>
      </w:r>
      <w:r w:rsidRPr="007B6715">
        <w:rPr>
          <w:color w:val="000000"/>
          <w:szCs w:val="24"/>
        </w:rPr>
        <w:t xml:space="preserve"> </w:t>
      </w:r>
      <w:r w:rsidR="003A5DC4" w:rsidRPr="007B6715">
        <w:rPr>
          <w:color w:val="000000"/>
          <w:szCs w:val="24"/>
        </w:rPr>
        <w:t>likumā katram likuma perioda gadam tiks norādīts maksimāli pieļaujamais valsts budžeta izdevumu kopapjoms, fiskālās politikas mērķi, iekšzemes kopproduktu prognozes, valsts budžeta ieņēmumu prognozes, valsts budžeta finansiālās bilances apjoms (maksimālais deficīta līmenis un  vai minimālo pārpalikuma līmeni), vidēja termiņa budžeta mērķi un nacionālajā attīstības plānā noteiktie prioritārie attīstības virzieni.</w:t>
      </w:r>
    </w:p>
    <w:p w:rsidR="003A5DC4" w:rsidRPr="007B6715" w:rsidRDefault="003A5DC4" w:rsidP="002D62B9">
      <w:pPr>
        <w:ind w:firstLine="720"/>
        <w:rPr>
          <w:color w:val="000000"/>
          <w:szCs w:val="24"/>
        </w:rPr>
      </w:pPr>
      <w:r w:rsidRPr="007B6715">
        <w:rPr>
          <w:color w:val="000000"/>
          <w:szCs w:val="24"/>
        </w:rPr>
        <w:t>Saskaņā ar Likuma par budžetu un finanšu vadību 16.</w:t>
      </w:r>
      <w:r w:rsidRPr="007B6715">
        <w:rPr>
          <w:color w:val="000000"/>
          <w:szCs w:val="24"/>
          <w:vertAlign w:val="superscript"/>
        </w:rPr>
        <w:t>1</w:t>
      </w:r>
      <w:r w:rsidR="00A70F97">
        <w:rPr>
          <w:color w:val="000000"/>
          <w:szCs w:val="24"/>
          <w:vertAlign w:val="superscript"/>
        </w:rPr>
        <w:t> </w:t>
      </w:r>
      <w:r w:rsidRPr="007B6715">
        <w:rPr>
          <w:color w:val="000000"/>
          <w:szCs w:val="24"/>
        </w:rPr>
        <w:t xml:space="preserve">pantu jautājumā par vidēja termiņa mērķiem un iniciatīvām ir noteikts, ka, ja attiecīgajiem nākamajiem saimnieciskajiem gadiem atbilstoši spēkā esošajam </w:t>
      </w:r>
      <w:r w:rsidR="00203D1A">
        <w:rPr>
          <w:color w:val="000000"/>
          <w:szCs w:val="24"/>
        </w:rPr>
        <w:t>I</w:t>
      </w:r>
      <w:r w:rsidR="00203D1A" w:rsidRPr="00EC2DF4">
        <w:rPr>
          <w:color w:val="000000"/>
          <w:szCs w:val="24"/>
        </w:rPr>
        <w:t>etvara</w:t>
      </w:r>
      <w:r w:rsidR="00203D1A" w:rsidRPr="007B6715">
        <w:rPr>
          <w:color w:val="000000"/>
          <w:szCs w:val="24"/>
        </w:rPr>
        <w:t xml:space="preserve"> </w:t>
      </w:r>
      <w:r w:rsidRPr="007B6715">
        <w:rPr>
          <w:color w:val="000000"/>
          <w:szCs w:val="24"/>
        </w:rPr>
        <w:t xml:space="preserve">likumam ir prognozēti līdzekļi jauno </w:t>
      </w:r>
      <w:r w:rsidR="002D62B9">
        <w:rPr>
          <w:color w:val="000000"/>
          <w:szCs w:val="24"/>
        </w:rPr>
        <w:t>prioritāro pasākumu</w:t>
      </w:r>
      <w:r w:rsidR="002D62B9" w:rsidRPr="007B6715">
        <w:rPr>
          <w:color w:val="000000"/>
          <w:szCs w:val="24"/>
        </w:rPr>
        <w:t xml:space="preserve"> </w:t>
      </w:r>
      <w:r w:rsidRPr="007B6715">
        <w:rPr>
          <w:color w:val="000000"/>
          <w:szCs w:val="24"/>
        </w:rPr>
        <w:t xml:space="preserve">finansēšanai, ministrijas un  citas centrālās valsts iestādes iesniedz jaunās politikas iniciatīvas saskaņā ar </w:t>
      </w:r>
      <w:r w:rsidR="00203D1A">
        <w:rPr>
          <w:color w:val="000000"/>
          <w:szCs w:val="24"/>
        </w:rPr>
        <w:t>I</w:t>
      </w:r>
      <w:r w:rsidR="00203D1A" w:rsidRPr="00EC2DF4">
        <w:rPr>
          <w:color w:val="000000"/>
          <w:szCs w:val="24"/>
        </w:rPr>
        <w:t>etvara</w:t>
      </w:r>
      <w:r w:rsidR="00203D1A" w:rsidRPr="007B6715">
        <w:rPr>
          <w:color w:val="000000"/>
          <w:szCs w:val="24"/>
        </w:rPr>
        <w:t xml:space="preserve"> </w:t>
      </w:r>
      <w:r w:rsidRPr="007B6715">
        <w:rPr>
          <w:color w:val="000000"/>
          <w:szCs w:val="24"/>
        </w:rPr>
        <w:t>likuma projekta un gadskārtējā valsts budžeta likumprojekta  izstrādes un iesniegšanas grafiku. Atbilstoši minētā panta trešajai daļai ministrijas un citas centrālās valsts iestādes sagatavo jaunās politikas iniciatīvas, pamatojoties uz nacionālajā attīstības plānā un valsts aizsardzības koncepcijā noteiktajām prioritātēm un mērķiem. Tādējādi tiks nodrošināta valsts finanšu plānošana atbilstoši vidējam termiņam izvirzītajiem attīstības virzieniem un prioritātēm.</w:t>
      </w:r>
    </w:p>
    <w:p w:rsidR="003A5DC4" w:rsidRPr="007B6715" w:rsidRDefault="003A5DC4" w:rsidP="002D62B9">
      <w:pPr>
        <w:ind w:firstLine="720"/>
        <w:rPr>
          <w:color w:val="000000"/>
          <w:szCs w:val="24"/>
        </w:rPr>
      </w:pPr>
      <w:r w:rsidRPr="007B6715">
        <w:rPr>
          <w:color w:val="000000"/>
          <w:szCs w:val="24"/>
        </w:rPr>
        <w:t xml:space="preserve"> Finanšu ministrs iesniegs </w:t>
      </w:r>
      <w:r w:rsidR="00777544">
        <w:rPr>
          <w:color w:val="000000"/>
          <w:szCs w:val="24"/>
        </w:rPr>
        <w:t>MK</w:t>
      </w:r>
      <w:r w:rsidRPr="007B6715">
        <w:rPr>
          <w:color w:val="000000"/>
          <w:szCs w:val="24"/>
        </w:rPr>
        <w:t xml:space="preserve"> </w:t>
      </w:r>
      <w:r w:rsidR="00203D1A">
        <w:rPr>
          <w:color w:val="000000"/>
          <w:szCs w:val="24"/>
        </w:rPr>
        <w:t>I</w:t>
      </w:r>
      <w:r w:rsidR="00203D1A" w:rsidRPr="00EC2DF4">
        <w:rPr>
          <w:color w:val="000000"/>
          <w:szCs w:val="24"/>
        </w:rPr>
        <w:t>etvara</w:t>
      </w:r>
      <w:r w:rsidR="00203D1A" w:rsidRPr="007B6715">
        <w:rPr>
          <w:color w:val="000000"/>
          <w:szCs w:val="24"/>
        </w:rPr>
        <w:t xml:space="preserve"> </w:t>
      </w:r>
      <w:r w:rsidRPr="007B6715">
        <w:rPr>
          <w:color w:val="000000"/>
          <w:szCs w:val="24"/>
        </w:rPr>
        <w:t>likumprojekta un gadskārtējā valsts budžeta likumprojekta izstrādes un iesniegšanas grafika projektu nākamajam gadam līdz kārtējā gada 30.</w:t>
      </w:r>
      <w:r w:rsidR="00A70F97">
        <w:rPr>
          <w:color w:val="000000"/>
          <w:szCs w:val="24"/>
        </w:rPr>
        <w:t> </w:t>
      </w:r>
      <w:r w:rsidRPr="007B6715">
        <w:rPr>
          <w:color w:val="000000"/>
          <w:szCs w:val="24"/>
        </w:rPr>
        <w:t>novembrim (Likuma par budžetu un finanšu vadību 16.</w:t>
      </w:r>
      <w:r w:rsidRPr="007B6715">
        <w:rPr>
          <w:color w:val="000000"/>
          <w:szCs w:val="24"/>
          <w:vertAlign w:val="superscript"/>
        </w:rPr>
        <w:t>1</w:t>
      </w:r>
      <w:r w:rsidR="00A70F97">
        <w:rPr>
          <w:color w:val="000000"/>
          <w:szCs w:val="24"/>
          <w:vertAlign w:val="superscript"/>
        </w:rPr>
        <w:t> </w:t>
      </w:r>
      <w:r w:rsidR="00203D1A">
        <w:rPr>
          <w:color w:val="000000"/>
          <w:szCs w:val="24"/>
        </w:rPr>
        <w:t>panta pirmā daļa).</w:t>
      </w:r>
    </w:p>
    <w:p w:rsidR="00121CC8" w:rsidRPr="009C61B1" w:rsidRDefault="00121CC8" w:rsidP="002D62B9">
      <w:pPr>
        <w:pStyle w:val="PIRMAIS"/>
      </w:pPr>
      <w:bookmarkStart w:id="89" w:name="_Toc284924070"/>
      <w:bookmarkStart w:id="90" w:name="_Toc323120308"/>
      <w:r w:rsidRPr="009C61B1">
        <w:lastRenderedPageBreak/>
        <w:t>Pielikum</w:t>
      </w:r>
      <w:bookmarkEnd w:id="89"/>
      <w:r w:rsidR="00D3627A">
        <w:t>i</w:t>
      </w:r>
      <w:bookmarkEnd w:id="90"/>
    </w:p>
    <w:p w:rsidR="00121CC8" w:rsidRDefault="00121CC8" w:rsidP="002D62B9">
      <w:pPr>
        <w:ind w:firstLine="0"/>
      </w:pPr>
    </w:p>
    <w:p w:rsidR="002D62B9" w:rsidRPr="001946E0" w:rsidRDefault="002D62B9" w:rsidP="002D62B9">
      <w:pPr>
        <w:pStyle w:val="T"/>
        <w:ind w:left="0"/>
        <w:rPr>
          <w:rFonts w:ascii="Times New Roman" w:hAnsi="Times New Roman"/>
          <w:color w:val="000000"/>
        </w:rPr>
      </w:pPr>
      <w:r w:rsidRPr="001946E0">
        <w:rPr>
          <w:rFonts w:ascii="Times New Roman" w:hAnsi="Times New Roman"/>
          <w:color w:val="000000"/>
        </w:rPr>
        <w:t>1a. tabula. Izaugsme un ar to saistītie faktori</w:t>
      </w:r>
    </w:p>
    <w:p w:rsidR="002D62B9" w:rsidRPr="001946E0" w:rsidRDefault="002D62B9" w:rsidP="002D62B9">
      <w:pPr>
        <w:pStyle w:val="T"/>
        <w:ind w:left="0"/>
        <w:rPr>
          <w:rFonts w:ascii="Times New Roman" w:hAnsi="Times New Roman"/>
          <w:b w:val="0"/>
          <w:color w:val="000000"/>
        </w:rPr>
      </w:pPr>
    </w:p>
    <w:tbl>
      <w:tblPr>
        <w:tblW w:w="9849" w:type="dxa"/>
        <w:jc w:val="center"/>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0"/>
        <w:gridCol w:w="1037"/>
        <w:gridCol w:w="1037"/>
        <w:gridCol w:w="741"/>
        <w:gridCol w:w="741"/>
        <w:gridCol w:w="741"/>
        <w:gridCol w:w="741"/>
        <w:gridCol w:w="971"/>
      </w:tblGrid>
      <w:tr w:rsidR="002D62B9" w:rsidRPr="001946E0" w:rsidTr="00D01375">
        <w:trPr>
          <w:tblHeader/>
          <w:jc w:val="center"/>
        </w:trPr>
        <w:tc>
          <w:tcPr>
            <w:tcW w:w="3840" w:type="dxa"/>
          </w:tcPr>
          <w:p w:rsidR="002D62B9" w:rsidRPr="001946E0" w:rsidRDefault="002D62B9" w:rsidP="001B1A50">
            <w:pPr>
              <w:pStyle w:val="tabteksts"/>
              <w:keepNext/>
              <w:rPr>
                <w:color w:val="000000"/>
              </w:rPr>
            </w:pPr>
          </w:p>
        </w:tc>
        <w:tc>
          <w:tcPr>
            <w:tcW w:w="1037" w:type="dxa"/>
          </w:tcPr>
          <w:p w:rsidR="002D62B9" w:rsidRPr="001946E0" w:rsidRDefault="002D62B9" w:rsidP="001B1A50">
            <w:pPr>
              <w:pStyle w:val="tabteksts"/>
              <w:rPr>
                <w:color w:val="000000"/>
              </w:rPr>
            </w:pPr>
            <w:r w:rsidRPr="001946E0">
              <w:rPr>
                <w:color w:val="000000"/>
              </w:rPr>
              <w:t>EKS</w:t>
            </w:r>
          </w:p>
          <w:p w:rsidR="002D62B9" w:rsidRPr="001946E0" w:rsidRDefault="002D62B9" w:rsidP="001B1A50">
            <w:pPr>
              <w:pStyle w:val="tabteksts"/>
              <w:rPr>
                <w:color w:val="000000"/>
              </w:rPr>
            </w:pPr>
            <w:r w:rsidRPr="001946E0">
              <w:rPr>
                <w:color w:val="000000"/>
              </w:rPr>
              <w:t>Kods</w:t>
            </w:r>
          </w:p>
        </w:tc>
        <w:tc>
          <w:tcPr>
            <w:tcW w:w="1037" w:type="dxa"/>
            <w:vAlign w:val="center"/>
          </w:tcPr>
          <w:p w:rsidR="002D62B9" w:rsidRPr="001946E0" w:rsidRDefault="002D62B9" w:rsidP="001B1A50">
            <w:pPr>
              <w:pStyle w:val="tabteksts"/>
              <w:jc w:val="center"/>
              <w:rPr>
                <w:b/>
                <w:color w:val="000000"/>
              </w:rPr>
            </w:pPr>
            <w:r w:rsidRPr="001946E0">
              <w:rPr>
                <w:b/>
                <w:color w:val="000000"/>
              </w:rPr>
              <w:t>2011</w:t>
            </w:r>
          </w:p>
        </w:tc>
        <w:tc>
          <w:tcPr>
            <w:tcW w:w="741" w:type="dxa"/>
            <w:vAlign w:val="center"/>
          </w:tcPr>
          <w:p w:rsidR="002D62B9" w:rsidRPr="001946E0" w:rsidRDefault="002D62B9" w:rsidP="001B1A50">
            <w:pPr>
              <w:pStyle w:val="tabteksts"/>
              <w:jc w:val="center"/>
              <w:rPr>
                <w:b/>
                <w:color w:val="000000"/>
              </w:rPr>
            </w:pPr>
            <w:r w:rsidRPr="001946E0">
              <w:rPr>
                <w:b/>
                <w:color w:val="000000"/>
              </w:rPr>
              <w:t>2012</w:t>
            </w:r>
          </w:p>
        </w:tc>
        <w:tc>
          <w:tcPr>
            <w:tcW w:w="741" w:type="dxa"/>
            <w:vAlign w:val="center"/>
          </w:tcPr>
          <w:p w:rsidR="002D62B9" w:rsidRPr="001946E0" w:rsidRDefault="002D62B9" w:rsidP="001B1A50">
            <w:pPr>
              <w:pStyle w:val="tabteksts"/>
              <w:jc w:val="center"/>
              <w:rPr>
                <w:b/>
                <w:color w:val="000000"/>
              </w:rPr>
            </w:pPr>
            <w:r w:rsidRPr="001946E0">
              <w:rPr>
                <w:b/>
                <w:color w:val="000000"/>
              </w:rPr>
              <w:t>2013</w:t>
            </w:r>
          </w:p>
        </w:tc>
        <w:tc>
          <w:tcPr>
            <w:tcW w:w="741" w:type="dxa"/>
            <w:vAlign w:val="center"/>
          </w:tcPr>
          <w:p w:rsidR="002D62B9" w:rsidRPr="001946E0" w:rsidRDefault="002D62B9" w:rsidP="001B1A50">
            <w:pPr>
              <w:pStyle w:val="tabteksts"/>
              <w:jc w:val="center"/>
              <w:rPr>
                <w:b/>
                <w:color w:val="000000"/>
              </w:rPr>
            </w:pPr>
            <w:r w:rsidRPr="001946E0">
              <w:rPr>
                <w:b/>
                <w:color w:val="000000"/>
              </w:rPr>
              <w:t>2014</w:t>
            </w:r>
          </w:p>
        </w:tc>
        <w:tc>
          <w:tcPr>
            <w:tcW w:w="741" w:type="dxa"/>
            <w:vAlign w:val="center"/>
          </w:tcPr>
          <w:p w:rsidR="002D62B9" w:rsidRPr="001946E0" w:rsidRDefault="002D62B9" w:rsidP="001B1A50">
            <w:pPr>
              <w:pStyle w:val="tabteksts"/>
              <w:jc w:val="center"/>
              <w:rPr>
                <w:b/>
                <w:color w:val="000000"/>
              </w:rPr>
            </w:pPr>
            <w:r w:rsidRPr="001946E0">
              <w:rPr>
                <w:b/>
                <w:color w:val="000000"/>
              </w:rPr>
              <w:t>2015</w:t>
            </w:r>
          </w:p>
        </w:tc>
        <w:tc>
          <w:tcPr>
            <w:tcW w:w="971" w:type="dxa"/>
            <w:vAlign w:val="center"/>
          </w:tcPr>
          <w:p w:rsidR="002D62B9" w:rsidRPr="001946E0" w:rsidRDefault="002D62B9" w:rsidP="001B1A50">
            <w:pPr>
              <w:pStyle w:val="tabteksts"/>
              <w:jc w:val="center"/>
              <w:rPr>
                <w:b/>
                <w:color w:val="000000"/>
              </w:rPr>
            </w:pPr>
            <w:r w:rsidRPr="001946E0">
              <w:rPr>
                <w:b/>
                <w:color w:val="000000"/>
              </w:rPr>
              <w:t>2011</w:t>
            </w:r>
          </w:p>
        </w:tc>
      </w:tr>
      <w:tr w:rsidR="002D62B9" w:rsidRPr="001946E0" w:rsidTr="00D01375">
        <w:trPr>
          <w:jc w:val="center"/>
        </w:trPr>
        <w:tc>
          <w:tcPr>
            <w:tcW w:w="3840" w:type="dxa"/>
          </w:tcPr>
          <w:p w:rsidR="002D62B9" w:rsidRPr="001946E0" w:rsidRDefault="002D62B9" w:rsidP="001B1A50">
            <w:pPr>
              <w:pStyle w:val="tabteksts"/>
              <w:rPr>
                <w:snapToGrid w:val="0"/>
                <w:color w:val="000000"/>
              </w:rPr>
            </w:pPr>
          </w:p>
        </w:tc>
        <w:tc>
          <w:tcPr>
            <w:tcW w:w="1037" w:type="dxa"/>
          </w:tcPr>
          <w:p w:rsidR="002D62B9" w:rsidRPr="001946E0" w:rsidRDefault="002D62B9" w:rsidP="001B1A50">
            <w:pPr>
              <w:pStyle w:val="tabteksts"/>
              <w:rPr>
                <w:color w:val="000000"/>
              </w:rPr>
            </w:pPr>
          </w:p>
        </w:tc>
        <w:tc>
          <w:tcPr>
            <w:tcW w:w="1037" w:type="dxa"/>
          </w:tcPr>
          <w:p w:rsidR="002D62B9" w:rsidRPr="001946E0" w:rsidRDefault="002D62B9" w:rsidP="001B1A50">
            <w:pPr>
              <w:pStyle w:val="tabteksts"/>
              <w:tabs>
                <w:tab w:val="decimal" w:pos="296"/>
              </w:tabs>
              <w:rPr>
                <w:noProof/>
                <w:color w:val="000000"/>
              </w:rPr>
            </w:pPr>
            <w:r w:rsidRPr="001946E0">
              <w:rPr>
                <w:noProof/>
                <w:color w:val="000000"/>
              </w:rPr>
              <w:t>milj. latu</w:t>
            </w:r>
          </w:p>
        </w:tc>
        <w:tc>
          <w:tcPr>
            <w:tcW w:w="3935" w:type="dxa"/>
            <w:gridSpan w:val="5"/>
          </w:tcPr>
          <w:p w:rsidR="002D62B9" w:rsidRPr="001946E0" w:rsidRDefault="002D62B9" w:rsidP="001B1A50">
            <w:pPr>
              <w:pStyle w:val="tabteksts"/>
              <w:tabs>
                <w:tab w:val="decimal" w:pos="296"/>
              </w:tabs>
              <w:jc w:val="center"/>
              <w:rPr>
                <w:color w:val="000000"/>
              </w:rPr>
            </w:pPr>
            <w:r w:rsidRPr="001946E0">
              <w:rPr>
                <w:color w:val="000000"/>
              </w:rPr>
              <w:t>Pieaugums %</w:t>
            </w:r>
          </w:p>
        </w:tc>
      </w:tr>
      <w:tr w:rsidR="002D62B9" w:rsidRPr="001946E0" w:rsidTr="00D01375">
        <w:trPr>
          <w:jc w:val="center"/>
        </w:trPr>
        <w:tc>
          <w:tcPr>
            <w:tcW w:w="3840" w:type="dxa"/>
          </w:tcPr>
          <w:p w:rsidR="002D62B9" w:rsidRPr="001946E0" w:rsidRDefault="002D62B9" w:rsidP="001B1A50">
            <w:pPr>
              <w:pStyle w:val="tabteksts"/>
              <w:rPr>
                <w:snapToGrid w:val="0"/>
                <w:color w:val="000000"/>
              </w:rPr>
            </w:pPr>
            <w:r w:rsidRPr="001946E0">
              <w:rPr>
                <w:snapToGrid w:val="0"/>
                <w:color w:val="000000"/>
              </w:rPr>
              <w:t>1. IKP 2000. gada cenās</w:t>
            </w:r>
          </w:p>
        </w:tc>
        <w:tc>
          <w:tcPr>
            <w:tcW w:w="1037" w:type="dxa"/>
          </w:tcPr>
          <w:p w:rsidR="002D62B9" w:rsidRPr="001946E0" w:rsidRDefault="002D62B9" w:rsidP="001B1A50">
            <w:pPr>
              <w:pStyle w:val="tabteksts"/>
              <w:rPr>
                <w:color w:val="000000"/>
              </w:rPr>
            </w:pPr>
            <w:r w:rsidRPr="001946E0">
              <w:rPr>
                <w:color w:val="000000"/>
              </w:rPr>
              <w:t>B1*g</w:t>
            </w:r>
          </w:p>
        </w:tc>
        <w:tc>
          <w:tcPr>
            <w:tcW w:w="1037" w:type="dxa"/>
            <w:vAlign w:val="center"/>
          </w:tcPr>
          <w:p w:rsidR="002D62B9" w:rsidRPr="001946E0" w:rsidRDefault="002D62B9" w:rsidP="001B1A50">
            <w:pPr>
              <w:spacing w:after="0"/>
              <w:ind w:hanging="31"/>
              <w:jc w:val="right"/>
              <w:rPr>
                <w:color w:val="000000"/>
                <w:sz w:val="20"/>
              </w:rPr>
            </w:pPr>
            <w:r w:rsidRPr="001946E0">
              <w:rPr>
                <w:color w:val="000000"/>
                <w:sz w:val="20"/>
              </w:rPr>
              <w:t>7135,2</w:t>
            </w:r>
          </w:p>
        </w:tc>
        <w:tc>
          <w:tcPr>
            <w:tcW w:w="741" w:type="dxa"/>
          </w:tcPr>
          <w:p w:rsidR="002D62B9" w:rsidRPr="001946E0" w:rsidRDefault="002D62B9" w:rsidP="001B1A50">
            <w:pPr>
              <w:spacing w:after="0"/>
              <w:ind w:hanging="31"/>
              <w:jc w:val="center"/>
              <w:rPr>
                <w:color w:val="000000"/>
                <w:sz w:val="20"/>
              </w:rPr>
            </w:pPr>
            <w:r w:rsidRPr="001946E0">
              <w:rPr>
                <w:color w:val="000000"/>
                <w:sz w:val="20"/>
              </w:rPr>
              <w:t>5,5</w:t>
            </w:r>
          </w:p>
        </w:tc>
        <w:tc>
          <w:tcPr>
            <w:tcW w:w="741" w:type="dxa"/>
          </w:tcPr>
          <w:p w:rsidR="002D62B9" w:rsidRPr="001946E0" w:rsidRDefault="002D62B9" w:rsidP="001B1A50">
            <w:pPr>
              <w:spacing w:after="0"/>
              <w:ind w:hanging="31"/>
              <w:jc w:val="center"/>
              <w:rPr>
                <w:color w:val="000000"/>
                <w:sz w:val="20"/>
              </w:rPr>
            </w:pPr>
            <w:r w:rsidRPr="001946E0">
              <w:rPr>
                <w:color w:val="000000"/>
                <w:sz w:val="20"/>
              </w:rPr>
              <w:t>2,0</w:t>
            </w:r>
          </w:p>
        </w:tc>
        <w:tc>
          <w:tcPr>
            <w:tcW w:w="741" w:type="dxa"/>
          </w:tcPr>
          <w:p w:rsidR="002D62B9" w:rsidRPr="001946E0" w:rsidRDefault="002D62B9" w:rsidP="001B1A50">
            <w:pPr>
              <w:spacing w:after="0"/>
              <w:ind w:hanging="31"/>
              <w:jc w:val="center"/>
              <w:rPr>
                <w:color w:val="000000"/>
                <w:sz w:val="20"/>
              </w:rPr>
            </w:pPr>
            <w:r w:rsidRPr="001946E0">
              <w:rPr>
                <w:color w:val="000000"/>
                <w:sz w:val="20"/>
              </w:rPr>
              <w:t>3,7</w:t>
            </w:r>
          </w:p>
        </w:tc>
        <w:tc>
          <w:tcPr>
            <w:tcW w:w="741" w:type="dxa"/>
          </w:tcPr>
          <w:p w:rsidR="002D62B9" w:rsidRPr="001946E0" w:rsidRDefault="002D62B9" w:rsidP="001B1A50">
            <w:pPr>
              <w:spacing w:after="0"/>
              <w:ind w:hanging="31"/>
              <w:jc w:val="center"/>
              <w:rPr>
                <w:color w:val="000000"/>
                <w:sz w:val="20"/>
              </w:rPr>
            </w:pPr>
            <w:r w:rsidRPr="001946E0">
              <w:rPr>
                <w:color w:val="000000"/>
                <w:sz w:val="20"/>
              </w:rPr>
              <w:t>4,0</w:t>
            </w:r>
          </w:p>
        </w:tc>
        <w:tc>
          <w:tcPr>
            <w:tcW w:w="971" w:type="dxa"/>
          </w:tcPr>
          <w:p w:rsidR="002D62B9" w:rsidRPr="001946E0" w:rsidRDefault="002D62B9" w:rsidP="001B1A50">
            <w:pPr>
              <w:spacing w:after="0"/>
              <w:ind w:hanging="31"/>
              <w:jc w:val="center"/>
              <w:rPr>
                <w:color w:val="000000"/>
                <w:sz w:val="20"/>
              </w:rPr>
            </w:pPr>
            <w:r w:rsidRPr="001946E0">
              <w:rPr>
                <w:color w:val="000000"/>
                <w:sz w:val="20"/>
              </w:rPr>
              <w:t>4,0</w:t>
            </w:r>
          </w:p>
        </w:tc>
      </w:tr>
      <w:tr w:rsidR="002D62B9" w:rsidRPr="001946E0" w:rsidTr="00D01375">
        <w:trPr>
          <w:jc w:val="center"/>
        </w:trPr>
        <w:tc>
          <w:tcPr>
            <w:tcW w:w="3840" w:type="dxa"/>
          </w:tcPr>
          <w:p w:rsidR="002D62B9" w:rsidRPr="001946E0" w:rsidRDefault="002D62B9" w:rsidP="001B1A50">
            <w:pPr>
              <w:pStyle w:val="tabteksts"/>
              <w:rPr>
                <w:snapToGrid w:val="0"/>
                <w:color w:val="000000"/>
              </w:rPr>
            </w:pPr>
            <w:r w:rsidRPr="001946E0">
              <w:rPr>
                <w:snapToGrid w:val="0"/>
                <w:color w:val="000000"/>
              </w:rPr>
              <w:t>2. IKP faktiskajās cenās</w:t>
            </w:r>
          </w:p>
        </w:tc>
        <w:tc>
          <w:tcPr>
            <w:tcW w:w="1037" w:type="dxa"/>
          </w:tcPr>
          <w:p w:rsidR="002D62B9" w:rsidRPr="001946E0" w:rsidRDefault="002D62B9" w:rsidP="001B1A50">
            <w:pPr>
              <w:pStyle w:val="tabteksts"/>
              <w:rPr>
                <w:color w:val="000000"/>
              </w:rPr>
            </w:pPr>
            <w:r w:rsidRPr="001946E0">
              <w:rPr>
                <w:color w:val="000000"/>
              </w:rPr>
              <w:t>B1*g</w:t>
            </w:r>
          </w:p>
        </w:tc>
        <w:tc>
          <w:tcPr>
            <w:tcW w:w="1037" w:type="dxa"/>
            <w:vAlign w:val="center"/>
          </w:tcPr>
          <w:p w:rsidR="002D62B9" w:rsidRPr="001946E0" w:rsidRDefault="002D62B9" w:rsidP="001B1A50">
            <w:pPr>
              <w:spacing w:after="0"/>
              <w:ind w:hanging="31"/>
              <w:jc w:val="right"/>
              <w:rPr>
                <w:color w:val="000000"/>
                <w:sz w:val="20"/>
              </w:rPr>
            </w:pPr>
            <w:r w:rsidRPr="001946E0">
              <w:rPr>
                <w:color w:val="000000"/>
                <w:sz w:val="20"/>
              </w:rPr>
              <w:t>14161,0</w:t>
            </w:r>
          </w:p>
        </w:tc>
        <w:tc>
          <w:tcPr>
            <w:tcW w:w="741" w:type="dxa"/>
          </w:tcPr>
          <w:p w:rsidR="002D62B9" w:rsidRPr="001946E0" w:rsidRDefault="002D62B9" w:rsidP="001B1A50">
            <w:pPr>
              <w:spacing w:after="0"/>
              <w:ind w:hanging="31"/>
              <w:jc w:val="center"/>
              <w:rPr>
                <w:color w:val="000000"/>
                <w:sz w:val="20"/>
              </w:rPr>
            </w:pPr>
            <w:r w:rsidRPr="001946E0">
              <w:rPr>
                <w:color w:val="000000"/>
                <w:sz w:val="20"/>
              </w:rPr>
              <w:t>11,2</w:t>
            </w:r>
          </w:p>
        </w:tc>
        <w:tc>
          <w:tcPr>
            <w:tcW w:w="741" w:type="dxa"/>
          </w:tcPr>
          <w:p w:rsidR="002D62B9" w:rsidRPr="001946E0" w:rsidRDefault="002D62B9" w:rsidP="001B1A50">
            <w:pPr>
              <w:spacing w:after="0"/>
              <w:ind w:hanging="31"/>
              <w:jc w:val="center"/>
              <w:rPr>
                <w:color w:val="000000"/>
                <w:sz w:val="20"/>
              </w:rPr>
            </w:pPr>
            <w:r w:rsidRPr="001946E0">
              <w:rPr>
                <w:color w:val="000000"/>
                <w:sz w:val="20"/>
              </w:rPr>
              <w:t>3,7</w:t>
            </w:r>
          </w:p>
        </w:tc>
        <w:tc>
          <w:tcPr>
            <w:tcW w:w="741" w:type="dxa"/>
          </w:tcPr>
          <w:p w:rsidR="002D62B9" w:rsidRPr="001946E0" w:rsidRDefault="002D62B9" w:rsidP="001B1A50">
            <w:pPr>
              <w:spacing w:after="0"/>
              <w:ind w:hanging="31"/>
              <w:jc w:val="center"/>
              <w:rPr>
                <w:color w:val="000000"/>
                <w:sz w:val="20"/>
              </w:rPr>
            </w:pPr>
            <w:r w:rsidRPr="001946E0">
              <w:rPr>
                <w:color w:val="000000"/>
                <w:sz w:val="20"/>
              </w:rPr>
              <w:t>5,8</w:t>
            </w:r>
          </w:p>
        </w:tc>
        <w:tc>
          <w:tcPr>
            <w:tcW w:w="741" w:type="dxa"/>
          </w:tcPr>
          <w:p w:rsidR="002D62B9" w:rsidRPr="001946E0" w:rsidRDefault="002D62B9" w:rsidP="001B1A50">
            <w:pPr>
              <w:spacing w:after="0"/>
              <w:ind w:hanging="31"/>
              <w:jc w:val="center"/>
              <w:rPr>
                <w:color w:val="000000"/>
                <w:sz w:val="20"/>
              </w:rPr>
            </w:pPr>
            <w:r w:rsidRPr="001946E0">
              <w:rPr>
                <w:color w:val="000000"/>
                <w:sz w:val="20"/>
              </w:rPr>
              <w:t>6,0</w:t>
            </w:r>
          </w:p>
        </w:tc>
        <w:tc>
          <w:tcPr>
            <w:tcW w:w="971" w:type="dxa"/>
          </w:tcPr>
          <w:p w:rsidR="002D62B9" w:rsidRPr="001946E0" w:rsidRDefault="002D62B9" w:rsidP="001B1A50">
            <w:pPr>
              <w:spacing w:after="0"/>
              <w:ind w:hanging="31"/>
              <w:jc w:val="center"/>
              <w:rPr>
                <w:color w:val="000000"/>
                <w:sz w:val="20"/>
              </w:rPr>
            </w:pPr>
            <w:r w:rsidRPr="001946E0">
              <w:rPr>
                <w:color w:val="000000"/>
                <w:sz w:val="20"/>
              </w:rPr>
              <w:t>6,1</w:t>
            </w:r>
          </w:p>
        </w:tc>
      </w:tr>
      <w:tr w:rsidR="002D62B9" w:rsidRPr="001946E0" w:rsidTr="00D01375">
        <w:trPr>
          <w:jc w:val="center"/>
        </w:trPr>
        <w:tc>
          <w:tcPr>
            <w:tcW w:w="9849" w:type="dxa"/>
            <w:gridSpan w:val="8"/>
          </w:tcPr>
          <w:p w:rsidR="002D62B9" w:rsidRPr="001946E0" w:rsidRDefault="002D62B9" w:rsidP="001B1A50">
            <w:pPr>
              <w:pStyle w:val="tabteksts"/>
              <w:tabs>
                <w:tab w:val="decimal" w:pos="296"/>
              </w:tabs>
              <w:jc w:val="center"/>
              <w:rPr>
                <w:color w:val="000000"/>
              </w:rPr>
            </w:pPr>
            <w:r w:rsidRPr="001946E0">
              <w:rPr>
                <w:b/>
                <w:color w:val="000000"/>
              </w:rPr>
              <w:t>IKP pēc izlietojuma 2000. gada cenās</w:t>
            </w:r>
          </w:p>
        </w:tc>
      </w:tr>
      <w:tr w:rsidR="002D62B9" w:rsidRPr="001946E0" w:rsidTr="00D01375">
        <w:trPr>
          <w:jc w:val="center"/>
        </w:trPr>
        <w:tc>
          <w:tcPr>
            <w:tcW w:w="3840" w:type="dxa"/>
          </w:tcPr>
          <w:p w:rsidR="002D62B9" w:rsidRPr="001946E0" w:rsidRDefault="002D62B9" w:rsidP="001B1A50">
            <w:pPr>
              <w:pStyle w:val="tabteksts"/>
              <w:rPr>
                <w:snapToGrid w:val="0"/>
                <w:color w:val="000000"/>
              </w:rPr>
            </w:pPr>
            <w:r w:rsidRPr="001946E0">
              <w:rPr>
                <w:snapToGrid w:val="0"/>
                <w:color w:val="000000"/>
              </w:rPr>
              <w:t>3. Privātais patēriņš</w:t>
            </w:r>
          </w:p>
        </w:tc>
        <w:tc>
          <w:tcPr>
            <w:tcW w:w="1037" w:type="dxa"/>
          </w:tcPr>
          <w:p w:rsidR="002D62B9" w:rsidRPr="001946E0" w:rsidRDefault="002D62B9" w:rsidP="001B1A50">
            <w:pPr>
              <w:pStyle w:val="tabteksts"/>
              <w:rPr>
                <w:color w:val="000000"/>
              </w:rPr>
            </w:pPr>
            <w:r w:rsidRPr="001946E0">
              <w:rPr>
                <w:color w:val="000000"/>
              </w:rPr>
              <w:t>P3</w:t>
            </w:r>
          </w:p>
        </w:tc>
        <w:tc>
          <w:tcPr>
            <w:tcW w:w="1037" w:type="dxa"/>
            <w:vAlign w:val="center"/>
          </w:tcPr>
          <w:p w:rsidR="002D62B9" w:rsidRPr="001946E0" w:rsidRDefault="002D62B9" w:rsidP="001B1A50">
            <w:pPr>
              <w:spacing w:after="0"/>
              <w:ind w:hanging="31"/>
              <w:jc w:val="right"/>
              <w:rPr>
                <w:color w:val="000000"/>
                <w:sz w:val="20"/>
              </w:rPr>
            </w:pPr>
            <w:r w:rsidRPr="001946E0">
              <w:rPr>
                <w:color w:val="000000"/>
                <w:sz w:val="20"/>
              </w:rPr>
              <w:t>4780,4</w:t>
            </w:r>
          </w:p>
        </w:tc>
        <w:tc>
          <w:tcPr>
            <w:tcW w:w="741" w:type="dxa"/>
          </w:tcPr>
          <w:p w:rsidR="002D62B9" w:rsidRPr="001946E0" w:rsidRDefault="002D62B9" w:rsidP="001B1A50">
            <w:pPr>
              <w:spacing w:after="0"/>
              <w:ind w:hanging="31"/>
              <w:jc w:val="center"/>
              <w:rPr>
                <w:color w:val="000000"/>
                <w:sz w:val="20"/>
              </w:rPr>
            </w:pPr>
            <w:r w:rsidRPr="001946E0">
              <w:rPr>
                <w:color w:val="000000"/>
                <w:sz w:val="20"/>
              </w:rPr>
              <w:t>1,9</w:t>
            </w:r>
          </w:p>
        </w:tc>
        <w:tc>
          <w:tcPr>
            <w:tcW w:w="741" w:type="dxa"/>
          </w:tcPr>
          <w:p w:rsidR="002D62B9" w:rsidRPr="001946E0" w:rsidRDefault="002D62B9" w:rsidP="001B1A50">
            <w:pPr>
              <w:spacing w:after="0"/>
              <w:ind w:hanging="31"/>
              <w:jc w:val="center"/>
              <w:rPr>
                <w:color w:val="000000"/>
                <w:sz w:val="20"/>
              </w:rPr>
            </w:pPr>
            <w:r w:rsidRPr="001946E0">
              <w:rPr>
                <w:color w:val="000000"/>
                <w:sz w:val="20"/>
              </w:rPr>
              <w:t>3,7</w:t>
            </w:r>
          </w:p>
        </w:tc>
        <w:tc>
          <w:tcPr>
            <w:tcW w:w="741" w:type="dxa"/>
          </w:tcPr>
          <w:p w:rsidR="002D62B9" w:rsidRPr="001946E0" w:rsidRDefault="002D62B9" w:rsidP="001B1A50">
            <w:pPr>
              <w:spacing w:after="0"/>
              <w:ind w:hanging="31"/>
              <w:jc w:val="center"/>
              <w:rPr>
                <w:color w:val="000000"/>
                <w:sz w:val="20"/>
              </w:rPr>
            </w:pPr>
            <w:r w:rsidRPr="001946E0">
              <w:rPr>
                <w:color w:val="000000"/>
                <w:sz w:val="20"/>
              </w:rPr>
              <w:t>4,0</w:t>
            </w:r>
          </w:p>
        </w:tc>
        <w:tc>
          <w:tcPr>
            <w:tcW w:w="741" w:type="dxa"/>
          </w:tcPr>
          <w:p w:rsidR="002D62B9" w:rsidRPr="001946E0" w:rsidRDefault="002D62B9" w:rsidP="001B1A50">
            <w:pPr>
              <w:spacing w:after="0"/>
              <w:ind w:hanging="31"/>
              <w:jc w:val="center"/>
              <w:rPr>
                <w:color w:val="000000"/>
                <w:sz w:val="20"/>
              </w:rPr>
            </w:pPr>
            <w:r w:rsidRPr="001946E0">
              <w:rPr>
                <w:color w:val="000000"/>
                <w:sz w:val="20"/>
              </w:rPr>
              <w:t>4,0</w:t>
            </w:r>
          </w:p>
        </w:tc>
        <w:tc>
          <w:tcPr>
            <w:tcW w:w="971" w:type="dxa"/>
          </w:tcPr>
          <w:p w:rsidR="002D62B9" w:rsidRPr="001946E0" w:rsidRDefault="002D62B9" w:rsidP="001B1A50">
            <w:pPr>
              <w:spacing w:after="0"/>
              <w:ind w:hanging="31"/>
              <w:jc w:val="center"/>
              <w:rPr>
                <w:color w:val="000000"/>
                <w:sz w:val="20"/>
              </w:rPr>
            </w:pPr>
            <w:r w:rsidRPr="001946E0">
              <w:rPr>
                <w:color w:val="000000"/>
                <w:sz w:val="20"/>
              </w:rPr>
              <w:t>1,9</w:t>
            </w:r>
          </w:p>
        </w:tc>
      </w:tr>
      <w:tr w:rsidR="002D62B9" w:rsidRPr="001946E0" w:rsidTr="00D01375">
        <w:trPr>
          <w:jc w:val="center"/>
        </w:trPr>
        <w:tc>
          <w:tcPr>
            <w:tcW w:w="3840" w:type="dxa"/>
          </w:tcPr>
          <w:p w:rsidR="002D62B9" w:rsidRPr="001946E0" w:rsidRDefault="002D62B9" w:rsidP="001B1A50">
            <w:pPr>
              <w:pStyle w:val="tabteksts"/>
              <w:rPr>
                <w:snapToGrid w:val="0"/>
                <w:color w:val="000000"/>
              </w:rPr>
            </w:pPr>
            <w:r w:rsidRPr="001946E0">
              <w:rPr>
                <w:snapToGrid w:val="0"/>
                <w:color w:val="000000"/>
              </w:rPr>
              <w:t>4. Sabiedriskais patēriņš</w:t>
            </w:r>
          </w:p>
        </w:tc>
        <w:tc>
          <w:tcPr>
            <w:tcW w:w="1037" w:type="dxa"/>
          </w:tcPr>
          <w:p w:rsidR="002D62B9" w:rsidRPr="001946E0" w:rsidRDefault="002D62B9" w:rsidP="001B1A50">
            <w:pPr>
              <w:pStyle w:val="tabteksts"/>
              <w:rPr>
                <w:color w:val="000000"/>
              </w:rPr>
            </w:pPr>
            <w:r w:rsidRPr="001946E0">
              <w:rPr>
                <w:color w:val="000000"/>
              </w:rPr>
              <w:t>P3</w:t>
            </w:r>
          </w:p>
        </w:tc>
        <w:tc>
          <w:tcPr>
            <w:tcW w:w="1037" w:type="dxa"/>
            <w:vAlign w:val="center"/>
          </w:tcPr>
          <w:p w:rsidR="002D62B9" w:rsidRPr="001946E0" w:rsidRDefault="002D62B9" w:rsidP="001B1A50">
            <w:pPr>
              <w:spacing w:after="0"/>
              <w:ind w:hanging="31"/>
              <w:jc w:val="right"/>
              <w:rPr>
                <w:color w:val="000000"/>
                <w:sz w:val="20"/>
              </w:rPr>
            </w:pPr>
            <w:r w:rsidRPr="001946E0">
              <w:rPr>
                <w:color w:val="000000"/>
                <w:sz w:val="20"/>
              </w:rPr>
              <w:t>1035,5</w:t>
            </w:r>
          </w:p>
        </w:tc>
        <w:tc>
          <w:tcPr>
            <w:tcW w:w="741" w:type="dxa"/>
          </w:tcPr>
          <w:p w:rsidR="002D62B9" w:rsidRPr="001946E0" w:rsidRDefault="002D62B9" w:rsidP="001B1A50">
            <w:pPr>
              <w:spacing w:after="0"/>
              <w:ind w:hanging="31"/>
              <w:jc w:val="center"/>
              <w:rPr>
                <w:color w:val="000000"/>
                <w:sz w:val="20"/>
              </w:rPr>
            </w:pPr>
            <w:r w:rsidRPr="001946E0">
              <w:rPr>
                <w:color w:val="000000"/>
                <w:sz w:val="20"/>
              </w:rPr>
              <w:t>0,0</w:t>
            </w:r>
          </w:p>
        </w:tc>
        <w:tc>
          <w:tcPr>
            <w:tcW w:w="741" w:type="dxa"/>
          </w:tcPr>
          <w:p w:rsidR="002D62B9" w:rsidRPr="001946E0" w:rsidRDefault="002D62B9" w:rsidP="001B1A50">
            <w:pPr>
              <w:spacing w:after="0"/>
              <w:ind w:hanging="31"/>
              <w:jc w:val="center"/>
              <w:rPr>
                <w:color w:val="000000"/>
                <w:sz w:val="20"/>
              </w:rPr>
            </w:pPr>
            <w:r w:rsidRPr="001946E0">
              <w:rPr>
                <w:color w:val="000000"/>
                <w:sz w:val="20"/>
              </w:rPr>
              <w:t>0,0</w:t>
            </w:r>
          </w:p>
        </w:tc>
        <w:tc>
          <w:tcPr>
            <w:tcW w:w="741" w:type="dxa"/>
          </w:tcPr>
          <w:p w:rsidR="002D62B9" w:rsidRPr="001946E0" w:rsidRDefault="002D62B9" w:rsidP="001B1A50">
            <w:pPr>
              <w:spacing w:after="0"/>
              <w:ind w:hanging="31"/>
              <w:jc w:val="center"/>
              <w:rPr>
                <w:color w:val="000000"/>
                <w:sz w:val="20"/>
              </w:rPr>
            </w:pPr>
            <w:r w:rsidRPr="001946E0">
              <w:rPr>
                <w:color w:val="000000"/>
                <w:sz w:val="20"/>
              </w:rPr>
              <w:t>0,5</w:t>
            </w:r>
          </w:p>
        </w:tc>
        <w:tc>
          <w:tcPr>
            <w:tcW w:w="741" w:type="dxa"/>
          </w:tcPr>
          <w:p w:rsidR="002D62B9" w:rsidRPr="001946E0" w:rsidRDefault="002D62B9" w:rsidP="001B1A50">
            <w:pPr>
              <w:spacing w:after="0"/>
              <w:ind w:hanging="31"/>
              <w:jc w:val="center"/>
              <w:rPr>
                <w:color w:val="000000"/>
                <w:sz w:val="20"/>
              </w:rPr>
            </w:pPr>
            <w:r w:rsidRPr="001946E0">
              <w:rPr>
                <w:color w:val="000000"/>
                <w:sz w:val="20"/>
              </w:rPr>
              <w:t>1,0</w:t>
            </w:r>
          </w:p>
        </w:tc>
        <w:tc>
          <w:tcPr>
            <w:tcW w:w="971" w:type="dxa"/>
          </w:tcPr>
          <w:p w:rsidR="002D62B9" w:rsidRPr="001946E0" w:rsidRDefault="002D62B9" w:rsidP="001B1A50">
            <w:pPr>
              <w:spacing w:after="0"/>
              <w:ind w:hanging="31"/>
              <w:jc w:val="center"/>
              <w:rPr>
                <w:color w:val="000000"/>
                <w:sz w:val="20"/>
              </w:rPr>
            </w:pPr>
            <w:r w:rsidRPr="001946E0">
              <w:rPr>
                <w:color w:val="000000"/>
                <w:sz w:val="20"/>
              </w:rPr>
              <w:t>0,0</w:t>
            </w:r>
          </w:p>
        </w:tc>
      </w:tr>
      <w:tr w:rsidR="002D62B9" w:rsidRPr="001946E0" w:rsidTr="00D01375">
        <w:trPr>
          <w:jc w:val="center"/>
        </w:trPr>
        <w:tc>
          <w:tcPr>
            <w:tcW w:w="3840" w:type="dxa"/>
          </w:tcPr>
          <w:p w:rsidR="002D62B9" w:rsidRPr="001946E0" w:rsidRDefault="002D62B9" w:rsidP="001B1A50">
            <w:pPr>
              <w:pStyle w:val="tabteksts"/>
              <w:rPr>
                <w:snapToGrid w:val="0"/>
                <w:color w:val="000000"/>
              </w:rPr>
            </w:pPr>
            <w:r w:rsidRPr="001946E0">
              <w:rPr>
                <w:snapToGrid w:val="0"/>
                <w:color w:val="000000"/>
              </w:rPr>
              <w:t>5. Kopējā pamatkapitālā veidošana</w:t>
            </w:r>
          </w:p>
        </w:tc>
        <w:tc>
          <w:tcPr>
            <w:tcW w:w="1037" w:type="dxa"/>
          </w:tcPr>
          <w:p w:rsidR="002D62B9" w:rsidRPr="001946E0" w:rsidRDefault="002D62B9" w:rsidP="001B1A50">
            <w:pPr>
              <w:pStyle w:val="tabteksts"/>
              <w:rPr>
                <w:color w:val="000000"/>
              </w:rPr>
            </w:pPr>
            <w:r w:rsidRPr="001946E0">
              <w:rPr>
                <w:color w:val="000000"/>
              </w:rPr>
              <w:t>P51</w:t>
            </w:r>
          </w:p>
        </w:tc>
        <w:tc>
          <w:tcPr>
            <w:tcW w:w="1037" w:type="dxa"/>
            <w:vAlign w:val="center"/>
          </w:tcPr>
          <w:p w:rsidR="002D62B9" w:rsidRPr="001946E0" w:rsidRDefault="002D62B9" w:rsidP="001B1A50">
            <w:pPr>
              <w:spacing w:after="0"/>
              <w:ind w:hanging="31"/>
              <w:jc w:val="right"/>
              <w:rPr>
                <w:color w:val="000000"/>
                <w:sz w:val="20"/>
              </w:rPr>
            </w:pPr>
            <w:r w:rsidRPr="001946E0">
              <w:rPr>
                <w:color w:val="000000"/>
                <w:sz w:val="20"/>
              </w:rPr>
              <w:t>1851,7</w:t>
            </w:r>
          </w:p>
        </w:tc>
        <w:tc>
          <w:tcPr>
            <w:tcW w:w="741" w:type="dxa"/>
          </w:tcPr>
          <w:p w:rsidR="002D62B9" w:rsidRPr="001946E0" w:rsidRDefault="002D62B9" w:rsidP="001B1A50">
            <w:pPr>
              <w:spacing w:after="0"/>
              <w:ind w:hanging="31"/>
              <w:jc w:val="center"/>
              <w:rPr>
                <w:color w:val="000000"/>
                <w:sz w:val="20"/>
              </w:rPr>
            </w:pPr>
            <w:r w:rsidRPr="001946E0">
              <w:rPr>
                <w:color w:val="000000"/>
                <w:sz w:val="20"/>
              </w:rPr>
              <w:t>7,4</w:t>
            </w:r>
          </w:p>
        </w:tc>
        <w:tc>
          <w:tcPr>
            <w:tcW w:w="741" w:type="dxa"/>
          </w:tcPr>
          <w:p w:rsidR="002D62B9" w:rsidRPr="001946E0" w:rsidRDefault="002D62B9" w:rsidP="001B1A50">
            <w:pPr>
              <w:spacing w:after="0"/>
              <w:ind w:hanging="31"/>
              <w:jc w:val="center"/>
              <w:rPr>
                <w:color w:val="000000"/>
                <w:sz w:val="20"/>
              </w:rPr>
            </w:pPr>
            <w:r w:rsidRPr="001946E0">
              <w:rPr>
                <w:color w:val="000000"/>
                <w:sz w:val="20"/>
              </w:rPr>
              <w:t>7,3</w:t>
            </w:r>
          </w:p>
        </w:tc>
        <w:tc>
          <w:tcPr>
            <w:tcW w:w="741" w:type="dxa"/>
          </w:tcPr>
          <w:p w:rsidR="002D62B9" w:rsidRPr="001946E0" w:rsidRDefault="002D62B9" w:rsidP="001B1A50">
            <w:pPr>
              <w:spacing w:after="0"/>
              <w:ind w:hanging="31"/>
              <w:jc w:val="center"/>
              <w:rPr>
                <w:color w:val="000000"/>
                <w:sz w:val="20"/>
              </w:rPr>
            </w:pPr>
            <w:r w:rsidRPr="001946E0">
              <w:rPr>
                <w:color w:val="000000"/>
                <w:sz w:val="20"/>
              </w:rPr>
              <w:t>6,5</w:t>
            </w:r>
          </w:p>
        </w:tc>
        <w:tc>
          <w:tcPr>
            <w:tcW w:w="741" w:type="dxa"/>
          </w:tcPr>
          <w:p w:rsidR="002D62B9" w:rsidRPr="001946E0" w:rsidRDefault="002D62B9" w:rsidP="001B1A50">
            <w:pPr>
              <w:spacing w:after="0"/>
              <w:ind w:hanging="31"/>
              <w:jc w:val="center"/>
              <w:rPr>
                <w:color w:val="000000"/>
                <w:sz w:val="20"/>
              </w:rPr>
            </w:pPr>
            <w:r w:rsidRPr="001946E0">
              <w:rPr>
                <w:color w:val="000000"/>
                <w:sz w:val="20"/>
              </w:rPr>
              <w:t>6,4</w:t>
            </w:r>
          </w:p>
        </w:tc>
        <w:tc>
          <w:tcPr>
            <w:tcW w:w="971" w:type="dxa"/>
          </w:tcPr>
          <w:p w:rsidR="002D62B9" w:rsidRPr="001946E0" w:rsidRDefault="002D62B9" w:rsidP="001B1A50">
            <w:pPr>
              <w:spacing w:after="0"/>
              <w:ind w:hanging="31"/>
              <w:jc w:val="center"/>
              <w:rPr>
                <w:color w:val="000000"/>
                <w:sz w:val="20"/>
              </w:rPr>
            </w:pPr>
            <w:r w:rsidRPr="001946E0">
              <w:rPr>
                <w:color w:val="000000"/>
                <w:sz w:val="20"/>
              </w:rPr>
              <w:t>7,4</w:t>
            </w:r>
          </w:p>
        </w:tc>
      </w:tr>
      <w:tr w:rsidR="002D62B9" w:rsidRPr="001946E0" w:rsidTr="00D01375">
        <w:trPr>
          <w:jc w:val="center"/>
        </w:trPr>
        <w:tc>
          <w:tcPr>
            <w:tcW w:w="3840" w:type="dxa"/>
          </w:tcPr>
          <w:p w:rsidR="002D62B9" w:rsidRPr="001946E0" w:rsidRDefault="002D62B9" w:rsidP="001B1A50">
            <w:pPr>
              <w:pStyle w:val="tabteksts"/>
              <w:rPr>
                <w:snapToGrid w:val="0"/>
                <w:color w:val="000000"/>
              </w:rPr>
            </w:pPr>
            <w:r w:rsidRPr="001946E0">
              <w:rPr>
                <w:snapToGrid w:val="0"/>
                <w:color w:val="000000"/>
              </w:rPr>
              <w:t>6. Krājumu pārmaiņas un vērtslietu iegāde</w:t>
            </w:r>
          </w:p>
        </w:tc>
        <w:tc>
          <w:tcPr>
            <w:tcW w:w="1037" w:type="dxa"/>
          </w:tcPr>
          <w:p w:rsidR="002D62B9" w:rsidRPr="001946E0" w:rsidRDefault="002D62B9" w:rsidP="001B1A50">
            <w:pPr>
              <w:pStyle w:val="tabteksts"/>
              <w:rPr>
                <w:color w:val="000000"/>
              </w:rPr>
            </w:pPr>
            <w:r w:rsidRPr="001946E0">
              <w:rPr>
                <w:color w:val="000000"/>
              </w:rPr>
              <w:t>P52+P53</w:t>
            </w:r>
          </w:p>
        </w:tc>
        <w:tc>
          <w:tcPr>
            <w:tcW w:w="1037" w:type="dxa"/>
            <w:vAlign w:val="center"/>
          </w:tcPr>
          <w:p w:rsidR="002D62B9" w:rsidRPr="001946E0" w:rsidRDefault="002D62B9" w:rsidP="001B1A50">
            <w:pPr>
              <w:spacing w:after="0"/>
              <w:ind w:hanging="31"/>
              <w:jc w:val="right"/>
              <w:rPr>
                <w:color w:val="000000"/>
                <w:sz w:val="20"/>
              </w:rPr>
            </w:pPr>
            <w:r w:rsidRPr="001946E0">
              <w:rPr>
                <w:color w:val="000000"/>
                <w:sz w:val="20"/>
              </w:rPr>
              <w:t>117,2</w:t>
            </w:r>
          </w:p>
        </w:tc>
        <w:tc>
          <w:tcPr>
            <w:tcW w:w="741" w:type="dxa"/>
          </w:tcPr>
          <w:p w:rsidR="002D62B9" w:rsidRPr="001946E0" w:rsidRDefault="002D62B9" w:rsidP="001B1A50">
            <w:pPr>
              <w:spacing w:after="0"/>
              <w:ind w:hanging="31"/>
              <w:jc w:val="center"/>
              <w:rPr>
                <w:color w:val="000000"/>
                <w:sz w:val="20"/>
              </w:rPr>
            </w:pPr>
            <w:r w:rsidRPr="001946E0">
              <w:rPr>
                <w:color w:val="000000"/>
                <w:sz w:val="20"/>
              </w:rPr>
              <w:t>2,7</w:t>
            </w:r>
          </w:p>
        </w:tc>
        <w:tc>
          <w:tcPr>
            <w:tcW w:w="741" w:type="dxa"/>
          </w:tcPr>
          <w:p w:rsidR="002D62B9" w:rsidRPr="001946E0" w:rsidRDefault="002D62B9" w:rsidP="001B1A50">
            <w:pPr>
              <w:spacing w:after="0"/>
              <w:ind w:hanging="31"/>
              <w:jc w:val="center"/>
              <w:rPr>
                <w:color w:val="000000"/>
                <w:sz w:val="20"/>
              </w:rPr>
            </w:pPr>
            <w:r w:rsidRPr="001946E0">
              <w:rPr>
                <w:color w:val="000000"/>
                <w:sz w:val="20"/>
              </w:rPr>
              <w:t>2,3</w:t>
            </w:r>
          </w:p>
        </w:tc>
        <w:tc>
          <w:tcPr>
            <w:tcW w:w="741" w:type="dxa"/>
          </w:tcPr>
          <w:p w:rsidR="002D62B9" w:rsidRPr="001946E0" w:rsidRDefault="002D62B9" w:rsidP="001B1A50">
            <w:pPr>
              <w:spacing w:after="0"/>
              <w:ind w:hanging="31"/>
              <w:jc w:val="center"/>
              <w:rPr>
                <w:color w:val="000000"/>
                <w:sz w:val="20"/>
              </w:rPr>
            </w:pPr>
            <w:r w:rsidRPr="001946E0">
              <w:rPr>
                <w:color w:val="000000"/>
                <w:sz w:val="20"/>
              </w:rPr>
              <w:t>1,0</w:t>
            </w:r>
          </w:p>
        </w:tc>
        <w:tc>
          <w:tcPr>
            <w:tcW w:w="741" w:type="dxa"/>
          </w:tcPr>
          <w:p w:rsidR="002D62B9" w:rsidRPr="001946E0" w:rsidRDefault="002D62B9" w:rsidP="001B1A50">
            <w:pPr>
              <w:spacing w:after="0"/>
              <w:ind w:hanging="31"/>
              <w:jc w:val="center"/>
              <w:rPr>
                <w:color w:val="000000"/>
                <w:sz w:val="20"/>
              </w:rPr>
            </w:pPr>
            <w:r w:rsidRPr="001946E0">
              <w:rPr>
                <w:color w:val="000000"/>
                <w:sz w:val="20"/>
              </w:rPr>
              <w:t>2,1</w:t>
            </w:r>
          </w:p>
        </w:tc>
        <w:tc>
          <w:tcPr>
            <w:tcW w:w="971" w:type="dxa"/>
          </w:tcPr>
          <w:p w:rsidR="002D62B9" w:rsidRPr="001946E0" w:rsidRDefault="002D62B9" w:rsidP="001B1A50">
            <w:pPr>
              <w:spacing w:after="0"/>
              <w:ind w:hanging="31"/>
              <w:jc w:val="center"/>
              <w:rPr>
                <w:color w:val="000000"/>
                <w:sz w:val="20"/>
              </w:rPr>
            </w:pPr>
            <w:r w:rsidRPr="001946E0">
              <w:rPr>
                <w:color w:val="000000"/>
                <w:sz w:val="20"/>
              </w:rPr>
              <w:t>2,7</w:t>
            </w:r>
          </w:p>
        </w:tc>
      </w:tr>
      <w:tr w:rsidR="002D62B9" w:rsidRPr="001946E0" w:rsidTr="00D01375">
        <w:trPr>
          <w:jc w:val="center"/>
        </w:trPr>
        <w:tc>
          <w:tcPr>
            <w:tcW w:w="3840" w:type="dxa"/>
          </w:tcPr>
          <w:p w:rsidR="002D62B9" w:rsidRPr="001946E0" w:rsidRDefault="002D62B9" w:rsidP="001B1A50">
            <w:pPr>
              <w:pStyle w:val="tabteksts"/>
              <w:rPr>
                <w:snapToGrid w:val="0"/>
                <w:color w:val="000000"/>
              </w:rPr>
            </w:pPr>
            <w:r w:rsidRPr="001946E0">
              <w:rPr>
                <w:snapToGrid w:val="0"/>
                <w:color w:val="000000"/>
              </w:rPr>
              <w:t>7. Eksports</w:t>
            </w:r>
          </w:p>
        </w:tc>
        <w:tc>
          <w:tcPr>
            <w:tcW w:w="1037" w:type="dxa"/>
          </w:tcPr>
          <w:p w:rsidR="002D62B9" w:rsidRPr="001946E0" w:rsidRDefault="002D62B9" w:rsidP="001B1A50">
            <w:pPr>
              <w:pStyle w:val="tabteksts"/>
              <w:rPr>
                <w:color w:val="000000"/>
              </w:rPr>
            </w:pPr>
            <w:r w:rsidRPr="001946E0">
              <w:rPr>
                <w:color w:val="000000"/>
              </w:rPr>
              <w:t>P6</w:t>
            </w:r>
          </w:p>
        </w:tc>
        <w:tc>
          <w:tcPr>
            <w:tcW w:w="1037" w:type="dxa"/>
            <w:vAlign w:val="bottom"/>
          </w:tcPr>
          <w:p w:rsidR="002D62B9" w:rsidRPr="001946E0" w:rsidRDefault="002D62B9" w:rsidP="001B1A50">
            <w:pPr>
              <w:spacing w:after="0"/>
              <w:ind w:hanging="31"/>
              <w:jc w:val="right"/>
              <w:rPr>
                <w:color w:val="000000"/>
                <w:sz w:val="20"/>
              </w:rPr>
            </w:pPr>
            <w:r w:rsidRPr="001946E0">
              <w:rPr>
                <w:color w:val="000000"/>
                <w:sz w:val="20"/>
              </w:rPr>
              <w:t>3999,9</w:t>
            </w:r>
          </w:p>
        </w:tc>
        <w:tc>
          <w:tcPr>
            <w:tcW w:w="741" w:type="dxa"/>
          </w:tcPr>
          <w:p w:rsidR="002D62B9" w:rsidRPr="001946E0" w:rsidRDefault="002D62B9" w:rsidP="001B1A50">
            <w:pPr>
              <w:spacing w:after="0"/>
              <w:ind w:hanging="31"/>
              <w:jc w:val="center"/>
              <w:rPr>
                <w:color w:val="000000"/>
                <w:sz w:val="20"/>
              </w:rPr>
            </w:pPr>
            <w:r w:rsidRPr="001946E0">
              <w:rPr>
                <w:color w:val="000000"/>
                <w:sz w:val="20"/>
              </w:rPr>
              <w:t>3,8</w:t>
            </w:r>
          </w:p>
        </w:tc>
        <w:tc>
          <w:tcPr>
            <w:tcW w:w="741" w:type="dxa"/>
          </w:tcPr>
          <w:p w:rsidR="002D62B9" w:rsidRPr="001946E0" w:rsidRDefault="002D62B9" w:rsidP="001B1A50">
            <w:pPr>
              <w:spacing w:after="0"/>
              <w:ind w:hanging="31"/>
              <w:jc w:val="center"/>
              <w:rPr>
                <w:color w:val="000000"/>
                <w:sz w:val="20"/>
              </w:rPr>
            </w:pPr>
            <w:r w:rsidRPr="001946E0">
              <w:rPr>
                <w:color w:val="000000"/>
                <w:sz w:val="20"/>
              </w:rPr>
              <w:t>5,4</w:t>
            </w:r>
          </w:p>
        </w:tc>
        <w:tc>
          <w:tcPr>
            <w:tcW w:w="741" w:type="dxa"/>
          </w:tcPr>
          <w:p w:rsidR="002D62B9" w:rsidRPr="001946E0" w:rsidRDefault="002D62B9" w:rsidP="001B1A50">
            <w:pPr>
              <w:spacing w:after="0"/>
              <w:ind w:hanging="31"/>
              <w:jc w:val="center"/>
              <w:rPr>
                <w:color w:val="000000"/>
                <w:sz w:val="20"/>
              </w:rPr>
            </w:pPr>
            <w:r w:rsidRPr="001946E0">
              <w:rPr>
                <w:color w:val="000000"/>
                <w:sz w:val="20"/>
              </w:rPr>
              <w:t>5,9</w:t>
            </w:r>
          </w:p>
        </w:tc>
        <w:tc>
          <w:tcPr>
            <w:tcW w:w="741" w:type="dxa"/>
          </w:tcPr>
          <w:p w:rsidR="002D62B9" w:rsidRPr="001946E0" w:rsidRDefault="002D62B9" w:rsidP="001B1A50">
            <w:pPr>
              <w:spacing w:after="0"/>
              <w:ind w:hanging="31"/>
              <w:jc w:val="center"/>
              <w:rPr>
                <w:color w:val="000000"/>
                <w:sz w:val="20"/>
              </w:rPr>
            </w:pPr>
            <w:r w:rsidRPr="001946E0">
              <w:rPr>
                <w:color w:val="000000"/>
                <w:sz w:val="20"/>
              </w:rPr>
              <w:t>5,6</w:t>
            </w:r>
          </w:p>
        </w:tc>
        <w:tc>
          <w:tcPr>
            <w:tcW w:w="971" w:type="dxa"/>
          </w:tcPr>
          <w:p w:rsidR="002D62B9" w:rsidRPr="001946E0" w:rsidRDefault="002D62B9" w:rsidP="001B1A50">
            <w:pPr>
              <w:spacing w:after="0"/>
              <w:ind w:hanging="31"/>
              <w:jc w:val="center"/>
              <w:rPr>
                <w:color w:val="000000"/>
                <w:sz w:val="20"/>
              </w:rPr>
            </w:pPr>
            <w:r w:rsidRPr="001946E0">
              <w:rPr>
                <w:color w:val="000000"/>
                <w:sz w:val="20"/>
              </w:rPr>
              <w:t>3,8</w:t>
            </w:r>
          </w:p>
        </w:tc>
      </w:tr>
      <w:tr w:rsidR="002D62B9" w:rsidRPr="001946E0" w:rsidTr="00D01375">
        <w:trPr>
          <w:jc w:val="center"/>
        </w:trPr>
        <w:tc>
          <w:tcPr>
            <w:tcW w:w="3840" w:type="dxa"/>
          </w:tcPr>
          <w:p w:rsidR="002D62B9" w:rsidRPr="001946E0" w:rsidRDefault="002D62B9" w:rsidP="001B1A50">
            <w:pPr>
              <w:pStyle w:val="tabteksts"/>
              <w:rPr>
                <w:snapToGrid w:val="0"/>
                <w:color w:val="000000"/>
              </w:rPr>
            </w:pPr>
            <w:r w:rsidRPr="001946E0">
              <w:rPr>
                <w:snapToGrid w:val="0"/>
                <w:color w:val="000000"/>
              </w:rPr>
              <w:t>8. Imports</w:t>
            </w:r>
          </w:p>
        </w:tc>
        <w:tc>
          <w:tcPr>
            <w:tcW w:w="1037" w:type="dxa"/>
          </w:tcPr>
          <w:p w:rsidR="002D62B9" w:rsidRPr="001946E0" w:rsidRDefault="002D62B9" w:rsidP="001B1A50">
            <w:pPr>
              <w:pStyle w:val="tabteksts"/>
              <w:rPr>
                <w:color w:val="000000"/>
              </w:rPr>
            </w:pPr>
            <w:r w:rsidRPr="001946E0">
              <w:rPr>
                <w:color w:val="000000"/>
              </w:rPr>
              <w:t>P7</w:t>
            </w:r>
          </w:p>
        </w:tc>
        <w:tc>
          <w:tcPr>
            <w:tcW w:w="1037" w:type="dxa"/>
            <w:vAlign w:val="bottom"/>
          </w:tcPr>
          <w:p w:rsidR="002D62B9" w:rsidRPr="001946E0" w:rsidRDefault="002D62B9" w:rsidP="001B1A50">
            <w:pPr>
              <w:spacing w:after="0"/>
              <w:ind w:hanging="31"/>
              <w:jc w:val="right"/>
              <w:rPr>
                <w:color w:val="000000"/>
                <w:sz w:val="20"/>
              </w:rPr>
            </w:pPr>
            <w:r w:rsidRPr="001946E0">
              <w:rPr>
                <w:color w:val="000000"/>
                <w:sz w:val="20"/>
              </w:rPr>
              <w:t>4649,5</w:t>
            </w:r>
          </w:p>
        </w:tc>
        <w:tc>
          <w:tcPr>
            <w:tcW w:w="741" w:type="dxa"/>
          </w:tcPr>
          <w:p w:rsidR="002D62B9" w:rsidRPr="001946E0" w:rsidRDefault="002D62B9" w:rsidP="001B1A50">
            <w:pPr>
              <w:spacing w:after="0"/>
              <w:ind w:hanging="31"/>
              <w:jc w:val="center"/>
              <w:rPr>
                <w:color w:val="000000"/>
                <w:sz w:val="20"/>
              </w:rPr>
            </w:pPr>
            <w:r w:rsidRPr="001946E0">
              <w:rPr>
                <w:color w:val="000000"/>
                <w:sz w:val="20"/>
              </w:rPr>
              <w:t>5,1</w:t>
            </w:r>
          </w:p>
        </w:tc>
        <w:tc>
          <w:tcPr>
            <w:tcW w:w="741" w:type="dxa"/>
          </w:tcPr>
          <w:p w:rsidR="002D62B9" w:rsidRPr="001946E0" w:rsidRDefault="002D62B9" w:rsidP="001B1A50">
            <w:pPr>
              <w:spacing w:after="0"/>
              <w:ind w:hanging="31"/>
              <w:jc w:val="center"/>
              <w:rPr>
                <w:color w:val="000000"/>
                <w:sz w:val="20"/>
              </w:rPr>
            </w:pPr>
            <w:r w:rsidRPr="001946E0">
              <w:rPr>
                <w:color w:val="000000"/>
                <w:sz w:val="20"/>
              </w:rPr>
              <w:t>5,8</w:t>
            </w:r>
          </w:p>
        </w:tc>
        <w:tc>
          <w:tcPr>
            <w:tcW w:w="741" w:type="dxa"/>
          </w:tcPr>
          <w:p w:rsidR="002D62B9" w:rsidRPr="001946E0" w:rsidRDefault="002D62B9" w:rsidP="001B1A50">
            <w:pPr>
              <w:spacing w:after="0"/>
              <w:ind w:hanging="31"/>
              <w:jc w:val="center"/>
              <w:rPr>
                <w:color w:val="000000"/>
                <w:sz w:val="20"/>
              </w:rPr>
            </w:pPr>
            <w:r w:rsidRPr="001946E0">
              <w:rPr>
                <w:color w:val="000000"/>
                <w:sz w:val="20"/>
              </w:rPr>
              <w:t>6,0</w:t>
            </w:r>
          </w:p>
        </w:tc>
        <w:tc>
          <w:tcPr>
            <w:tcW w:w="741" w:type="dxa"/>
          </w:tcPr>
          <w:p w:rsidR="002D62B9" w:rsidRPr="001946E0" w:rsidRDefault="002D62B9" w:rsidP="001B1A50">
            <w:pPr>
              <w:spacing w:after="0"/>
              <w:ind w:hanging="31"/>
              <w:jc w:val="center"/>
              <w:rPr>
                <w:color w:val="000000"/>
                <w:sz w:val="20"/>
              </w:rPr>
            </w:pPr>
            <w:r w:rsidRPr="001946E0">
              <w:rPr>
                <w:color w:val="000000"/>
                <w:sz w:val="20"/>
              </w:rPr>
              <w:t>5,8</w:t>
            </w:r>
          </w:p>
        </w:tc>
        <w:tc>
          <w:tcPr>
            <w:tcW w:w="971" w:type="dxa"/>
          </w:tcPr>
          <w:p w:rsidR="002D62B9" w:rsidRPr="001946E0" w:rsidRDefault="002D62B9" w:rsidP="001B1A50">
            <w:pPr>
              <w:spacing w:after="0"/>
              <w:ind w:hanging="31"/>
              <w:jc w:val="center"/>
              <w:rPr>
                <w:color w:val="000000"/>
                <w:sz w:val="20"/>
              </w:rPr>
            </w:pPr>
            <w:r w:rsidRPr="001946E0">
              <w:rPr>
                <w:color w:val="000000"/>
                <w:sz w:val="20"/>
              </w:rPr>
              <w:t>5,1</w:t>
            </w:r>
          </w:p>
        </w:tc>
      </w:tr>
      <w:tr w:rsidR="002D62B9" w:rsidRPr="001946E0" w:rsidTr="00D01375">
        <w:trPr>
          <w:jc w:val="center"/>
        </w:trPr>
        <w:tc>
          <w:tcPr>
            <w:tcW w:w="9849" w:type="dxa"/>
            <w:gridSpan w:val="8"/>
          </w:tcPr>
          <w:p w:rsidR="002D62B9" w:rsidRPr="001946E0" w:rsidRDefault="002D62B9" w:rsidP="001B1A50">
            <w:pPr>
              <w:pStyle w:val="tabteksts"/>
              <w:jc w:val="center"/>
              <w:rPr>
                <w:rFonts w:eastAsia="Arial Unicode MS"/>
                <w:color w:val="000000"/>
              </w:rPr>
            </w:pPr>
            <w:r w:rsidRPr="001946E0">
              <w:rPr>
                <w:b/>
                <w:snapToGrid w:val="0"/>
                <w:color w:val="000000"/>
              </w:rPr>
              <w:t>Ieguldījums IKP izaugsmē</w:t>
            </w:r>
          </w:p>
        </w:tc>
      </w:tr>
      <w:tr w:rsidR="002D62B9" w:rsidRPr="001946E0" w:rsidTr="00D01375">
        <w:trPr>
          <w:jc w:val="center"/>
        </w:trPr>
        <w:tc>
          <w:tcPr>
            <w:tcW w:w="3840" w:type="dxa"/>
          </w:tcPr>
          <w:p w:rsidR="002D62B9" w:rsidRPr="001946E0" w:rsidRDefault="002D62B9" w:rsidP="001B1A50">
            <w:pPr>
              <w:pStyle w:val="tabteksts"/>
              <w:rPr>
                <w:snapToGrid w:val="0"/>
                <w:color w:val="000000"/>
              </w:rPr>
            </w:pPr>
            <w:r w:rsidRPr="001946E0">
              <w:rPr>
                <w:snapToGrid w:val="0"/>
                <w:color w:val="000000"/>
              </w:rPr>
              <w:t>9. Kopējais iekšzemes pieprasījums</w:t>
            </w:r>
          </w:p>
        </w:tc>
        <w:tc>
          <w:tcPr>
            <w:tcW w:w="1037" w:type="dxa"/>
          </w:tcPr>
          <w:p w:rsidR="002D62B9" w:rsidRPr="001946E0" w:rsidRDefault="002D62B9" w:rsidP="001B1A50">
            <w:pPr>
              <w:pStyle w:val="tabteksts"/>
              <w:rPr>
                <w:color w:val="000000"/>
              </w:rPr>
            </w:pPr>
          </w:p>
        </w:tc>
        <w:tc>
          <w:tcPr>
            <w:tcW w:w="1037" w:type="dxa"/>
            <w:vAlign w:val="center"/>
          </w:tcPr>
          <w:p w:rsidR="002D62B9" w:rsidRPr="001946E0" w:rsidRDefault="002D62B9" w:rsidP="001B1A50">
            <w:pPr>
              <w:spacing w:after="0"/>
              <w:ind w:firstLine="0"/>
              <w:jc w:val="center"/>
              <w:rPr>
                <w:color w:val="000000"/>
                <w:sz w:val="20"/>
              </w:rPr>
            </w:pPr>
            <w:r w:rsidRPr="001946E0">
              <w:rPr>
                <w:color w:val="000000"/>
                <w:sz w:val="20"/>
              </w:rPr>
              <w:t>-</w:t>
            </w:r>
          </w:p>
        </w:tc>
        <w:tc>
          <w:tcPr>
            <w:tcW w:w="741" w:type="dxa"/>
            <w:vAlign w:val="bottom"/>
          </w:tcPr>
          <w:p w:rsidR="002D62B9" w:rsidRPr="001946E0" w:rsidRDefault="002D62B9" w:rsidP="001B1A50">
            <w:pPr>
              <w:spacing w:after="0"/>
              <w:ind w:hanging="31"/>
              <w:jc w:val="center"/>
              <w:rPr>
                <w:color w:val="000000"/>
                <w:sz w:val="20"/>
              </w:rPr>
            </w:pPr>
            <w:r w:rsidRPr="001946E0">
              <w:rPr>
                <w:color w:val="000000"/>
                <w:sz w:val="20"/>
              </w:rPr>
              <w:t>8,6</w:t>
            </w:r>
          </w:p>
        </w:tc>
        <w:tc>
          <w:tcPr>
            <w:tcW w:w="741" w:type="dxa"/>
            <w:vAlign w:val="bottom"/>
          </w:tcPr>
          <w:p w:rsidR="002D62B9" w:rsidRPr="001946E0" w:rsidRDefault="002D62B9" w:rsidP="001B1A50">
            <w:pPr>
              <w:spacing w:after="0"/>
              <w:ind w:hanging="31"/>
              <w:jc w:val="center"/>
              <w:rPr>
                <w:color w:val="000000"/>
                <w:sz w:val="20"/>
              </w:rPr>
            </w:pPr>
            <w:r w:rsidRPr="001946E0">
              <w:rPr>
                <w:color w:val="000000"/>
                <w:sz w:val="20"/>
              </w:rPr>
              <w:t>3,2</w:t>
            </w:r>
          </w:p>
        </w:tc>
        <w:tc>
          <w:tcPr>
            <w:tcW w:w="741" w:type="dxa"/>
            <w:vAlign w:val="bottom"/>
          </w:tcPr>
          <w:p w:rsidR="002D62B9" w:rsidRPr="001946E0" w:rsidRDefault="002D62B9" w:rsidP="001B1A50">
            <w:pPr>
              <w:spacing w:after="0"/>
              <w:ind w:hanging="31"/>
              <w:jc w:val="center"/>
              <w:rPr>
                <w:color w:val="000000"/>
                <w:sz w:val="20"/>
              </w:rPr>
            </w:pPr>
            <w:r w:rsidRPr="001946E0">
              <w:rPr>
                <w:color w:val="000000"/>
                <w:sz w:val="20"/>
              </w:rPr>
              <w:t>4,5</w:t>
            </w:r>
          </w:p>
        </w:tc>
        <w:tc>
          <w:tcPr>
            <w:tcW w:w="741" w:type="dxa"/>
            <w:vAlign w:val="bottom"/>
          </w:tcPr>
          <w:p w:rsidR="002D62B9" w:rsidRPr="001946E0" w:rsidRDefault="002D62B9" w:rsidP="001B1A50">
            <w:pPr>
              <w:spacing w:after="0"/>
              <w:ind w:hanging="31"/>
              <w:jc w:val="center"/>
              <w:rPr>
                <w:color w:val="000000"/>
                <w:sz w:val="20"/>
              </w:rPr>
            </w:pPr>
            <w:r w:rsidRPr="001946E0">
              <w:rPr>
                <w:color w:val="000000"/>
                <w:sz w:val="20"/>
              </w:rPr>
              <w:t>4,6</w:t>
            </w:r>
          </w:p>
        </w:tc>
        <w:tc>
          <w:tcPr>
            <w:tcW w:w="971" w:type="dxa"/>
            <w:vAlign w:val="bottom"/>
          </w:tcPr>
          <w:p w:rsidR="002D62B9" w:rsidRPr="001946E0" w:rsidRDefault="002D62B9" w:rsidP="001B1A50">
            <w:pPr>
              <w:spacing w:after="0"/>
              <w:ind w:hanging="31"/>
              <w:jc w:val="center"/>
              <w:rPr>
                <w:color w:val="000000"/>
                <w:sz w:val="20"/>
              </w:rPr>
            </w:pPr>
            <w:r w:rsidRPr="001946E0">
              <w:rPr>
                <w:color w:val="000000"/>
                <w:sz w:val="20"/>
              </w:rPr>
              <w:t>4,7</w:t>
            </w:r>
          </w:p>
        </w:tc>
      </w:tr>
      <w:tr w:rsidR="002D62B9" w:rsidRPr="001946E0" w:rsidTr="00D01375">
        <w:trPr>
          <w:jc w:val="center"/>
        </w:trPr>
        <w:tc>
          <w:tcPr>
            <w:tcW w:w="3840" w:type="dxa"/>
          </w:tcPr>
          <w:p w:rsidR="002D62B9" w:rsidRPr="001946E0" w:rsidRDefault="002D62B9" w:rsidP="001B1A50">
            <w:pPr>
              <w:pStyle w:val="tabteksts"/>
              <w:rPr>
                <w:color w:val="000000"/>
              </w:rPr>
            </w:pPr>
            <w:r w:rsidRPr="001946E0">
              <w:rPr>
                <w:color w:val="000000"/>
              </w:rPr>
              <w:t xml:space="preserve">10. </w:t>
            </w:r>
            <w:r w:rsidRPr="001946E0">
              <w:rPr>
                <w:snapToGrid w:val="0"/>
                <w:color w:val="000000"/>
              </w:rPr>
              <w:t xml:space="preserve">Krājumu pārmaiņas </w:t>
            </w:r>
            <w:r w:rsidRPr="001946E0">
              <w:rPr>
                <w:color w:val="000000"/>
              </w:rPr>
              <w:t xml:space="preserve">un vērtslietu iegāde </w:t>
            </w:r>
          </w:p>
        </w:tc>
        <w:tc>
          <w:tcPr>
            <w:tcW w:w="1037" w:type="dxa"/>
          </w:tcPr>
          <w:p w:rsidR="002D62B9" w:rsidRPr="001946E0" w:rsidRDefault="002D62B9" w:rsidP="001B1A50">
            <w:pPr>
              <w:pStyle w:val="tabteksts"/>
              <w:rPr>
                <w:color w:val="000000"/>
              </w:rPr>
            </w:pPr>
            <w:r w:rsidRPr="001946E0">
              <w:rPr>
                <w:color w:val="000000"/>
              </w:rPr>
              <w:t>P52+P53</w:t>
            </w:r>
          </w:p>
        </w:tc>
        <w:tc>
          <w:tcPr>
            <w:tcW w:w="1037" w:type="dxa"/>
            <w:vAlign w:val="center"/>
          </w:tcPr>
          <w:p w:rsidR="002D62B9" w:rsidRPr="001946E0" w:rsidRDefault="002D62B9" w:rsidP="001B1A50">
            <w:pPr>
              <w:spacing w:after="0"/>
              <w:ind w:firstLine="0"/>
              <w:jc w:val="center"/>
              <w:rPr>
                <w:color w:val="000000"/>
                <w:sz w:val="20"/>
              </w:rPr>
            </w:pPr>
            <w:r w:rsidRPr="001946E0">
              <w:rPr>
                <w:color w:val="000000"/>
                <w:sz w:val="20"/>
              </w:rPr>
              <w:t>-</w:t>
            </w:r>
          </w:p>
        </w:tc>
        <w:tc>
          <w:tcPr>
            <w:tcW w:w="741" w:type="dxa"/>
            <w:vAlign w:val="bottom"/>
          </w:tcPr>
          <w:p w:rsidR="002D62B9" w:rsidRPr="001946E0" w:rsidRDefault="002D62B9" w:rsidP="001B1A50">
            <w:pPr>
              <w:spacing w:after="0"/>
              <w:ind w:hanging="31"/>
              <w:jc w:val="center"/>
              <w:rPr>
                <w:color w:val="000000"/>
                <w:sz w:val="20"/>
              </w:rPr>
            </w:pPr>
            <w:r w:rsidRPr="001946E0">
              <w:rPr>
                <w:color w:val="000000"/>
                <w:sz w:val="20"/>
              </w:rPr>
              <w:t>2,1</w:t>
            </w:r>
          </w:p>
        </w:tc>
        <w:tc>
          <w:tcPr>
            <w:tcW w:w="741" w:type="dxa"/>
            <w:vAlign w:val="bottom"/>
          </w:tcPr>
          <w:p w:rsidR="002D62B9" w:rsidRPr="001946E0" w:rsidRDefault="002D62B9" w:rsidP="001B1A50">
            <w:pPr>
              <w:spacing w:after="0"/>
              <w:ind w:hanging="31"/>
              <w:jc w:val="center"/>
              <w:rPr>
                <w:color w:val="000000"/>
                <w:sz w:val="20"/>
              </w:rPr>
            </w:pPr>
            <w:r w:rsidRPr="001946E0">
              <w:rPr>
                <w:color w:val="000000"/>
                <w:sz w:val="20"/>
              </w:rPr>
              <w:t>0,0</w:t>
            </w:r>
          </w:p>
        </w:tc>
        <w:tc>
          <w:tcPr>
            <w:tcW w:w="741" w:type="dxa"/>
            <w:vAlign w:val="bottom"/>
          </w:tcPr>
          <w:p w:rsidR="002D62B9" w:rsidRPr="001946E0" w:rsidRDefault="002D62B9" w:rsidP="001B1A50">
            <w:pPr>
              <w:spacing w:after="0"/>
              <w:ind w:hanging="31"/>
              <w:jc w:val="center"/>
              <w:rPr>
                <w:color w:val="000000"/>
                <w:sz w:val="20"/>
              </w:rPr>
            </w:pPr>
            <w:r w:rsidRPr="001946E0">
              <w:rPr>
                <w:color w:val="000000"/>
                <w:sz w:val="20"/>
              </w:rPr>
              <w:t>0,0</w:t>
            </w:r>
          </w:p>
        </w:tc>
        <w:tc>
          <w:tcPr>
            <w:tcW w:w="741" w:type="dxa"/>
            <w:vAlign w:val="bottom"/>
          </w:tcPr>
          <w:p w:rsidR="002D62B9" w:rsidRPr="001946E0" w:rsidRDefault="002D62B9" w:rsidP="001B1A50">
            <w:pPr>
              <w:spacing w:after="0"/>
              <w:ind w:hanging="31"/>
              <w:jc w:val="center"/>
              <w:rPr>
                <w:color w:val="000000"/>
                <w:sz w:val="20"/>
              </w:rPr>
            </w:pPr>
            <w:r w:rsidRPr="001946E0">
              <w:rPr>
                <w:color w:val="000000"/>
                <w:sz w:val="20"/>
              </w:rPr>
              <w:t>0,0</w:t>
            </w:r>
          </w:p>
        </w:tc>
        <w:tc>
          <w:tcPr>
            <w:tcW w:w="971" w:type="dxa"/>
            <w:vAlign w:val="bottom"/>
          </w:tcPr>
          <w:p w:rsidR="002D62B9" w:rsidRPr="001946E0" w:rsidRDefault="002D62B9" w:rsidP="001B1A50">
            <w:pPr>
              <w:spacing w:after="0"/>
              <w:ind w:hanging="31"/>
              <w:jc w:val="center"/>
              <w:rPr>
                <w:color w:val="000000"/>
                <w:sz w:val="20"/>
              </w:rPr>
            </w:pPr>
            <w:r w:rsidRPr="001946E0">
              <w:rPr>
                <w:color w:val="000000"/>
                <w:sz w:val="20"/>
              </w:rPr>
              <w:t>0,0</w:t>
            </w:r>
          </w:p>
        </w:tc>
      </w:tr>
      <w:tr w:rsidR="002D62B9" w:rsidRPr="001946E0" w:rsidTr="00D01375">
        <w:trPr>
          <w:jc w:val="center"/>
        </w:trPr>
        <w:tc>
          <w:tcPr>
            <w:tcW w:w="3840" w:type="dxa"/>
          </w:tcPr>
          <w:p w:rsidR="002D62B9" w:rsidRPr="001946E0" w:rsidRDefault="002D62B9" w:rsidP="001B1A50">
            <w:pPr>
              <w:pStyle w:val="tabteksts"/>
              <w:rPr>
                <w:color w:val="000000"/>
              </w:rPr>
            </w:pPr>
            <w:r w:rsidRPr="001946E0">
              <w:rPr>
                <w:color w:val="000000"/>
              </w:rPr>
              <w:t>11. Preču un pakalpojumu ārējā sektora bilance</w:t>
            </w:r>
          </w:p>
        </w:tc>
        <w:tc>
          <w:tcPr>
            <w:tcW w:w="1037" w:type="dxa"/>
          </w:tcPr>
          <w:p w:rsidR="002D62B9" w:rsidRPr="001946E0" w:rsidRDefault="002D62B9" w:rsidP="001B1A50">
            <w:pPr>
              <w:pStyle w:val="tabteksts"/>
              <w:rPr>
                <w:color w:val="000000"/>
              </w:rPr>
            </w:pPr>
            <w:r w:rsidRPr="001946E0">
              <w:rPr>
                <w:color w:val="000000"/>
              </w:rPr>
              <w:t>B11</w:t>
            </w:r>
          </w:p>
        </w:tc>
        <w:tc>
          <w:tcPr>
            <w:tcW w:w="1037" w:type="dxa"/>
            <w:vAlign w:val="center"/>
          </w:tcPr>
          <w:p w:rsidR="002D62B9" w:rsidRPr="001946E0" w:rsidRDefault="002D62B9" w:rsidP="001B1A50">
            <w:pPr>
              <w:spacing w:after="0"/>
              <w:ind w:firstLine="0"/>
              <w:jc w:val="center"/>
              <w:rPr>
                <w:color w:val="000000"/>
                <w:sz w:val="20"/>
              </w:rPr>
            </w:pPr>
            <w:r w:rsidRPr="001946E0">
              <w:rPr>
                <w:color w:val="000000"/>
                <w:sz w:val="20"/>
              </w:rPr>
              <w:t>-</w:t>
            </w:r>
          </w:p>
        </w:tc>
        <w:tc>
          <w:tcPr>
            <w:tcW w:w="741" w:type="dxa"/>
            <w:vAlign w:val="bottom"/>
          </w:tcPr>
          <w:p w:rsidR="002D62B9" w:rsidRPr="001946E0" w:rsidRDefault="002D62B9" w:rsidP="001B1A50">
            <w:pPr>
              <w:spacing w:after="0"/>
              <w:ind w:hanging="31"/>
              <w:jc w:val="center"/>
              <w:rPr>
                <w:color w:val="000000"/>
                <w:sz w:val="20"/>
              </w:rPr>
            </w:pPr>
            <w:r w:rsidRPr="001946E0">
              <w:rPr>
                <w:color w:val="000000"/>
                <w:sz w:val="20"/>
              </w:rPr>
              <w:t>-5,2</w:t>
            </w:r>
          </w:p>
        </w:tc>
        <w:tc>
          <w:tcPr>
            <w:tcW w:w="741" w:type="dxa"/>
            <w:vAlign w:val="bottom"/>
          </w:tcPr>
          <w:p w:rsidR="002D62B9" w:rsidRPr="001946E0" w:rsidRDefault="002D62B9" w:rsidP="001B1A50">
            <w:pPr>
              <w:spacing w:after="0"/>
              <w:ind w:hanging="31"/>
              <w:jc w:val="center"/>
              <w:rPr>
                <w:color w:val="000000"/>
                <w:sz w:val="20"/>
              </w:rPr>
            </w:pPr>
            <w:r w:rsidRPr="001946E0">
              <w:rPr>
                <w:color w:val="000000"/>
                <w:sz w:val="20"/>
              </w:rPr>
              <w:t>-1,2</w:t>
            </w:r>
          </w:p>
        </w:tc>
        <w:tc>
          <w:tcPr>
            <w:tcW w:w="741" w:type="dxa"/>
            <w:vAlign w:val="bottom"/>
          </w:tcPr>
          <w:p w:rsidR="002D62B9" w:rsidRPr="001946E0" w:rsidRDefault="002D62B9" w:rsidP="001B1A50">
            <w:pPr>
              <w:spacing w:after="0"/>
              <w:ind w:hanging="31"/>
              <w:jc w:val="center"/>
              <w:rPr>
                <w:color w:val="000000"/>
                <w:sz w:val="20"/>
              </w:rPr>
            </w:pPr>
            <w:r w:rsidRPr="001946E0">
              <w:rPr>
                <w:color w:val="000000"/>
                <w:sz w:val="20"/>
              </w:rPr>
              <w:t>-0,8</w:t>
            </w:r>
          </w:p>
        </w:tc>
        <w:tc>
          <w:tcPr>
            <w:tcW w:w="741" w:type="dxa"/>
            <w:vAlign w:val="bottom"/>
          </w:tcPr>
          <w:p w:rsidR="002D62B9" w:rsidRPr="001946E0" w:rsidRDefault="002D62B9" w:rsidP="001B1A50">
            <w:pPr>
              <w:spacing w:after="0"/>
              <w:ind w:hanging="31"/>
              <w:jc w:val="center"/>
              <w:rPr>
                <w:color w:val="000000"/>
                <w:sz w:val="20"/>
              </w:rPr>
            </w:pPr>
            <w:r w:rsidRPr="001946E0">
              <w:rPr>
                <w:color w:val="000000"/>
                <w:sz w:val="20"/>
              </w:rPr>
              <w:t>-0,6</w:t>
            </w:r>
          </w:p>
        </w:tc>
        <w:tc>
          <w:tcPr>
            <w:tcW w:w="971" w:type="dxa"/>
            <w:vAlign w:val="bottom"/>
          </w:tcPr>
          <w:p w:rsidR="002D62B9" w:rsidRPr="001946E0" w:rsidRDefault="002D62B9" w:rsidP="001B1A50">
            <w:pPr>
              <w:spacing w:after="0"/>
              <w:ind w:hanging="31"/>
              <w:jc w:val="center"/>
              <w:rPr>
                <w:color w:val="000000"/>
                <w:sz w:val="20"/>
              </w:rPr>
            </w:pPr>
            <w:r w:rsidRPr="001946E0">
              <w:rPr>
                <w:color w:val="000000"/>
                <w:sz w:val="20"/>
              </w:rPr>
              <w:t>-0,7</w:t>
            </w:r>
          </w:p>
        </w:tc>
      </w:tr>
    </w:tbl>
    <w:p w:rsidR="002D62B9" w:rsidRPr="001946E0" w:rsidRDefault="002D62B9" w:rsidP="002D62B9">
      <w:pPr>
        <w:pStyle w:val="T"/>
        <w:rPr>
          <w:rFonts w:ascii="Times New Roman" w:hAnsi="Times New Roman"/>
          <w:color w:val="000000"/>
        </w:rPr>
      </w:pPr>
    </w:p>
    <w:p w:rsidR="002D62B9" w:rsidRPr="001946E0" w:rsidRDefault="002D62B9" w:rsidP="002D62B9">
      <w:pPr>
        <w:pStyle w:val="T"/>
        <w:ind w:left="0"/>
        <w:rPr>
          <w:rFonts w:ascii="Times New Roman" w:hAnsi="Times New Roman"/>
          <w:color w:val="000000"/>
        </w:rPr>
      </w:pPr>
      <w:r w:rsidRPr="001946E0">
        <w:rPr>
          <w:rFonts w:ascii="Times New Roman" w:hAnsi="Times New Roman"/>
          <w:color w:val="000000"/>
        </w:rPr>
        <w:t>1b. tabula. Patēriņa cenu izmaiņas</w:t>
      </w:r>
    </w:p>
    <w:tbl>
      <w:tblPr>
        <w:tblW w:w="9833" w:type="dxa"/>
        <w:jc w:val="center"/>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1"/>
        <w:gridCol w:w="952"/>
        <w:gridCol w:w="972"/>
        <w:gridCol w:w="797"/>
        <w:gridCol w:w="797"/>
        <w:gridCol w:w="797"/>
        <w:gridCol w:w="783"/>
        <w:gridCol w:w="884"/>
      </w:tblGrid>
      <w:tr w:rsidR="002D62B9" w:rsidRPr="001946E0" w:rsidTr="00C740F1">
        <w:trPr>
          <w:tblHeader/>
          <w:jc w:val="center"/>
        </w:trPr>
        <w:tc>
          <w:tcPr>
            <w:tcW w:w="3851" w:type="dxa"/>
          </w:tcPr>
          <w:p w:rsidR="002D62B9" w:rsidRPr="001946E0" w:rsidRDefault="002D62B9" w:rsidP="001B1A50">
            <w:pPr>
              <w:pStyle w:val="tabteksts"/>
              <w:rPr>
                <w:color w:val="000000"/>
              </w:rPr>
            </w:pPr>
          </w:p>
        </w:tc>
        <w:tc>
          <w:tcPr>
            <w:tcW w:w="952" w:type="dxa"/>
          </w:tcPr>
          <w:p w:rsidR="002D62B9" w:rsidRPr="001946E0" w:rsidRDefault="002D62B9" w:rsidP="001B1A50">
            <w:pPr>
              <w:pStyle w:val="tabteksts"/>
              <w:rPr>
                <w:color w:val="000000"/>
              </w:rPr>
            </w:pPr>
            <w:r w:rsidRPr="001946E0">
              <w:rPr>
                <w:color w:val="000000"/>
              </w:rPr>
              <w:t>ESA</w:t>
            </w:r>
          </w:p>
          <w:p w:rsidR="002D62B9" w:rsidRPr="001946E0" w:rsidRDefault="002D62B9" w:rsidP="001B1A50">
            <w:pPr>
              <w:pStyle w:val="tabteksts"/>
              <w:rPr>
                <w:color w:val="000000"/>
              </w:rPr>
            </w:pPr>
            <w:r w:rsidRPr="001946E0">
              <w:rPr>
                <w:color w:val="000000"/>
              </w:rPr>
              <w:t>Kods</w:t>
            </w:r>
          </w:p>
        </w:tc>
        <w:tc>
          <w:tcPr>
            <w:tcW w:w="972" w:type="dxa"/>
            <w:vAlign w:val="center"/>
          </w:tcPr>
          <w:p w:rsidR="002D62B9" w:rsidRPr="001946E0" w:rsidRDefault="002D62B9" w:rsidP="00C740F1">
            <w:pPr>
              <w:pStyle w:val="tabteksts"/>
              <w:jc w:val="center"/>
              <w:rPr>
                <w:b/>
                <w:color w:val="000000"/>
              </w:rPr>
            </w:pPr>
            <w:r w:rsidRPr="001946E0">
              <w:rPr>
                <w:b/>
                <w:color w:val="000000"/>
              </w:rPr>
              <w:t>2011</w:t>
            </w:r>
          </w:p>
        </w:tc>
        <w:tc>
          <w:tcPr>
            <w:tcW w:w="797" w:type="dxa"/>
            <w:vAlign w:val="center"/>
          </w:tcPr>
          <w:p w:rsidR="002D62B9" w:rsidRPr="001946E0" w:rsidRDefault="002D62B9" w:rsidP="00C740F1">
            <w:pPr>
              <w:pStyle w:val="tabteksts"/>
              <w:jc w:val="center"/>
              <w:rPr>
                <w:b/>
                <w:color w:val="000000"/>
              </w:rPr>
            </w:pPr>
            <w:r w:rsidRPr="001946E0">
              <w:rPr>
                <w:b/>
                <w:color w:val="000000"/>
              </w:rPr>
              <w:t>2011</w:t>
            </w:r>
          </w:p>
        </w:tc>
        <w:tc>
          <w:tcPr>
            <w:tcW w:w="797" w:type="dxa"/>
            <w:vAlign w:val="center"/>
          </w:tcPr>
          <w:p w:rsidR="002D62B9" w:rsidRPr="001946E0" w:rsidRDefault="002D62B9" w:rsidP="00C740F1">
            <w:pPr>
              <w:pStyle w:val="tabteksts"/>
              <w:jc w:val="center"/>
              <w:rPr>
                <w:b/>
                <w:color w:val="000000"/>
              </w:rPr>
            </w:pPr>
            <w:r w:rsidRPr="001946E0">
              <w:rPr>
                <w:b/>
                <w:color w:val="000000"/>
              </w:rPr>
              <w:t>2012</w:t>
            </w:r>
          </w:p>
        </w:tc>
        <w:tc>
          <w:tcPr>
            <w:tcW w:w="797" w:type="dxa"/>
            <w:vAlign w:val="center"/>
          </w:tcPr>
          <w:p w:rsidR="002D62B9" w:rsidRPr="001946E0" w:rsidRDefault="002D62B9" w:rsidP="00C740F1">
            <w:pPr>
              <w:pStyle w:val="tabteksts"/>
              <w:jc w:val="center"/>
              <w:rPr>
                <w:b/>
                <w:color w:val="000000"/>
              </w:rPr>
            </w:pPr>
            <w:r w:rsidRPr="001946E0">
              <w:rPr>
                <w:b/>
                <w:color w:val="000000"/>
              </w:rPr>
              <w:t>2013</w:t>
            </w:r>
          </w:p>
        </w:tc>
        <w:tc>
          <w:tcPr>
            <w:tcW w:w="783" w:type="dxa"/>
            <w:vAlign w:val="center"/>
          </w:tcPr>
          <w:p w:rsidR="002D62B9" w:rsidRPr="001946E0" w:rsidRDefault="002D62B9" w:rsidP="00C740F1">
            <w:pPr>
              <w:pStyle w:val="tabteksts"/>
              <w:jc w:val="center"/>
              <w:rPr>
                <w:b/>
                <w:color w:val="000000"/>
              </w:rPr>
            </w:pPr>
            <w:r w:rsidRPr="001946E0">
              <w:rPr>
                <w:b/>
                <w:color w:val="000000"/>
              </w:rPr>
              <w:t>2014</w:t>
            </w:r>
          </w:p>
        </w:tc>
        <w:tc>
          <w:tcPr>
            <w:tcW w:w="884" w:type="dxa"/>
            <w:vAlign w:val="center"/>
          </w:tcPr>
          <w:p w:rsidR="002D62B9" w:rsidRPr="001946E0" w:rsidRDefault="002D62B9" w:rsidP="00C740F1">
            <w:pPr>
              <w:pStyle w:val="tabteksts"/>
              <w:jc w:val="center"/>
              <w:rPr>
                <w:b/>
                <w:color w:val="000000"/>
              </w:rPr>
            </w:pPr>
            <w:r w:rsidRPr="001946E0">
              <w:rPr>
                <w:b/>
                <w:color w:val="000000"/>
              </w:rPr>
              <w:t>2015</w:t>
            </w:r>
          </w:p>
        </w:tc>
      </w:tr>
      <w:tr w:rsidR="002D62B9" w:rsidRPr="001946E0" w:rsidTr="00605C0C">
        <w:trPr>
          <w:jc w:val="center"/>
        </w:trPr>
        <w:tc>
          <w:tcPr>
            <w:tcW w:w="3851" w:type="dxa"/>
          </w:tcPr>
          <w:p w:rsidR="002D62B9" w:rsidRPr="001946E0" w:rsidRDefault="002D62B9" w:rsidP="001B1A50">
            <w:pPr>
              <w:pStyle w:val="tabteksts"/>
              <w:rPr>
                <w:snapToGrid w:val="0"/>
                <w:color w:val="000000"/>
              </w:rPr>
            </w:pPr>
          </w:p>
        </w:tc>
        <w:tc>
          <w:tcPr>
            <w:tcW w:w="952" w:type="dxa"/>
          </w:tcPr>
          <w:p w:rsidR="002D62B9" w:rsidRPr="001946E0" w:rsidRDefault="002D62B9" w:rsidP="001B1A50">
            <w:pPr>
              <w:pStyle w:val="tabteksts"/>
              <w:rPr>
                <w:color w:val="000000"/>
              </w:rPr>
            </w:pPr>
          </w:p>
        </w:tc>
        <w:tc>
          <w:tcPr>
            <w:tcW w:w="972" w:type="dxa"/>
          </w:tcPr>
          <w:p w:rsidR="002D62B9" w:rsidRPr="001946E0" w:rsidRDefault="002D62B9" w:rsidP="001B1A50">
            <w:pPr>
              <w:pStyle w:val="tabteksts"/>
              <w:tabs>
                <w:tab w:val="decimal" w:pos="296"/>
              </w:tabs>
              <w:rPr>
                <w:color w:val="000000"/>
              </w:rPr>
            </w:pPr>
            <w:r w:rsidRPr="001946E0">
              <w:rPr>
                <w:color w:val="000000"/>
              </w:rPr>
              <w:t>līmenis</w:t>
            </w:r>
          </w:p>
        </w:tc>
        <w:tc>
          <w:tcPr>
            <w:tcW w:w="4058" w:type="dxa"/>
            <w:gridSpan w:val="5"/>
          </w:tcPr>
          <w:p w:rsidR="002D62B9" w:rsidRPr="001946E0" w:rsidRDefault="002D62B9" w:rsidP="001B1A50">
            <w:pPr>
              <w:pStyle w:val="tabteksts"/>
              <w:tabs>
                <w:tab w:val="decimal" w:pos="296"/>
              </w:tabs>
              <w:jc w:val="center"/>
              <w:rPr>
                <w:color w:val="000000"/>
              </w:rPr>
            </w:pPr>
            <w:r w:rsidRPr="001946E0">
              <w:rPr>
                <w:color w:val="000000"/>
              </w:rPr>
              <w:t>Pieaugums %</w:t>
            </w:r>
          </w:p>
        </w:tc>
      </w:tr>
      <w:tr w:rsidR="002D62B9" w:rsidRPr="001946E0" w:rsidTr="00605C0C">
        <w:trPr>
          <w:jc w:val="center"/>
        </w:trPr>
        <w:tc>
          <w:tcPr>
            <w:tcW w:w="3851" w:type="dxa"/>
          </w:tcPr>
          <w:p w:rsidR="002D62B9" w:rsidRPr="001946E0" w:rsidRDefault="002D62B9" w:rsidP="001B1A50">
            <w:pPr>
              <w:pStyle w:val="tabteksts"/>
              <w:rPr>
                <w:noProof/>
                <w:snapToGrid w:val="0"/>
                <w:color w:val="000000"/>
              </w:rPr>
            </w:pPr>
            <w:r w:rsidRPr="001946E0">
              <w:rPr>
                <w:noProof/>
                <w:snapToGrid w:val="0"/>
                <w:color w:val="000000"/>
              </w:rPr>
              <w:t>1. IKP deflators</w:t>
            </w:r>
          </w:p>
        </w:tc>
        <w:tc>
          <w:tcPr>
            <w:tcW w:w="952" w:type="dxa"/>
          </w:tcPr>
          <w:p w:rsidR="002D62B9" w:rsidRPr="001946E0" w:rsidRDefault="002D62B9" w:rsidP="001B1A50">
            <w:pPr>
              <w:pStyle w:val="tabteksts"/>
              <w:rPr>
                <w:snapToGrid w:val="0"/>
                <w:color w:val="000000"/>
              </w:rPr>
            </w:pPr>
          </w:p>
        </w:tc>
        <w:tc>
          <w:tcPr>
            <w:tcW w:w="972" w:type="dxa"/>
            <w:vAlign w:val="center"/>
          </w:tcPr>
          <w:p w:rsidR="002D62B9" w:rsidRPr="001946E0" w:rsidRDefault="002D62B9" w:rsidP="001B1A50">
            <w:pPr>
              <w:spacing w:after="0"/>
              <w:ind w:firstLine="0"/>
              <w:jc w:val="center"/>
              <w:rPr>
                <w:color w:val="000000"/>
                <w:sz w:val="20"/>
              </w:rPr>
            </w:pPr>
          </w:p>
        </w:tc>
        <w:tc>
          <w:tcPr>
            <w:tcW w:w="797" w:type="dxa"/>
            <w:vAlign w:val="bottom"/>
          </w:tcPr>
          <w:p w:rsidR="002D62B9" w:rsidRPr="001946E0" w:rsidRDefault="002D62B9" w:rsidP="001B1A50">
            <w:pPr>
              <w:pStyle w:val="tabteksts"/>
              <w:jc w:val="right"/>
              <w:rPr>
                <w:color w:val="000000"/>
              </w:rPr>
            </w:pPr>
            <w:r w:rsidRPr="001946E0">
              <w:rPr>
                <w:color w:val="000000"/>
              </w:rPr>
              <w:t>5</w:t>
            </w:r>
            <w:r w:rsidR="00C740F1">
              <w:rPr>
                <w:color w:val="000000"/>
              </w:rPr>
              <w:t>,</w:t>
            </w:r>
            <w:r w:rsidRPr="001946E0">
              <w:rPr>
                <w:color w:val="000000"/>
              </w:rPr>
              <w:t>4</w:t>
            </w:r>
          </w:p>
        </w:tc>
        <w:tc>
          <w:tcPr>
            <w:tcW w:w="797" w:type="dxa"/>
            <w:vAlign w:val="bottom"/>
          </w:tcPr>
          <w:p w:rsidR="002D62B9" w:rsidRPr="001946E0" w:rsidRDefault="002D62B9" w:rsidP="001B1A50">
            <w:pPr>
              <w:pStyle w:val="tabteksts"/>
              <w:jc w:val="right"/>
              <w:rPr>
                <w:color w:val="000000"/>
              </w:rPr>
            </w:pPr>
            <w:r w:rsidRPr="001946E0">
              <w:rPr>
                <w:color w:val="000000"/>
              </w:rPr>
              <w:t>1</w:t>
            </w:r>
            <w:r w:rsidR="00C740F1">
              <w:rPr>
                <w:color w:val="000000"/>
              </w:rPr>
              <w:t>,</w:t>
            </w:r>
            <w:r w:rsidRPr="001946E0">
              <w:rPr>
                <w:color w:val="000000"/>
              </w:rPr>
              <w:t>7</w:t>
            </w:r>
          </w:p>
        </w:tc>
        <w:tc>
          <w:tcPr>
            <w:tcW w:w="797" w:type="dxa"/>
            <w:vAlign w:val="bottom"/>
          </w:tcPr>
          <w:p w:rsidR="002D62B9" w:rsidRPr="001946E0" w:rsidRDefault="002D62B9" w:rsidP="001B1A50">
            <w:pPr>
              <w:pStyle w:val="tabteksts"/>
              <w:jc w:val="right"/>
              <w:rPr>
                <w:color w:val="000000"/>
              </w:rPr>
            </w:pPr>
            <w:r w:rsidRPr="001946E0">
              <w:rPr>
                <w:color w:val="000000"/>
              </w:rPr>
              <w:t>2</w:t>
            </w:r>
            <w:r w:rsidR="00C740F1">
              <w:rPr>
                <w:color w:val="000000"/>
              </w:rPr>
              <w:t>,</w:t>
            </w:r>
            <w:r w:rsidRPr="001946E0">
              <w:rPr>
                <w:color w:val="000000"/>
              </w:rPr>
              <w:t>0</w:t>
            </w:r>
          </w:p>
        </w:tc>
        <w:tc>
          <w:tcPr>
            <w:tcW w:w="783" w:type="dxa"/>
            <w:vAlign w:val="bottom"/>
          </w:tcPr>
          <w:p w:rsidR="002D62B9" w:rsidRPr="001946E0" w:rsidRDefault="002D62B9" w:rsidP="001B1A50">
            <w:pPr>
              <w:pStyle w:val="tabteksts"/>
              <w:jc w:val="right"/>
              <w:rPr>
                <w:color w:val="000000"/>
              </w:rPr>
            </w:pPr>
            <w:r w:rsidRPr="001946E0">
              <w:rPr>
                <w:color w:val="000000"/>
              </w:rPr>
              <w:t>2</w:t>
            </w:r>
            <w:r w:rsidR="00C740F1">
              <w:rPr>
                <w:color w:val="000000"/>
              </w:rPr>
              <w:t>,</w:t>
            </w:r>
            <w:r w:rsidRPr="001946E0">
              <w:rPr>
                <w:color w:val="000000"/>
              </w:rPr>
              <w:t>0</w:t>
            </w:r>
          </w:p>
        </w:tc>
        <w:tc>
          <w:tcPr>
            <w:tcW w:w="884" w:type="dxa"/>
            <w:vAlign w:val="bottom"/>
          </w:tcPr>
          <w:p w:rsidR="002D62B9" w:rsidRPr="001946E0" w:rsidRDefault="002D62B9" w:rsidP="001B1A50">
            <w:pPr>
              <w:pStyle w:val="tabteksts"/>
              <w:jc w:val="right"/>
              <w:rPr>
                <w:color w:val="000000"/>
              </w:rPr>
            </w:pPr>
            <w:r w:rsidRPr="001946E0">
              <w:rPr>
                <w:color w:val="000000"/>
              </w:rPr>
              <w:t>2</w:t>
            </w:r>
            <w:r w:rsidR="00C740F1">
              <w:rPr>
                <w:color w:val="000000"/>
              </w:rPr>
              <w:t>,</w:t>
            </w:r>
            <w:r w:rsidRPr="001946E0">
              <w:rPr>
                <w:color w:val="000000"/>
              </w:rPr>
              <w:t>0</w:t>
            </w:r>
          </w:p>
        </w:tc>
      </w:tr>
      <w:tr w:rsidR="002D62B9" w:rsidRPr="001946E0" w:rsidTr="00605C0C">
        <w:trPr>
          <w:jc w:val="center"/>
        </w:trPr>
        <w:tc>
          <w:tcPr>
            <w:tcW w:w="3851" w:type="dxa"/>
          </w:tcPr>
          <w:p w:rsidR="002D62B9" w:rsidRPr="001946E0" w:rsidRDefault="002D62B9" w:rsidP="001B1A50">
            <w:pPr>
              <w:pStyle w:val="tabteksts"/>
              <w:rPr>
                <w:noProof/>
                <w:snapToGrid w:val="0"/>
                <w:color w:val="000000"/>
              </w:rPr>
            </w:pPr>
            <w:r w:rsidRPr="001946E0">
              <w:rPr>
                <w:noProof/>
                <w:snapToGrid w:val="0"/>
                <w:color w:val="000000"/>
              </w:rPr>
              <w:t>2. Privātā patēriņa deflators</w:t>
            </w:r>
          </w:p>
        </w:tc>
        <w:tc>
          <w:tcPr>
            <w:tcW w:w="952" w:type="dxa"/>
          </w:tcPr>
          <w:p w:rsidR="002D62B9" w:rsidRPr="001946E0" w:rsidRDefault="002D62B9" w:rsidP="001B1A50">
            <w:pPr>
              <w:pStyle w:val="tabteksts"/>
              <w:rPr>
                <w:snapToGrid w:val="0"/>
                <w:color w:val="000000"/>
              </w:rPr>
            </w:pPr>
          </w:p>
        </w:tc>
        <w:tc>
          <w:tcPr>
            <w:tcW w:w="972" w:type="dxa"/>
            <w:vAlign w:val="center"/>
          </w:tcPr>
          <w:p w:rsidR="002D62B9" w:rsidRPr="001946E0" w:rsidRDefault="002D62B9" w:rsidP="001B1A50">
            <w:pPr>
              <w:spacing w:after="0"/>
              <w:ind w:firstLine="0"/>
              <w:jc w:val="center"/>
              <w:rPr>
                <w:color w:val="000000"/>
                <w:sz w:val="20"/>
              </w:rPr>
            </w:pPr>
          </w:p>
        </w:tc>
        <w:tc>
          <w:tcPr>
            <w:tcW w:w="797" w:type="dxa"/>
            <w:vAlign w:val="center"/>
          </w:tcPr>
          <w:p w:rsidR="002D62B9" w:rsidRPr="001946E0" w:rsidRDefault="002D62B9" w:rsidP="001B1A50">
            <w:pPr>
              <w:pStyle w:val="tabteksts"/>
              <w:jc w:val="right"/>
              <w:rPr>
                <w:color w:val="000000"/>
              </w:rPr>
            </w:pPr>
            <w:r w:rsidRPr="001946E0">
              <w:rPr>
                <w:color w:val="000000"/>
              </w:rPr>
              <w:t>4</w:t>
            </w:r>
            <w:r w:rsidR="00C740F1">
              <w:rPr>
                <w:color w:val="000000"/>
              </w:rPr>
              <w:t>,</w:t>
            </w:r>
            <w:r w:rsidRPr="001946E0">
              <w:rPr>
                <w:color w:val="000000"/>
              </w:rPr>
              <w:t>9</w:t>
            </w:r>
          </w:p>
        </w:tc>
        <w:tc>
          <w:tcPr>
            <w:tcW w:w="797" w:type="dxa"/>
            <w:vAlign w:val="center"/>
          </w:tcPr>
          <w:p w:rsidR="002D62B9" w:rsidRPr="001946E0" w:rsidRDefault="002D62B9" w:rsidP="001B1A50">
            <w:pPr>
              <w:pStyle w:val="tabteksts"/>
              <w:jc w:val="right"/>
              <w:rPr>
                <w:color w:val="000000"/>
              </w:rPr>
            </w:pPr>
            <w:r w:rsidRPr="001946E0">
              <w:rPr>
                <w:color w:val="000000"/>
              </w:rPr>
              <w:t>2</w:t>
            </w:r>
            <w:r w:rsidR="00C740F1">
              <w:rPr>
                <w:color w:val="000000"/>
              </w:rPr>
              <w:t>,</w:t>
            </w:r>
            <w:r w:rsidRPr="001946E0">
              <w:rPr>
                <w:color w:val="000000"/>
              </w:rPr>
              <w:t>6</w:t>
            </w:r>
          </w:p>
        </w:tc>
        <w:tc>
          <w:tcPr>
            <w:tcW w:w="797" w:type="dxa"/>
            <w:vAlign w:val="center"/>
          </w:tcPr>
          <w:p w:rsidR="002D62B9" w:rsidRPr="001946E0" w:rsidRDefault="002D62B9" w:rsidP="001B1A50">
            <w:pPr>
              <w:pStyle w:val="tabteksts"/>
              <w:jc w:val="right"/>
              <w:rPr>
                <w:color w:val="000000"/>
              </w:rPr>
            </w:pPr>
            <w:r w:rsidRPr="001946E0">
              <w:rPr>
                <w:color w:val="000000"/>
              </w:rPr>
              <w:t>2</w:t>
            </w:r>
            <w:r w:rsidR="00C740F1">
              <w:rPr>
                <w:color w:val="000000"/>
              </w:rPr>
              <w:t>,</w:t>
            </w:r>
            <w:r w:rsidRPr="001946E0">
              <w:rPr>
                <w:color w:val="000000"/>
              </w:rPr>
              <w:t>0</w:t>
            </w:r>
          </w:p>
        </w:tc>
        <w:tc>
          <w:tcPr>
            <w:tcW w:w="783" w:type="dxa"/>
            <w:vAlign w:val="center"/>
          </w:tcPr>
          <w:p w:rsidR="002D62B9" w:rsidRPr="001946E0" w:rsidRDefault="002D62B9" w:rsidP="001B1A50">
            <w:pPr>
              <w:pStyle w:val="tabteksts"/>
              <w:jc w:val="right"/>
              <w:rPr>
                <w:color w:val="000000"/>
              </w:rPr>
            </w:pPr>
            <w:r w:rsidRPr="001946E0">
              <w:rPr>
                <w:color w:val="000000"/>
              </w:rPr>
              <w:t>2</w:t>
            </w:r>
            <w:r w:rsidR="00C740F1">
              <w:rPr>
                <w:color w:val="000000"/>
              </w:rPr>
              <w:t>,</w:t>
            </w:r>
            <w:r w:rsidRPr="001946E0">
              <w:rPr>
                <w:color w:val="000000"/>
              </w:rPr>
              <w:t>0</w:t>
            </w:r>
          </w:p>
        </w:tc>
        <w:tc>
          <w:tcPr>
            <w:tcW w:w="884" w:type="dxa"/>
            <w:vAlign w:val="center"/>
          </w:tcPr>
          <w:p w:rsidR="002D62B9" w:rsidRPr="001946E0" w:rsidRDefault="002D62B9" w:rsidP="001B1A50">
            <w:pPr>
              <w:pStyle w:val="tabteksts"/>
              <w:jc w:val="right"/>
              <w:rPr>
                <w:color w:val="000000"/>
              </w:rPr>
            </w:pPr>
            <w:r w:rsidRPr="001946E0">
              <w:rPr>
                <w:color w:val="000000"/>
              </w:rPr>
              <w:t>2</w:t>
            </w:r>
            <w:r w:rsidR="00C740F1">
              <w:rPr>
                <w:color w:val="000000"/>
              </w:rPr>
              <w:t>,</w:t>
            </w:r>
            <w:r w:rsidRPr="001946E0">
              <w:rPr>
                <w:color w:val="000000"/>
              </w:rPr>
              <w:t>0</w:t>
            </w:r>
          </w:p>
        </w:tc>
      </w:tr>
      <w:tr w:rsidR="002D62B9" w:rsidRPr="001946E0" w:rsidTr="00605C0C">
        <w:trPr>
          <w:jc w:val="center"/>
        </w:trPr>
        <w:tc>
          <w:tcPr>
            <w:tcW w:w="3851" w:type="dxa"/>
          </w:tcPr>
          <w:p w:rsidR="002D62B9" w:rsidRPr="001946E0" w:rsidRDefault="002D62B9" w:rsidP="001B1A50">
            <w:pPr>
              <w:pStyle w:val="tabteksts"/>
              <w:rPr>
                <w:noProof/>
                <w:snapToGrid w:val="0"/>
                <w:color w:val="000000"/>
              </w:rPr>
            </w:pPr>
            <w:r w:rsidRPr="001946E0">
              <w:rPr>
                <w:noProof/>
                <w:snapToGrid w:val="0"/>
                <w:color w:val="000000"/>
              </w:rPr>
              <w:t xml:space="preserve">3. </w:t>
            </w:r>
            <w:r w:rsidRPr="001946E0">
              <w:rPr>
                <w:noProof/>
                <w:color w:val="000000"/>
              </w:rPr>
              <w:t>SPCI izmaiņas (gads pret gadu)</w:t>
            </w:r>
          </w:p>
        </w:tc>
        <w:tc>
          <w:tcPr>
            <w:tcW w:w="952" w:type="dxa"/>
          </w:tcPr>
          <w:p w:rsidR="002D62B9" w:rsidRPr="001946E0" w:rsidRDefault="002D62B9" w:rsidP="001B1A50">
            <w:pPr>
              <w:pStyle w:val="tabteksts"/>
              <w:rPr>
                <w:snapToGrid w:val="0"/>
                <w:color w:val="000000"/>
              </w:rPr>
            </w:pPr>
          </w:p>
        </w:tc>
        <w:tc>
          <w:tcPr>
            <w:tcW w:w="972" w:type="dxa"/>
            <w:vAlign w:val="center"/>
          </w:tcPr>
          <w:p w:rsidR="002D62B9" w:rsidRPr="001946E0" w:rsidRDefault="002D62B9" w:rsidP="001B1A50">
            <w:pPr>
              <w:spacing w:after="0"/>
              <w:ind w:firstLine="0"/>
              <w:jc w:val="center"/>
              <w:rPr>
                <w:color w:val="000000"/>
                <w:sz w:val="20"/>
              </w:rPr>
            </w:pPr>
          </w:p>
        </w:tc>
        <w:tc>
          <w:tcPr>
            <w:tcW w:w="797" w:type="dxa"/>
            <w:vAlign w:val="center"/>
          </w:tcPr>
          <w:p w:rsidR="002D62B9" w:rsidRPr="001946E0" w:rsidRDefault="002D62B9" w:rsidP="001B1A50">
            <w:pPr>
              <w:pStyle w:val="tabteksts"/>
              <w:jc w:val="right"/>
              <w:rPr>
                <w:color w:val="000000"/>
              </w:rPr>
            </w:pPr>
            <w:r w:rsidRPr="001946E0">
              <w:rPr>
                <w:color w:val="000000"/>
              </w:rPr>
              <w:t>4</w:t>
            </w:r>
            <w:r w:rsidR="00C740F1">
              <w:rPr>
                <w:color w:val="000000"/>
              </w:rPr>
              <w:t>,</w:t>
            </w:r>
            <w:r w:rsidRPr="001946E0">
              <w:rPr>
                <w:color w:val="000000"/>
              </w:rPr>
              <w:t>2</w:t>
            </w:r>
          </w:p>
        </w:tc>
        <w:tc>
          <w:tcPr>
            <w:tcW w:w="797" w:type="dxa"/>
            <w:vAlign w:val="center"/>
          </w:tcPr>
          <w:p w:rsidR="002D62B9" w:rsidRPr="001946E0" w:rsidRDefault="002D62B9" w:rsidP="001B1A50">
            <w:pPr>
              <w:pStyle w:val="tabteksts"/>
              <w:jc w:val="right"/>
              <w:rPr>
                <w:color w:val="000000"/>
              </w:rPr>
            </w:pPr>
            <w:r w:rsidRPr="001946E0">
              <w:rPr>
                <w:color w:val="000000"/>
              </w:rPr>
              <w:t>2</w:t>
            </w:r>
            <w:r w:rsidR="00C740F1">
              <w:rPr>
                <w:color w:val="000000"/>
              </w:rPr>
              <w:t>,</w:t>
            </w:r>
            <w:r w:rsidRPr="001946E0">
              <w:rPr>
                <w:color w:val="000000"/>
              </w:rPr>
              <w:t>6</w:t>
            </w:r>
          </w:p>
        </w:tc>
        <w:tc>
          <w:tcPr>
            <w:tcW w:w="797" w:type="dxa"/>
            <w:vAlign w:val="center"/>
          </w:tcPr>
          <w:p w:rsidR="002D62B9" w:rsidRPr="001946E0" w:rsidRDefault="002D62B9" w:rsidP="001B1A50">
            <w:pPr>
              <w:pStyle w:val="tabteksts"/>
              <w:jc w:val="right"/>
              <w:rPr>
                <w:color w:val="000000"/>
              </w:rPr>
            </w:pPr>
            <w:r w:rsidRPr="001946E0">
              <w:rPr>
                <w:color w:val="000000"/>
              </w:rPr>
              <w:t>2</w:t>
            </w:r>
            <w:r w:rsidR="00C740F1">
              <w:rPr>
                <w:color w:val="000000"/>
              </w:rPr>
              <w:t>,</w:t>
            </w:r>
            <w:r w:rsidRPr="001946E0">
              <w:rPr>
                <w:color w:val="000000"/>
              </w:rPr>
              <w:t>0</w:t>
            </w:r>
          </w:p>
        </w:tc>
        <w:tc>
          <w:tcPr>
            <w:tcW w:w="783" w:type="dxa"/>
            <w:vAlign w:val="center"/>
          </w:tcPr>
          <w:p w:rsidR="002D62B9" w:rsidRPr="001946E0" w:rsidRDefault="002D62B9" w:rsidP="001B1A50">
            <w:pPr>
              <w:pStyle w:val="tabteksts"/>
              <w:jc w:val="right"/>
              <w:rPr>
                <w:color w:val="000000"/>
              </w:rPr>
            </w:pPr>
            <w:r w:rsidRPr="001946E0">
              <w:rPr>
                <w:color w:val="000000"/>
              </w:rPr>
              <w:t>2</w:t>
            </w:r>
            <w:r w:rsidR="00C740F1">
              <w:rPr>
                <w:color w:val="000000"/>
              </w:rPr>
              <w:t>,</w:t>
            </w:r>
            <w:r w:rsidRPr="001946E0">
              <w:rPr>
                <w:color w:val="000000"/>
              </w:rPr>
              <w:t>0</w:t>
            </w:r>
          </w:p>
        </w:tc>
        <w:tc>
          <w:tcPr>
            <w:tcW w:w="884" w:type="dxa"/>
            <w:vAlign w:val="center"/>
          </w:tcPr>
          <w:p w:rsidR="002D62B9" w:rsidRPr="001946E0" w:rsidRDefault="002D62B9" w:rsidP="001B1A50">
            <w:pPr>
              <w:pStyle w:val="tabteksts"/>
              <w:jc w:val="right"/>
              <w:rPr>
                <w:color w:val="000000"/>
              </w:rPr>
            </w:pPr>
            <w:r w:rsidRPr="001946E0">
              <w:rPr>
                <w:color w:val="000000"/>
              </w:rPr>
              <w:t>2</w:t>
            </w:r>
            <w:r w:rsidR="00C740F1">
              <w:rPr>
                <w:color w:val="000000"/>
              </w:rPr>
              <w:t>,</w:t>
            </w:r>
            <w:r w:rsidRPr="001946E0">
              <w:rPr>
                <w:color w:val="000000"/>
              </w:rPr>
              <w:t>0</w:t>
            </w:r>
          </w:p>
        </w:tc>
      </w:tr>
      <w:tr w:rsidR="002D62B9" w:rsidRPr="001946E0" w:rsidTr="00605C0C">
        <w:trPr>
          <w:jc w:val="center"/>
        </w:trPr>
        <w:tc>
          <w:tcPr>
            <w:tcW w:w="3851" w:type="dxa"/>
          </w:tcPr>
          <w:p w:rsidR="002D62B9" w:rsidRPr="001946E0" w:rsidRDefault="002D62B9" w:rsidP="001B1A50">
            <w:pPr>
              <w:pStyle w:val="tabteksts"/>
              <w:rPr>
                <w:noProof/>
                <w:snapToGrid w:val="0"/>
                <w:color w:val="000000"/>
              </w:rPr>
            </w:pPr>
            <w:r w:rsidRPr="001946E0">
              <w:rPr>
                <w:noProof/>
                <w:snapToGrid w:val="0"/>
                <w:color w:val="000000"/>
              </w:rPr>
              <w:t>4. Sabiedriskā patēriņa deflators</w:t>
            </w:r>
          </w:p>
        </w:tc>
        <w:tc>
          <w:tcPr>
            <w:tcW w:w="952" w:type="dxa"/>
          </w:tcPr>
          <w:p w:rsidR="002D62B9" w:rsidRPr="001946E0" w:rsidRDefault="002D62B9" w:rsidP="001B1A50">
            <w:pPr>
              <w:pStyle w:val="tabteksts"/>
              <w:rPr>
                <w:snapToGrid w:val="0"/>
                <w:color w:val="000000"/>
              </w:rPr>
            </w:pPr>
          </w:p>
        </w:tc>
        <w:tc>
          <w:tcPr>
            <w:tcW w:w="972" w:type="dxa"/>
            <w:vAlign w:val="center"/>
          </w:tcPr>
          <w:p w:rsidR="002D62B9" w:rsidRPr="001946E0" w:rsidRDefault="002D62B9" w:rsidP="001B1A50">
            <w:pPr>
              <w:spacing w:after="0"/>
              <w:ind w:firstLine="0"/>
              <w:jc w:val="center"/>
              <w:rPr>
                <w:color w:val="000000"/>
                <w:sz w:val="20"/>
              </w:rPr>
            </w:pPr>
          </w:p>
        </w:tc>
        <w:tc>
          <w:tcPr>
            <w:tcW w:w="797" w:type="dxa"/>
            <w:vAlign w:val="bottom"/>
          </w:tcPr>
          <w:p w:rsidR="002D62B9" w:rsidRPr="001946E0" w:rsidRDefault="002D62B9" w:rsidP="001B1A50">
            <w:pPr>
              <w:pStyle w:val="tabteksts"/>
              <w:jc w:val="right"/>
              <w:rPr>
                <w:color w:val="000000"/>
              </w:rPr>
            </w:pPr>
            <w:r w:rsidRPr="001946E0">
              <w:rPr>
                <w:color w:val="000000"/>
              </w:rPr>
              <w:t>-2</w:t>
            </w:r>
            <w:r w:rsidR="00C740F1">
              <w:rPr>
                <w:color w:val="000000"/>
              </w:rPr>
              <w:t>,</w:t>
            </w:r>
            <w:r w:rsidRPr="001946E0">
              <w:rPr>
                <w:color w:val="000000"/>
              </w:rPr>
              <w:t>1</w:t>
            </w:r>
          </w:p>
        </w:tc>
        <w:tc>
          <w:tcPr>
            <w:tcW w:w="797" w:type="dxa"/>
            <w:vAlign w:val="bottom"/>
          </w:tcPr>
          <w:p w:rsidR="002D62B9" w:rsidRPr="001946E0" w:rsidRDefault="002D62B9" w:rsidP="001B1A50">
            <w:pPr>
              <w:pStyle w:val="tabteksts"/>
              <w:jc w:val="right"/>
              <w:rPr>
                <w:color w:val="000000"/>
              </w:rPr>
            </w:pPr>
            <w:r w:rsidRPr="001946E0">
              <w:rPr>
                <w:color w:val="000000"/>
              </w:rPr>
              <w:t>0</w:t>
            </w:r>
            <w:r w:rsidR="00C740F1">
              <w:rPr>
                <w:color w:val="000000"/>
              </w:rPr>
              <w:t>,</w:t>
            </w:r>
            <w:r w:rsidRPr="001946E0">
              <w:rPr>
                <w:color w:val="000000"/>
              </w:rPr>
              <w:t>5</w:t>
            </w:r>
          </w:p>
        </w:tc>
        <w:tc>
          <w:tcPr>
            <w:tcW w:w="797" w:type="dxa"/>
            <w:vAlign w:val="bottom"/>
          </w:tcPr>
          <w:p w:rsidR="002D62B9" w:rsidRPr="001946E0" w:rsidRDefault="002D62B9" w:rsidP="001B1A50">
            <w:pPr>
              <w:pStyle w:val="tabteksts"/>
              <w:jc w:val="right"/>
              <w:rPr>
                <w:color w:val="000000"/>
              </w:rPr>
            </w:pPr>
            <w:r w:rsidRPr="001946E0">
              <w:rPr>
                <w:color w:val="000000"/>
              </w:rPr>
              <w:t>1</w:t>
            </w:r>
            <w:r w:rsidR="00C740F1">
              <w:rPr>
                <w:color w:val="000000"/>
              </w:rPr>
              <w:t>,</w:t>
            </w:r>
            <w:r w:rsidRPr="001946E0">
              <w:rPr>
                <w:color w:val="000000"/>
              </w:rPr>
              <w:t>0</w:t>
            </w:r>
          </w:p>
        </w:tc>
        <w:tc>
          <w:tcPr>
            <w:tcW w:w="783" w:type="dxa"/>
            <w:vAlign w:val="bottom"/>
          </w:tcPr>
          <w:p w:rsidR="002D62B9" w:rsidRPr="001946E0" w:rsidRDefault="002D62B9" w:rsidP="001B1A50">
            <w:pPr>
              <w:pStyle w:val="tabteksts"/>
              <w:jc w:val="right"/>
              <w:rPr>
                <w:color w:val="000000"/>
              </w:rPr>
            </w:pPr>
            <w:r w:rsidRPr="001946E0">
              <w:rPr>
                <w:color w:val="000000"/>
              </w:rPr>
              <w:t>1</w:t>
            </w:r>
            <w:r w:rsidR="00C740F1">
              <w:rPr>
                <w:color w:val="000000"/>
              </w:rPr>
              <w:t>,</w:t>
            </w:r>
            <w:r w:rsidRPr="001946E0">
              <w:rPr>
                <w:color w:val="000000"/>
              </w:rPr>
              <w:t>0</w:t>
            </w:r>
          </w:p>
        </w:tc>
        <w:tc>
          <w:tcPr>
            <w:tcW w:w="884" w:type="dxa"/>
            <w:vAlign w:val="bottom"/>
          </w:tcPr>
          <w:p w:rsidR="002D62B9" w:rsidRPr="001946E0" w:rsidRDefault="002D62B9" w:rsidP="001B1A50">
            <w:pPr>
              <w:pStyle w:val="tabteksts"/>
              <w:jc w:val="right"/>
              <w:rPr>
                <w:color w:val="000000"/>
              </w:rPr>
            </w:pPr>
            <w:r w:rsidRPr="001946E0">
              <w:rPr>
                <w:color w:val="000000"/>
              </w:rPr>
              <w:t>1</w:t>
            </w:r>
            <w:r w:rsidR="00C740F1">
              <w:rPr>
                <w:color w:val="000000"/>
              </w:rPr>
              <w:t>,</w:t>
            </w:r>
            <w:r w:rsidRPr="001946E0">
              <w:rPr>
                <w:color w:val="000000"/>
              </w:rPr>
              <w:t>0</w:t>
            </w:r>
          </w:p>
        </w:tc>
      </w:tr>
      <w:tr w:rsidR="002D62B9" w:rsidRPr="001946E0" w:rsidTr="00605C0C">
        <w:trPr>
          <w:jc w:val="center"/>
        </w:trPr>
        <w:tc>
          <w:tcPr>
            <w:tcW w:w="3851" w:type="dxa"/>
          </w:tcPr>
          <w:p w:rsidR="002D62B9" w:rsidRPr="001946E0" w:rsidRDefault="002D62B9" w:rsidP="001B1A50">
            <w:pPr>
              <w:pStyle w:val="tabteksts"/>
              <w:rPr>
                <w:noProof/>
                <w:snapToGrid w:val="0"/>
                <w:color w:val="000000"/>
              </w:rPr>
            </w:pPr>
            <w:r w:rsidRPr="001946E0">
              <w:rPr>
                <w:noProof/>
                <w:snapToGrid w:val="0"/>
                <w:color w:val="000000"/>
              </w:rPr>
              <w:t>5. Investīciju deflators</w:t>
            </w:r>
          </w:p>
        </w:tc>
        <w:tc>
          <w:tcPr>
            <w:tcW w:w="952" w:type="dxa"/>
          </w:tcPr>
          <w:p w:rsidR="002D62B9" w:rsidRPr="001946E0" w:rsidRDefault="002D62B9" w:rsidP="001B1A50">
            <w:pPr>
              <w:pStyle w:val="tabteksts"/>
              <w:rPr>
                <w:color w:val="000000"/>
              </w:rPr>
            </w:pPr>
          </w:p>
        </w:tc>
        <w:tc>
          <w:tcPr>
            <w:tcW w:w="972" w:type="dxa"/>
            <w:vAlign w:val="center"/>
          </w:tcPr>
          <w:p w:rsidR="002D62B9" w:rsidRPr="001946E0" w:rsidRDefault="002D62B9" w:rsidP="001B1A50">
            <w:pPr>
              <w:spacing w:after="0"/>
              <w:ind w:firstLine="0"/>
              <w:jc w:val="center"/>
              <w:rPr>
                <w:color w:val="000000"/>
                <w:sz w:val="20"/>
              </w:rPr>
            </w:pPr>
          </w:p>
        </w:tc>
        <w:tc>
          <w:tcPr>
            <w:tcW w:w="797" w:type="dxa"/>
            <w:vAlign w:val="bottom"/>
          </w:tcPr>
          <w:p w:rsidR="002D62B9" w:rsidRPr="001946E0" w:rsidRDefault="002D62B9" w:rsidP="001B1A50">
            <w:pPr>
              <w:pStyle w:val="tabteksts"/>
              <w:jc w:val="right"/>
              <w:rPr>
                <w:color w:val="000000"/>
              </w:rPr>
            </w:pPr>
            <w:r w:rsidRPr="001946E0">
              <w:rPr>
                <w:color w:val="000000"/>
              </w:rPr>
              <w:t>2</w:t>
            </w:r>
            <w:r w:rsidR="00C740F1">
              <w:rPr>
                <w:color w:val="000000"/>
              </w:rPr>
              <w:t>,</w:t>
            </w:r>
            <w:r w:rsidRPr="001946E0">
              <w:rPr>
                <w:color w:val="000000"/>
              </w:rPr>
              <w:t>3</w:t>
            </w:r>
          </w:p>
        </w:tc>
        <w:tc>
          <w:tcPr>
            <w:tcW w:w="797" w:type="dxa"/>
            <w:vAlign w:val="bottom"/>
          </w:tcPr>
          <w:p w:rsidR="002D62B9" w:rsidRPr="001946E0" w:rsidRDefault="002D62B9" w:rsidP="001B1A50">
            <w:pPr>
              <w:pStyle w:val="tabteksts"/>
              <w:jc w:val="right"/>
              <w:rPr>
                <w:color w:val="000000"/>
              </w:rPr>
            </w:pPr>
            <w:r w:rsidRPr="001946E0">
              <w:rPr>
                <w:color w:val="000000"/>
              </w:rPr>
              <w:t>2</w:t>
            </w:r>
            <w:r w:rsidR="00C740F1">
              <w:rPr>
                <w:color w:val="000000"/>
              </w:rPr>
              <w:t>,</w:t>
            </w:r>
            <w:r w:rsidRPr="001946E0">
              <w:rPr>
                <w:color w:val="000000"/>
              </w:rPr>
              <w:t>5</w:t>
            </w:r>
          </w:p>
        </w:tc>
        <w:tc>
          <w:tcPr>
            <w:tcW w:w="797" w:type="dxa"/>
            <w:vAlign w:val="bottom"/>
          </w:tcPr>
          <w:p w:rsidR="002D62B9" w:rsidRPr="001946E0" w:rsidRDefault="002D62B9" w:rsidP="001B1A50">
            <w:pPr>
              <w:pStyle w:val="tabteksts"/>
              <w:jc w:val="right"/>
              <w:rPr>
                <w:color w:val="000000"/>
              </w:rPr>
            </w:pPr>
            <w:r w:rsidRPr="001946E0">
              <w:rPr>
                <w:color w:val="000000"/>
              </w:rPr>
              <w:t>2</w:t>
            </w:r>
            <w:r w:rsidR="00C740F1">
              <w:rPr>
                <w:color w:val="000000"/>
              </w:rPr>
              <w:t>,</w:t>
            </w:r>
            <w:r w:rsidRPr="001946E0">
              <w:rPr>
                <w:color w:val="000000"/>
              </w:rPr>
              <w:t>0</w:t>
            </w:r>
          </w:p>
        </w:tc>
        <w:tc>
          <w:tcPr>
            <w:tcW w:w="783" w:type="dxa"/>
            <w:vAlign w:val="bottom"/>
          </w:tcPr>
          <w:p w:rsidR="002D62B9" w:rsidRPr="001946E0" w:rsidRDefault="002D62B9" w:rsidP="001B1A50">
            <w:pPr>
              <w:pStyle w:val="tabteksts"/>
              <w:jc w:val="right"/>
              <w:rPr>
                <w:color w:val="000000"/>
              </w:rPr>
            </w:pPr>
            <w:r w:rsidRPr="001946E0">
              <w:rPr>
                <w:color w:val="000000"/>
              </w:rPr>
              <w:t>2</w:t>
            </w:r>
            <w:r w:rsidR="00C740F1">
              <w:rPr>
                <w:color w:val="000000"/>
              </w:rPr>
              <w:t>,</w:t>
            </w:r>
            <w:r w:rsidRPr="001946E0">
              <w:rPr>
                <w:color w:val="000000"/>
              </w:rPr>
              <w:t>0</w:t>
            </w:r>
          </w:p>
        </w:tc>
        <w:tc>
          <w:tcPr>
            <w:tcW w:w="884" w:type="dxa"/>
            <w:vAlign w:val="bottom"/>
          </w:tcPr>
          <w:p w:rsidR="002D62B9" w:rsidRPr="001946E0" w:rsidRDefault="002D62B9" w:rsidP="001B1A50">
            <w:pPr>
              <w:pStyle w:val="tabteksts"/>
              <w:jc w:val="right"/>
              <w:rPr>
                <w:color w:val="000000"/>
              </w:rPr>
            </w:pPr>
            <w:r w:rsidRPr="001946E0">
              <w:rPr>
                <w:color w:val="000000"/>
              </w:rPr>
              <w:t>2</w:t>
            </w:r>
            <w:r w:rsidR="00C740F1">
              <w:rPr>
                <w:color w:val="000000"/>
              </w:rPr>
              <w:t>,</w:t>
            </w:r>
            <w:r w:rsidRPr="001946E0">
              <w:rPr>
                <w:color w:val="000000"/>
              </w:rPr>
              <w:t>0</w:t>
            </w:r>
          </w:p>
        </w:tc>
      </w:tr>
      <w:tr w:rsidR="002D62B9" w:rsidRPr="001946E0" w:rsidTr="00605C0C">
        <w:trPr>
          <w:jc w:val="center"/>
        </w:trPr>
        <w:tc>
          <w:tcPr>
            <w:tcW w:w="3851" w:type="dxa"/>
          </w:tcPr>
          <w:p w:rsidR="002D62B9" w:rsidRPr="001946E0" w:rsidRDefault="002D62B9" w:rsidP="001B1A50">
            <w:pPr>
              <w:pStyle w:val="tabteksts"/>
              <w:rPr>
                <w:noProof/>
                <w:snapToGrid w:val="0"/>
                <w:color w:val="000000"/>
              </w:rPr>
            </w:pPr>
            <w:r w:rsidRPr="001946E0">
              <w:rPr>
                <w:noProof/>
                <w:snapToGrid w:val="0"/>
                <w:color w:val="000000"/>
              </w:rPr>
              <w:t>6. Eksporta (preču un pakalpojumu) deflators</w:t>
            </w:r>
          </w:p>
        </w:tc>
        <w:tc>
          <w:tcPr>
            <w:tcW w:w="952" w:type="dxa"/>
          </w:tcPr>
          <w:p w:rsidR="002D62B9" w:rsidRPr="001946E0" w:rsidRDefault="002D62B9" w:rsidP="001B1A50">
            <w:pPr>
              <w:pStyle w:val="tabteksts"/>
              <w:rPr>
                <w:color w:val="000000"/>
              </w:rPr>
            </w:pPr>
          </w:p>
        </w:tc>
        <w:tc>
          <w:tcPr>
            <w:tcW w:w="972" w:type="dxa"/>
            <w:vAlign w:val="center"/>
          </w:tcPr>
          <w:p w:rsidR="002D62B9" w:rsidRPr="001946E0" w:rsidRDefault="002D62B9" w:rsidP="001B1A50">
            <w:pPr>
              <w:spacing w:after="0"/>
              <w:ind w:firstLine="0"/>
              <w:jc w:val="center"/>
              <w:rPr>
                <w:color w:val="000000"/>
                <w:sz w:val="20"/>
              </w:rPr>
            </w:pPr>
          </w:p>
        </w:tc>
        <w:tc>
          <w:tcPr>
            <w:tcW w:w="797" w:type="dxa"/>
            <w:vAlign w:val="bottom"/>
          </w:tcPr>
          <w:p w:rsidR="002D62B9" w:rsidRPr="001946E0" w:rsidRDefault="002D62B9" w:rsidP="001B1A50">
            <w:pPr>
              <w:pStyle w:val="tabteksts"/>
              <w:jc w:val="right"/>
              <w:rPr>
                <w:color w:val="000000"/>
              </w:rPr>
            </w:pPr>
            <w:r w:rsidRPr="001946E0">
              <w:rPr>
                <w:color w:val="000000"/>
              </w:rPr>
              <w:t>8</w:t>
            </w:r>
            <w:r w:rsidR="00C740F1">
              <w:rPr>
                <w:color w:val="000000"/>
              </w:rPr>
              <w:t>,</w:t>
            </w:r>
            <w:r w:rsidRPr="001946E0">
              <w:rPr>
                <w:color w:val="000000"/>
              </w:rPr>
              <w:t>9</w:t>
            </w:r>
          </w:p>
        </w:tc>
        <w:tc>
          <w:tcPr>
            <w:tcW w:w="797" w:type="dxa"/>
            <w:vAlign w:val="bottom"/>
          </w:tcPr>
          <w:p w:rsidR="002D62B9" w:rsidRPr="001946E0" w:rsidRDefault="002D62B9" w:rsidP="001B1A50">
            <w:pPr>
              <w:pStyle w:val="tabteksts"/>
              <w:jc w:val="right"/>
              <w:rPr>
                <w:color w:val="000000"/>
              </w:rPr>
            </w:pPr>
            <w:r w:rsidRPr="001946E0">
              <w:rPr>
                <w:color w:val="000000"/>
              </w:rPr>
              <w:t>1</w:t>
            </w:r>
            <w:r w:rsidR="00C740F1">
              <w:rPr>
                <w:color w:val="000000"/>
              </w:rPr>
              <w:t>,</w:t>
            </w:r>
            <w:r w:rsidRPr="001946E0">
              <w:rPr>
                <w:color w:val="000000"/>
              </w:rPr>
              <w:t>3</w:t>
            </w:r>
          </w:p>
        </w:tc>
        <w:tc>
          <w:tcPr>
            <w:tcW w:w="797" w:type="dxa"/>
            <w:vAlign w:val="bottom"/>
          </w:tcPr>
          <w:p w:rsidR="002D62B9" w:rsidRPr="001946E0" w:rsidRDefault="002D62B9" w:rsidP="001B1A50">
            <w:pPr>
              <w:pStyle w:val="tabteksts"/>
              <w:jc w:val="right"/>
              <w:rPr>
                <w:color w:val="000000"/>
              </w:rPr>
            </w:pPr>
            <w:r w:rsidRPr="001946E0">
              <w:rPr>
                <w:color w:val="000000"/>
              </w:rPr>
              <w:t>1</w:t>
            </w:r>
            <w:r w:rsidR="00C740F1">
              <w:rPr>
                <w:color w:val="000000"/>
              </w:rPr>
              <w:t>,</w:t>
            </w:r>
            <w:r w:rsidRPr="001946E0">
              <w:rPr>
                <w:color w:val="000000"/>
              </w:rPr>
              <w:t>0</w:t>
            </w:r>
          </w:p>
        </w:tc>
        <w:tc>
          <w:tcPr>
            <w:tcW w:w="783" w:type="dxa"/>
            <w:vAlign w:val="bottom"/>
          </w:tcPr>
          <w:p w:rsidR="002D62B9" w:rsidRPr="001946E0" w:rsidRDefault="002D62B9" w:rsidP="001B1A50">
            <w:pPr>
              <w:pStyle w:val="tabteksts"/>
              <w:jc w:val="right"/>
              <w:rPr>
                <w:color w:val="000000"/>
              </w:rPr>
            </w:pPr>
            <w:r w:rsidRPr="001946E0">
              <w:rPr>
                <w:color w:val="000000"/>
              </w:rPr>
              <w:t>1</w:t>
            </w:r>
            <w:r w:rsidR="00C740F1">
              <w:rPr>
                <w:color w:val="000000"/>
              </w:rPr>
              <w:t>,</w:t>
            </w:r>
            <w:r w:rsidRPr="001946E0">
              <w:rPr>
                <w:color w:val="000000"/>
              </w:rPr>
              <w:t>0</w:t>
            </w:r>
          </w:p>
        </w:tc>
        <w:tc>
          <w:tcPr>
            <w:tcW w:w="884" w:type="dxa"/>
            <w:vAlign w:val="bottom"/>
          </w:tcPr>
          <w:p w:rsidR="002D62B9" w:rsidRPr="001946E0" w:rsidRDefault="002D62B9" w:rsidP="001B1A50">
            <w:pPr>
              <w:pStyle w:val="tabteksts"/>
              <w:jc w:val="right"/>
              <w:rPr>
                <w:color w:val="000000"/>
              </w:rPr>
            </w:pPr>
            <w:r w:rsidRPr="001946E0">
              <w:rPr>
                <w:color w:val="000000"/>
              </w:rPr>
              <w:t>1</w:t>
            </w:r>
            <w:r w:rsidR="00C740F1">
              <w:rPr>
                <w:color w:val="000000"/>
              </w:rPr>
              <w:t>,</w:t>
            </w:r>
            <w:r w:rsidRPr="001946E0">
              <w:rPr>
                <w:color w:val="000000"/>
              </w:rPr>
              <w:t>0</w:t>
            </w:r>
          </w:p>
        </w:tc>
      </w:tr>
      <w:tr w:rsidR="002D62B9" w:rsidRPr="001946E0" w:rsidTr="00605C0C">
        <w:trPr>
          <w:jc w:val="center"/>
        </w:trPr>
        <w:tc>
          <w:tcPr>
            <w:tcW w:w="3851" w:type="dxa"/>
          </w:tcPr>
          <w:p w:rsidR="002D62B9" w:rsidRPr="001946E0" w:rsidRDefault="002D62B9" w:rsidP="001B1A50">
            <w:pPr>
              <w:pStyle w:val="tabteksts"/>
              <w:rPr>
                <w:noProof/>
                <w:snapToGrid w:val="0"/>
                <w:color w:val="000000"/>
              </w:rPr>
            </w:pPr>
            <w:r w:rsidRPr="001946E0">
              <w:rPr>
                <w:noProof/>
                <w:snapToGrid w:val="0"/>
                <w:color w:val="000000"/>
              </w:rPr>
              <w:t>7. Importa (preču un pakalpojumu) deflators</w:t>
            </w:r>
          </w:p>
        </w:tc>
        <w:tc>
          <w:tcPr>
            <w:tcW w:w="952" w:type="dxa"/>
          </w:tcPr>
          <w:p w:rsidR="002D62B9" w:rsidRPr="001946E0" w:rsidRDefault="002D62B9" w:rsidP="001B1A50">
            <w:pPr>
              <w:pStyle w:val="tabteksts"/>
              <w:rPr>
                <w:color w:val="000000"/>
              </w:rPr>
            </w:pPr>
          </w:p>
        </w:tc>
        <w:tc>
          <w:tcPr>
            <w:tcW w:w="972" w:type="dxa"/>
            <w:vAlign w:val="center"/>
          </w:tcPr>
          <w:p w:rsidR="002D62B9" w:rsidRPr="001946E0" w:rsidRDefault="002D62B9" w:rsidP="001B1A50">
            <w:pPr>
              <w:spacing w:after="0"/>
              <w:ind w:firstLine="0"/>
              <w:jc w:val="center"/>
              <w:rPr>
                <w:color w:val="000000"/>
                <w:sz w:val="20"/>
              </w:rPr>
            </w:pPr>
          </w:p>
        </w:tc>
        <w:tc>
          <w:tcPr>
            <w:tcW w:w="797" w:type="dxa"/>
            <w:vAlign w:val="bottom"/>
          </w:tcPr>
          <w:p w:rsidR="002D62B9" w:rsidRPr="001946E0" w:rsidRDefault="002D62B9" w:rsidP="001B1A50">
            <w:pPr>
              <w:pStyle w:val="tabteksts"/>
              <w:jc w:val="right"/>
              <w:rPr>
                <w:color w:val="000000"/>
              </w:rPr>
            </w:pPr>
            <w:r w:rsidRPr="001946E0">
              <w:rPr>
                <w:color w:val="000000"/>
              </w:rPr>
              <w:t>5</w:t>
            </w:r>
            <w:r w:rsidR="00C740F1">
              <w:rPr>
                <w:color w:val="000000"/>
              </w:rPr>
              <w:t>,</w:t>
            </w:r>
            <w:r w:rsidRPr="001946E0">
              <w:rPr>
                <w:color w:val="000000"/>
              </w:rPr>
              <w:t>3</w:t>
            </w:r>
          </w:p>
        </w:tc>
        <w:tc>
          <w:tcPr>
            <w:tcW w:w="797" w:type="dxa"/>
            <w:vAlign w:val="bottom"/>
          </w:tcPr>
          <w:p w:rsidR="002D62B9" w:rsidRPr="001946E0" w:rsidRDefault="002D62B9" w:rsidP="001B1A50">
            <w:pPr>
              <w:pStyle w:val="tabteksts"/>
              <w:jc w:val="right"/>
              <w:rPr>
                <w:color w:val="000000"/>
              </w:rPr>
            </w:pPr>
            <w:r w:rsidRPr="001946E0">
              <w:rPr>
                <w:color w:val="000000"/>
              </w:rPr>
              <w:t>1</w:t>
            </w:r>
            <w:r w:rsidR="00C740F1">
              <w:rPr>
                <w:color w:val="000000"/>
              </w:rPr>
              <w:t>,</w:t>
            </w:r>
            <w:r w:rsidRPr="001946E0">
              <w:rPr>
                <w:color w:val="000000"/>
              </w:rPr>
              <w:t>8</w:t>
            </w:r>
          </w:p>
        </w:tc>
        <w:tc>
          <w:tcPr>
            <w:tcW w:w="797" w:type="dxa"/>
            <w:vAlign w:val="bottom"/>
          </w:tcPr>
          <w:p w:rsidR="002D62B9" w:rsidRPr="001946E0" w:rsidRDefault="002D62B9" w:rsidP="001B1A50">
            <w:pPr>
              <w:pStyle w:val="tabteksts"/>
              <w:jc w:val="right"/>
              <w:rPr>
                <w:color w:val="000000"/>
              </w:rPr>
            </w:pPr>
            <w:r w:rsidRPr="001946E0">
              <w:rPr>
                <w:color w:val="000000"/>
              </w:rPr>
              <w:t>1</w:t>
            </w:r>
            <w:r w:rsidR="00C740F1">
              <w:rPr>
                <w:color w:val="000000"/>
              </w:rPr>
              <w:t>,</w:t>
            </w:r>
            <w:r w:rsidRPr="001946E0">
              <w:rPr>
                <w:color w:val="000000"/>
              </w:rPr>
              <w:t>0</w:t>
            </w:r>
          </w:p>
        </w:tc>
        <w:tc>
          <w:tcPr>
            <w:tcW w:w="783" w:type="dxa"/>
            <w:vAlign w:val="bottom"/>
          </w:tcPr>
          <w:p w:rsidR="002D62B9" w:rsidRPr="001946E0" w:rsidRDefault="002D62B9" w:rsidP="001B1A50">
            <w:pPr>
              <w:pStyle w:val="tabteksts"/>
              <w:jc w:val="right"/>
              <w:rPr>
                <w:color w:val="000000"/>
              </w:rPr>
            </w:pPr>
            <w:r w:rsidRPr="001946E0">
              <w:rPr>
                <w:color w:val="000000"/>
              </w:rPr>
              <w:t>1</w:t>
            </w:r>
            <w:r w:rsidR="00C740F1">
              <w:rPr>
                <w:color w:val="000000"/>
              </w:rPr>
              <w:t>,</w:t>
            </w:r>
            <w:r w:rsidRPr="001946E0">
              <w:rPr>
                <w:color w:val="000000"/>
              </w:rPr>
              <w:t>0</w:t>
            </w:r>
          </w:p>
        </w:tc>
        <w:tc>
          <w:tcPr>
            <w:tcW w:w="884" w:type="dxa"/>
            <w:vAlign w:val="bottom"/>
          </w:tcPr>
          <w:p w:rsidR="002D62B9" w:rsidRPr="001946E0" w:rsidRDefault="002D62B9" w:rsidP="001B1A50">
            <w:pPr>
              <w:pStyle w:val="tabteksts"/>
              <w:jc w:val="right"/>
              <w:rPr>
                <w:color w:val="000000"/>
              </w:rPr>
            </w:pPr>
            <w:r w:rsidRPr="001946E0">
              <w:rPr>
                <w:color w:val="000000"/>
              </w:rPr>
              <w:t>1.0</w:t>
            </w:r>
          </w:p>
        </w:tc>
      </w:tr>
    </w:tbl>
    <w:p w:rsidR="002D62B9" w:rsidRPr="001946E0" w:rsidRDefault="002D62B9" w:rsidP="002D62B9">
      <w:pPr>
        <w:pStyle w:val="T"/>
        <w:rPr>
          <w:rFonts w:ascii="Times New Roman" w:hAnsi="Times New Roman"/>
          <w:color w:val="000000"/>
        </w:rPr>
      </w:pPr>
    </w:p>
    <w:p w:rsidR="002D62B9" w:rsidRPr="001946E0" w:rsidRDefault="00203D1A" w:rsidP="002D62B9">
      <w:pPr>
        <w:ind w:firstLine="0"/>
        <w:rPr>
          <w:b/>
          <w:color w:val="000000"/>
        </w:rPr>
      </w:pPr>
      <w:r>
        <w:rPr>
          <w:b/>
          <w:color w:val="000000"/>
        </w:rPr>
        <w:t>1c. t</w:t>
      </w:r>
      <w:r w:rsidR="002D62B9" w:rsidRPr="001946E0">
        <w:rPr>
          <w:b/>
          <w:color w:val="000000"/>
        </w:rPr>
        <w:t>bula. Darba tirgus attīstība</w:t>
      </w:r>
    </w:p>
    <w:p w:rsidR="002D62B9" w:rsidRPr="001946E0" w:rsidRDefault="002D62B9" w:rsidP="002D62B9">
      <w:pPr>
        <w:ind w:firstLine="0"/>
        <w:rPr>
          <w:b/>
          <w:color w:val="000000"/>
        </w:rPr>
      </w:pP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92"/>
        <w:gridCol w:w="851"/>
        <w:gridCol w:w="1276"/>
        <w:gridCol w:w="936"/>
        <w:gridCol w:w="797"/>
        <w:gridCol w:w="797"/>
        <w:gridCol w:w="797"/>
        <w:gridCol w:w="704"/>
      </w:tblGrid>
      <w:tr w:rsidR="002D62B9" w:rsidRPr="001946E0" w:rsidTr="00D01375">
        <w:trPr>
          <w:tblHeader/>
          <w:jc w:val="center"/>
        </w:trPr>
        <w:tc>
          <w:tcPr>
            <w:tcW w:w="3892" w:type="dxa"/>
          </w:tcPr>
          <w:p w:rsidR="002D62B9" w:rsidRPr="001946E0" w:rsidRDefault="002D62B9" w:rsidP="001B1A50">
            <w:pPr>
              <w:pStyle w:val="tabteksts"/>
              <w:rPr>
                <w:color w:val="000000"/>
              </w:rPr>
            </w:pPr>
          </w:p>
        </w:tc>
        <w:tc>
          <w:tcPr>
            <w:tcW w:w="851" w:type="dxa"/>
          </w:tcPr>
          <w:p w:rsidR="002D62B9" w:rsidRPr="001946E0" w:rsidRDefault="002D62B9" w:rsidP="001B1A50">
            <w:pPr>
              <w:pStyle w:val="tabteksts"/>
              <w:rPr>
                <w:color w:val="000000"/>
              </w:rPr>
            </w:pPr>
            <w:r w:rsidRPr="001946E0">
              <w:rPr>
                <w:color w:val="000000"/>
              </w:rPr>
              <w:t>EKS</w:t>
            </w:r>
          </w:p>
          <w:p w:rsidR="002D62B9" w:rsidRPr="001946E0" w:rsidRDefault="002D62B9" w:rsidP="001B1A50">
            <w:pPr>
              <w:pStyle w:val="tabteksts"/>
              <w:rPr>
                <w:color w:val="000000"/>
              </w:rPr>
            </w:pPr>
            <w:r w:rsidRPr="001946E0">
              <w:rPr>
                <w:color w:val="000000"/>
              </w:rPr>
              <w:t>Kods</w:t>
            </w:r>
          </w:p>
        </w:tc>
        <w:tc>
          <w:tcPr>
            <w:tcW w:w="1276" w:type="dxa"/>
          </w:tcPr>
          <w:p w:rsidR="002D62B9" w:rsidRPr="001946E0" w:rsidRDefault="002D62B9" w:rsidP="001B1A50">
            <w:pPr>
              <w:pStyle w:val="tabteksts"/>
              <w:jc w:val="center"/>
              <w:rPr>
                <w:b/>
                <w:color w:val="000000"/>
              </w:rPr>
            </w:pPr>
            <w:r w:rsidRPr="001946E0">
              <w:rPr>
                <w:b/>
                <w:color w:val="000000"/>
              </w:rPr>
              <w:t>2011</w:t>
            </w:r>
          </w:p>
        </w:tc>
        <w:tc>
          <w:tcPr>
            <w:tcW w:w="936" w:type="dxa"/>
          </w:tcPr>
          <w:p w:rsidR="002D62B9" w:rsidRPr="001946E0" w:rsidRDefault="002D62B9" w:rsidP="001B1A50">
            <w:pPr>
              <w:pStyle w:val="tabteksts"/>
              <w:jc w:val="center"/>
              <w:rPr>
                <w:b/>
                <w:color w:val="000000"/>
              </w:rPr>
            </w:pPr>
            <w:r w:rsidRPr="001946E0">
              <w:rPr>
                <w:b/>
                <w:color w:val="000000"/>
              </w:rPr>
              <w:t>2011</w:t>
            </w:r>
          </w:p>
        </w:tc>
        <w:tc>
          <w:tcPr>
            <w:tcW w:w="797" w:type="dxa"/>
          </w:tcPr>
          <w:p w:rsidR="002D62B9" w:rsidRPr="001946E0" w:rsidRDefault="002D62B9" w:rsidP="001B1A50">
            <w:pPr>
              <w:pStyle w:val="tabteksts"/>
              <w:jc w:val="center"/>
              <w:rPr>
                <w:b/>
                <w:color w:val="000000"/>
              </w:rPr>
            </w:pPr>
            <w:r w:rsidRPr="001946E0">
              <w:rPr>
                <w:b/>
                <w:color w:val="000000"/>
              </w:rPr>
              <w:t>2012</w:t>
            </w:r>
          </w:p>
        </w:tc>
        <w:tc>
          <w:tcPr>
            <w:tcW w:w="797" w:type="dxa"/>
          </w:tcPr>
          <w:p w:rsidR="002D62B9" w:rsidRPr="001946E0" w:rsidRDefault="002D62B9" w:rsidP="001B1A50">
            <w:pPr>
              <w:pStyle w:val="tabteksts"/>
              <w:jc w:val="center"/>
              <w:rPr>
                <w:b/>
                <w:color w:val="000000"/>
              </w:rPr>
            </w:pPr>
            <w:r w:rsidRPr="001946E0">
              <w:rPr>
                <w:b/>
                <w:color w:val="000000"/>
              </w:rPr>
              <w:t>2013</w:t>
            </w:r>
          </w:p>
        </w:tc>
        <w:tc>
          <w:tcPr>
            <w:tcW w:w="797" w:type="dxa"/>
          </w:tcPr>
          <w:p w:rsidR="002D62B9" w:rsidRPr="001946E0" w:rsidRDefault="002D62B9" w:rsidP="001B1A50">
            <w:pPr>
              <w:pStyle w:val="tabteksts"/>
              <w:jc w:val="center"/>
              <w:rPr>
                <w:b/>
                <w:color w:val="000000"/>
              </w:rPr>
            </w:pPr>
            <w:r w:rsidRPr="001946E0">
              <w:rPr>
                <w:b/>
                <w:color w:val="000000"/>
              </w:rPr>
              <w:t>2014</w:t>
            </w:r>
          </w:p>
        </w:tc>
        <w:tc>
          <w:tcPr>
            <w:tcW w:w="704" w:type="dxa"/>
          </w:tcPr>
          <w:p w:rsidR="002D62B9" w:rsidRPr="001946E0" w:rsidRDefault="002D62B9" w:rsidP="001B1A50">
            <w:pPr>
              <w:pStyle w:val="tabteksts"/>
              <w:jc w:val="center"/>
              <w:rPr>
                <w:b/>
                <w:color w:val="000000"/>
              </w:rPr>
            </w:pPr>
            <w:r w:rsidRPr="001946E0">
              <w:rPr>
                <w:b/>
                <w:color w:val="000000"/>
              </w:rPr>
              <w:t>2015</w:t>
            </w:r>
          </w:p>
        </w:tc>
      </w:tr>
      <w:tr w:rsidR="002D62B9" w:rsidRPr="001946E0" w:rsidTr="00605C0C">
        <w:trPr>
          <w:trHeight w:val="85"/>
          <w:jc w:val="center"/>
        </w:trPr>
        <w:tc>
          <w:tcPr>
            <w:tcW w:w="3892" w:type="dxa"/>
          </w:tcPr>
          <w:p w:rsidR="002D62B9" w:rsidRPr="001946E0" w:rsidRDefault="002D62B9" w:rsidP="001B1A50">
            <w:pPr>
              <w:pStyle w:val="tabteksts"/>
              <w:rPr>
                <w:snapToGrid w:val="0"/>
                <w:color w:val="000000"/>
              </w:rPr>
            </w:pPr>
          </w:p>
        </w:tc>
        <w:tc>
          <w:tcPr>
            <w:tcW w:w="851" w:type="dxa"/>
          </w:tcPr>
          <w:p w:rsidR="002D62B9" w:rsidRPr="001946E0" w:rsidRDefault="002D62B9" w:rsidP="001B1A50">
            <w:pPr>
              <w:pStyle w:val="tabteksts"/>
              <w:keepNext/>
              <w:keepLines/>
              <w:spacing w:before="480"/>
              <w:outlineLvl w:val="0"/>
              <w:rPr>
                <w:color w:val="000000"/>
              </w:rPr>
            </w:pPr>
          </w:p>
        </w:tc>
        <w:tc>
          <w:tcPr>
            <w:tcW w:w="1276" w:type="dxa"/>
          </w:tcPr>
          <w:p w:rsidR="002D62B9" w:rsidRPr="001946E0" w:rsidRDefault="00605C0C" w:rsidP="001B1A50">
            <w:pPr>
              <w:pStyle w:val="tabteksts"/>
              <w:tabs>
                <w:tab w:val="decimal" w:pos="296"/>
              </w:tabs>
              <w:jc w:val="center"/>
              <w:rPr>
                <w:color w:val="000000"/>
              </w:rPr>
            </w:pPr>
            <w:r w:rsidRPr="001946E0">
              <w:rPr>
                <w:color w:val="000000"/>
              </w:rPr>
              <w:t>L</w:t>
            </w:r>
            <w:r w:rsidR="002D62B9" w:rsidRPr="001946E0">
              <w:rPr>
                <w:color w:val="000000"/>
              </w:rPr>
              <w:t>īmenis</w:t>
            </w:r>
          </w:p>
        </w:tc>
        <w:tc>
          <w:tcPr>
            <w:tcW w:w="4031" w:type="dxa"/>
            <w:gridSpan w:val="5"/>
          </w:tcPr>
          <w:p w:rsidR="002D62B9" w:rsidRPr="001946E0" w:rsidRDefault="002D62B9" w:rsidP="00605C0C">
            <w:pPr>
              <w:pStyle w:val="tabteksts"/>
              <w:tabs>
                <w:tab w:val="decimal" w:pos="296"/>
              </w:tabs>
              <w:jc w:val="center"/>
              <w:rPr>
                <w:color w:val="000000"/>
              </w:rPr>
            </w:pPr>
            <w:r w:rsidRPr="001946E0">
              <w:rPr>
                <w:color w:val="000000"/>
              </w:rPr>
              <w:t>Pieaugums %</w:t>
            </w:r>
          </w:p>
        </w:tc>
      </w:tr>
      <w:tr w:rsidR="002D62B9" w:rsidRPr="001946E0" w:rsidTr="00D01375">
        <w:trPr>
          <w:jc w:val="center"/>
        </w:trPr>
        <w:tc>
          <w:tcPr>
            <w:tcW w:w="3892" w:type="dxa"/>
            <w:vAlign w:val="center"/>
          </w:tcPr>
          <w:p w:rsidR="002D62B9" w:rsidRPr="001946E0" w:rsidRDefault="002D62B9" w:rsidP="001B1A50">
            <w:pPr>
              <w:pStyle w:val="tabteksts"/>
              <w:spacing w:line="276" w:lineRule="auto"/>
              <w:rPr>
                <w:snapToGrid w:val="0"/>
                <w:color w:val="000000"/>
              </w:rPr>
            </w:pPr>
            <w:r w:rsidRPr="001946E0">
              <w:rPr>
                <w:snapToGrid w:val="0"/>
                <w:color w:val="000000"/>
              </w:rPr>
              <w:t>1. Nodarbinātība, cilvēki, tūkst</w:t>
            </w:r>
          </w:p>
        </w:tc>
        <w:tc>
          <w:tcPr>
            <w:tcW w:w="851" w:type="dxa"/>
            <w:vAlign w:val="center"/>
          </w:tcPr>
          <w:p w:rsidR="002D62B9" w:rsidRPr="001946E0" w:rsidRDefault="002D62B9" w:rsidP="001B1A50">
            <w:pPr>
              <w:pStyle w:val="tabteksts"/>
              <w:spacing w:line="276" w:lineRule="auto"/>
              <w:rPr>
                <w:snapToGrid w:val="0"/>
                <w:color w:val="000000"/>
              </w:rPr>
            </w:pPr>
          </w:p>
        </w:tc>
        <w:tc>
          <w:tcPr>
            <w:tcW w:w="1276" w:type="dxa"/>
            <w:vAlign w:val="center"/>
          </w:tcPr>
          <w:p w:rsidR="002D62B9" w:rsidRPr="001946E0" w:rsidRDefault="002D62B9" w:rsidP="001B1A50">
            <w:pPr>
              <w:pStyle w:val="tabteksts"/>
              <w:tabs>
                <w:tab w:val="decimal" w:pos="511"/>
              </w:tabs>
              <w:spacing w:line="276" w:lineRule="auto"/>
              <w:jc w:val="center"/>
              <w:rPr>
                <w:snapToGrid w:val="0"/>
                <w:color w:val="000000"/>
              </w:rPr>
            </w:pPr>
            <w:r w:rsidRPr="001946E0">
              <w:rPr>
                <w:snapToGrid w:val="0"/>
                <w:color w:val="000000"/>
              </w:rPr>
              <w:t>970,5</w:t>
            </w:r>
          </w:p>
        </w:tc>
        <w:tc>
          <w:tcPr>
            <w:tcW w:w="936" w:type="dxa"/>
            <w:vAlign w:val="center"/>
          </w:tcPr>
          <w:p w:rsidR="002D62B9" w:rsidRPr="001946E0" w:rsidRDefault="002D62B9" w:rsidP="001B1A50">
            <w:pPr>
              <w:pStyle w:val="tabteksts"/>
              <w:spacing w:line="276" w:lineRule="auto"/>
              <w:jc w:val="right"/>
              <w:rPr>
                <w:snapToGrid w:val="0"/>
                <w:color w:val="000000"/>
              </w:rPr>
            </w:pPr>
            <w:r w:rsidRPr="001946E0">
              <w:rPr>
                <w:snapToGrid w:val="0"/>
                <w:color w:val="000000"/>
              </w:rPr>
              <w:t>3,1</w:t>
            </w:r>
          </w:p>
        </w:tc>
        <w:tc>
          <w:tcPr>
            <w:tcW w:w="797" w:type="dxa"/>
            <w:vAlign w:val="center"/>
          </w:tcPr>
          <w:p w:rsidR="002D62B9" w:rsidRPr="001946E0" w:rsidRDefault="002D62B9" w:rsidP="001B1A50">
            <w:pPr>
              <w:pStyle w:val="tabteksts"/>
              <w:spacing w:line="276" w:lineRule="auto"/>
              <w:jc w:val="right"/>
              <w:rPr>
                <w:snapToGrid w:val="0"/>
                <w:color w:val="000000"/>
              </w:rPr>
            </w:pPr>
            <w:r w:rsidRPr="001946E0">
              <w:rPr>
                <w:snapToGrid w:val="0"/>
                <w:color w:val="000000"/>
              </w:rPr>
              <w:t>0,7</w:t>
            </w:r>
          </w:p>
        </w:tc>
        <w:tc>
          <w:tcPr>
            <w:tcW w:w="797" w:type="dxa"/>
            <w:vAlign w:val="center"/>
          </w:tcPr>
          <w:p w:rsidR="002D62B9" w:rsidRPr="001946E0" w:rsidRDefault="002D62B9" w:rsidP="001B1A50">
            <w:pPr>
              <w:pStyle w:val="tabteksts"/>
              <w:spacing w:line="276" w:lineRule="auto"/>
              <w:jc w:val="right"/>
              <w:rPr>
                <w:snapToGrid w:val="0"/>
                <w:color w:val="000000"/>
              </w:rPr>
            </w:pPr>
            <w:r w:rsidRPr="001946E0">
              <w:rPr>
                <w:snapToGrid w:val="0"/>
                <w:color w:val="000000"/>
              </w:rPr>
              <w:t>1,1</w:t>
            </w:r>
          </w:p>
        </w:tc>
        <w:tc>
          <w:tcPr>
            <w:tcW w:w="797" w:type="dxa"/>
            <w:vAlign w:val="center"/>
          </w:tcPr>
          <w:p w:rsidR="002D62B9" w:rsidRPr="001946E0" w:rsidRDefault="002D62B9" w:rsidP="001B1A50">
            <w:pPr>
              <w:pStyle w:val="tabteksts"/>
              <w:spacing w:line="276" w:lineRule="auto"/>
              <w:jc w:val="right"/>
              <w:rPr>
                <w:snapToGrid w:val="0"/>
                <w:color w:val="000000"/>
              </w:rPr>
            </w:pPr>
            <w:r w:rsidRPr="001946E0">
              <w:rPr>
                <w:snapToGrid w:val="0"/>
                <w:color w:val="000000"/>
              </w:rPr>
              <w:t>1,2</w:t>
            </w:r>
          </w:p>
        </w:tc>
        <w:tc>
          <w:tcPr>
            <w:tcW w:w="704" w:type="dxa"/>
            <w:vAlign w:val="center"/>
          </w:tcPr>
          <w:p w:rsidR="002D62B9" w:rsidRPr="001946E0" w:rsidRDefault="002D62B9" w:rsidP="001B1A50">
            <w:pPr>
              <w:pStyle w:val="tabteksts"/>
              <w:spacing w:line="276" w:lineRule="auto"/>
              <w:jc w:val="right"/>
              <w:rPr>
                <w:snapToGrid w:val="0"/>
                <w:color w:val="000000"/>
              </w:rPr>
            </w:pPr>
            <w:r w:rsidRPr="001946E0">
              <w:rPr>
                <w:snapToGrid w:val="0"/>
                <w:color w:val="000000"/>
              </w:rPr>
              <w:t>1,2</w:t>
            </w:r>
          </w:p>
        </w:tc>
      </w:tr>
      <w:tr w:rsidR="002D62B9" w:rsidRPr="001946E0" w:rsidTr="00D01375">
        <w:trPr>
          <w:jc w:val="center"/>
        </w:trPr>
        <w:tc>
          <w:tcPr>
            <w:tcW w:w="3892" w:type="dxa"/>
            <w:vAlign w:val="center"/>
          </w:tcPr>
          <w:p w:rsidR="002D62B9" w:rsidRPr="001946E0" w:rsidRDefault="002D62B9" w:rsidP="001B1A50">
            <w:pPr>
              <w:pStyle w:val="tabteksts"/>
              <w:spacing w:line="276" w:lineRule="auto"/>
              <w:rPr>
                <w:snapToGrid w:val="0"/>
                <w:color w:val="000000"/>
              </w:rPr>
            </w:pPr>
            <w:r w:rsidRPr="001946E0">
              <w:rPr>
                <w:snapToGrid w:val="0"/>
                <w:color w:val="000000"/>
              </w:rPr>
              <w:t>2. Nodarbinātība, darba stundas</w:t>
            </w:r>
          </w:p>
        </w:tc>
        <w:tc>
          <w:tcPr>
            <w:tcW w:w="851" w:type="dxa"/>
            <w:vAlign w:val="center"/>
          </w:tcPr>
          <w:p w:rsidR="002D62B9" w:rsidRPr="001946E0" w:rsidRDefault="002D62B9" w:rsidP="001B1A50">
            <w:pPr>
              <w:pStyle w:val="tabteksts"/>
              <w:spacing w:line="276" w:lineRule="auto"/>
              <w:rPr>
                <w:snapToGrid w:val="0"/>
                <w:color w:val="000000"/>
              </w:rPr>
            </w:pPr>
          </w:p>
        </w:tc>
        <w:tc>
          <w:tcPr>
            <w:tcW w:w="1276" w:type="dxa"/>
            <w:vAlign w:val="center"/>
          </w:tcPr>
          <w:p w:rsidR="002D62B9" w:rsidRPr="001946E0" w:rsidRDefault="002D62B9" w:rsidP="001B1A50">
            <w:pPr>
              <w:pStyle w:val="tabteksts"/>
              <w:tabs>
                <w:tab w:val="decimal" w:pos="511"/>
              </w:tabs>
              <w:spacing w:line="276" w:lineRule="auto"/>
              <w:jc w:val="center"/>
              <w:rPr>
                <w:color w:val="000000"/>
                <w:sz w:val="19"/>
                <w:szCs w:val="19"/>
              </w:rPr>
            </w:pPr>
            <w:r w:rsidRPr="001946E0">
              <w:rPr>
                <w:snapToGrid w:val="0"/>
                <w:color w:val="000000"/>
              </w:rPr>
              <w:t>1204716649</w:t>
            </w:r>
          </w:p>
        </w:tc>
        <w:tc>
          <w:tcPr>
            <w:tcW w:w="936" w:type="dxa"/>
            <w:vAlign w:val="center"/>
          </w:tcPr>
          <w:p w:rsidR="002D62B9" w:rsidRPr="001946E0" w:rsidRDefault="002D62B9" w:rsidP="001B1A50">
            <w:pPr>
              <w:pStyle w:val="tabteksts"/>
              <w:spacing w:line="276" w:lineRule="auto"/>
              <w:jc w:val="right"/>
              <w:rPr>
                <w:color w:val="000000"/>
              </w:rPr>
            </w:pPr>
            <w:r w:rsidRPr="001946E0">
              <w:rPr>
                <w:color w:val="000000"/>
              </w:rPr>
              <w:t>3,8</w:t>
            </w:r>
          </w:p>
        </w:tc>
        <w:tc>
          <w:tcPr>
            <w:tcW w:w="797" w:type="dxa"/>
            <w:vAlign w:val="center"/>
          </w:tcPr>
          <w:p w:rsidR="002D62B9" w:rsidRPr="001946E0" w:rsidRDefault="002D62B9" w:rsidP="001B1A50">
            <w:pPr>
              <w:pStyle w:val="tabteksts"/>
              <w:spacing w:line="276" w:lineRule="auto"/>
              <w:jc w:val="right"/>
              <w:rPr>
                <w:snapToGrid w:val="0"/>
                <w:color w:val="000000"/>
              </w:rPr>
            </w:pPr>
            <w:r w:rsidRPr="001946E0">
              <w:rPr>
                <w:snapToGrid w:val="0"/>
                <w:color w:val="000000"/>
              </w:rPr>
              <w:t>2,6</w:t>
            </w:r>
          </w:p>
        </w:tc>
        <w:tc>
          <w:tcPr>
            <w:tcW w:w="797" w:type="dxa"/>
            <w:vAlign w:val="center"/>
          </w:tcPr>
          <w:p w:rsidR="002D62B9" w:rsidRPr="001946E0" w:rsidRDefault="002D62B9" w:rsidP="001B1A50">
            <w:pPr>
              <w:pStyle w:val="tabteksts"/>
              <w:spacing w:line="276" w:lineRule="auto"/>
              <w:jc w:val="right"/>
              <w:rPr>
                <w:snapToGrid w:val="0"/>
                <w:color w:val="000000"/>
              </w:rPr>
            </w:pPr>
            <w:r w:rsidRPr="001946E0">
              <w:rPr>
                <w:snapToGrid w:val="0"/>
                <w:color w:val="000000"/>
              </w:rPr>
              <w:t>3,1</w:t>
            </w:r>
          </w:p>
        </w:tc>
        <w:tc>
          <w:tcPr>
            <w:tcW w:w="797" w:type="dxa"/>
            <w:vAlign w:val="center"/>
          </w:tcPr>
          <w:p w:rsidR="002D62B9" w:rsidRPr="001946E0" w:rsidRDefault="002D62B9" w:rsidP="001B1A50">
            <w:pPr>
              <w:pStyle w:val="tabteksts"/>
              <w:spacing w:line="276" w:lineRule="auto"/>
              <w:jc w:val="right"/>
              <w:rPr>
                <w:snapToGrid w:val="0"/>
                <w:color w:val="000000"/>
              </w:rPr>
            </w:pPr>
            <w:r w:rsidRPr="001946E0">
              <w:rPr>
                <w:snapToGrid w:val="0"/>
                <w:color w:val="000000"/>
              </w:rPr>
              <w:t>3,2</w:t>
            </w:r>
          </w:p>
        </w:tc>
        <w:tc>
          <w:tcPr>
            <w:tcW w:w="704" w:type="dxa"/>
            <w:vAlign w:val="center"/>
          </w:tcPr>
          <w:p w:rsidR="002D62B9" w:rsidRPr="001946E0" w:rsidRDefault="002D62B9" w:rsidP="001B1A50">
            <w:pPr>
              <w:pStyle w:val="tabteksts"/>
              <w:spacing w:line="276" w:lineRule="auto"/>
              <w:jc w:val="right"/>
              <w:rPr>
                <w:snapToGrid w:val="0"/>
                <w:color w:val="000000"/>
              </w:rPr>
            </w:pPr>
            <w:r w:rsidRPr="001946E0">
              <w:rPr>
                <w:snapToGrid w:val="0"/>
                <w:color w:val="000000"/>
              </w:rPr>
              <w:t>3,2</w:t>
            </w:r>
          </w:p>
        </w:tc>
      </w:tr>
      <w:tr w:rsidR="002D62B9" w:rsidRPr="001946E0" w:rsidTr="00D01375">
        <w:trPr>
          <w:jc w:val="center"/>
        </w:trPr>
        <w:tc>
          <w:tcPr>
            <w:tcW w:w="3892" w:type="dxa"/>
            <w:vAlign w:val="center"/>
          </w:tcPr>
          <w:p w:rsidR="002D62B9" w:rsidRPr="001946E0" w:rsidRDefault="002D62B9" w:rsidP="001B1A50">
            <w:pPr>
              <w:pStyle w:val="tabteksts"/>
              <w:spacing w:line="276" w:lineRule="auto"/>
              <w:rPr>
                <w:snapToGrid w:val="0"/>
                <w:color w:val="000000"/>
              </w:rPr>
            </w:pPr>
            <w:r w:rsidRPr="001946E0">
              <w:rPr>
                <w:snapToGrid w:val="0"/>
                <w:color w:val="000000"/>
              </w:rPr>
              <w:t>3. Bezdarba līmenis (%)</w:t>
            </w:r>
          </w:p>
        </w:tc>
        <w:tc>
          <w:tcPr>
            <w:tcW w:w="851" w:type="dxa"/>
            <w:vAlign w:val="center"/>
          </w:tcPr>
          <w:p w:rsidR="002D62B9" w:rsidRPr="001946E0" w:rsidRDefault="002D62B9" w:rsidP="001B1A50">
            <w:pPr>
              <w:pStyle w:val="tabteksts"/>
              <w:spacing w:line="276" w:lineRule="auto"/>
              <w:rPr>
                <w:snapToGrid w:val="0"/>
                <w:color w:val="000000"/>
              </w:rPr>
            </w:pPr>
          </w:p>
        </w:tc>
        <w:tc>
          <w:tcPr>
            <w:tcW w:w="1276" w:type="dxa"/>
            <w:vAlign w:val="center"/>
          </w:tcPr>
          <w:p w:rsidR="002D62B9" w:rsidRPr="001946E0" w:rsidRDefault="002D62B9" w:rsidP="001B1A50">
            <w:pPr>
              <w:pStyle w:val="tabteksts"/>
              <w:tabs>
                <w:tab w:val="decimal" w:pos="511"/>
              </w:tabs>
              <w:spacing w:line="276" w:lineRule="auto"/>
              <w:rPr>
                <w:snapToGrid w:val="0"/>
                <w:color w:val="000000"/>
              </w:rPr>
            </w:pPr>
          </w:p>
        </w:tc>
        <w:tc>
          <w:tcPr>
            <w:tcW w:w="936" w:type="dxa"/>
            <w:vAlign w:val="center"/>
          </w:tcPr>
          <w:p w:rsidR="002D62B9" w:rsidRPr="001946E0" w:rsidRDefault="002D62B9" w:rsidP="001B1A50">
            <w:pPr>
              <w:pStyle w:val="tabteksts"/>
              <w:spacing w:line="276" w:lineRule="auto"/>
              <w:jc w:val="right"/>
              <w:rPr>
                <w:snapToGrid w:val="0"/>
                <w:color w:val="000000"/>
              </w:rPr>
            </w:pPr>
            <w:r w:rsidRPr="001946E0">
              <w:rPr>
                <w:snapToGrid w:val="0"/>
                <w:color w:val="000000"/>
              </w:rPr>
              <w:t>15,4</w:t>
            </w:r>
          </w:p>
        </w:tc>
        <w:tc>
          <w:tcPr>
            <w:tcW w:w="797" w:type="dxa"/>
            <w:vAlign w:val="center"/>
          </w:tcPr>
          <w:p w:rsidR="002D62B9" w:rsidRPr="001946E0" w:rsidRDefault="002D62B9" w:rsidP="001B1A50">
            <w:pPr>
              <w:pStyle w:val="tabteksts"/>
              <w:spacing w:line="276" w:lineRule="auto"/>
              <w:jc w:val="right"/>
              <w:rPr>
                <w:snapToGrid w:val="0"/>
                <w:color w:val="000000"/>
              </w:rPr>
            </w:pPr>
            <w:r w:rsidRPr="001946E0">
              <w:rPr>
                <w:snapToGrid w:val="0"/>
                <w:color w:val="000000"/>
              </w:rPr>
              <w:t>14,1</w:t>
            </w:r>
          </w:p>
        </w:tc>
        <w:tc>
          <w:tcPr>
            <w:tcW w:w="797" w:type="dxa"/>
            <w:vAlign w:val="center"/>
          </w:tcPr>
          <w:p w:rsidR="002D62B9" w:rsidRPr="001946E0" w:rsidRDefault="002D62B9" w:rsidP="001B1A50">
            <w:pPr>
              <w:pStyle w:val="tabteksts"/>
              <w:spacing w:line="276" w:lineRule="auto"/>
              <w:jc w:val="right"/>
              <w:rPr>
                <w:snapToGrid w:val="0"/>
                <w:color w:val="000000"/>
              </w:rPr>
            </w:pPr>
            <w:r w:rsidRPr="001946E0">
              <w:rPr>
                <w:snapToGrid w:val="0"/>
                <w:color w:val="000000"/>
              </w:rPr>
              <w:t>13,3</w:t>
            </w:r>
          </w:p>
        </w:tc>
        <w:tc>
          <w:tcPr>
            <w:tcW w:w="797" w:type="dxa"/>
            <w:vAlign w:val="center"/>
          </w:tcPr>
          <w:p w:rsidR="002D62B9" w:rsidRPr="001946E0" w:rsidRDefault="002D62B9" w:rsidP="001B1A50">
            <w:pPr>
              <w:pStyle w:val="tabteksts"/>
              <w:spacing w:line="276" w:lineRule="auto"/>
              <w:jc w:val="right"/>
              <w:rPr>
                <w:snapToGrid w:val="0"/>
                <w:color w:val="000000"/>
              </w:rPr>
            </w:pPr>
            <w:r w:rsidRPr="001946E0">
              <w:rPr>
                <w:snapToGrid w:val="0"/>
                <w:color w:val="000000"/>
              </w:rPr>
              <w:t>12,1</w:t>
            </w:r>
          </w:p>
        </w:tc>
        <w:tc>
          <w:tcPr>
            <w:tcW w:w="704" w:type="dxa"/>
            <w:vAlign w:val="center"/>
          </w:tcPr>
          <w:p w:rsidR="002D62B9" w:rsidRPr="001946E0" w:rsidRDefault="002D62B9" w:rsidP="001B1A50">
            <w:pPr>
              <w:pStyle w:val="tabteksts"/>
              <w:spacing w:line="276" w:lineRule="auto"/>
              <w:jc w:val="right"/>
              <w:rPr>
                <w:snapToGrid w:val="0"/>
                <w:color w:val="000000"/>
              </w:rPr>
            </w:pPr>
            <w:r w:rsidRPr="001946E0">
              <w:rPr>
                <w:snapToGrid w:val="0"/>
                <w:color w:val="000000"/>
              </w:rPr>
              <w:t>10,7</w:t>
            </w:r>
          </w:p>
        </w:tc>
      </w:tr>
      <w:tr w:rsidR="002D62B9" w:rsidRPr="001946E0" w:rsidTr="00D01375">
        <w:trPr>
          <w:jc w:val="center"/>
        </w:trPr>
        <w:tc>
          <w:tcPr>
            <w:tcW w:w="3892" w:type="dxa"/>
            <w:vAlign w:val="center"/>
          </w:tcPr>
          <w:p w:rsidR="002D62B9" w:rsidRPr="001946E0" w:rsidRDefault="002D62B9" w:rsidP="001B1A50">
            <w:pPr>
              <w:pStyle w:val="tabteksts"/>
              <w:spacing w:line="276" w:lineRule="auto"/>
              <w:rPr>
                <w:snapToGrid w:val="0"/>
                <w:color w:val="000000"/>
              </w:rPr>
            </w:pPr>
            <w:r w:rsidRPr="001946E0">
              <w:rPr>
                <w:snapToGrid w:val="0"/>
                <w:color w:val="000000"/>
              </w:rPr>
              <w:t>4. Darba ražīgums, uz nodarbināto</w:t>
            </w:r>
          </w:p>
        </w:tc>
        <w:tc>
          <w:tcPr>
            <w:tcW w:w="851" w:type="dxa"/>
            <w:vAlign w:val="center"/>
          </w:tcPr>
          <w:p w:rsidR="002D62B9" w:rsidRPr="001946E0" w:rsidRDefault="002D62B9" w:rsidP="001B1A50">
            <w:pPr>
              <w:pStyle w:val="tabteksts"/>
              <w:spacing w:line="276" w:lineRule="auto"/>
              <w:rPr>
                <w:snapToGrid w:val="0"/>
                <w:color w:val="000000"/>
              </w:rPr>
            </w:pPr>
          </w:p>
        </w:tc>
        <w:tc>
          <w:tcPr>
            <w:tcW w:w="1276" w:type="dxa"/>
            <w:vAlign w:val="center"/>
          </w:tcPr>
          <w:p w:rsidR="002D62B9" w:rsidRPr="001946E0" w:rsidRDefault="002D62B9" w:rsidP="001B1A50">
            <w:pPr>
              <w:pStyle w:val="tabteksts"/>
              <w:tabs>
                <w:tab w:val="decimal" w:pos="511"/>
              </w:tabs>
              <w:spacing w:line="276" w:lineRule="auto"/>
              <w:rPr>
                <w:snapToGrid w:val="0"/>
                <w:color w:val="000000"/>
              </w:rPr>
            </w:pPr>
          </w:p>
        </w:tc>
        <w:tc>
          <w:tcPr>
            <w:tcW w:w="936" w:type="dxa"/>
            <w:vAlign w:val="center"/>
          </w:tcPr>
          <w:p w:rsidR="002D62B9" w:rsidRPr="001946E0" w:rsidRDefault="002D62B9" w:rsidP="001B1A50">
            <w:pPr>
              <w:pStyle w:val="tabteksts"/>
              <w:spacing w:line="276" w:lineRule="auto"/>
              <w:jc w:val="right"/>
              <w:rPr>
                <w:color w:val="000000"/>
              </w:rPr>
            </w:pPr>
            <w:r w:rsidRPr="001946E0">
              <w:rPr>
                <w:color w:val="000000"/>
              </w:rPr>
              <w:t>2,2</w:t>
            </w:r>
          </w:p>
        </w:tc>
        <w:tc>
          <w:tcPr>
            <w:tcW w:w="797" w:type="dxa"/>
            <w:vAlign w:val="center"/>
          </w:tcPr>
          <w:p w:rsidR="002D62B9" w:rsidRPr="001946E0" w:rsidRDefault="002D62B9" w:rsidP="001B1A50">
            <w:pPr>
              <w:pStyle w:val="tabteksts"/>
              <w:spacing w:line="276" w:lineRule="auto"/>
              <w:jc w:val="right"/>
              <w:rPr>
                <w:color w:val="000000"/>
              </w:rPr>
            </w:pPr>
            <w:r w:rsidRPr="001946E0">
              <w:rPr>
                <w:color w:val="000000"/>
              </w:rPr>
              <w:t>1,3</w:t>
            </w:r>
          </w:p>
        </w:tc>
        <w:tc>
          <w:tcPr>
            <w:tcW w:w="797" w:type="dxa"/>
            <w:vAlign w:val="center"/>
          </w:tcPr>
          <w:p w:rsidR="002D62B9" w:rsidRPr="001946E0" w:rsidRDefault="002D62B9" w:rsidP="001B1A50">
            <w:pPr>
              <w:pStyle w:val="tabteksts"/>
              <w:spacing w:line="276" w:lineRule="auto"/>
              <w:jc w:val="right"/>
              <w:rPr>
                <w:color w:val="000000"/>
              </w:rPr>
            </w:pPr>
            <w:r w:rsidRPr="001946E0">
              <w:rPr>
                <w:color w:val="000000"/>
              </w:rPr>
              <w:t>2,6</w:t>
            </w:r>
          </w:p>
        </w:tc>
        <w:tc>
          <w:tcPr>
            <w:tcW w:w="797" w:type="dxa"/>
            <w:vAlign w:val="center"/>
          </w:tcPr>
          <w:p w:rsidR="002D62B9" w:rsidRPr="001946E0" w:rsidRDefault="002D62B9" w:rsidP="001B1A50">
            <w:pPr>
              <w:pStyle w:val="tabteksts"/>
              <w:spacing w:line="276" w:lineRule="auto"/>
              <w:jc w:val="right"/>
              <w:rPr>
                <w:color w:val="000000"/>
              </w:rPr>
            </w:pPr>
            <w:r w:rsidRPr="001946E0">
              <w:rPr>
                <w:color w:val="000000"/>
              </w:rPr>
              <w:t>2,7</w:t>
            </w:r>
          </w:p>
        </w:tc>
        <w:tc>
          <w:tcPr>
            <w:tcW w:w="704" w:type="dxa"/>
            <w:vAlign w:val="center"/>
          </w:tcPr>
          <w:p w:rsidR="002D62B9" w:rsidRPr="001946E0" w:rsidRDefault="002D62B9" w:rsidP="001B1A50">
            <w:pPr>
              <w:pStyle w:val="tabteksts"/>
              <w:spacing w:line="276" w:lineRule="auto"/>
              <w:jc w:val="right"/>
              <w:rPr>
                <w:color w:val="000000"/>
              </w:rPr>
            </w:pPr>
            <w:r w:rsidRPr="001946E0">
              <w:rPr>
                <w:color w:val="000000"/>
              </w:rPr>
              <w:t>2,8</w:t>
            </w:r>
          </w:p>
        </w:tc>
      </w:tr>
      <w:tr w:rsidR="002D62B9" w:rsidRPr="001946E0" w:rsidTr="00D01375">
        <w:trPr>
          <w:jc w:val="center"/>
        </w:trPr>
        <w:tc>
          <w:tcPr>
            <w:tcW w:w="3892" w:type="dxa"/>
            <w:vAlign w:val="center"/>
          </w:tcPr>
          <w:p w:rsidR="002D62B9" w:rsidRPr="001946E0" w:rsidRDefault="002D62B9" w:rsidP="001B1A50">
            <w:pPr>
              <w:pStyle w:val="tabteksts"/>
              <w:spacing w:line="276" w:lineRule="auto"/>
              <w:rPr>
                <w:snapToGrid w:val="0"/>
                <w:color w:val="000000"/>
              </w:rPr>
            </w:pPr>
            <w:r w:rsidRPr="001946E0">
              <w:rPr>
                <w:snapToGrid w:val="0"/>
                <w:color w:val="000000"/>
              </w:rPr>
              <w:t>5. Darba ražīgums, uz darba stundu</w:t>
            </w:r>
          </w:p>
        </w:tc>
        <w:tc>
          <w:tcPr>
            <w:tcW w:w="851" w:type="dxa"/>
            <w:vAlign w:val="center"/>
          </w:tcPr>
          <w:p w:rsidR="002D62B9" w:rsidRPr="001946E0" w:rsidRDefault="002D62B9" w:rsidP="001B1A50">
            <w:pPr>
              <w:pStyle w:val="tabteksts"/>
              <w:spacing w:line="276" w:lineRule="auto"/>
              <w:rPr>
                <w:snapToGrid w:val="0"/>
                <w:color w:val="000000"/>
              </w:rPr>
            </w:pPr>
          </w:p>
        </w:tc>
        <w:tc>
          <w:tcPr>
            <w:tcW w:w="1276" w:type="dxa"/>
            <w:vAlign w:val="center"/>
          </w:tcPr>
          <w:p w:rsidR="002D62B9" w:rsidRPr="001946E0" w:rsidRDefault="002D62B9" w:rsidP="001B1A50">
            <w:pPr>
              <w:pStyle w:val="tabteksts"/>
              <w:tabs>
                <w:tab w:val="decimal" w:pos="511"/>
              </w:tabs>
              <w:spacing w:line="276" w:lineRule="auto"/>
              <w:rPr>
                <w:snapToGrid w:val="0"/>
                <w:color w:val="000000"/>
              </w:rPr>
            </w:pPr>
          </w:p>
        </w:tc>
        <w:tc>
          <w:tcPr>
            <w:tcW w:w="936" w:type="dxa"/>
            <w:vAlign w:val="center"/>
          </w:tcPr>
          <w:p w:rsidR="002D62B9" w:rsidRPr="001946E0" w:rsidRDefault="002D62B9" w:rsidP="001B1A50">
            <w:pPr>
              <w:pStyle w:val="tabteksts"/>
              <w:spacing w:line="276" w:lineRule="auto"/>
              <w:jc w:val="right"/>
              <w:rPr>
                <w:color w:val="000000"/>
              </w:rPr>
            </w:pPr>
            <w:r w:rsidRPr="001946E0">
              <w:rPr>
                <w:color w:val="000000"/>
              </w:rPr>
              <w:t>1,6</w:t>
            </w:r>
          </w:p>
        </w:tc>
        <w:tc>
          <w:tcPr>
            <w:tcW w:w="797" w:type="dxa"/>
            <w:vAlign w:val="center"/>
          </w:tcPr>
          <w:p w:rsidR="002D62B9" w:rsidRPr="001946E0" w:rsidRDefault="002D62B9" w:rsidP="001B1A50">
            <w:pPr>
              <w:pStyle w:val="tabteksts"/>
              <w:spacing w:line="276" w:lineRule="auto"/>
              <w:jc w:val="right"/>
              <w:rPr>
                <w:color w:val="000000"/>
              </w:rPr>
            </w:pPr>
            <w:r w:rsidRPr="001946E0">
              <w:rPr>
                <w:color w:val="000000"/>
              </w:rPr>
              <w:t>-0,6</w:t>
            </w:r>
          </w:p>
        </w:tc>
        <w:tc>
          <w:tcPr>
            <w:tcW w:w="797" w:type="dxa"/>
            <w:vAlign w:val="center"/>
          </w:tcPr>
          <w:p w:rsidR="002D62B9" w:rsidRPr="001946E0" w:rsidRDefault="002D62B9" w:rsidP="001B1A50">
            <w:pPr>
              <w:pStyle w:val="tabteksts"/>
              <w:spacing w:line="276" w:lineRule="auto"/>
              <w:jc w:val="right"/>
              <w:rPr>
                <w:color w:val="000000"/>
              </w:rPr>
            </w:pPr>
            <w:r w:rsidRPr="001946E0">
              <w:rPr>
                <w:color w:val="000000"/>
              </w:rPr>
              <w:t>0,6</w:t>
            </w:r>
          </w:p>
        </w:tc>
        <w:tc>
          <w:tcPr>
            <w:tcW w:w="797" w:type="dxa"/>
            <w:vAlign w:val="center"/>
          </w:tcPr>
          <w:p w:rsidR="002D62B9" w:rsidRPr="001946E0" w:rsidRDefault="002D62B9" w:rsidP="001B1A50">
            <w:pPr>
              <w:pStyle w:val="tabteksts"/>
              <w:spacing w:line="276" w:lineRule="auto"/>
              <w:jc w:val="right"/>
              <w:rPr>
                <w:color w:val="000000"/>
              </w:rPr>
            </w:pPr>
            <w:r w:rsidRPr="001946E0">
              <w:rPr>
                <w:color w:val="000000"/>
              </w:rPr>
              <w:t>0,8</w:t>
            </w:r>
          </w:p>
        </w:tc>
        <w:tc>
          <w:tcPr>
            <w:tcW w:w="704" w:type="dxa"/>
            <w:vAlign w:val="center"/>
          </w:tcPr>
          <w:p w:rsidR="002D62B9" w:rsidRPr="001946E0" w:rsidRDefault="002D62B9" w:rsidP="001B1A50">
            <w:pPr>
              <w:pStyle w:val="tabteksts"/>
              <w:spacing w:line="276" w:lineRule="auto"/>
              <w:jc w:val="right"/>
              <w:rPr>
                <w:color w:val="000000"/>
              </w:rPr>
            </w:pPr>
            <w:r w:rsidRPr="001946E0">
              <w:rPr>
                <w:color w:val="000000"/>
              </w:rPr>
              <w:t>0,8</w:t>
            </w:r>
          </w:p>
        </w:tc>
      </w:tr>
      <w:tr w:rsidR="002D62B9" w:rsidRPr="001946E0" w:rsidTr="00D01375">
        <w:trPr>
          <w:jc w:val="center"/>
        </w:trPr>
        <w:tc>
          <w:tcPr>
            <w:tcW w:w="3892" w:type="dxa"/>
            <w:vAlign w:val="center"/>
          </w:tcPr>
          <w:p w:rsidR="002D62B9" w:rsidRPr="001946E0" w:rsidRDefault="002D62B9" w:rsidP="001B1A50">
            <w:pPr>
              <w:pStyle w:val="tabteksts"/>
              <w:spacing w:line="276" w:lineRule="auto"/>
              <w:rPr>
                <w:snapToGrid w:val="0"/>
                <w:color w:val="000000"/>
              </w:rPr>
            </w:pPr>
            <w:r w:rsidRPr="001946E0">
              <w:rPr>
                <w:snapToGrid w:val="0"/>
                <w:color w:val="000000"/>
              </w:rPr>
              <w:t>6. Atlīdzība nodarbinātajiem, milj. latu, faktiskās cenās</w:t>
            </w:r>
          </w:p>
        </w:tc>
        <w:tc>
          <w:tcPr>
            <w:tcW w:w="851" w:type="dxa"/>
            <w:vAlign w:val="center"/>
          </w:tcPr>
          <w:p w:rsidR="002D62B9" w:rsidRPr="001946E0" w:rsidRDefault="002D62B9" w:rsidP="001B1A50">
            <w:pPr>
              <w:pStyle w:val="tabteksts"/>
              <w:spacing w:line="276" w:lineRule="auto"/>
              <w:rPr>
                <w:color w:val="000000"/>
              </w:rPr>
            </w:pPr>
            <w:r w:rsidRPr="001946E0">
              <w:rPr>
                <w:color w:val="000000"/>
              </w:rPr>
              <w:t>D.1</w:t>
            </w:r>
          </w:p>
        </w:tc>
        <w:tc>
          <w:tcPr>
            <w:tcW w:w="1276" w:type="dxa"/>
            <w:vAlign w:val="center"/>
          </w:tcPr>
          <w:p w:rsidR="002D62B9" w:rsidRPr="001946E0" w:rsidRDefault="002D62B9" w:rsidP="001B1A50">
            <w:pPr>
              <w:pStyle w:val="tabteksts"/>
              <w:tabs>
                <w:tab w:val="decimal" w:pos="511"/>
              </w:tabs>
              <w:spacing w:line="276" w:lineRule="auto"/>
              <w:jc w:val="center"/>
              <w:rPr>
                <w:color w:val="000000"/>
              </w:rPr>
            </w:pPr>
            <w:r w:rsidRPr="001946E0">
              <w:rPr>
                <w:color w:val="000000"/>
              </w:rPr>
              <w:t>5909,7</w:t>
            </w:r>
          </w:p>
        </w:tc>
        <w:tc>
          <w:tcPr>
            <w:tcW w:w="936" w:type="dxa"/>
            <w:vAlign w:val="center"/>
          </w:tcPr>
          <w:p w:rsidR="002D62B9" w:rsidRPr="001946E0" w:rsidRDefault="002D62B9" w:rsidP="001B1A50">
            <w:pPr>
              <w:pStyle w:val="tabteksts"/>
              <w:spacing w:line="276" w:lineRule="auto"/>
              <w:jc w:val="right"/>
              <w:rPr>
                <w:snapToGrid w:val="0"/>
                <w:color w:val="000000"/>
              </w:rPr>
            </w:pPr>
            <w:r w:rsidRPr="001946E0">
              <w:rPr>
                <w:snapToGrid w:val="0"/>
                <w:color w:val="000000"/>
              </w:rPr>
              <w:t>7,7</w:t>
            </w:r>
          </w:p>
        </w:tc>
        <w:tc>
          <w:tcPr>
            <w:tcW w:w="797" w:type="dxa"/>
            <w:vAlign w:val="center"/>
          </w:tcPr>
          <w:p w:rsidR="002D62B9" w:rsidRPr="001946E0" w:rsidRDefault="002D62B9" w:rsidP="001B1A50">
            <w:pPr>
              <w:pStyle w:val="tabteksts"/>
              <w:tabs>
                <w:tab w:val="decimal" w:pos="511"/>
              </w:tabs>
              <w:spacing w:line="276" w:lineRule="auto"/>
              <w:jc w:val="right"/>
              <w:rPr>
                <w:color w:val="000000"/>
              </w:rPr>
            </w:pPr>
            <w:r w:rsidRPr="001946E0">
              <w:rPr>
                <w:color w:val="000000"/>
              </w:rPr>
              <w:t>3,5</w:t>
            </w:r>
          </w:p>
        </w:tc>
        <w:tc>
          <w:tcPr>
            <w:tcW w:w="797" w:type="dxa"/>
            <w:vAlign w:val="center"/>
          </w:tcPr>
          <w:p w:rsidR="002D62B9" w:rsidRPr="001946E0" w:rsidRDefault="002D62B9" w:rsidP="001B1A50">
            <w:pPr>
              <w:pStyle w:val="tabteksts"/>
              <w:tabs>
                <w:tab w:val="decimal" w:pos="511"/>
              </w:tabs>
              <w:spacing w:line="276" w:lineRule="auto"/>
              <w:jc w:val="right"/>
              <w:rPr>
                <w:color w:val="000000"/>
              </w:rPr>
            </w:pPr>
            <w:r w:rsidRPr="001946E0">
              <w:rPr>
                <w:color w:val="000000"/>
              </w:rPr>
              <w:t>4,1</w:t>
            </w:r>
          </w:p>
        </w:tc>
        <w:tc>
          <w:tcPr>
            <w:tcW w:w="797" w:type="dxa"/>
            <w:vAlign w:val="center"/>
          </w:tcPr>
          <w:p w:rsidR="002D62B9" w:rsidRPr="001946E0" w:rsidRDefault="002D62B9" w:rsidP="001B1A50">
            <w:pPr>
              <w:pStyle w:val="tabteksts"/>
              <w:tabs>
                <w:tab w:val="decimal" w:pos="511"/>
              </w:tabs>
              <w:spacing w:line="276" w:lineRule="auto"/>
              <w:jc w:val="right"/>
              <w:rPr>
                <w:color w:val="000000"/>
              </w:rPr>
            </w:pPr>
            <w:r w:rsidRPr="001946E0">
              <w:rPr>
                <w:color w:val="000000"/>
              </w:rPr>
              <w:t>5,1</w:t>
            </w:r>
          </w:p>
        </w:tc>
        <w:tc>
          <w:tcPr>
            <w:tcW w:w="704" w:type="dxa"/>
            <w:vAlign w:val="center"/>
          </w:tcPr>
          <w:p w:rsidR="002D62B9" w:rsidRPr="001946E0" w:rsidRDefault="002D62B9" w:rsidP="001B1A50">
            <w:pPr>
              <w:pStyle w:val="tabteksts"/>
              <w:tabs>
                <w:tab w:val="decimal" w:pos="511"/>
              </w:tabs>
              <w:spacing w:line="276" w:lineRule="auto"/>
              <w:jc w:val="right"/>
              <w:rPr>
                <w:color w:val="000000"/>
              </w:rPr>
            </w:pPr>
            <w:r w:rsidRPr="001946E0">
              <w:rPr>
                <w:color w:val="000000"/>
              </w:rPr>
              <w:t>5,3</w:t>
            </w:r>
          </w:p>
        </w:tc>
      </w:tr>
      <w:tr w:rsidR="002D62B9" w:rsidRPr="001946E0" w:rsidTr="00D01375">
        <w:trPr>
          <w:jc w:val="center"/>
        </w:trPr>
        <w:tc>
          <w:tcPr>
            <w:tcW w:w="3892" w:type="dxa"/>
            <w:vAlign w:val="center"/>
          </w:tcPr>
          <w:p w:rsidR="002D62B9" w:rsidRPr="001946E0" w:rsidRDefault="002D62B9" w:rsidP="001B1A50">
            <w:pPr>
              <w:pStyle w:val="tabteksts"/>
              <w:spacing w:line="276" w:lineRule="auto"/>
              <w:rPr>
                <w:snapToGrid w:val="0"/>
                <w:color w:val="000000"/>
              </w:rPr>
            </w:pPr>
            <w:r w:rsidRPr="001946E0">
              <w:rPr>
                <w:snapToGrid w:val="0"/>
                <w:color w:val="000000"/>
              </w:rPr>
              <w:t>7. Atlīdzība nodarbinātajam, lati</w:t>
            </w:r>
          </w:p>
        </w:tc>
        <w:tc>
          <w:tcPr>
            <w:tcW w:w="851" w:type="dxa"/>
            <w:vAlign w:val="center"/>
          </w:tcPr>
          <w:p w:rsidR="002D62B9" w:rsidRPr="001946E0" w:rsidRDefault="002D62B9" w:rsidP="001B1A50">
            <w:pPr>
              <w:pStyle w:val="tabteksts"/>
              <w:spacing w:line="276" w:lineRule="auto"/>
              <w:rPr>
                <w:snapToGrid w:val="0"/>
                <w:color w:val="000000"/>
              </w:rPr>
            </w:pPr>
          </w:p>
        </w:tc>
        <w:tc>
          <w:tcPr>
            <w:tcW w:w="1276" w:type="dxa"/>
            <w:vAlign w:val="center"/>
          </w:tcPr>
          <w:p w:rsidR="002D62B9" w:rsidRPr="001946E0" w:rsidRDefault="002D62B9" w:rsidP="001B1A50">
            <w:pPr>
              <w:pStyle w:val="tabteksts"/>
              <w:tabs>
                <w:tab w:val="decimal" w:pos="511"/>
              </w:tabs>
              <w:spacing w:line="276" w:lineRule="auto"/>
              <w:jc w:val="center"/>
              <w:rPr>
                <w:color w:val="000000"/>
              </w:rPr>
            </w:pPr>
            <w:r w:rsidRPr="001946E0">
              <w:rPr>
                <w:color w:val="000000"/>
              </w:rPr>
              <w:t>464</w:t>
            </w:r>
          </w:p>
        </w:tc>
        <w:tc>
          <w:tcPr>
            <w:tcW w:w="936" w:type="dxa"/>
            <w:vAlign w:val="center"/>
          </w:tcPr>
          <w:p w:rsidR="002D62B9" w:rsidRPr="001946E0" w:rsidRDefault="002D62B9" w:rsidP="001B1A50">
            <w:pPr>
              <w:pStyle w:val="tabteksts"/>
              <w:spacing w:line="276" w:lineRule="auto"/>
              <w:jc w:val="right"/>
              <w:rPr>
                <w:color w:val="000000"/>
              </w:rPr>
            </w:pPr>
            <w:r w:rsidRPr="001946E0">
              <w:rPr>
                <w:color w:val="000000"/>
              </w:rPr>
              <w:t>4,3</w:t>
            </w:r>
          </w:p>
        </w:tc>
        <w:tc>
          <w:tcPr>
            <w:tcW w:w="797" w:type="dxa"/>
            <w:vAlign w:val="center"/>
          </w:tcPr>
          <w:p w:rsidR="002D62B9" w:rsidRPr="001946E0" w:rsidRDefault="002D62B9" w:rsidP="001B1A50">
            <w:pPr>
              <w:pStyle w:val="tabteksts"/>
              <w:spacing w:line="276" w:lineRule="auto"/>
              <w:jc w:val="right"/>
              <w:rPr>
                <w:color w:val="000000"/>
              </w:rPr>
            </w:pPr>
            <w:r w:rsidRPr="001946E0">
              <w:rPr>
                <w:color w:val="000000"/>
              </w:rPr>
              <w:t>2,7</w:t>
            </w:r>
          </w:p>
        </w:tc>
        <w:tc>
          <w:tcPr>
            <w:tcW w:w="797" w:type="dxa"/>
            <w:vAlign w:val="center"/>
          </w:tcPr>
          <w:p w:rsidR="002D62B9" w:rsidRPr="001946E0" w:rsidRDefault="002D62B9" w:rsidP="001B1A50">
            <w:pPr>
              <w:pStyle w:val="tabteksts"/>
              <w:spacing w:line="276" w:lineRule="auto"/>
              <w:jc w:val="right"/>
              <w:rPr>
                <w:color w:val="000000"/>
              </w:rPr>
            </w:pPr>
            <w:r w:rsidRPr="001946E0">
              <w:rPr>
                <w:color w:val="000000"/>
              </w:rPr>
              <w:t>2,9</w:t>
            </w:r>
          </w:p>
        </w:tc>
        <w:tc>
          <w:tcPr>
            <w:tcW w:w="797" w:type="dxa"/>
            <w:vAlign w:val="center"/>
          </w:tcPr>
          <w:p w:rsidR="002D62B9" w:rsidRPr="001946E0" w:rsidRDefault="002D62B9" w:rsidP="001B1A50">
            <w:pPr>
              <w:pStyle w:val="tabteksts"/>
              <w:spacing w:line="276" w:lineRule="auto"/>
              <w:jc w:val="right"/>
              <w:rPr>
                <w:color w:val="000000"/>
              </w:rPr>
            </w:pPr>
            <w:r w:rsidRPr="001946E0">
              <w:rPr>
                <w:color w:val="000000"/>
              </w:rPr>
              <w:t>3,8</w:t>
            </w:r>
          </w:p>
        </w:tc>
        <w:tc>
          <w:tcPr>
            <w:tcW w:w="704" w:type="dxa"/>
            <w:vAlign w:val="center"/>
          </w:tcPr>
          <w:p w:rsidR="002D62B9" w:rsidRPr="001946E0" w:rsidRDefault="002D62B9" w:rsidP="001B1A50">
            <w:pPr>
              <w:pStyle w:val="tabteksts"/>
              <w:spacing w:line="276" w:lineRule="auto"/>
              <w:jc w:val="right"/>
              <w:rPr>
                <w:color w:val="000000"/>
              </w:rPr>
            </w:pPr>
            <w:r w:rsidRPr="001946E0">
              <w:rPr>
                <w:color w:val="000000"/>
              </w:rPr>
              <w:t>4,1</w:t>
            </w:r>
          </w:p>
        </w:tc>
      </w:tr>
    </w:tbl>
    <w:p w:rsidR="002D62B9" w:rsidRPr="001946E0" w:rsidRDefault="002D62B9" w:rsidP="002D62B9">
      <w:pPr>
        <w:rPr>
          <w:b/>
          <w:color w:val="000000"/>
        </w:rPr>
      </w:pPr>
    </w:p>
    <w:p w:rsidR="002D62B9" w:rsidRPr="001946E0" w:rsidRDefault="002D62B9" w:rsidP="002D62B9">
      <w:pPr>
        <w:pStyle w:val="T"/>
        <w:ind w:left="0"/>
        <w:rPr>
          <w:rFonts w:ascii="Times New Roman" w:hAnsi="Times New Roman"/>
          <w:color w:val="000000"/>
        </w:rPr>
      </w:pPr>
      <w:r w:rsidRPr="001946E0">
        <w:rPr>
          <w:rFonts w:ascii="Times New Roman" w:hAnsi="Times New Roman"/>
          <w:color w:val="000000"/>
        </w:rPr>
        <w:lastRenderedPageBreak/>
        <w:t>1d. tabula. Sektoru bilances</w:t>
      </w:r>
    </w:p>
    <w:p w:rsidR="002D62B9" w:rsidRPr="001946E0" w:rsidRDefault="002D62B9" w:rsidP="002D62B9">
      <w:pPr>
        <w:pStyle w:val="T"/>
        <w:ind w:left="0"/>
        <w:rPr>
          <w:rFonts w:ascii="Times New Roman" w:hAnsi="Times New Roman"/>
          <w:color w:val="000000"/>
        </w:rPr>
      </w:pPr>
    </w:p>
    <w:tbl>
      <w:tblPr>
        <w:tblW w:w="9180"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7"/>
        <w:gridCol w:w="952"/>
        <w:gridCol w:w="797"/>
        <w:gridCol w:w="797"/>
        <w:gridCol w:w="797"/>
        <w:gridCol w:w="797"/>
        <w:gridCol w:w="623"/>
      </w:tblGrid>
      <w:tr w:rsidR="002D62B9" w:rsidRPr="001946E0" w:rsidTr="00D01375">
        <w:trPr>
          <w:tblHeader/>
          <w:jc w:val="center"/>
        </w:trPr>
        <w:tc>
          <w:tcPr>
            <w:tcW w:w="4417" w:type="dxa"/>
            <w:tcMar>
              <w:top w:w="0" w:type="dxa"/>
              <w:left w:w="108" w:type="dxa"/>
              <w:bottom w:w="0" w:type="dxa"/>
              <w:right w:w="108" w:type="dxa"/>
            </w:tcMar>
            <w:hideMark/>
          </w:tcPr>
          <w:p w:rsidR="002D62B9" w:rsidRPr="001946E0" w:rsidRDefault="002D62B9" w:rsidP="001B1A50">
            <w:pPr>
              <w:pStyle w:val="tabteksts"/>
              <w:rPr>
                <w:color w:val="000000"/>
              </w:rPr>
            </w:pPr>
            <w:r w:rsidRPr="001946E0">
              <w:rPr>
                <w:color w:val="000000"/>
              </w:rPr>
              <w:t>% no IKP</w:t>
            </w:r>
          </w:p>
        </w:tc>
        <w:tc>
          <w:tcPr>
            <w:tcW w:w="952" w:type="dxa"/>
            <w:tcMar>
              <w:top w:w="0" w:type="dxa"/>
              <w:left w:w="108" w:type="dxa"/>
              <w:bottom w:w="0" w:type="dxa"/>
              <w:right w:w="108" w:type="dxa"/>
            </w:tcMar>
            <w:hideMark/>
          </w:tcPr>
          <w:p w:rsidR="002D62B9" w:rsidRPr="001946E0" w:rsidRDefault="002D62B9" w:rsidP="001B1A50">
            <w:pPr>
              <w:pStyle w:val="tabteksts"/>
              <w:rPr>
                <w:rFonts w:eastAsia="Calibri"/>
                <w:color w:val="000000"/>
              </w:rPr>
            </w:pPr>
            <w:r w:rsidRPr="001946E0">
              <w:rPr>
                <w:color w:val="000000"/>
              </w:rPr>
              <w:t>EKS</w:t>
            </w:r>
          </w:p>
          <w:p w:rsidR="002D62B9" w:rsidRPr="001946E0" w:rsidRDefault="002D62B9" w:rsidP="001B1A50">
            <w:pPr>
              <w:pStyle w:val="tabteksts"/>
              <w:rPr>
                <w:color w:val="000000"/>
              </w:rPr>
            </w:pPr>
            <w:r w:rsidRPr="001946E0">
              <w:rPr>
                <w:color w:val="000000"/>
              </w:rPr>
              <w:t>Kods</w:t>
            </w:r>
          </w:p>
        </w:tc>
        <w:tc>
          <w:tcPr>
            <w:tcW w:w="797" w:type="dxa"/>
            <w:tcMar>
              <w:top w:w="0" w:type="dxa"/>
              <w:left w:w="108" w:type="dxa"/>
              <w:bottom w:w="0" w:type="dxa"/>
              <w:right w:w="108" w:type="dxa"/>
            </w:tcMar>
            <w:hideMark/>
          </w:tcPr>
          <w:p w:rsidR="002D62B9" w:rsidRPr="001946E0" w:rsidRDefault="002D62B9" w:rsidP="001B1A50">
            <w:pPr>
              <w:pStyle w:val="tabteksts"/>
              <w:jc w:val="center"/>
              <w:rPr>
                <w:b/>
                <w:bCs/>
                <w:color w:val="000000"/>
              </w:rPr>
            </w:pPr>
            <w:r w:rsidRPr="001946E0">
              <w:rPr>
                <w:b/>
                <w:bCs/>
                <w:color w:val="000000"/>
              </w:rPr>
              <w:t>2011</w:t>
            </w:r>
          </w:p>
        </w:tc>
        <w:tc>
          <w:tcPr>
            <w:tcW w:w="797" w:type="dxa"/>
            <w:tcMar>
              <w:top w:w="0" w:type="dxa"/>
              <w:left w:w="108" w:type="dxa"/>
              <w:bottom w:w="0" w:type="dxa"/>
              <w:right w:w="108" w:type="dxa"/>
            </w:tcMar>
            <w:hideMark/>
          </w:tcPr>
          <w:p w:rsidR="002D62B9" w:rsidRPr="001946E0" w:rsidRDefault="002D62B9" w:rsidP="001B1A50">
            <w:pPr>
              <w:pStyle w:val="tabteksts"/>
              <w:jc w:val="center"/>
              <w:rPr>
                <w:b/>
                <w:bCs/>
                <w:color w:val="000000"/>
              </w:rPr>
            </w:pPr>
            <w:r w:rsidRPr="001946E0">
              <w:rPr>
                <w:b/>
                <w:bCs/>
                <w:color w:val="000000"/>
              </w:rPr>
              <w:t>2012</w:t>
            </w:r>
          </w:p>
        </w:tc>
        <w:tc>
          <w:tcPr>
            <w:tcW w:w="797" w:type="dxa"/>
            <w:tcMar>
              <w:top w:w="0" w:type="dxa"/>
              <w:left w:w="108" w:type="dxa"/>
              <w:bottom w:w="0" w:type="dxa"/>
              <w:right w:w="108" w:type="dxa"/>
            </w:tcMar>
            <w:hideMark/>
          </w:tcPr>
          <w:p w:rsidR="002D62B9" w:rsidRPr="001946E0" w:rsidRDefault="002D62B9" w:rsidP="001B1A50">
            <w:pPr>
              <w:pStyle w:val="tabteksts"/>
              <w:jc w:val="center"/>
              <w:rPr>
                <w:b/>
                <w:bCs/>
                <w:color w:val="000000"/>
              </w:rPr>
            </w:pPr>
            <w:r w:rsidRPr="001946E0">
              <w:rPr>
                <w:b/>
                <w:bCs/>
                <w:color w:val="000000"/>
              </w:rPr>
              <w:t>2013</w:t>
            </w:r>
          </w:p>
        </w:tc>
        <w:tc>
          <w:tcPr>
            <w:tcW w:w="797" w:type="dxa"/>
            <w:tcMar>
              <w:top w:w="0" w:type="dxa"/>
              <w:left w:w="108" w:type="dxa"/>
              <w:bottom w:w="0" w:type="dxa"/>
              <w:right w:w="108" w:type="dxa"/>
            </w:tcMar>
            <w:hideMark/>
          </w:tcPr>
          <w:p w:rsidR="002D62B9" w:rsidRPr="001946E0" w:rsidRDefault="002D62B9" w:rsidP="001B1A50">
            <w:pPr>
              <w:pStyle w:val="tabteksts"/>
              <w:jc w:val="center"/>
              <w:rPr>
                <w:b/>
                <w:bCs/>
                <w:color w:val="000000"/>
              </w:rPr>
            </w:pPr>
            <w:r w:rsidRPr="001946E0">
              <w:rPr>
                <w:b/>
                <w:bCs/>
                <w:color w:val="000000"/>
              </w:rPr>
              <w:t>2014</w:t>
            </w:r>
          </w:p>
        </w:tc>
        <w:tc>
          <w:tcPr>
            <w:tcW w:w="623" w:type="dxa"/>
            <w:tcMar>
              <w:top w:w="0" w:type="dxa"/>
              <w:left w:w="108" w:type="dxa"/>
              <w:bottom w:w="0" w:type="dxa"/>
              <w:right w:w="108" w:type="dxa"/>
            </w:tcMar>
            <w:hideMark/>
          </w:tcPr>
          <w:p w:rsidR="002D62B9" w:rsidRPr="001946E0" w:rsidRDefault="002D62B9" w:rsidP="001B1A50">
            <w:pPr>
              <w:pStyle w:val="tabteksts"/>
              <w:jc w:val="center"/>
              <w:rPr>
                <w:b/>
                <w:bCs/>
                <w:color w:val="000000"/>
              </w:rPr>
            </w:pPr>
            <w:r w:rsidRPr="001946E0">
              <w:rPr>
                <w:b/>
                <w:bCs/>
                <w:color w:val="000000"/>
              </w:rPr>
              <w:t>2015</w:t>
            </w:r>
          </w:p>
        </w:tc>
      </w:tr>
      <w:tr w:rsidR="002D62B9" w:rsidRPr="001946E0" w:rsidTr="00D01375">
        <w:trPr>
          <w:jc w:val="center"/>
        </w:trPr>
        <w:tc>
          <w:tcPr>
            <w:tcW w:w="4417" w:type="dxa"/>
            <w:tcMar>
              <w:top w:w="0" w:type="dxa"/>
              <w:left w:w="108" w:type="dxa"/>
              <w:bottom w:w="0" w:type="dxa"/>
              <w:right w:w="108" w:type="dxa"/>
            </w:tcMar>
            <w:hideMark/>
          </w:tcPr>
          <w:p w:rsidR="002D62B9" w:rsidRPr="001946E0" w:rsidRDefault="002D62B9" w:rsidP="001B1A50">
            <w:pPr>
              <w:pStyle w:val="tabteksts"/>
              <w:rPr>
                <w:snapToGrid w:val="0"/>
                <w:color w:val="000000"/>
              </w:rPr>
            </w:pPr>
            <w:r w:rsidRPr="001946E0">
              <w:rPr>
                <w:snapToGrid w:val="0"/>
                <w:color w:val="000000"/>
              </w:rPr>
              <w:t>1. Tekošais un kapitāla konts</w:t>
            </w:r>
          </w:p>
        </w:tc>
        <w:tc>
          <w:tcPr>
            <w:tcW w:w="952" w:type="dxa"/>
            <w:tcMar>
              <w:top w:w="0" w:type="dxa"/>
              <w:left w:w="108" w:type="dxa"/>
              <w:bottom w:w="0" w:type="dxa"/>
              <w:right w:w="108" w:type="dxa"/>
            </w:tcMar>
            <w:hideMark/>
          </w:tcPr>
          <w:p w:rsidR="002D62B9" w:rsidRPr="001946E0" w:rsidRDefault="002D62B9" w:rsidP="001B1A50">
            <w:pPr>
              <w:pStyle w:val="tabteksts"/>
              <w:rPr>
                <w:snapToGrid w:val="0"/>
                <w:color w:val="000000"/>
              </w:rPr>
            </w:pPr>
            <w:r w:rsidRPr="001946E0">
              <w:rPr>
                <w:snapToGrid w:val="0"/>
                <w:color w:val="000000"/>
              </w:rPr>
              <w:t>B.9</w:t>
            </w:r>
          </w:p>
        </w:tc>
        <w:tc>
          <w:tcPr>
            <w:tcW w:w="797" w:type="dxa"/>
            <w:tcMar>
              <w:top w:w="0" w:type="dxa"/>
              <w:left w:w="108" w:type="dxa"/>
              <w:bottom w:w="0" w:type="dxa"/>
              <w:right w:w="108" w:type="dxa"/>
            </w:tcMar>
            <w:vAlign w:val="center"/>
            <w:hideMark/>
          </w:tcPr>
          <w:p w:rsidR="002D62B9" w:rsidRPr="001946E0" w:rsidRDefault="002D62B9" w:rsidP="001B1A50">
            <w:pPr>
              <w:ind w:hanging="31"/>
              <w:jc w:val="center"/>
              <w:rPr>
                <w:rFonts w:eastAsia="Calibri"/>
                <w:color w:val="000000"/>
                <w:sz w:val="20"/>
              </w:rPr>
            </w:pPr>
            <w:r w:rsidRPr="001946E0">
              <w:rPr>
                <w:color w:val="000000"/>
                <w:sz w:val="20"/>
              </w:rPr>
              <w:t>0,9</w:t>
            </w:r>
          </w:p>
        </w:tc>
        <w:tc>
          <w:tcPr>
            <w:tcW w:w="797" w:type="dxa"/>
            <w:tcMar>
              <w:top w:w="0" w:type="dxa"/>
              <w:left w:w="108" w:type="dxa"/>
              <w:bottom w:w="0" w:type="dxa"/>
              <w:right w:w="108" w:type="dxa"/>
            </w:tcMar>
            <w:vAlign w:val="center"/>
            <w:hideMark/>
          </w:tcPr>
          <w:p w:rsidR="002D62B9" w:rsidRPr="001946E0" w:rsidRDefault="002D62B9" w:rsidP="001B1A50">
            <w:pPr>
              <w:ind w:hanging="31"/>
              <w:jc w:val="center"/>
              <w:rPr>
                <w:rFonts w:eastAsia="Calibri"/>
                <w:color w:val="000000"/>
                <w:sz w:val="20"/>
              </w:rPr>
            </w:pPr>
            <w:r w:rsidRPr="001946E0">
              <w:rPr>
                <w:color w:val="000000"/>
                <w:sz w:val="20"/>
              </w:rPr>
              <w:t>-0,5</w:t>
            </w:r>
          </w:p>
        </w:tc>
        <w:tc>
          <w:tcPr>
            <w:tcW w:w="797" w:type="dxa"/>
            <w:tcMar>
              <w:top w:w="0" w:type="dxa"/>
              <w:left w:w="108" w:type="dxa"/>
              <w:bottom w:w="0" w:type="dxa"/>
              <w:right w:w="108" w:type="dxa"/>
            </w:tcMar>
            <w:vAlign w:val="center"/>
            <w:hideMark/>
          </w:tcPr>
          <w:p w:rsidR="002D62B9" w:rsidRPr="001946E0" w:rsidRDefault="002D62B9" w:rsidP="001B1A50">
            <w:pPr>
              <w:ind w:hanging="31"/>
              <w:jc w:val="center"/>
              <w:rPr>
                <w:rFonts w:eastAsia="Calibri"/>
                <w:color w:val="000000"/>
                <w:sz w:val="20"/>
              </w:rPr>
            </w:pPr>
            <w:r w:rsidRPr="001946E0">
              <w:rPr>
                <w:color w:val="000000"/>
                <w:sz w:val="20"/>
              </w:rPr>
              <w:t>-1,1</w:t>
            </w:r>
          </w:p>
        </w:tc>
        <w:tc>
          <w:tcPr>
            <w:tcW w:w="797" w:type="dxa"/>
            <w:tcMar>
              <w:top w:w="0" w:type="dxa"/>
              <w:left w:w="108" w:type="dxa"/>
              <w:bottom w:w="0" w:type="dxa"/>
              <w:right w:w="108" w:type="dxa"/>
            </w:tcMar>
            <w:vAlign w:val="center"/>
            <w:hideMark/>
          </w:tcPr>
          <w:p w:rsidR="002D62B9" w:rsidRPr="001946E0" w:rsidRDefault="002D62B9" w:rsidP="001B1A50">
            <w:pPr>
              <w:ind w:hanging="31"/>
              <w:jc w:val="center"/>
              <w:rPr>
                <w:rFonts w:eastAsia="Calibri"/>
                <w:color w:val="000000"/>
                <w:sz w:val="20"/>
              </w:rPr>
            </w:pPr>
            <w:r w:rsidRPr="001946E0">
              <w:rPr>
                <w:color w:val="000000"/>
                <w:sz w:val="20"/>
              </w:rPr>
              <w:t>-1,4</w:t>
            </w:r>
          </w:p>
        </w:tc>
        <w:tc>
          <w:tcPr>
            <w:tcW w:w="623" w:type="dxa"/>
            <w:tcMar>
              <w:top w:w="0" w:type="dxa"/>
              <w:left w:w="108" w:type="dxa"/>
              <w:bottom w:w="0" w:type="dxa"/>
              <w:right w:w="108" w:type="dxa"/>
            </w:tcMar>
            <w:vAlign w:val="center"/>
            <w:hideMark/>
          </w:tcPr>
          <w:p w:rsidR="002D62B9" w:rsidRPr="001946E0" w:rsidRDefault="002D62B9" w:rsidP="001B1A50">
            <w:pPr>
              <w:ind w:hanging="31"/>
              <w:jc w:val="center"/>
              <w:rPr>
                <w:rFonts w:eastAsia="Calibri"/>
                <w:color w:val="000000"/>
                <w:sz w:val="20"/>
              </w:rPr>
            </w:pPr>
            <w:r w:rsidRPr="001946E0">
              <w:rPr>
                <w:color w:val="000000"/>
                <w:sz w:val="20"/>
              </w:rPr>
              <w:t>-1,7</w:t>
            </w:r>
          </w:p>
        </w:tc>
      </w:tr>
      <w:tr w:rsidR="002D62B9" w:rsidRPr="001946E0" w:rsidTr="00D01375">
        <w:trPr>
          <w:trHeight w:val="550"/>
          <w:jc w:val="center"/>
        </w:trPr>
        <w:tc>
          <w:tcPr>
            <w:tcW w:w="4417" w:type="dxa"/>
            <w:tcMar>
              <w:top w:w="0" w:type="dxa"/>
              <w:left w:w="108" w:type="dxa"/>
              <w:bottom w:w="0" w:type="dxa"/>
              <w:right w:w="108" w:type="dxa"/>
            </w:tcMar>
            <w:hideMark/>
          </w:tcPr>
          <w:p w:rsidR="002D62B9" w:rsidRPr="001946E0" w:rsidRDefault="002D62B9" w:rsidP="001B1A50">
            <w:pPr>
              <w:pStyle w:val="tabteksts"/>
              <w:rPr>
                <w:rFonts w:eastAsia="Calibri"/>
                <w:snapToGrid w:val="0"/>
                <w:color w:val="000000"/>
              </w:rPr>
            </w:pPr>
            <w:r w:rsidRPr="001946E0">
              <w:rPr>
                <w:snapToGrid w:val="0"/>
                <w:color w:val="000000"/>
              </w:rPr>
              <w:t>t.sk.:</w:t>
            </w:r>
          </w:p>
          <w:p w:rsidR="002D62B9" w:rsidRPr="001946E0" w:rsidRDefault="002D62B9" w:rsidP="001B1A50">
            <w:pPr>
              <w:pStyle w:val="tabteksts"/>
              <w:rPr>
                <w:snapToGrid w:val="0"/>
                <w:color w:val="000000"/>
              </w:rPr>
            </w:pPr>
            <w:r w:rsidRPr="001946E0">
              <w:rPr>
                <w:snapToGrid w:val="0"/>
                <w:color w:val="000000"/>
              </w:rPr>
              <w:t>- Preču un pakalpojumu bilance</w:t>
            </w:r>
          </w:p>
        </w:tc>
        <w:tc>
          <w:tcPr>
            <w:tcW w:w="952" w:type="dxa"/>
            <w:tcMar>
              <w:top w:w="0" w:type="dxa"/>
              <w:left w:w="108" w:type="dxa"/>
              <w:bottom w:w="0" w:type="dxa"/>
              <w:right w:w="108" w:type="dxa"/>
            </w:tcMar>
          </w:tcPr>
          <w:p w:rsidR="002D62B9" w:rsidRPr="001946E0" w:rsidRDefault="002D62B9" w:rsidP="001B1A50">
            <w:pPr>
              <w:pStyle w:val="tabteksts"/>
              <w:rPr>
                <w:snapToGrid w:val="0"/>
                <w:color w:val="000000"/>
              </w:rPr>
            </w:pPr>
          </w:p>
        </w:tc>
        <w:tc>
          <w:tcPr>
            <w:tcW w:w="797" w:type="dxa"/>
            <w:tcMar>
              <w:top w:w="0" w:type="dxa"/>
              <w:left w:w="108" w:type="dxa"/>
              <w:bottom w:w="0" w:type="dxa"/>
              <w:right w:w="108" w:type="dxa"/>
            </w:tcMar>
            <w:hideMark/>
          </w:tcPr>
          <w:p w:rsidR="002D62B9" w:rsidRPr="001946E0" w:rsidRDefault="002D62B9" w:rsidP="001B1A50">
            <w:pPr>
              <w:ind w:hanging="31"/>
              <w:jc w:val="center"/>
              <w:rPr>
                <w:rFonts w:eastAsia="Calibri"/>
                <w:color w:val="000000"/>
                <w:sz w:val="20"/>
              </w:rPr>
            </w:pPr>
            <w:r w:rsidRPr="001946E0">
              <w:rPr>
                <w:color w:val="000000"/>
                <w:sz w:val="20"/>
              </w:rPr>
              <w:t>-3,4</w:t>
            </w:r>
          </w:p>
        </w:tc>
        <w:tc>
          <w:tcPr>
            <w:tcW w:w="797" w:type="dxa"/>
            <w:tcMar>
              <w:top w:w="0" w:type="dxa"/>
              <w:left w:w="108" w:type="dxa"/>
              <w:bottom w:w="0" w:type="dxa"/>
              <w:right w:w="108" w:type="dxa"/>
            </w:tcMar>
            <w:hideMark/>
          </w:tcPr>
          <w:p w:rsidR="002D62B9" w:rsidRPr="001946E0" w:rsidRDefault="002D62B9" w:rsidP="001B1A50">
            <w:pPr>
              <w:ind w:hanging="31"/>
              <w:jc w:val="center"/>
              <w:rPr>
                <w:rFonts w:eastAsia="Calibri"/>
                <w:color w:val="000000"/>
                <w:sz w:val="20"/>
              </w:rPr>
            </w:pPr>
            <w:r w:rsidRPr="001946E0">
              <w:rPr>
                <w:color w:val="000000"/>
                <w:sz w:val="20"/>
              </w:rPr>
              <w:t>-4,8</w:t>
            </w:r>
          </w:p>
        </w:tc>
        <w:tc>
          <w:tcPr>
            <w:tcW w:w="797" w:type="dxa"/>
            <w:tcMar>
              <w:top w:w="0" w:type="dxa"/>
              <w:left w:w="108" w:type="dxa"/>
              <w:bottom w:w="0" w:type="dxa"/>
              <w:right w:w="108" w:type="dxa"/>
            </w:tcMar>
            <w:hideMark/>
          </w:tcPr>
          <w:p w:rsidR="002D62B9" w:rsidRPr="001946E0" w:rsidRDefault="002D62B9" w:rsidP="001B1A50">
            <w:pPr>
              <w:ind w:hanging="31"/>
              <w:jc w:val="center"/>
              <w:rPr>
                <w:rFonts w:eastAsia="Calibri"/>
                <w:color w:val="000000"/>
                <w:sz w:val="20"/>
              </w:rPr>
            </w:pPr>
            <w:r w:rsidRPr="001946E0">
              <w:rPr>
                <w:color w:val="000000"/>
                <w:sz w:val="20"/>
              </w:rPr>
              <w:t>-5,1</w:t>
            </w:r>
          </w:p>
        </w:tc>
        <w:tc>
          <w:tcPr>
            <w:tcW w:w="797" w:type="dxa"/>
            <w:tcMar>
              <w:top w:w="0" w:type="dxa"/>
              <w:left w:w="108" w:type="dxa"/>
              <w:bottom w:w="0" w:type="dxa"/>
              <w:right w:w="108" w:type="dxa"/>
            </w:tcMar>
            <w:hideMark/>
          </w:tcPr>
          <w:p w:rsidR="002D62B9" w:rsidRPr="001946E0" w:rsidRDefault="002D62B9" w:rsidP="001B1A50">
            <w:pPr>
              <w:ind w:hanging="31"/>
              <w:jc w:val="center"/>
              <w:rPr>
                <w:rFonts w:eastAsia="Calibri"/>
                <w:color w:val="000000"/>
                <w:sz w:val="20"/>
              </w:rPr>
            </w:pPr>
            <w:r w:rsidRPr="001946E0">
              <w:rPr>
                <w:color w:val="000000"/>
                <w:sz w:val="20"/>
              </w:rPr>
              <w:t>-5,1</w:t>
            </w:r>
          </w:p>
        </w:tc>
        <w:tc>
          <w:tcPr>
            <w:tcW w:w="623" w:type="dxa"/>
            <w:tcMar>
              <w:top w:w="0" w:type="dxa"/>
              <w:left w:w="108" w:type="dxa"/>
              <w:bottom w:w="0" w:type="dxa"/>
              <w:right w:w="108" w:type="dxa"/>
            </w:tcMar>
            <w:hideMark/>
          </w:tcPr>
          <w:p w:rsidR="002D62B9" w:rsidRPr="001946E0" w:rsidRDefault="002D62B9" w:rsidP="001B1A50">
            <w:pPr>
              <w:ind w:hanging="31"/>
              <w:jc w:val="center"/>
              <w:rPr>
                <w:rFonts w:eastAsia="Calibri"/>
                <w:color w:val="000000"/>
                <w:sz w:val="20"/>
              </w:rPr>
            </w:pPr>
            <w:r w:rsidRPr="001946E0">
              <w:rPr>
                <w:color w:val="000000"/>
                <w:sz w:val="20"/>
              </w:rPr>
              <w:t>-5,3</w:t>
            </w:r>
          </w:p>
        </w:tc>
      </w:tr>
      <w:tr w:rsidR="002D62B9" w:rsidRPr="001946E0" w:rsidTr="00D01375">
        <w:trPr>
          <w:jc w:val="center"/>
        </w:trPr>
        <w:tc>
          <w:tcPr>
            <w:tcW w:w="4417" w:type="dxa"/>
            <w:tcMar>
              <w:top w:w="0" w:type="dxa"/>
              <w:left w:w="108" w:type="dxa"/>
              <w:bottom w:w="0" w:type="dxa"/>
              <w:right w:w="108" w:type="dxa"/>
            </w:tcMar>
            <w:hideMark/>
          </w:tcPr>
          <w:p w:rsidR="002D62B9" w:rsidRPr="001946E0" w:rsidRDefault="002D62B9" w:rsidP="001B1A50">
            <w:pPr>
              <w:pStyle w:val="tabteksts"/>
              <w:rPr>
                <w:snapToGrid w:val="0"/>
                <w:color w:val="000000"/>
              </w:rPr>
            </w:pPr>
            <w:r w:rsidRPr="001946E0">
              <w:rPr>
                <w:snapToGrid w:val="0"/>
                <w:color w:val="000000"/>
              </w:rPr>
              <w:t>- Ienākumu un pārvedumu bilance</w:t>
            </w:r>
          </w:p>
        </w:tc>
        <w:tc>
          <w:tcPr>
            <w:tcW w:w="952" w:type="dxa"/>
            <w:tcMar>
              <w:top w:w="0" w:type="dxa"/>
              <w:left w:w="108" w:type="dxa"/>
              <w:bottom w:w="0" w:type="dxa"/>
              <w:right w:w="108" w:type="dxa"/>
            </w:tcMar>
          </w:tcPr>
          <w:p w:rsidR="002D62B9" w:rsidRPr="001946E0" w:rsidRDefault="002D62B9" w:rsidP="001B1A50">
            <w:pPr>
              <w:pStyle w:val="tabteksts"/>
              <w:rPr>
                <w:snapToGrid w:val="0"/>
                <w:color w:val="000000"/>
              </w:rPr>
            </w:pPr>
          </w:p>
        </w:tc>
        <w:tc>
          <w:tcPr>
            <w:tcW w:w="797" w:type="dxa"/>
            <w:tcMar>
              <w:top w:w="0" w:type="dxa"/>
              <w:left w:w="108" w:type="dxa"/>
              <w:bottom w:w="0" w:type="dxa"/>
              <w:right w:w="108" w:type="dxa"/>
            </w:tcMar>
            <w:vAlign w:val="center"/>
            <w:hideMark/>
          </w:tcPr>
          <w:p w:rsidR="002D62B9" w:rsidRPr="001946E0" w:rsidRDefault="002D62B9" w:rsidP="001B1A50">
            <w:pPr>
              <w:ind w:hanging="31"/>
              <w:jc w:val="center"/>
              <w:rPr>
                <w:rFonts w:eastAsia="Calibri"/>
                <w:color w:val="000000"/>
                <w:sz w:val="20"/>
              </w:rPr>
            </w:pPr>
            <w:r w:rsidRPr="001946E0">
              <w:rPr>
                <w:color w:val="000000"/>
                <w:sz w:val="20"/>
              </w:rPr>
              <w:t>2,1</w:t>
            </w:r>
          </w:p>
        </w:tc>
        <w:tc>
          <w:tcPr>
            <w:tcW w:w="797" w:type="dxa"/>
            <w:tcMar>
              <w:top w:w="0" w:type="dxa"/>
              <w:left w:w="108" w:type="dxa"/>
              <w:bottom w:w="0" w:type="dxa"/>
              <w:right w:w="108" w:type="dxa"/>
            </w:tcMar>
            <w:vAlign w:val="center"/>
            <w:hideMark/>
          </w:tcPr>
          <w:p w:rsidR="002D62B9" w:rsidRPr="001946E0" w:rsidRDefault="002D62B9" w:rsidP="001B1A50">
            <w:pPr>
              <w:ind w:hanging="31"/>
              <w:jc w:val="center"/>
              <w:rPr>
                <w:rFonts w:eastAsia="Calibri"/>
                <w:color w:val="000000"/>
                <w:sz w:val="20"/>
              </w:rPr>
            </w:pPr>
            <w:r w:rsidRPr="001946E0">
              <w:rPr>
                <w:color w:val="000000"/>
                <w:sz w:val="20"/>
              </w:rPr>
              <w:t>2,3</w:t>
            </w:r>
          </w:p>
        </w:tc>
        <w:tc>
          <w:tcPr>
            <w:tcW w:w="797" w:type="dxa"/>
            <w:tcMar>
              <w:top w:w="0" w:type="dxa"/>
              <w:left w:w="108" w:type="dxa"/>
              <w:bottom w:w="0" w:type="dxa"/>
              <w:right w:w="108" w:type="dxa"/>
            </w:tcMar>
            <w:vAlign w:val="center"/>
            <w:hideMark/>
          </w:tcPr>
          <w:p w:rsidR="002D62B9" w:rsidRPr="001946E0" w:rsidRDefault="002D62B9" w:rsidP="001B1A50">
            <w:pPr>
              <w:ind w:hanging="31"/>
              <w:jc w:val="center"/>
              <w:rPr>
                <w:rFonts w:eastAsia="Calibri"/>
                <w:color w:val="000000"/>
                <w:sz w:val="20"/>
              </w:rPr>
            </w:pPr>
            <w:r w:rsidRPr="001946E0">
              <w:rPr>
                <w:color w:val="000000"/>
                <w:sz w:val="20"/>
              </w:rPr>
              <w:t>2,1</w:t>
            </w:r>
          </w:p>
        </w:tc>
        <w:tc>
          <w:tcPr>
            <w:tcW w:w="797" w:type="dxa"/>
            <w:tcMar>
              <w:top w:w="0" w:type="dxa"/>
              <w:left w:w="108" w:type="dxa"/>
              <w:bottom w:w="0" w:type="dxa"/>
              <w:right w:w="108" w:type="dxa"/>
            </w:tcMar>
            <w:vAlign w:val="center"/>
            <w:hideMark/>
          </w:tcPr>
          <w:p w:rsidR="002D62B9" w:rsidRPr="001946E0" w:rsidRDefault="002D62B9" w:rsidP="001B1A50">
            <w:pPr>
              <w:ind w:hanging="31"/>
              <w:jc w:val="center"/>
              <w:rPr>
                <w:rFonts w:eastAsia="Calibri"/>
                <w:color w:val="000000"/>
                <w:sz w:val="20"/>
              </w:rPr>
            </w:pPr>
            <w:r w:rsidRPr="001946E0">
              <w:rPr>
                <w:color w:val="000000"/>
                <w:sz w:val="20"/>
              </w:rPr>
              <w:t>2,1</w:t>
            </w:r>
          </w:p>
        </w:tc>
        <w:tc>
          <w:tcPr>
            <w:tcW w:w="623" w:type="dxa"/>
            <w:tcMar>
              <w:top w:w="0" w:type="dxa"/>
              <w:left w:w="108" w:type="dxa"/>
              <w:bottom w:w="0" w:type="dxa"/>
              <w:right w:w="108" w:type="dxa"/>
            </w:tcMar>
            <w:vAlign w:val="center"/>
            <w:hideMark/>
          </w:tcPr>
          <w:p w:rsidR="002D62B9" w:rsidRPr="001946E0" w:rsidRDefault="002D62B9" w:rsidP="001B1A50">
            <w:pPr>
              <w:ind w:hanging="31"/>
              <w:jc w:val="center"/>
              <w:rPr>
                <w:rFonts w:eastAsia="Calibri"/>
                <w:color w:val="000000"/>
                <w:sz w:val="20"/>
              </w:rPr>
            </w:pPr>
            <w:r w:rsidRPr="001946E0">
              <w:rPr>
                <w:color w:val="000000"/>
                <w:sz w:val="20"/>
              </w:rPr>
              <w:t>2,0</w:t>
            </w:r>
          </w:p>
        </w:tc>
      </w:tr>
      <w:tr w:rsidR="002D62B9" w:rsidRPr="001946E0" w:rsidTr="00D01375">
        <w:trPr>
          <w:jc w:val="center"/>
        </w:trPr>
        <w:tc>
          <w:tcPr>
            <w:tcW w:w="4417" w:type="dxa"/>
            <w:tcMar>
              <w:top w:w="0" w:type="dxa"/>
              <w:left w:w="108" w:type="dxa"/>
              <w:bottom w:w="0" w:type="dxa"/>
              <w:right w:w="108" w:type="dxa"/>
            </w:tcMar>
            <w:hideMark/>
          </w:tcPr>
          <w:p w:rsidR="002D62B9" w:rsidRPr="001946E0" w:rsidRDefault="002D62B9" w:rsidP="001B1A50">
            <w:pPr>
              <w:pStyle w:val="tabteksts"/>
              <w:rPr>
                <w:snapToGrid w:val="0"/>
                <w:color w:val="000000"/>
              </w:rPr>
            </w:pPr>
            <w:r w:rsidRPr="001946E0">
              <w:rPr>
                <w:snapToGrid w:val="0"/>
                <w:color w:val="000000"/>
              </w:rPr>
              <w:t>- Kapitāla konts</w:t>
            </w:r>
          </w:p>
        </w:tc>
        <w:tc>
          <w:tcPr>
            <w:tcW w:w="952" w:type="dxa"/>
            <w:tcMar>
              <w:top w:w="0" w:type="dxa"/>
              <w:left w:w="108" w:type="dxa"/>
              <w:bottom w:w="0" w:type="dxa"/>
              <w:right w:w="108" w:type="dxa"/>
            </w:tcMar>
          </w:tcPr>
          <w:p w:rsidR="002D62B9" w:rsidRPr="001946E0" w:rsidRDefault="002D62B9" w:rsidP="001B1A50">
            <w:pPr>
              <w:pStyle w:val="tabteksts"/>
              <w:rPr>
                <w:snapToGrid w:val="0"/>
                <w:color w:val="000000"/>
              </w:rPr>
            </w:pPr>
          </w:p>
        </w:tc>
        <w:tc>
          <w:tcPr>
            <w:tcW w:w="797" w:type="dxa"/>
            <w:tcMar>
              <w:top w:w="0" w:type="dxa"/>
              <w:left w:w="108" w:type="dxa"/>
              <w:bottom w:w="0" w:type="dxa"/>
              <w:right w:w="108" w:type="dxa"/>
            </w:tcMar>
            <w:vAlign w:val="center"/>
            <w:hideMark/>
          </w:tcPr>
          <w:p w:rsidR="002D62B9" w:rsidRPr="001946E0" w:rsidRDefault="002D62B9" w:rsidP="001B1A50">
            <w:pPr>
              <w:ind w:hanging="31"/>
              <w:jc w:val="center"/>
              <w:rPr>
                <w:rFonts w:eastAsia="Calibri"/>
                <w:color w:val="000000"/>
                <w:sz w:val="20"/>
              </w:rPr>
            </w:pPr>
            <w:r w:rsidRPr="001946E0">
              <w:rPr>
                <w:color w:val="000000"/>
                <w:sz w:val="20"/>
              </w:rPr>
              <w:t>2,1</w:t>
            </w:r>
          </w:p>
        </w:tc>
        <w:tc>
          <w:tcPr>
            <w:tcW w:w="797" w:type="dxa"/>
            <w:tcMar>
              <w:top w:w="0" w:type="dxa"/>
              <w:left w:w="108" w:type="dxa"/>
              <w:bottom w:w="0" w:type="dxa"/>
              <w:right w:w="108" w:type="dxa"/>
            </w:tcMar>
            <w:vAlign w:val="center"/>
            <w:hideMark/>
          </w:tcPr>
          <w:p w:rsidR="002D62B9" w:rsidRPr="001946E0" w:rsidRDefault="002D62B9" w:rsidP="001B1A50">
            <w:pPr>
              <w:ind w:hanging="31"/>
              <w:jc w:val="center"/>
              <w:rPr>
                <w:rFonts w:eastAsia="Calibri"/>
                <w:color w:val="000000"/>
                <w:sz w:val="20"/>
              </w:rPr>
            </w:pPr>
            <w:r w:rsidRPr="001946E0">
              <w:rPr>
                <w:color w:val="000000"/>
                <w:sz w:val="20"/>
              </w:rPr>
              <w:t>2,0</w:t>
            </w:r>
          </w:p>
        </w:tc>
        <w:tc>
          <w:tcPr>
            <w:tcW w:w="797" w:type="dxa"/>
            <w:tcMar>
              <w:top w:w="0" w:type="dxa"/>
              <w:left w:w="108" w:type="dxa"/>
              <w:bottom w:w="0" w:type="dxa"/>
              <w:right w:w="108" w:type="dxa"/>
            </w:tcMar>
            <w:vAlign w:val="center"/>
            <w:hideMark/>
          </w:tcPr>
          <w:p w:rsidR="002D62B9" w:rsidRPr="001946E0" w:rsidRDefault="002D62B9" w:rsidP="001B1A50">
            <w:pPr>
              <w:ind w:hanging="31"/>
              <w:jc w:val="center"/>
              <w:rPr>
                <w:rFonts w:eastAsia="Calibri"/>
                <w:color w:val="000000"/>
                <w:sz w:val="20"/>
              </w:rPr>
            </w:pPr>
            <w:r w:rsidRPr="001946E0">
              <w:rPr>
                <w:color w:val="000000"/>
                <w:sz w:val="20"/>
              </w:rPr>
              <w:t>1,8</w:t>
            </w:r>
          </w:p>
        </w:tc>
        <w:tc>
          <w:tcPr>
            <w:tcW w:w="797" w:type="dxa"/>
            <w:tcMar>
              <w:top w:w="0" w:type="dxa"/>
              <w:left w:w="108" w:type="dxa"/>
              <w:bottom w:w="0" w:type="dxa"/>
              <w:right w:w="108" w:type="dxa"/>
            </w:tcMar>
            <w:vAlign w:val="center"/>
            <w:hideMark/>
          </w:tcPr>
          <w:p w:rsidR="002D62B9" w:rsidRPr="001946E0" w:rsidRDefault="002D62B9" w:rsidP="001B1A50">
            <w:pPr>
              <w:ind w:hanging="31"/>
              <w:jc w:val="center"/>
              <w:rPr>
                <w:rFonts w:eastAsia="Calibri"/>
                <w:color w:val="000000"/>
                <w:sz w:val="20"/>
              </w:rPr>
            </w:pPr>
            <w:r w:rsidRPr="001946E0">
              <w:rPr>
                <w:color w:val="000000"/>
                <w:sz w:val="20"/>
              </w:rPr>
              <w:t>1,7</w:t>
            </w:r>
          </w:p>
        </w:tc>
        <w:tc>
          <w:tcPr>
            <w:tcW w:w="623" w:type="dxa"/>
            <w:tcMar>
              <w:top w:w="0" w:type="dxa"/>
              <w:left w:w="108" w:type="dxa"/>
              <w:bottom w:w="0" w:type="dxa"/>
              <w:right w:w="108" w:type="dxa"/>
            </w:tcMar>
            <w:vAlign w:val="center"/>
            <w:hideMark/>
          </w:tcPr>
          <w:p w:rsidR="002D62B9" w:rsidRPr="001946E0" w:rsidRDefault="002D62B9" w:rsidP="001B1A50">
            <w:pPr>
              <w:ind w:hanging="31"/>
              <w:jc w:val="center"/>
              <w:rPr>
                <w:rFonts w:eastAsia="Calibri"/>
                <w:color w:val="000000"/>
                <w:sz w:val="20"/>
              </w:rPr>
            </w:pPr>
            <w:r w:rsidRPr="001946E0">
              <w:rPr>
                <w:color w:val="000000"/>
                <w:sz w:val="20"/>
              </w:rPr>
              <w:t>1,6</w:t>
            </w:r>
          </w:p>
        </w:tc>
      </w:tr>
      <w:tr w:rsidR="002D62B9" w:rsidRPr="001946E0" w:rsidTr="00D01375">
        <w:trPr>
          <w:jc w:val="center"/>
        </w:trPr>
        <w:tc>
          <w:tcPr>
            <w:tcW w:w="4417" w:type="dxa"/>
            <w:tcMar>
              <w:top w:w="0" w:type="dxa"/>
              <w:left w:w="108" w:type="dxa"/>
              <w:bottom w:w="0" w:type="dxa"/>
              <w:right w:w="108" w:type="dxa"/>
            </w:tcMar>
            <w:hideMark/>
          </w:tcPr>
          <w:p w:rsidR="002D62B9" w:rsidRPr="001946E0" w:rsidRDefault="002D62B9" w:rsidP="001B1A50">
            <w:pPr>
              <w:pStyle w:val="tabteksts"/>
              <w:rPr>
                <w:snapToGrid w:val="0"/>
                <w:color w:val="000000"/>
              </w:rPr>
            </w:pPr>
            <w:r w:rsidRPr="001946E0">
              <w:rPr>
                <w:snapToGrid w:val="0"/>
                <w:color w:val="000000"/>
              </w:rPr>
              <w:t>2. Neto aizdevumi/ aizņemšanās privātajā sektorā</w:t>
            </w:r>
          </w:p>
        </w:tc>
        <w:tc>
          <w:tcPr>
            <w:tcW w:w="952" w:type="dxa"/>
            <w:tcMar>
              <w:top w:w="0" w:type="dxa"/>
              <w:left w:w="108" w:type="dxa"/>
              <w:bottom w:w="0" w:type="dxa"/>
              <w:right w:w="108" w:type="dxa"/>
            </w:tcMar>
            <w:hideMark/>
          </w:tcPr>
          <w:p w:rsidR="002D62B9" w:rsidRPr="001946E0" w:rsidRDefault="002D62B9" w:rsidP="001B1A50">
            <w:pPr>
              <w:pStyle w:val="tabteksts"/>
              <w:rPr>
                <w:snapToGrid w:val="0"/>
                <w:color w:val="000000"/>
              </w:rPr>
            </w:pPr>
            <w:r w:rsidRPr="001946E0">
              <w:rPr>
                <w:snapToGrid w:val="0"/>
                <w:color w:val="000000"/>
              </w:rPr>
              <w:t>B.9</w:t>
            </w:r>
          </w:p>
        </w:tc>
        <w:tc>
          <w:tcPr>
            <w:tcW w:w="797" w:type="dxa"/>
            <w:tcMar>
              <w:top w:w="0" w:type="dxa"/>
              <w:left w:w="108" w:type="dxa"/>
              <w:bottom w:w="0" w:type="dxa"/>
              <w:right w:w="108" w:type="dxa"/>
            </w:tcMar>
            <w:vAlign w:val="center"/>
            <w:hideMark/>
          </w:tcPr>
          <w:p w:rsidR="002D62B9" w:rsidRPr="001946E0" w:rsidRDefault="002D62B9" w:rsidP="001B1A50">
            <w:pPr>
              <w:ind w:hanging="31"/>
              <w:jc w:val="center"/>
              <w:rPr>
                <w:rFonts w:eastAsia="Calibri"/>
                <w:color w:val="000000"/>
                <w:sz w:val="20"/>
              </w:rPr>
            </w:pPr>
            <w:r w:rsidRPr="001946E0">
              <w:rPr>
                <w:color w:val="000000"/>
                <w:sz w:val="20"/>
              </w:rPr>
              <w:t>5,4</w:t>
            </w:r>
          </w:p>
        </w:tc>
        <w:tc>
          <w:tcPr>
            <w:tcW w:w="797" w:type="dxa"/>
            <w:tcMar>
              <w:top w:w="0" w:type="dxa"/>
              <w:left w:w="108" w:type="dxa"/>
              <w:bottom w:w="0" w:type="dxa"/>
              <w:right w:w="108" w:type="dxa"/>
            </w:tcMar>
            <w:vAlign w:val="center"/>
            <w:hideMark/>
          </w:tcPr>
          <w:p w:rsidR="002D62B9" w:rsidRPr="001946E0" w:rsidRDefault="002D62B9" w:rsidP="001B1A50">
            <w:pPr>
              <w:ind w:hanging="31"/>
              <w:jc w:val="center"/>
              <w:rPr>
                <w:rFonts w:eastAsia="Calibri"/>
                <w:color w:val="000000"/>
                <w:sz w:val="20"/>
              </w:rPr>
            </w:pPr>
            <w:r w:rsidRPr="001946E0">
              <w:rPr>
                <w:color w:val="000000"/>
                <w:sz w:val="20"/>
              </w:rPr>
              <w:t>1,6</w:t>
            </w:r>
          </w:p>
        </w:tc>
        <w:tc>
          <w:tcPr>
            <w:tcW w:w="797" w:type="dxa"/>
            <w:tcMar>
              <w:top w:w="0" w:type="dxa"/>
              <w:left w:w="108" w:type="dxa"/>
              <w:bottom w:w="0" w:type="dxa"/>
              <w:right w:w="108" w:type="dxa"/>
            </w:tcMar>
            <w:vAlign w:val="center"/>
            <w:hideMark/>
          </w:tcPr>
          <w:p w:rsidR="002D62B9" w:rsidRPr="001946E0" w:rsidRDefault="002D62B9" w:rsidP="001B1A50">
            <w:pPr>
              <w:ind w:hanging="31"/>
              <w:jc w:val="center"/>
              <w:rPr>
                <w:rFonts w:eastAsia="Calibri"/>
                <w:color w:val="000000"/>
                <w:sz w:val="20"/>
              </w:rPr>
            </w:pPr>
            <w:r w:rsidRPr="001946E0">
              <w:rPr>
                <w:color w:val="000000"/>
                <w:sz w:val="20"/>
              </w:rPr>
              <w:t>0,3</w:t>
            </w:r>
          </w:p>
        </w:tc>
        <w:tc>
          <w:tcPr>
            <w:tcW w:w="797" w:type="dxa"/>
            <w:tcMar>
              <w:top w:w="0" w:type="dxa"/>
              <w:left w:w="108" w:type="dxa"/>
              <w:bottom w:w="0" w:type="dxa"/>
              <w:right w:w="108" w:type="dxa"/>
            </w:tcMar>
            <w:vAlign w:val="center"/>
            <w:hideMark/>
          </w:tcPr>
          <w:p w:rsidR="002D62B9" w:rsidRPr="001946E0" w:rsidRDefault="002D62B9" w:rsidP="001B1A50">
            <w:pPr>
              <w:ind w:hanging="31"/>
              <w:jc w:val="center"/>
              <w:rPr>
                <w:rFonts w:eastAsia="Calibri"/>
                <w:color w:val="000000"/>
                <w:sz w:val="20"/>
              </w:rPr>
            </w:pPr>
            <w:r w:rsidRPr="001946E0">
              <w:rPr>
                <w:color w:val="000000"/>
                <w:sz w:val="20"/>
              </w:rPr>
              <w:t>-0,6</w:t>
            </w:r>
          </w:p>
        </w:tc>
        <w:tc>
          <w:tcPr>
            <w:tcW w:w="623" w:type="dxa"/>
            <w:tcMar>
              <w:top w:w="0" w:type="dxa"/>
              <w:left w:w="108" w:type="dxa"/>
              <w:bottom w:w="0" w:type="dxa"/>
              <w:right w:w="108" w:type="dxa"/>
            </w:tcMar>
            <w:vAlign w:val="center"/>
            <w:hideMark/>
          </w:tcPr>
          <w:p w:rsidR="002D62B9" w:rsidRPr="001946E0" w:rsidRDefault="002D62B9" w:rsidP="001B1A50">
            <w:pPr>
              <w:ind w:hanging="31"/>
              <w:jc w:val="center"/>
              <w:rPr>
                <w:rFonts w:eastAsia="Calibri"/>
                <w:color w:val="000000"/>
                <w:sz w:val="20"/>
              </w:rPr>
            </w:pPr>
            <w:r w:rsidRPr="001946E0">
              <w:rPr>
                <w:color w:val="000000"/>
                <w:sz w:val="20"/>
              </w:rPr>
              <w:t>-1,4</w:t>
            </w:r>
          </w:p>
        </w:tc>
      </w:tr>
      <w:tr w:rsidR="002D62B9" w:rsidRPr="001946E0" w:rsidTr="00D01375">
        <w:trPr>
          <w:jc w:val="center"/>
        </w:trPr>
        <w:tc>
          <w:tcPr>
            <w:tcW w:w="4417" w:type="dxa"/>
            <w:tcMar>
              <w:top w:w="0" w:type="dxa"/>
              <w:left w:w="108" w:type="dxa"/>
              <w:bottom w:w="0" w:type="dxa"/>
              <w:right w:w="108" w:type="dxa"/>
            </w:tcMar>
            <w:hideMark/>
          </w:tcPr>
          <w:p w:rsidR="002D62B9" w:rsidRPr="001946E0" w:rsidRDefault="002D62B9" w:rsidP="001B1A50">
            <w:pPr>
              <w:pStyle w:val="tabteksts"/>
              <w:rPr>
                <w:snapToGrid w:val="0"/>
                <w:color w:val="000000"/>
              </w:rPr>
            </w:pPr>
            <w:r w:rsidRPr="001946E0">
              <w:rPr>
                <w:snapToGrid w:val="0"/>
                <w:color w:val="000000"/>
              </w:rPr>
              <w:t>3. Neto aizdevumi/ aizņemšanās vispārējās valdības sektorā</w:t>
            </w:r>
          </w:p>
        </w:tc>
        <w:tc>
          <w:tcPr>
            <w:tcW w:w="952" w:type="dxa"/>
            <w:tcMar>
              <w:top w:w="0" w:type="dxa"/>
              <w:left w:w="108" w:type="dxa"/>
              <w:bottom w:w="0" w:type="dxa"/>
              <w:right w:w="108" w:type="dxa"/>
            </w:tcMar>
            <w:hideMark/>
          </w:tcPr>
          <w:p w:rsidR="002D62B9" w:rsidRPr="001946E0" w:rsidRDefault="002D62B9" w:rsidP="001B1A50">
            <w:pPr>
              <w:pStyle w:val="tabteksts"/>
              <w:rPr>
                <w:snapToGrid w:val="0"/>
                <w:color w:val="000000"/>
              </w:rPr>
            </w:pPr>
            <w:r w:rsidRPr="001946E0">
              <w:rPr>
                <w:snapToGrid w:val="0"/>
                <w:color w:val="000000"/>
              </w:rPr>
              <w:t>EDP B.9</w:t>
            </w:r>
          </w:p>
        </w:tc>
        <w:tc>
          <w:tcPr>
            <w:tcW w:w="797" w:type="dxa"/>
            <w:tcMar>
              <w:top w:w="0" w:type="dxa"/>
              <w:left w:w="108" w:type="dxa"/>
              <w:bottom w:w="0" w:type="dxa"/>
              <w:right w:w="108" w:type="dxa"/>
            </w:tcMar>
            <w:vAlign w:val="center"/>
            <w:hideMark/>
          </w:tcPr>
          <w:p w:rsidR="002D62B9" w:rsidRPr="001946E0" w:rsidRDefault="002D62B9" w:rsidP="001B1A50">
            <w:pPr>
              <w:ind w:hanging="31"/>
              <w:jc w:val="center"/>
              <w:rPr>
                <w:rFonts w:eastAsia="Calibri"/>
                <w:color w:val="000000"/>
                <w:sz w:val="20"/>
              </w:rPr>
            </w:pPr>
            <w:r w:rsidRPr="001946E0">
              <w:rPr>
                <w:color w:val="000000"/>
                <w:sz w:val="20"/>
              </w:rPr>
              <w:t>-3,8</w:t>
            </w:r>
          </w:p>
        </w:tc>
        <w:tc>
          <w:tcPr>
            <w:tcW w:w="797" w:type="dxa"/>
            <w:tcMar>
              <w:top w:w="0" w:type="dxa"/>
              <w:left w:w="108" w:type="dxa"/>
              <w:bottom w:w="0" w:type="dxa"/>
              <w:right w:w="108" w:type="dxa"/>
            </w:tcMar>
            <w:vAlign w:val="center"/>
            <w:hideMark/>
          </w:tcPr>
          <w:p w:rsidR="002D62B9" w:rsidRPr="001946E0" w:rsidRDefault="002D62B9" w:rsidP="001B1A50">
            <w:pPr>
              <w:ind w:hanging="31"/>
              <w:jc w:val="center"/>
              <w:rPr>
                <w:rFonts w:eastAsia="Calibri"/>
                <w:color w:val="000000"/>
                <w:sz w:val="20"/>
              </w:rPr>
            </w:pPr>
            <w:r w:rsidRPr="001946E0">
              <w:rPr>
                <w:color w:val="000000"/>
                <w:sz w:val="20"/>
              </w:rPr>
              <w:t>-2,1</w:t>
            </w:r>
          </w:p>
        </w:tc>
        <w:tc>
          <w:tcPr>
            <w:tcW w:w="797" w:type="dxa"/>
            <w:tcMar>
              <w:top w:w="0" w:type="dxa"/>
              <w:left w:w="108" w:type="dxa"/>
              <w:bottom w:w="0" w:type="dxa"/>
              <w:right w:w="108" w:type="dxa"/>
            </w:tcMar>
            <w:vAlign w:val="center"/>
            <w:hideMark/>
          </w:tcPr>
          <w:p w:rsidR="002D62B9" w:rsidRPr="001946E0" w:rsidRDefault="002D62B9" w:rsidP="001B1A50">
            <w:pPr>
              <w:ind w:hanging="31"/>
              <w:jc w:val="center"/>
              <w:rPr>
                <w:rFonts w:eastAsia="Calibri"/>
                <w:color w:val="000000"/>
                <w:sz w:val="20"/>
              </w:rPr>
            </w:pPr>
            <w:r w:rsidRPr="001946E0">
              <w:rPr>
                <w:color w:val="000000"/>
                <w:sz w:val="20"/>
              </w:rPr>
              <w:t>-1,4</w:t>
            </w:r>
          </w:p>
        </w:tc>
        <w:tc>
          <w:tcPr>
            <w:tcW w:w="797" w:type="dxa"/>
            <w:tcMar>
              <w:top w:w="0" w:type="dxa"/>
              <w:left w:w="108" w:type="dxa"/>
              <w:bottom w:w="0" w:type="dxa"/>
              <w:right w:w="108" w:type="dxa"/>
            </w:tcMar>
            <w:vAlign w:val="center"/>
            <w:hideMark/>
          </w:tcPr>
          <w:p w:rsidR="002D62B9" w:rsidRPr="001946E0" w:rsidRDefault="002D62B9" w:rsidP="001B1A50">
            <w:pPr>
              <w:ind w:hanging="31"/>
              <w:jc w:val="center"/>
              <w:rPr>
                <w:rFonts w:eastAsia="Calibri"/>
                <w:color w:val="000000"/>
                <w:sz w:val="20"/>
              </w:rPr>
            </w:pPr>
            <w:r w:rsidRPr="001946E0">
              <w:rPr>
                <w:color w:val="000000"/>
                <w:sz w:val="20"/>
              </w:rPr>
              <w:t>-0,8</w:t>
            </w:r>
          </w:p>
        </w:tc>
        <w:tc>
          <w:tcPr>
            <w:tcW w:w="623" w:type="dxa"/>
            <w:tcMar>
              <w:top w:w="0" w:type="dxa"/>
              <w:left w:w="108" w:type="dxa"/>
              <w:bottom w:w="0" w:type="dxa"/>
              <w:right w:w="108" w:type="dxa"/>
            </w:tcMar>
            <w:vAlign w:val="center"/>
            <w:hideMark/>
          </w:tcPr>
          <w:p w:rsidR="002D62B9" w:rsidRPr="001946E0" w:rsidRDefault="002D62B9" w:rsidP="001B1A50">
            <w:pPr>
              <w:ind w:hanging="31"/>
              <w:jc w:val="center"/>
              <w:rPr>
                <w:rFonts w:eastAsia="Calibri"/>
                <w:color w:val="000000"/>
                <w:sz w:val="20"/>
              </w:rPr>
            </w:pPr>
            <w:r w:rsidRPr="001946E0">
              <w:rPr>
                <w:color w:val="000000"/>
                <w:sz w:val="20"/>
              </w:rPr>
              <w:t>-0,3</w:t>
            </w:r>
          </w:p>
        </w:tc>
      </w:tr>
      <w:tr w:rsidR="002D62B9" w:rsidRPr="001946E0" w:rsidTr="00D01375">
        <w:trPr>
          <w:jc w:val="center"/>
        </w:trPr>
        <w:tc>
          <w:tcPr>
            <w:tcW w:w="4417" w:type="dxa"/>
            <w:tcMar>
              <w:top w:w="0" w:type="dxa"/>
              <w:left w:w="108" w:type="dxa"/>
              <w:bottom w:w="0" w:type="dxa"/>
              <w:right w:w="108" w:type="dxa"/>
            </w:tcMar>
            <w:hideMark/>
          </w:tcPr>
          <w:p w:rsidR="002D62B9" w:rsidRPr="001946E0" w:rsidRDefault="002D62B9" w:rsidP="001B1A50">
            <w:pPr>
              <w:pStyle w:val="tabteksts"/>
              <w:rPr>
                <w:snapToGrid w:val="0"/>
                <w:color w:val="000000"/>
              </w:rPr>
            </w:pPr>
            <w:r w:rsidRPr="001946E0">
              <w:rPr>
                <w:snapToGrid w:val="0"/>
                <w:color w:val="000000"/>
              </w:rPr>
              <w:t>4. Statistiskā novirze</w:t>
            </w:r>
          </w:p>
        </w:tc>
        <w:tc>
          <w:tcPr>
            <w:tcW w:w="952" w:type="dxa"/>
            <w:tcMar>
              <w:top w:w="0" w:type="dxa"/>
              <w:left w:w="108" w:type="dxa"/>
              <w:bottom w:w="0" w:type="dxa"/>
              <w:right w:w="108" w:type="dxa"/>
            </w:tcMar>
          </w:tcPr>
          <w:p w:rsidR="002D62B9" w:rsidRPr="001946E0" w:rsidRDefault="002D62B9" w:rsidP="001B1A50">
            <w:pPr>
              <w:pStyle w:val="tabteksts"/>
              <w:rPr>
                <w:snapToGrid w:val="0"/>
                <w:color w:val="000000"/>
              </w:rPr>
            </w:pPr>
          </w:p>
        </w:tc>
        <w:tc>
          <w:tcPr>
            <w:tcW w:w="797" w:type="dxa"/>
            <w:tcMar>
              <w:top w:w="0" w:type="dxa"/>
              <w:left w:w="108" w:type="dxa"/>
              <w:bottom w:w="0" w:type="dxa"/>
              <w:right w:w="108" w:type="dxa"/>
            </w:tcMar>
            <w:vAlign w:val="center"/>
            <w:hideMark/>
          </w:tcPr>
          <w:p w:rsidR="002D62B9" w:rsidRPr="001946E0" w:rsidRDefault="002D62B9" w:rsidP="001B1A50">
            <w:pPr>
              <w:ind w:hanging="31"/>
              <w:jc w:val="center"/>
              <w:rPr>
                <w:rFonts w:eastAsia="Calibri"/>
                <w:color w:val="000000"/>
                <w:sz w:val="20"/>
              </w:rPr>
            </w:pPr>
            <w:r w:rsidRPr="001946E0">
              <w:rPr>
                <w:color w:val="000000"/>
                <w:sz w:val="20"/>
              </w:rPr>
              <w:t>-0,6</w:t>
            </w:r>
          </w:p>
        </w:tc>
        <w:tc>
          <w:tcPr>
            <w:tcW w:w="797" w:type="dxa"/>
            <w:tcMar>
              <w:top w:w="0" w:type="dxa"/>
              <w:left w:w="108" w:type="dxa"/>
              <w:bottom w:w="0" w:type="dxa"/>
              <w:right w:w="108" w:type="dxa"/>
            </w:tcMar>
            <w:vAlign w:val="center"/>
            <w:hideMark/>
          </w:tcPr>
          <w:p w:rsidR="002D62B9" w:rsidRPr="001946E0" w:rsidRDefault="002D62B9" w:rsidP="001B1A50">
            <w:pPr>
              <w:ind w:hanging="31"/>
              <w:jc w:val="center"/>
              <w:rPr>
                <w:rFonts w:eastAsia="Calibri"/>
                <w:color w:val="000000"/>
                <w:sz w:val="20"/>
              </w:rPr>
            </w:pPr>
            <w:r w:rsidRPr="001946E0">
              <w:rPr>
                <w:color w:val="000000"/>
                <w:sz w:val="20"/>
              </w:rPr>
              <w:t>0,0</w:t>
            </w:r>
          </w:p>
        </w:tc>
        <w:tc>
          <w:tcPr>
            <w:tcW w:w="797" w:type="dxa"/>
            <w:tcMar>
              <w:top w:w="0" w:type="dxa"/>
              <w:left w:w="108" w:type="dxa"/>
              <w:bottom w:w="0" w:type="dxa"/>
              <w:right w:w="108" w:type="dxa"/>
            </w:tcMar>
            <w:vAlign w:val="center"/>
            <w:hideMark/>
          </w:tcPr>
          <w:p w:rsidR="002D62B9" w:rsidRPr="001946E0" w:rsidRDefault="002D62B9" w:rsidP="001B1A50">
            <w:pPr>
              <w:ind w:hanging="31"/>
              <w:jc w:val="center"/>
              <w:rPr>
                <w:rFonts w:eastAsia="Calibri"/>
                <w:color w:val="000000"/>
                <w:sz w:val="20"/>
              </w:rPr>
            </w:pPr>
            <w:r w:rsidRPr="001946E0">
              <w:rPr>
                <w:color w:val="000000"/>
                <w:sz w:val="20"/>
              </w:rPr>
              <w:t>0,0</w:t>
            </w:r>
          </w:p>
        </w:tc>
        <w:tc>
          <w:tcPr>
            <w:tcW w:w="797" w:type="dxa"/>
            <w:tcMar>
              <w:top w:w="0" w:type="dxa"/>
              <w:left w:w="108" w:type="dxa"/>
              <w:bottom w:w="0" w:type="dxa"/>
              <w:right w:w="108" w:type="dxa"/>
            </w:tcMar>
            <w:vAlign w:val="center"/>
            <w:hideMark/>
          </w:tcPr>
          <w:p w:rsidR="002D62B9" w:rsidRPr="001946E0" w:rsidRDefault="002D62B9" w:rsidP="001B1A50">
            <w:pPr>
              <w:ind w:hanging="31"/>
              <w:jc w:val="center"/>
              <w:rPr>
                <w:rFonts w:eastAsia="Calibri"/>
                <w:color w:val="000000"/>
                <w:sz w:val="20"/>
              </w:rPr>
            </w:pPr>
            <w:r w:rsidRPr="001946E0">
              <w:rPr>
                <w:color w:val="000000"/>
                <w:sz w:val="20"/>
              </w:rPr>
              <w:t>0,0</w:t>
            </w:r>
          </w:p>
        </w:tc>
        <w:tc>
          <w:tcPr>
            <w:tcW w:w="623" w:type="dxa"/>
            <w:tcMar>
              <w:top w:w="0" w:type="dxa"/>
              <w:left w:w="108" w:type="dxa"/>
              <w:bottom w:w="0" w:type="dxa"/>
              <w:right w:w="108" w:type="dxa"/>
            </w:tcMar>
            <w:vAlign w:val="center"/>
            <w:hideMark/>
          </w:tcPr>
          <w:p w:rsidR="002D62B9" w:rsidRPr="001946E0" w:rsidRDefault="002D62B9" w:rsidP="001B1A50">
            <w:pPr>
              <w:ind w:hanging="31"/>
              <w:jc w:val="center"/>
              <w:rPr>
                <w:rFonts w:eastAsia="Calibri"/>
                <w:color w:val="000000"/>
                <w:sz w:val="20"/>
              </w:rPr>
            </w:pPr>
            <w:r w:rsidRPr="001946E0">
              <w:rPr>
                <w:color w:val="000000"/>
                <w:sz w:val="20"/>
              </w:rPr>
              <w:t>0,0</w:t>
            </w:r>
          </w:p>
        </w:tc>
      </w:tr>
    </w:tbl>
    <w:p w:rsidR="002D62B9" w:rsidRPr="001946E0" w:rsidRDefault="002D62B9" w:rsidP="002D62B9">
      <w:pPr>
        <w:pStyle w:val="T"/>
        <w:rPr>
          <w:rFonts w:ascii="Times New Roman" w:hAnsi="Times New Roman"/>
          <w:color w:val="000000"/>
        </w:rPr>
      </w:pPr>
    </w:p>
    <w:p w:rsidR="002D62B9" w:rsidRPr="001946E0" w:rsidRDefault="00203D1A" w:rsidP="002D62B9">
      <w:pPr>
        <w:ind w:firstLine="0"/>
        <w:jc w:val="left"/>
        <w:rPr>
          <w:b/>
          <w:color w:val="000000"/>
          <w:szCs w:val="24"/>
        </w:rPr>
      </w:pPr>
      <w:r>
        <w:rPr>
          <w:b/>
          <w:color w:val="000000"/>
          <w:szCs w:val="24"/>
        </w:rPr>
        <w:br w:type="page"/>
      </w:r>
      <w:r w:rsidR="002D62B9" w:rsidRPr="001946E0">
        <w:rPr>
          <w:b/>
          <w:color w:val="000000"/>
          <w:szCs w:val="24"/>
        </w:rPr>
        <w:lastRenderedPageBreak/>
        <w:t xml:space="preserve">2a. tabula. Vispārējās valdības budžeta attīstība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134"/>
        <w:gridCol w:w="992"/>
        <w:gridCol w:w="709"/>
        <w:gridCol w:w="709"/>
        <w:gridCol w:w="709"/>
        <w:gridCol w:w="708"/>
        <w:gridCol w:w="709"/>
      </w:tblGrid>
      <w:tr w:rsidR="002D62B9" w:rsidRPr="001946E0" w:rsidTr="00D01375">
        <w:trPr>
          <w:cantSplit/>
          <w:tblHeader/>
        </w:trPr>
        <w:tc>
          <w:tcPr>
            <w:tcW w:w="3686" w:type="dxa"/>
            <w:vAlign w:val="center"/>
          </w:tcPr>
          <w:p w:rsidR="002D62B9" w:rsidRPr="001946E0" w:rsidRDefault="002D62B9" w:rsidP="001B1A50">
            <w:pPr>
              <w:pStyle w:val="tabteksts"/>
              <w:jc w:val="center"/>
              <w:rPr>
                <w:b/>
                <w:color w:val="000000"/>
              </w:rPr>
            </w:pPr>
          </w:p>
        </w:tc>
        <w:tc>
          <w:tcPr>
            <w:tcW w:w="1134" w:type="dxa"/>
            <w:vAlign w:val="center"/>
          </w:tcPr>
          <w:p w:rsidR="002D62B9" w:rsidRPr="001946E0" w:rsidRDefault="002D62B9" w:rsidP="001B1A50">
            <w:pPr>
              <w:pStyle w:val="tabteksts"/>
              <w:jc w:val="center"/>
              <w:rPr>
                <w:b/>
                <w:color w:val="000000"/>
              </w:rPr>
            </w:pPr>
          </w:p>
        </w:tc>
        <w:tc>
          <w:tcPr>
            <w:tcW w:w="992" w:type="dxa"/>
            <w:vAlign w:val="center"/>
          </w:tcPr>
          <w:p w:rsidR="002D62B9" w:rsidRPr="001946E0" w:rsidRDefault="002D62B9" w:rsidP="001B1A50">
            <w:pPr>
              <w:pStyle w:val="tabteksts"/>
              <w:jc w:val="center"/>
              <w:rPr>
                <w:b/>
                <w:color w:val="000000"/>
              </w:rPr>
            </w:pPr>
            <w:r w:rsidRPr="001946E0">
              <w:rPr>
                <w:b/>
                <w:color w:val="000000"/>
              </w:rPr>
              <w:t>2011</w:t>
            </w:r>
          </w:p>
        </w:tc>
        <w:tc>
          <w:tcPr>
            <w:tcW w:w="709" w:type="dxa"/>
            <w:vAlign w:val="center"/>
          </w:tcPr>
          <w:p w:rsidR="002D62B9" w:rsidRPr="001946E0" w:rsidRDefault="002D62B9" w:rsidP="001B1A50">
            <w:pPr>
              <w:pStyle w:val="tabteksts"/>
              <w:jc w:val="center"/>
              <w:rPr>
                <w:b/>
                <w:color w:val="000000"/>
              </w:rPr>
            </w:pPr>
            <w:r w:rsidRPr="001946E0">
              <w:rPr>
                <w:b/>
                <w:color w:val="000000"/>
              </w:rPr>
              <w:t>2011</w:t>
            </w:r>
          </w:p>
        </w:tc>
        <w:tc>
          <w:tcPr>
            <w:tcW w:w="709" w:type="dxa"/>
            <w:vAlign w:val="center"/>
          </w:tcPr>
          <w:p w:rsidR="002D62B9" w:rsidRPr="001946E0" w:rsidRDefault="002D62B9" w:rsidP="001B1A50">
            <w:pPr>
              <w:pStyle w:val="tabteksts"/>
              <w:jc w:val="center"/>
              <w:rPr>
                <w:b/>
                <w:color w:val="000000"/>
              </w:rPr>
            </w:pPr>
            <w:r w:rsidRPr="001946E0">
              <w:rPr>
                <w:b/>
                <w:color w:val="000000"/>
              </w:rPr>
              <w:t>2012</w:t>
            </w:r>
          </w:p>
        </w:tc>
        <w:tc>
          <w:tcPr>
            <w:tcW w:w="709" w:type="dxa"/>
            <w:vAlign w:val="center"/>
          </w:tcPr>
          <w:p w:rsidR="002D62B9" w:rsidRPr="001946E0" w:rsidRDefault="002D62B9" w:rsidP="001B1A50">
            <w:pPr>
              <w:pStyle w:val="tabteksts"/>
              <w:jc w:val="center"/>
              <w:rPr>
                <w:b/>
                <w:color w:val="000000"/>
              </w:rPr>
            </w:pPr>
            <w:r w:rsidRPr="001946E0">
              <w:rPr>
                <w:b/>
                <w:color w:val="000000"/>
              </w:rPr>
              <w:t>2013</w:t>
            </w:r>
          </w:p>
        </w:tc>
        <w:tc>
          <w:tcPr>
            <w:tcW w:w="708" w:type="dxa"/>
            <w:vAlign w:val="center"/>
          </w:tcPr>
          <w:p w:rsidR="002D62B9" w:rsidRPr="001946E0" w:rsidRDefault="002D62B9" w:rsidP="001B1A50">
            <w:pPr>
              <w:pStyle w:val="tabteksts"/>
              <w:jc w:val="center"/>
              <w:rPr>
                <w:b/>
                <w:color w:val="000000"/>
              </w:rPr>
            </w:pPr>
            <w:r w:rsidRPr="001946E0">
              <w:rPr>
                <w:b/>
                <w:color w:val="000000"/>
              </w:rPr>
              <w:t>2014</w:t>
            </w:r>
          </w:p>
        </w:tc>
        <w:tc>
          <w:tcPr>
            <w:tcW w:w="709" w:type="dxa"/>
            <w:vAlign w:val="center"/>
          </w:tcPr>
          <w:p w:rsidR="002D62B9" w:rsidRPr="001946E0" w:rsidRDefault="002D62B9" w:rsidP="001B1A50">
            <w:pPr>
              <w:pStyle w:val="tabteksts"/>
              <w:jc w:val="center"/>
              <w:rPr>
                <w:b/>
                <w:color w:val="000000"/>
              </w:rPr>
            </w:pPr>
            <w:r w:rsidRPr="001946E0">
              <w:rPr>
                <w:b/>
                <w:color w:val="000000"/>
              </w:rPr>
              <w:t>2015</w:t>
            </w:r>
          </w:p>
        </w:tc>
      </w:tr>
      <w:tr w:rsidR="002D62B9" w:rsidRPr="001946E0" w:rsidTr="00D01375">
        <w:trPr>
          <w:cantSplit/>
          <w:tblHeader/>
        </w:trPr>
        <w:tc>
          <w:tcPr>
            <w:tcW w:w="3686" w:type="dxa"/>
            <w:vAlign w:val="center"/>
          </w:tcPr>
          <w:p w:rsidR="002D62B9" w:rsidRPr="001946E0" w:rsidRDefault="002D62B9" w:rsidP="001B1A50">
            <w:pPr>
              <w:pStyle w:val="tabteksts"/>
              <w:rPr>
                <w:color w:val="000000"/>
              </w:rPr>
            </w:pPr>
          </w:p>
        </w:tc>
        <w:tc>
          <w:tcPr>
            <w:tcW w:w="1134" w:type="dxa"/>
            <w:vAlign w:val="center"/>
          </w:tcPr>
          <w:p w:rsidR="002D62B9" w:rsidRPr="001946E0" w:rsidRDefault="002D62B9" w:rsidP="001B1A50">
            <w:pPr>
              <w:pStyle w:val="tabteksts"/>
              <w:jc w:val="center"/>
              <w:rPr>
                <w:color w:val="000000"/>
              </w:rPr>
            </w:pPr>
            <w:r w:rsidRPr="001946E0">
              <w:rPr>
                <w:color w:val="000000"/>
              </w:rPr>
              <w:t>EKS kods</w:t>
            </w:r>
          </w:p>
        </w:tc>
        <w:tc>
          <w:tcPr>
            <w:tcW w:w="992" w:type="dxa"/>
            <w:vAlign w:val="center"/>
          </w:tcPr>
          <w:p w:rsidR="002D62B9" w:rsidRPr="001946E0" w:rsidRDefault="002D62B9" w:rsidP="001B1A50">
            <w:pPr>
              <w:pStyle w:val="tabteksts"/>
              <w:jc w:val="center"/>
              <w:rPr>
                <w:noProof/>
                <w:color w:val="000000"/>
              </w:rPr>
            </w:pPr>
            <w:r w:rsidRPr="001946E0">
              <w:rPr>
                <w:noProof/>
                <w:color w:val="000000"/>
              </w:rPr>
              <w:t>milj. latu</w:t>
            </w:r>
          </w:p>
        </w:tc>
        <w:tc>
          <w:tcPr>
            <w:tcW w:w="3544" w:type="dxa"/>
            <w:gridSpan w:val="5"/>
            <w:vAlign w:val="center"/>
          </w:tcPr>
          <w:p w:rsidR="002D62B9" w:rsidRPr="001946E0" w:rsidRDefault="002D62B9" w:rsidP="001B1A50">
            <w:pPr>
              <w:pStyle w:val="tabteksts"/>
              <w:jc w:val="center"/>
              <w:rPr>
                <w:color w:val="000000"/>
              </w:rPr>
            </w:pPr>
            <w:r w:rsidRPr="001946E0">
              <w:rPr>
                <w:color w:val="000000"/>
              </w:rPr>
              <w:t>% no IKP</w:t>
            </w:r>
          </w:p>
        </w:tc>
      </w:tr>
      <w:tr w:rsidR="00D01375" w:rsidRPr="001946E0" w:rsidTr="00742A72">
        <w:trPr>
          <w:cantSplit/>
        </w:trPr>
        <w:tc>
          <w:tcPr>
            <w:tcW w:w="9356" w:type="dxa"/>
            <w:gridSpan w:val="8"/>
            <w:vAlign w:val="center"/>
          </w:tcPr>
          <w:p w:rsidR="00D01375" w:rsidRPr="001946E0" w:rsidRDefault="00D01375" w:rsidP="001B1A50">
            <w:pPr>
              <w:pStyle w:val="tabteksts"/>
              <w:jc w:val="center"/>
              <w:rPr>
                <w:b/>
                <w:snapToGrid w:val="0"/>
                <w:color w:val="000000"/>
              </w:rPr>
            </w:pPr>
            <w:r w:rsidRPr="001946E0">
              <w:rPr>
                <w:b/>
                <w:snapToGrid w:val="0"/>
                <w:color w:val="000000"/>
              </w:rPr>
              <w:t xml:space="preserve">Neto aizdevumi (EDP B.9) pa </w:t>
            </w:r>
            <w:r w:rsidRPr="001946E0">
              <w:rPr>
                <w:b/>
                <w:noProof/>
                <w:snapToGrid w:val="0"/>
                <w:color w:val="000000"/>
              </w:rPr>
              <w:t>apakšsektoriem</w:t>
            </w:r>
          </w:p>
        </w:tc>
      </w:tr>
      <w:tr w:rsidR="002D62B9" w:rsidRPr="001946E0" w:rsidTr="00D01375">
        <w:trPr>
          <w:cantSplit/>
        </w:trPr>
        <w:tc>
          <w:tcPr>
            <w:tcW w:w="3686" w:type="dxa"/>
            <w:vAlign w:val="center"/>
          </w:tcPr>
          <w:p w:rsidR="002D62B9" w:rsidRPr="001946E0" w:rsidRDefault="002D62B9" w:rsidP="001B1A50">
            <w:pPr>
              <w:pStyle w:val="tabteksts"/>
              <w:rPr>
                <w:snapToGrid w:val="0"/>
                <w:color w:val="000000"/>
              </w:rPr>
            </w:pPr>
            <w:r w:rsidRPr="001946E0">
              <w:rPr>
                <w:snapToGrid w:val="0"/>
                <w:color w:val="000000"/>
              </w:rPr>
              <w:t>1. Vispārējā valdība</w:t>
            </w:r>
          </w:p>
        </w:tc>
        <w:tc>
          <w:tcPr>
            <w:tcW w:w="1134" w:type="dxa"/>
            <w:vAlign w:val="center"/>
          </w:tcPr>
          <w:p w:rsidR="002D62B9" w:rsidRPr="001946E0" w:rsidRDefault="002D62B9" w:rsidP="001B1A50">
            <w:pPr>
              <w:pStyle w:val="tabteksts"/>
              <w:rPr>
                <w:color w:val="000000"/>
              </w:rPr>
            </w:pPr>
            <w:r w:rsidRPr="001946E0">
              <w:rPr>
                <w:color w:val="000000"/>
              </w:rPr>
              <w:t>S.13</w:t>
            </w:r>
          </w:p>
        </w:tc>
        <w:tc>
          <w:tcPr>
            <w:tcW w:w="992" w:type="dxa"/>
            <w:vAlign w:val="center"/>
          </w:tcPr>
          <w:p w:rsidR="002D62B9" w:rsidRPr="001946E0" w:rsidRDefault="002D62B9" w:rsidP="001B1A50">
            <w:pPr>
              <w:pStyle w:val="tabteksts"/>
              <w:jc w:val="right"/>
              <w:rPr>
                <w:snapToGrid w:val="0"/>
                <w:color w:val="000000"/>
              </w:rPr>
            </w:pPr>
            <w:r w:rsidRPr="001946E0">
              <w:rPr>
                <w:snapToGrid w:val="0"/>
                <w:color w:val="000000"/>
              </w:rPr>
              <w:t>-494,1</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-3,5</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-2,1</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-1,4</w:t>
            </w:r>
          </w:p>
        </w:tc>
        <w:tc>
          <w:tcPr>
            <w:tcW w:w="708" w:type="dxa"/>
            <w:vAlign w:val="center"/>
          </w:tcPr>
          <w:p w:rsidR="002D62B9" w:rsidRPr="001946E0" w:rsidRDefault="002D62B9" w:rsidP="001B1A50">
            <w:pPr>
              <w:pStyle w:val="tabteksts"/>
              <w:jc w:val="right"/>
              <w:rPr>
                <w:snapToGrid w:val="0"/>
                <w:color w:val="000000"/>
              </w:rPr>
            </w:pPr>
            <w:r w:rsidRPr="001946E0">
              <w:rPr>
                <w:snapToGrid w:val="0"/>
                <w:color w:val="000000"/>
              </w:rPr>
              <w:t>-0,8</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-0,3</w:t>
            </w:r>
          </w:p>
        </w:tc>
      </w:tr>
      <w:tr w:rsidR="002D62B9" w:rsidRPr="001946E0" w:rsidTr="00D01375">
        <w:trPr>
          <w:cantSplit/>
        </w:trPr>
        <w:tc>
          <w:tcPr>
            <w:tcW w:w="3686" w:type="dxa"/>
            <w:vAlign w:val="center"/>
          </w:tcPr>
          <w:p w:rsidR="002D62B9" w:rsidRPr="001946E0" w:rsidRDefault="002D62B9" w:rsidP="001B1A50">
            <w:pPr>
              <w:pStyle w:val="tabteksts"/>
              <w:rPr>
                <w:snapToGrid w:val="0"/>
                <w:color w:val="000000"/>
              </w:rPr>
            </w:pPr>
            <w:r w:rsidRPr="001946E0">
              <w:rPr>
                <w:snapToGrid w:val="0"/>
                <w:color w:val="000000"/>
              </w:rPr>
              <w:t>2. Centrālā valdība</w:t>
            </w:r>
          </w:p>
        </w:tc>
        <w:tc>
          <w:tcPr>
            <w:tcW w:w="1134" w:type="dxa"/>
            <w:vAlign w:val="center"/>
          </w:tcPr>
          <w:p w:rsidR="002D62B9" w:rsidRPr="001946E0" w:rsidRDefault="002D62B9" w:rsidP="001B1A50">
            <w:pPr>
              <w:pStyle w:val="tabteksts"/>
              <w:rPr>
                <w:color w:val="000000"/>
              </w:rPr>
            </w:pPr>
            <w:r w:rsidRPr="001946E0">
              <w:rPr>
                <w:color w:val="000000"/>
              </w:rPr>
              <w:t>S.1311</w:t>
            </w:r>
          </w:p>
        </w:tc>
        <w:tc>
          <w:tcPr>
            <w:tcW w:w="992" w:type="dxa"/>
            <w:vAlign w:val="center"/>
          </w:tcPr>
          <w:p w:rsidR="002D62B9" w:rsidRPr="001946E0" w:rsidRDefault="002D62B9" w:rsidP="001B1A50">
            <w:pPr>
              <w:pStyle w:val="tabteksts"/>
              <w:jc w:val="right"/>
              <w:rPr>
                <w:snapToGrid w:val="0"/>
                <w:color w:val="000000"/>
              </w:rPr>
            </w:pPr>
            <w:r w:rsidRPr="001946E0">
              <w:rPr>
                <w:snapToGrid w:val="0"/>
                <w:color w:val="000000"/>
              </w:rPr>
              <w:t>-307,5</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-2,2</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-0,6</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-0,1</w:t>
            </w:r>
          </w:p>
        </w:tc>
        <w:tc>
          <w:tcPr>
            <w:tcW w:w="708" w:type="dxa"/>
            <w:vAlign w:val="center"/>
          </w:tcPr>
          <w:p w:rsidR="002D62B9" w:rsidRPr="001946E0" w:rsidRDefault="002D62B9" w:rsidP="001B1A50">
            <w:pPr>
              <w:pStyle w:val="tabteksts"/>
              <w:jc w:val="right"/>
              <w:rPr>
                <w:snapToGrid w:val="0"/>
                <w:color w:val="000000"/>
              </w:rPr>
            </w:pPr>
            <w:r w:rsidRPr="001946E0">
              <w:rPr>
                <w:snapToGrid w:val="0"/>
                <w:color w:val="000000"/>
              </w:rPr>
              <w:t>-0,6</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-0,4</w:t>
            </w:r>
          </w:p>
        </w:tc>
      </w:tr>
      <w:tr w:rsidR="002D62B9" w:rsidRPr="001946E0" w:rsidTr="00D01375">
        <w:trPr>
          <w:cantSplit/>
          <w:trHeight w:val="133"/>
        </w:trPr>
        <w:tc>
          <w:tcPr>
            <w:tcW w:w="3686" w:type="dxa"/>
            <w:vAlign w:val="center"/>
          </w:tcPr>
          <w:p w:rsidR="002D62B9" w:rsidRPr="001946E0" w:rsidRDefault="002D62B9" w:rsidP="001B1A50">
            <w:pPr>
              <w:pStyle w:val="tabteksts"/>
              <w:rPr>
                <w:snapToGrid w:val="0"/>
                <w:color w:val="000000"/>
              </w:rPr>
            </w:pPr>
            <w:r w:rsidRPr="001946E0">
              <w:rPr>
                <w:snapToGrid w:val="0"/>
                <w:color w:val="000000"/>
              </w:rPr>
              <w:t>3. Pavalsts valdība</w:t>
            </w:r>
          </w:p>
        </w:tc>
        <w:tc>
          <w:tcPr>
            <w:tcW w:w="1134" w:type="dxa"/>
            <w:vAlign w:val="center"/>
          </w:tcPr>
          <w:p w:rsidR="002D62B9" w:rsidRPr="001946E0" w:rsidRDefault="002D62B9" w:rsidP="001B1A50">
            <w:pPr>
              <w:pStyle w:val="tabteksts"/>
              <w:rPr>
                <w:color w:val="000000"/>
              </w:rPr>
            </w:pPr>
            <w:r w:rsidRPr="001946E0">
              <w:rPr>
                <w:color w:val="000000"/>
              </w:rPr>
              <w:t>S.1312</w:t>
            </w:r>
          </w:p>
        </w:tc>
        <w:tc>
          <w:tcPr>
            <w:tcW w:w="992" w:type="dxa"/>
            <w:vAlign w:val="center"/>
          </w:tcPr>
          <w:p w:rsidR="002D62B9" w:rsidRPr="001946E0" w:rsidRDefault="002D62B9" w:rsidP="001B1A50">
            <w:pPr>
              <w:pStyle w:val="tabteksts"/>
              <w:jc w:val="right"/>
              <w:rPr>
                <w:snapToGrid w:val="0"/>
                <w:color w:val="000000"/>
              </w:rPr>
            </w:pPr>
          </w:p>
        </w:tc>
        <w:tc>
          <w:tcPr>
            <w:tcW w:w="709" w:type="dxa"/>
            <w:vAlign w:val="center"/>
          </w:tcPr>
          <w:p w:rsidR="002D62B9" w:rsidRPr="001946E0" w:rsidRDefault="002D62B9" w:rsidP="001B1A50">
            <w:pPr>
              <w:pStyle w:val="tabteksts"/>
              <w:jc w:val="right"/>
              <w:rPr>
                <w:snapToGrid w:val="0"/>
                <w:color w:val="000000"/>
              </w:rPr>
            </w:pPr>
          </w:p>
        </w:tc>
        <w:tc>
          <w:tcPr>
            <w:tcW w:w="709" w:type="dxa"/>
            <w:vAlign w:val="center"/>
          </w:tcPr>
          <w:p w:rsidR="002D62B9" w:rsidRPr="001946E0" w:rsidRDefault="002D62B9" w:rsidP="001B1A50">
            <w:pPr>
              <w:pStyle w:val="tabteksts"/>
              <w:jc w:val="right"/>
              <w:rPr>
                <w:snapToGrid w:val="0"/>
                <w:color w:val="000000"/>
              </w:rPr>
            </w:pPr>
          </w:p>
        </w:tc>
        <w:tc>
          <w:tcPr>
            <w:tcW w:w="709" w:type="dxa"/>
            <w:vAlign w:val="center"/>
          </w:tcPr>
          <w:p w:rsidR="002D62B9" w:rsidRPr="001946E0" w:rsidRDefault="002D62B9" w:rsidP="001B1A50">
            <w:pPr>
              <w:pStyle w:val="tabteksts"/>
              <w:jc w:val="right"/>
              <w:rPr>
                <w:snapToGrid w:val="0"/>
                <w:color w:val="000000"/>
              </w:rPr>
            </w:pPr>
          </w:p>
        </w:tc>
        <w:tc>
          <w:tcPr>
            <w:tcW w:w="708" w:type="dxa"/>
            <w:vAlign w:val="center"/>
          </w:tcPr>
          <w:p w:rsidR="002D62B9" w:rsidRPr="001946E0" w:rsidRDefault="002D62B9" w:rsidP="001B1A50">
            <w:pPr>
              <w:pStyle w:val="tabteksts"/>
              <w:jc w:val="right"/>
              <w:rPr>
                <w:snapToGrid w:val="0"/>
                <w:color w:val="000000"/>
              </w:rPr>
            </w:pPr>
          </w:p>
        </w:tc>
        <w:tc>
          <w:tcPr>
            <w:tcW w:w="709" w:type="dxa"/>
            <w:vAlign w:val="center"/>
          </w:tcPr>
          <w:p w:rsidR="002D62B9" w:rsidRPr="001946E0" w:rsidRDefault="002D62B9" w:rsidP="001B1A50">
            <w:pPr>
              <w:pStyle w:val="tabteksts"/>
              <w:jc w:val="right"/>
              <w:rPr>
                <w:snapToGrid w:val="0"/>
                <w:color w:val="000000"/>
              </w:rPr>
            </w:pPr>
          </w:p>
        </w:tc>
      </w:tr>
      <w:tr w:rsidR="002D62B9" w:rsidRPr="001946E0" w:rsidTr="00D01375">
        <w:trPr>
          <w:cantSplit/>
        </w:trPr>
        <w:tc>
          <w:tcPr>
            <w:tcW w:w="3686" w:type="dxa"/>
            <w:vAlign w:val="center"/>
          </w:tcPr>
          <w:p w:rsidR="002D62B9" w:rsidRPr="001946E0" w:rsidRDefault="002D62B9" w:rsidP="001B1A50">
            <w:pPr>
              <w:pStyle w:val="tabteksts"/>
              <w:rPr>
                <w:snapToGrid w:val="0"/>
                <w:color w:val="000000"/>
              </w:rPr>
            </w:pPr>
            <w:r w:rsidRPr="001946E0">
              <w:rPr>
                <w:snapToGrid w:val="0"/>
                <w:color w:val="000000"/>
              </w:rPr>
              <w:t>4. Vietējā valdība</w:t>
            </w:r>
          </w:p>
        </w:tc>
        <w:tc>
          <w:tcPr>
            <w:tcW w:w="1134" w:type="dxa"/>
            <w:vAlign w:val="center"/>
          </w:tcPr>
          <w:p w:rsidR="002D62B9" w:rsidRPr="001946E0" w:rsidRDefault="002D62B9" w:rsidP="001B1A50">
            <w:pPr>
              <w:pStyle w:val="tabteksts"/>
              <w:rPr>
                <w:color w:val="000000"/>
              </w:rPr>
            </w:pPr>
            <w:r w:rsidRPr="001946E0">
              <w:rPr>
                <w:color w:val="000000"/>
              </w:rPr>
              <w:t>S.1313</w:t>
            </w:r>
          </w:p>
        </w:tc>
        <w:tc>
          <w:tcPr>
            <w:tcW w:w="992" w:type="dxa"/>
            <w:vAlign w:val="center"/>
          </w:tcPr>
          <w:p w:rsidR="002D62B9" w:rsidRPr="001946E0" w:rsidRDefault="002D62B9" w:rsidP="001B1A50">
            <w:pPr>
              <w:pStyle w:val="tabteksts"/>
              <w:jc w:val="right"/>
              <w:rPr>
                <w:snapToGrid w:val="0"/>
                <w:color w:val="000000"/>
              </w:rPr>
            </w:pPr>
            <w:r w:rsidRPr="001946E0">
              <w:rPr>
                <w:snapToGrid w:val="0"/>
                <w:color w:val="000000"/>
              </w:rPr>
              <w:t>-60,9</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-0,4</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-0,4</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-0,1</w:t>
            </w:r>
          </w:p>
        </w:tc>
        <w:tc>
          <w:tcPr>
            <w:tcW w:w="708" w:type="dxa"/>
            <w:vAlign w:val="center"/>
          </w:tcPr>
          <w:p w:rsidR="002D62B9" w:rsidRPr="001946E0" w:rsidRDefault="002D62B9" w:rsidP="001B1A50">
            <w:pPr>
              <w:pStyle w:val="tabteksts"/>
              <w:jc w:val="right"/>
              <w:rPr>
                <w:snapToGrid w:val="0"/>
                <w:color w:val="000000"/>
              </w:rPr>
            </w:pPr>
            <w:r w:rsidRPr="001946E0">
              <w:rPr>
                <w:snapToGrid w:val="0"/>
                <w:color w:val="000000"/>
              </w:rPr>
              <w:t>0,0</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0,0</w:t>
            </w:r>
          </w:p>
        </w:tc>
      </w:tr>
      <w:tr w:rsidR="002D62B9" w:rsidRPr="001946E0" w:rsidTr="00D01375">
        <w:trPr>
          <w:cantSplit/>
        </w:trPr>
        <w:tc>
          <w:tcPr>
            <w:tcW w:w="3686" w:type="dxa"/>
            <w:vAlign w:val="center"/>
          </w:tcPr>
          <w:p w:rsidR="002D62B9" w:rsidRPr="001946E0" w:rsidRDefault="002D62B9" w:rsidP="001B1A50">
            <w:pPr>
              <w:pStyle w:val="tabteksts"/>
              <w:rPr>
                <w:snapToGrid w:val="0"/>
                <w:color w:val="000000"/>
              </w:rPr>
            </w:pPr>
            <w:r w:rsidRPr="001946E0">
              <w:rPr>
                <w:snapToGrid w:val="0"/>
                <w:color w:val="000000"/>
              </w:rPr>
              <w:t>5. Sociālās nodrošināšanas fondi</w:t>
            </w:r>
          </w:p>
        </w:tc>
        <w:tc>
          <w:tcPr>
            <w:tcW w:w="1134" w:type="dxa"/>
            <w:vAlign w:val="center"/>
          </w:tcPr>
          <w:p w:rsidR="002D62B9" w:rsidRPr="001946E0" w:rsidRDefault="002D62B9" w:rsidP="001B1A50">
            <w:pPr>
              <w:pStyle w:val="tabteksts"/>
              <w:rPr>
                <w:color w:val="000000"/>
              </w:rPr>
            </w:pPr>
            <w:r w:rsidRPr="001946E0">
              <w:rPr>
                <w:color w:val="000000"/>
              </w:rPr>
              <w:t>S.1314</w:t>
            </w:r>
          </w:p>
        </w:tc>
        <w:tc>
          <w:tcPr>
            <w:tcW w:w="992" w:type="dxa"/>
            <w:vAlign w:val="center"/>
          </w:tcPr>
          <w:p w:rsidR="002D62B9" w:rsidRPr="001946E0" w:rsidRDefault="002D62B9" w:rsidP="001B1A50">
            <w:pPr>
              <w:pStyle w:val="tabteksts"/>
              <w:jc w:val="right"/>
              <w:rPr>
                <w:snapToGrid w:val="0"/>
                <w:color w:val="000000"/>
              </w:rPr>
            </w:pPr>
            <w:r w:rsidRPr="001946E0">
              <w:rPr>
                <w:snapToGrid w:val="0"/>
                <w:color w:val="000000"/>
              </w:rPr>
              <w:t>-125,7</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-0,9</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-1,0</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-1,2</w:t>
            </w:r>
          </w:p>
        </w:tc>
        <w:tc>
          <w:tcPr>
            <w:tcW w:w="708" w:type="dxa"/>
            <w:vAlign w:val="center"/>
          </w:tcPr>
          <w:p w:rsidR="002D62B9" w:rsidRPr="001946E0" w:rsidRDefault="002D62B9" w:rsidP="001B1A50">
            <w:pPr>
              <w:pStyle w:val="tabteksts"/>
              <w:jc w:val="right"/>
              <w:rPr>
                <w:snapToGrid w:val="0"/>
                <w:color w:val="000000"/>
              </w:rPr>
            </w:pPr>
            <w:r w:rsidRPr="001946E0">
              <w:rPr>
                <w:snapToGrid w:val="0"/>
                <w:color w:val="000000"/>
              </w:rPr>
              <w:t>-0,2</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0,1</w:t>
            </w:r>
          </w:p>
        </w:tc>
      </w:tr>
      <w:tr w:rsidR="00D01375" w:rsidRPr="001946E0" w:rsidTr="00742A72">
        <w:trPr>
          <w:cantSplit/>
        </w:trPr>
        <w:tc>
          <w:tcPr>
            <w:tcW w:w="9356" w:type="dxa"/>
            <w:gridSpan w:val="8"/>
            <w:vAlign w:val="center"/>
          </w:tcPr>
          <w:p w:rsidR="00D01375" w:rsidRPr="001946E0" w:rsidRDefault="00D01375" w:rsidP="001B1A50">
            <w:pPr>
              <w:pStyle w:val="tabteksts"/>
              <w:jc w:val="center"/>
              <w:rPr>
                <w:b/>
                <w:snapToGrid w:val="0"/>
                <w:color w:val="000000"/>
              </w:rPr>
            </w:pPr>
            <w:r w:rsidRPr="001946E0">
              <w:rPr>
                <w:b/>
                <w:snapToGrid w:val="0"/>
                <w:color w:val="000000"/>
              </w:rPr>
              <w:t>Vispārējā valdība (S.13)</w:t>
            </w:r>
          </w:p>
        </w:tc>
      </w:tr>
      <w:tr w:rsidR="002D62B9" w:rsidRPr="001946E0" w:rsidTr="00D01375">
        <w:trPr>
          <w:cantSplit/>
        </w:trPr>
        <w:tc>
          <w:tcPr>
            <w:tcW w:w="3686" w:type="dxa"/>
            <w:vAlign w:val="center"/>
          </w:tcPr>
          <w:p w:rsidR="002D62B9" w:rsidRPr="001946E0" w:rsidRDefault="002D62B9" w:rsidP="001B1A50">
            <w:pPr>
              <w:pStyle w:val="tabteksts"/>
              <w:rPr>
                <w:snapToGrid w:val="0"/>
                <w:color w:val="000000"/>
              </w:rPr>
            </w:pPr>
            <w:r w:rsidRPr="001946E0">
              <w:rPr>
                <w:snapToGrid w:val="0"/>
                <w:color w:val="000000"/>
              </w:rPr>
              <w:t xml:space="preserve">6. Kopējie ieņēmumi </w:t>
            </w:r>
          </w:p>
        </w:tc>
        <w:tc>
          <w:tcPr>
            <w:tcW w:w="1134" w:type="dxa"/>
            <w:vAlign w:val="center"/>
          </w:tcPr>
          <w:p w:rsidR="002D62B9" w:rsidRPr="001946E0" w:rsidRDefault="002D62B9" w:rsidP="001B1A50">
            <w:pPr>
              <w:pStyle w:val="tabteksts"/>
              <w:rPr>
                <w:color w:val="000000"/>
              </w:rPr>
            </w:pPr>
            <w:r w:rsidRPr="001946E0">
              <w:rPr>
                <w:color w:val="000000"/>
              </w:rPr>
              <w:t>TR</w:t>
            </w:r>
          </w:p>
        </w:tc>
        <w:tc>
          <w:tcPr>
            <w:tcW w:w="992" w:type="dxa"/>
            <w:vAlign w:val="center"/>
          </w:tcPr>
          <w:p w:rsidR="002D62B9" w:rsidRPr="001946E0" w:rsidRDefault="002D62B9" w:rsidP="001B1A50">
            <w:pPr>
              <w:pStyle w:val="tabteksts"/>
              <w:jc w:val="right"/>
              <w:rPr>
                <w:snapToGrid w:val="0"/>
                <w:color w:val="000000"/>
              </w:rPr>
            </w:pPr>
            <w:r w:rsidRPr="001946E0">
              <w:rPr>
                <w:snapToGrid w:val="0"/>
                <w:color w:val="000000"/>
              </w:rPr>
              <w:t>5039,6</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35,6</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37,4</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35,1</w:t>
            </w:r>
          </w:p>
        </w:tc>
        <w:tc>
          <w:tcPr>
            <w:tcW w:w="708" w:type="dxa"/>
            <w:vAlign w:val="center"/>
          </w:tcPr>
          <w:p w:rsidR="002D62B9" w:rsidRPr="001946E0" w:rsidRDefault="002D62B9" w:rsidP="001B1A50">
            <w:pPr>
              <w:pStyle w:val="tabteksts"/>
              <w:jc w:val="right"/>
              <w:rPr>
                <w:snapToGrid w:val="0"/>
                <w:color w:val="000000"/>
              </w:rPr>
            </w:pPr>
            <w:r w:rsidRPr="001946E0">
              <w:rPr>
                <w:snapToGrid w:val="0"/>
                <w:color w:val="000000"/>
              </w:rPr>
              <w:t>34,1</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32,8</w:t>
            </w:r>
          </w:p>
        </w:tc>
      </w:tr>
      <w:tr w:rsidR="002D62B9" w:rsidRPr="001946E0" w:rsidTr="00D01375">
        <w:trPr>
          <w:cantSplit/>
          <w:trHeight w:val="158"/>
        </w:trPr>
        <w:tc>
          <w:tcPr>
            <w:tcW w:w="3686" w:type="dxa"/>
            <w:vAlign w:val="center"/>
          </w:tcPr>
          <w:p w:rsidR="002D62B9" w:rsidRPr="001946E0" w:rsidRDefault="002D62B9" w:rsidP="001B1A50">
            <w:pPr>
              <w:pStyle w:val="tabteksts"/>
              <w:rPr>
                <w:snapToGrid w:val="0"/>
                <w:color w:val="000000"/>
              </w:rPr>
            </w:pPr>
            <w:r w:rsidRPr="001946E0">
              <w:rPr>
                <w:snapToGrid w:val="0"/>
                <w:color w:val="000000"/>
              </w:rPr>
              <w:t>7. Kopējie izdevumi</w:t>
            </w:r>
          </w:p>
        </w:tc>
        <w:tc>
          <w:tcPr>
            <w:tcW w:w="1134" w:type="dxa"/>
            <w:vAlign w:val="center"/>
          </w:tcPr>
          <w:p w:rsidR="002D62B9" w:rsidRPr="001946E0" w:rsidRDefault="002D62B9" w:rsidP="001B1A50">
            <w:pPr>
              <w:pStyle w:val="tabteksts"/>
              <w:rPr>
                <w:color w:val="000000"/>
              </w:rPr>
            </w:pPr>
            <w:r w:rsidRPr="001946E0">
              <w:rPr>
                <w:color w:val="000000"/>
              </w:rPr>
              <w:t>TE</w:t>
            </w:r>
          </w:p>
        </w:tc>
        <w:tc>
          <w:tcPr>
            <w:tcW w:w="992" w:type="dxa"/>
            <w:vAlign w:val="center"/>
          </w:tcPr>
          <w:p w:rsidR="002D62B9" w:rsidRPr="001946E0" w:rsidRDefault="002D62B9" w:rsidP="001B1A50">
            <w:pPr>
              <w:pStyle w:val="tabteksts"/>
              <w:jc w:val="right"/>
              <w:rPr>
                <w:snapToGrid w:val="0"/>
                <w:color w:val="000000"/>
              </w:rPr>
            </w:pPr>
            <w:r w:rsidRPr="001946E0">
              <w:rPr>
                <w:snapToGrid w:val="0"/>
                <w:color w:val="000000"/>
              </w:rPr>
              <w:t>5533,7</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39,1</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39,5</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36,5</w:t>
            </w:r>
          </w:p>
        </w:tc>
        <w:tc>
          <w:tcPr>
            <w:tcW w:w="708" w:type="dxa"/>
            <w:vAlign w:val="center"/>
          </w:tcPr>
          <w:p w:rsidR="002D62B9" w:rsidRPr="001946E0" w:rsidRDefault="002D62B9" w:rsidP="001B1A50">
            <w:pPr>
              <w:pStyle w:val="tabteksts"/>
              <w:jc w:val="right"/>
              <w:rPr>
                <w:snapToGrid w:val="0"/>
                <w:color w:val="000000"/>
              </w:rPr>
            </w:pPr>
            <w:r w:rsidRPr="001946E0">
              <w:rPr>
                <w:snapToGrid w:val="0"/>
                <w:color w:val="000000"/>
              </w:rPr>
              <w:t>34,9</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33,1</w:t>
            </w:r>
          </w:p>
        </w:tc>
      </w:tr>
      <w:tr w:rsidR="002D62B9" w:rsidRPr="001946E0" w:rsidTr="00D01375">
        <w:trPr>
          <w:cantSplit/>
        </w:trPr>
        <w:tc>
          <w:tcPr>
            <w:tcW w:w="3686" w:type="dxa"/>
            <w:vAlign w:val="center"/>
          </w:tcPr>
          <w:p w:rsidR="002D62B9" w:rsidRPr="001946E0" w:rsidRDefault="002D62B9" w:rsidP="001B1A50">
            <w:pPr>
              <w:pStyle w:val="tabteksts"/>
              <w:rPr>
                <w:snapToGrid w:val="0"/>
                <w:color w:val="000000"/>
              </w:rPr>
            </w:pPr>
            <w:r w:rsidRPr="001946E0">
              <w:rPr>
                <w:snapToGrid w:val="0"/>
                <w:color w:val="000000"/>
              </w:rPr>
              <w:t>8. Budžeta bilance</w:t>
            </w:r>
          </w:p>
        </w:tc>
        <w:tc>
          <w:tcPr>
            <w:tcW w:w="1134" w:type="dxa"/>
            <w:vAlign w:val="center"/>
          </w:tcPr>
          <w:p w:rsidR="002D62B9" w:rsidRPr="001946E0" w:rsidRDefault="002D62B9" w:rsidP="001B1A50">
            <w:pPr>
              <w:pStyle w:val="tabteksts"/>
              <w:rPr>
                <w:color w:val="000000"/>
              </w:rPr>
            </w:pPr>
            <w:r w:rsidRPr="001946E0">
              <w:rPr>
                <w:color w:val="000000"/>
              </w:rPr>
              <w:t>EDP B.9</w:t>
            </w:r>
          </w:p>
        </w:tc>
        <w:tc>
          <w:tcPr>
            <w:tcW w:w="992" w:type="dxa"/>
            <w:vAlign w:val="center"/>
          </w:tcPr>
          <w:p w:rsidR="002D62B9" w:rsidRPr="001946E0" w:rsidRDefault="002D62B9" w:rsidP="001B1A50">
            <w:pPr>
              <w:pStyle w:val="tabteksts"/>
              <w:jc w:val="right"/>
              <w:rPr>
                <w:snapToGrid w:val="0"/>
                <w:color w:val="000000"/>
              </w:rPr>
            </w:pPr>
            <w:r w:rsidRPr="001946E0">
              <w:rPr>
                <w:snapToGrid w:val="0"/>
                <w:color w:val="000000"/>
              </w:rPr>
              <w:t>-494,1</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-3,5</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-2,1</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-1,4</w:t>
            </w:r>
          </w:p>
        </w:tc>
        <w:tc>
          <w:tcPr>
            <w:tcW w:w="708" w:type="dxa"/>
            <w:vAlign w:val="center"/>
          </w:tcPr>
          <w:p w:rsidR="002D62B9" w:rsidRPr="001946E0" w:rsidRDefault="002D62B9" w:rsidP="001B1A50">
            <w:pPr>
              <w:pStyle w:val="tabteksts"/>
              <w:jc w:val="right"/>
              <w:rPr>
                <w:snapToGrid w:val="0"/>
                <w:color w:val="000000"/>
              </w:rPr>
            </w:pPr>
            <w:r w:rsidRPr="001946E0">
              <w:rPr>
                <w:snapToGrid w:val="0"/>
                <w:color w:val="000000"/>
              </w:rPr>
              <w:t>-0,8</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-0,3</w:t>
            </w:r>
          </w:p>
        </w:tc>
      </w:tr>
      <w:tr w:rsidR="002D62B9" w:rsidRPr="001946E0" w:rsidTr="00D01375">
        <w:trPr>
          <w:cantSplit/>
        </w:trPr>
        <w:tc>
          <w:tcPr>
            <w:tcW w:w="3686" w:type="dxa"/>
            <w:vAlign w:val="center"/>
          </w:tcPr>
          <w:p w:rsidR="002D62B9" w:rsidRPr="001946E0" w:rsidRDefault="002D62B9" w:rsidP="001B1A50">
            <w:pPr>
              <w:pStyle w:val="tabteksts"/>
              <w:rPr>
                <w:snapToGrid w:val="0"/>
                <w:color w:val="000000"/>
              </w:rPr>
            </w:pPr>
            <w:r w:rsidRPr="001946E0">
              <w:rPr>
                <w:snapToGrid w:val="0"/>
                <w:color w:val="000000"/>
              </w:rPr>
              <w:t>9. Procentu izdevumi</w:t>
            </w:r>
          </w:p>
        </w:tc>
        <w:tc>
          <w:tcPr>
            <w:tcW w:w="1134" w:type="dxa"/>
            <w:vAlign w:val="center"/>
          </w:tcPr>
          <w:p w:rsidR="002D62B9" w:rsidRPr="001946E0" w:rsidRDefault="002D62B9" w:rsidP="001B1A50">
            <w:pPr>
              <w:pStyle w:val="tabteksts"/>
              <w:rPr>
                <w:color w:val="000000"/>
              </w:rPr>
            </w:pPr>
            <w:r w:rsidRPr="001946E0">
              <w:rPr>
                <w:color w:val="000000"/>
              </w:rPr>
              <w:t xml:space="preserve">EDP D.41 </w:t>
            </w:r>
          </w:p>
        </w:tc>
        <w:tc>
          <w:tcPr>
            <w:tcW w:w="992" w:type="dxa"/>
            <w:vAlign w:val="center"/>
          </w:tcPr>
          <w:p w:rsidR="002D62B9" w:rsidRPr="001946E0" w:rsidRDefault="002D62B9" w:rsidP="001B1A50">
            <w:pPr>
              <w:pStyle w:val="tabteksts"/>
              <w:jc w:val="right"/>
              <w:rPr>
                <w:snapToGrid w:val="0"/>
                <w:color w:val="000000"/>
              </w:rPr>
            </w:pPr>
            <w:r w:rsidRPr="001946E0">
              <w:rPr>
                <w:snapToGrid w:val="0"/>
                <w:color w:val="000000"/>
              </w:rPr>
              <w:t>210,3</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1,5</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1,7</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1,8</w:t>
            </w:r>
          </w:p>
        </w:tc>
        <w:tc>
          <w:tcPr>
            <w:tcW w:w="708" w:type="dxa"/>
            <w:vAlign w:val="center"/>
          </w:tcPr>
          <w:p w:rsidR="002D62B9" w:rsidRPr="001946E0" w:rsidRDefault="002D62B9" w:rsidP="001B1A50">
            <w:pPr>
              <w:pStyle w:val="tabteksts"/>
              <w:jc w:val="right"/>
              <w:rPr>
                <w:snapToGrid w:val="0"/>
                <w:color w:val="000000"/>
              </w:rPr>
            </w:pPr>
            <w:r w:rsidRPr="001946E0">
              <w:rPr>
                <w:snapToGrid w:val="0"/>
                <w:color w:val="000000"/>
              </w:rPr>
              <w:t>2,1</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2,1</w:t>
            </w:r>
          </w:p>
        </w:tc>
      </w:tr>
      <w:tr w:rsidR="002D62B9" w:rsidRPr="001946E0" w:rsidTr="00D01375">
        <w:trPr>
          <w:cantSplit/>
        </w:trPr>
        <w:tc>
          <w:tcPr>
            <w:tcW w:w="3686" w:type="dxa"/>
            <w:vAlign w:val="center"/>
          </w:tcPr>
          <w:p w:rsidR="002D62B9" w:rsidRPr="001946E0" w:rsidRDefault="002D62B9" w:rsidP="001B1A50">
            <w:pPr>
              <w:pStyle w:val="tabteksts"/>
              <w:rPr>
                <w:snapToGrid w:val="0"/>
                <w:color w:val="000000"/>
              </w:rPr>
            </w:pPr>
            <w:r w:rsidRPr="001946E0">
              <w:rPr>
                <w:snapToGrid w:val="0"/>
                <w:color w:val="000000"/>
              </w:rPr>
              <w:t>10. Primārā bilance</w:t>
            </w:r>
          </w:p>
        </w:tc>
        <w:tc>
          <w:tcPr>
            <w:tcW w:w="1134" w:type="dxa"/>
            <w:vAlign w:val="center"/>
          </w:tcPr>
          <w:p w:rsidR="002D62B9" w:rsidRPr="001946E0" w:rsidRDefault="002D62B9" w:rsidP="001B1A50">
            <w:pPr>
              <w:pStyle w:val="tabteksts"/>
              <w:rPr>
                <w:color w:val="000000"/>
              </w:rPr>
            </w:pPr>
          </w:p>
        </w:tc>
        <w:tc>
          <w:tcPr>
            <w:tcW w:w="992" w:type="dxa"/>
            <w:vAlign w:val="center"/>
          </w:tcPr>
          <w:p w:rsidR="002D62B9" w:rsidRPr="001946E0" w:rsidRDefault="002D62B9" w:rsidP="001B1A50">
            <w:pPr>
              <w:pStyle w:val="tabteksts"/>
              <w:jc w:val="right"/>
              <w:rPr>
                <w:snapToGrid w:val="0"/>
                <w:color w:val="000000"/>
              </w:rPr>
            </w:pPr>
            <w:r w:rsidRPr="001946E0">
              <w:rPr>
                <w:snapToGrid w:val="0"/>
                <w:color w:val="000000"/>
              </w:rPr>
              <w:t>-283,8</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-2,0</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-0,4</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0,5</w:t>
            </w:r>
          </w:p>
        </w:tc>
        <w:tc>
          <w:tcPr>
            <w:tcW w:w="708" w:type="dxa"/>
            <w:vAlign w:val="center"/>
          </w:tcPr>
          <w:p w:rsidR="002D62B9" w:rsidRPr="001946E0" w:rsidRDefault="002D62B9" w:rsidP="001B1A50">
            <w:pPr>
              <w:pStyle w:val="tabteksts"/>
              <w:jc w:val="right"/>
              <w:rPr>
                <w:snapToGrid w:val="0"/>
                <w:color w:val="000000"/>
              </w:rPr>
            </w:pPr>
            <w:r w:rsidRPr="001946E0">
              <w:rPr>
                <w:snapToGrid w:val="0"/>
                <w:color w:val="000000"/>
              </w:rPr>
              <w:t>1,4</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1,8</w:t>
            </w:r>
          </w:p>
        </w:tc>
      </w:tr>
      <w:tr w:rsidR="002D62B9" w:rsidRPr="001946E0" w:rsidTr="00D01375">
        <w:trPr>
          <w:cantSplit/>
        </w:trPr>
        <w:tc>
          <w:tcPr>
            <w:tcW w:w="3686" w:type="dxa"/>
            <w:vAlign w:val="center"/>
          </w:tcPr>
          <w:p w:rsidR="002D62B9" w:rsidRPr="001946E0" w:rsidRDefault="002D62B9" w:rsidP="001B1A50">
            <w:pPr>
              <w:pStyle w:val="tabteksts"/>
              <w:rPr>
                <w:snapToGrid w:val="0"/>
                <w:color w:val="000000"/>
              </w:rPr>
            </w:pPr>
            <w:r w:rsidRPr="001946E0">
              <w:rPr>
                <w:snapToGrid w:val="0"/>
                <w:color w:val="000000"/>
              </w:rPr>
              <w:t xml:space="preserve">11. Vienreizējie un citi pagaidu pasākumi </w:t>
            </w:r>
          </w:p>
        </w:tc>
        <w:tc>
          <w:tcPr>
            <w:tcW w:w="1134" w:type="dxa"/>
            <w:vAlign w:val="center"/>
          </w:tcPr>
          <w:p w:rsidR="002D62B9" w:rsidRPr="001946E0" w:rsidRDefault="002D62B9" w:rsidP="001B1A50">
            <w:pPr>
              <w:pStyle w:val="tabteksts"/>
              <w:rPr>
                <w:color w:val="000000"/>
              </w:rPr>
            </w:pPr>
          </w:p>
        </w:tc>
        <w:tc>
          <w:tcPr>
            <w:tcW w:w="992" w:type="dxa"/>
            <w:vAlign w:val="center"/>
          </w:tcPr>
          <w:p w:rsidR="002D62B9" w:rsidRPr="001946E0" w:rsidRDefault="002D62B9" w:rsidP="001B1A50">
            <w:pPr>
              <w:pStyle w:val="tabteksts"/>
              <w:jc w:val="right"/>
              <w:rPr>
                <w:snapToGrid w:val="0"/>
                <w:color w:val="000000"/>
              </w:rPr>
            </w:pPr>
            <w:r w:rsidRPr="001946E0">
              <w:rPr>
                <w:snapToGrid w:val="0"/>
                <w:color w:val="000000"/>
              </w:rPr>
              <w:t>27,4</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0,2</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w:t>
            </w:r>
          </w:p>
        </w:tc>
        <w:tc>
          <w:tcPr>
            <w:tcW w:w="708" w:type="dxa"/>
            <w:vAlign w:val="center"/>
          </w:tcPr>
          <w:p w:rsidR="002D62B9" w:rsidRPr="001946E0" w:rsidRDefault="002D62B9" w:rsidP="001B1A50">
            <w:pPr>
              <w:pStyle w:val="tabteksts"/>
              <w:jc w:val="right"/>
              <w:rPr>
                <w:snapToGrid w:val="0"/>
                <w:color w:val="000000"/>
              </w:rPr>
            </w:pPr>
            <w:r w:rsidRPr="001946E0">
              <w:rPr>
                <w:snapToGrid w:val="0"/>
                <w:color w:val="000000"/>
              </w:rPr>
              <w:t>0</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w:t>
            </w:r>
          </w:p>
        </w:tc>
      </w:tr>
      <w:tr w:rsidR="00D01375" w:rsidRPr="001946E0" w:rsidTr="00742A72">
        <w:trPr>
          <w:cantSplit/>
        </w:trPr>
        <w:tc>
          <w:tcPr>
            <w:tcW w:w="9356" w:type="dxa"/>
            <w:gridSpan w:val="8"/>
            <w:vAlign w:val="center"/>
          </w:tcPr>
          <w:p w:rsidR="00D01375" w:rsidRPr="001946E0" w:rsidRDefault="00D01375" w:rsidP="001B1A50">
            <w:pPr>
              <w:pStyle w:val="tabteksts"/>
              <w:jc w:val="center"/>
              <w:rPr>
                <w:b/>
                <w:snapToGrid w:val="0"/>
                <w:color w:val="000000"/>
              </w:rPr>
            </w:pPr>
            <w:r w:rsidRPr="001946E0">
              <w:rPr>
                <w:b/>
                <w:snapToGrid w:val="0"/>
                <w:color w:val="000000"/>
              </w:rPr>
              <w:t>Ieņēmumu sadaļas</w:t>
            </w:r>
          </w:p>
        </w:tc>
      </w:tr>
      <w:tr w:rsidR="002D62B9" w:rsidRPr="001946E0" w:rsidTr="00D01375">
        <w:trPr>
          <w:cantSplit/>
          <w:trHeight w:val="189"/>
        </w:trPr>
        <w:tc>
          <w:tcPr>
            <w:tcW w:w="3686" w:type="dxa"/>
            <w:vAlign w:val="center"/>
          </w:tcPr>
          <w:p w:rsidR="002D62B9" w:rsidRPr="001946E0" w:rsidRDefault="002D62B9" w:rsidP="001B1A50">
            <w:pPr>
              <w:pStyle w:val="tabteksts"/>
              <w:rPr>
                <w:snapToGrid w:val="0"/>
                <w:color w:val="000000"/>
              </w:rPr>
            </w:pPr>
            <w:r w:rsidRPr="001946E0">
              <w:rPr>
                <w:snapToGrid w:val="0"/>
                <w:color w:val="000000"/>
              </w:rPr>
              <w:t>12. Nodokļi kopā (12=12a+12b)</w:t>
            </w:r>
          </w:p>
        </w:tc>
        <w:tc>
          <w:tcPr>
            <w:tcW w:w="1134" w:type="dxa"/>
            <w:vAlign w:val="center"/>
          </w:tcPr>
          <w:p w:rsidR="002D62B9" w:rsidRPr="001946E0" w:rsidRDefault="002D62B9" w:rsidP="001B1A50">
            <w:pPr>
              <w:pStyle w:val="tabteksts"/>
              <w:rPr>
                <w:color w:val="000000"/>
              </w:rPr>
            </w:pPr>
          </w:p>
        </w:tc>
        <w:tc>
          <w:tcPr>
            <w:tcW w:w="992" w:type="dxa"/>
            <w:vAlign w:val="center"/>
          </w:tcPr>
          <w:p w:rsidR="002D62B9" w:rsidRPr="001946E0" w:rsidRDefault="002D62B9" w:rsidP="001B1A50">
            <w:pPr>
              <w:pStyle w:val="tabteksts"/>
              <w:jc w:val="right"/>
              <w:rPr>
                <w:snapToGrid w:val="0"/>
                <w:color w:val="000000"/>
              </w:rPr>
            </w:pPr>
            <w:r w:rsidRPr="001946E0">
              <w:rPr>
                <w:snapToGrid w:val="0"/>
                <w:color w:val="000000"/>
              </w:rPr>
              <w:t>2679,0</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18,9</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19,3</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19,1</w:t>
            </w:r>
          </w:p>
        </w:tc>
        <w:tc>
          <w:tcPr>
            <w:tcW w:w="708" w:type="dxa"/>
            <w:vAlign w:val="center"/>
          </w:tcPr>
          <w:p w:rsidR="002D62B9" w:rsidRPr="001946E0" w:rsidRDefault="002D62B9" w:rsidP="001B1A50">
            <w:pPr>
              <w:pStyle w:val="tabteksts"/>
              <w:jc w:val="right"/>
              <w:rPr>
                <w:snapToGrid w:val="0"/>
                <w:color w:val="000000"/>
              </w:rPr>
            </w:pPr>
            <w:r w:rsidRPr="001946E0">
              <w:rPr>
                <w:snapToGrid w:val="0"/>
                <w:color w:val="000000"/>
              </w:rPr>
              <w:t>18,8</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18,5</w:t>
            </w:r>
          </w:p>
        </w:tc>
      </w:tr>
      <w:tr w:rsidR="002D62B9" w:rsidRPr="001946E0" w:rsidTr="00D01375">
        <w:trPr>
          <w:cantSplit/>
        </w:trPr>
        <w:tc>
          <w:tcPr>
            <w:tcW w:w="3686" w:type="dxa"/>
            <w:vAlign w:val="center"/>
          </w:tcPr>
          <w:p w:rsidR="002D62B9" w:rsidRPr="001946E0" w:rsidRDefault="002D62B9" w:rsidP="001B1A50">
            <w:pPr>
              <w:pStyle w:val="tabteksts"/>
              <w:rPr>
                <w:snapToGrid w:val="0"/>
                <w:color w:val="000000"/>
              </w:rPr>
            </w:pPr>
            <w:r w:rsidRPr="001946E0">
              <w:rPr>
                <w:snapToGrid w:val="0"/>
                <w:color w:val="000000"/>
              </w:rPr>
              <w:t>12a. Ražošanas un importa nodokļi</w:t>
            </w:r>
          </w:p>
        </w:tc>
        <w:tc>
          <w:tcPr>
            <w:tcW w:w="1134" w:type="dxa"/>
            <w:vAlign w:val="center"/>
          </w:tcPr>
          <w:p w:rsidR="002D62B9" w:rsidRPr="001946E0" w:rsidRDefault="002D62B9" w:rsidP="001B1A50">
            <w:pPr>
              <w:pStyle w:val="tabteksts"/>
              <w:rPr>
                <w:color w:val="000000"/>
              </w:rPr>
            </w:pPr>
            <w:r w:rsidRPr="001946E0">
              <w:rPr>
                <w:color w:val="000000"/>
              </w:rPr>
              <w:t>D.2</w:t>
            </w:r>
          </w:p>
        </w:tc>
        <w:tc>
          <w:tcPr>
            <w:tcW w:w="992" w:type="dxa"/>
            <w:vAlign w:val="center"/>
          </w:tcPr>
          <w:p w:rsidR="002D62B9" w:rsidRPr="001946E0" w:rsidRDefault="002D62B9" w:rsidP="001B1A50">
            <w:pPr>
              <w:pStyle w:val="tabteksts"/>
              <w:jc w:val="right"/>
              <w:rPr>
                <w:snapToGrid w:val="0"/>
                <w:color w:val="000000"/>
              </w:rPr>
            </w:pPr>
            <w:r w:rsidRPr="001946E0">
              <w:rPr>
                <w:snapToGrid w:val="0"/>
                <w:color w:val="000000"/>
              </w:rPr>
              <w:t>1623,8</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11,5</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11,8</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11,7</w:t>
            </w:r>
          </w:p>
        </w:tc>
        <w:tc>
          <w:tcPr>
            <w:tcW w:w="708" w:type="dxa"/>
            <w:vAlign w:val="center"/>
          </w:tcPr>
          <w:p w:rsidR="002D62B9" w:rsidRPr="001946E0" w:rsidRDefault="002D62B9" w:rsidP="001B1A50">
            <w:pPr>
              <w:pStyle w:val="tabteksts"/>
              <w:jc w:val="right"/>
              <w:rPr>
                <w:snapToGrid w:val="0"/>
                <w:color w:val="000000"/>
              </w:rPr>
            </w:pPr>
            <w:r w:rsidRPr="001946E0">
              <w:rPr>
                <w:snapToGrid w:val="0"/>
                <w:color w:val="000000"/>
              </w:rPr>
              <w:t>11,5</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11,3</w:t>
            </w:r>
          </w:p>
        </w:tc>
      </w:tr>
      <w:tr w:rsidR="002D62B9" w:rsidRPr="001946E0" w:rsidTr="00D01375">
        <w:trPr>
          <w:cantSplit/>
        </w:trPr>
        <w:tc>
          <w:tcPr>
            <w:tcW w:w="3686" w:type="dxa"/>
            <w:vAlign w:val="center"/>
          </w:tcPr>
          <w:p w:rsidR="002D62B9" w:rsidRPr="001946E0" w:rsidRDefault="002D62B9" w:rsidP="001B1A50">
            <w:pPr>
              <w:pStyle w:val="tabteksts"/>
              <w:rPr>
                <w:snapToGrid w:val="0"/>
                <w:color w:val="000000"/>
              </w:rPr>
            </w:pPr>
            <w:r w:rsidRPr="001946E0">
              <w:rPr>
                <w:snapToGrid w:val="0"/>
                <w:color w:val="000000"/>
              </w:rPr>
              <w:t>12b. Ienākuma un mantas kārtējie nodokļi</w:t>
            </w:r>
          </w:p>
        </w:tc>
        <w:tc>
          <w:tcPr>
            <w:tcW w:w="1134" w:type="dxa"/>
            <w:vAlign w:val="center"/>
          </w:tcPr>
          <w:p w:rsidR="002D62B9" w:rsidRPr="001946E0" w:rsidRDefault="002D62B9" w:rsidP="001B1A50">
            <w:pPr>
              <w:pStyle w:val="tabteksts"/>
              <w:rPr>
                <w:color w:val="000000"/>
              </w:rPr>
            </w:pPr>
            <w:r w:rsidRPr="001946E0">
              <w:rPr>
                <w:color w:val="000000"/>
              </w:rPr>
              <w:t>D.5</w:t>
            </w:r>
          </w:p>
        </w:tc>
        <w:tc>
          <w:tcPr>
            <w:tcW w:w="992" w:type="dxa"/>
            <w:vAlign w:val="center"/>
          </w:tcPr>
          <w:p w:rsidR="002D62B9" w:rsidRPr="001946E0" w:rsidRDefault="002D62B9" w:rsidP="001B1A50">
            <w:pPr>
              <w:pStyle w:val="tabteksts"/>
              <w:jc w:val="right"/>
              <w:rPr>
                <w:snapToGrid w:val="0"/>
                <w:color w:val="000000"/>
              </w:rPr>
            </w:pPr>
            <w:r w:rsidRPr="001946E0">
              <w:rPr>
                <w:snapToGrid w:val="0"/>
                <w:color w:val="000000"/>
              </w:rPr>
              <w:t>1053,6</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7,4</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7,5</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7,5</w:t>
            </w:r>
          </w:p>
        </w:tc>
        <w:tc>
          <w:tcPr>
            <w:tcW w:w="708" w:type="dxa"/>
            <w:vAlign w:val="center"/>
          </w:tcPr>
          <w:p w:rsidR="002D62B9" w:rsidRPr="001946E0" w:rsidRDefault="002D62B9" w:rsidP="001B1A50">
            <w:pPr>
              <w:pStyle w:val="tabteksts"/>
              <w:jc w:val="right"/>
              <w:rPr>
                <w:snapToGrid w:val="0"/>
                <w:color w:val="000000"/>
              </w:rPr>
            </w:pPr>
            <w:r w:rsidRPr="001946E0">
              <w:rPr>
                <w:snapToGrid w:val="0"/>
                <w:color w:val="000000"/>
              </w:rPr>
              <w:t>7,4</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7,3</w:t>
            </w:r>
          </w:p>
        </w:tc>
      </w:tr>
      <w:tr w:rsidR="002D62B9" w:rsidRPr="001946E0" w:rsidTr="00D01375">
        <w:trPr>
          <w:cantSplit/>
        </w:trPr>
        <w:tc>
          <w:tcPr>
            <w:tcW w:w="3686" w:type="dxa"/>
            <w:vAlign w:val="center"/>
          </w:tcPr>
          <w:p w:rsidR="002D62B9" w:rsidRPr="001946E0" w:rsidRDefault="002D62B9" w:rsidP="001B1A50">
            <w:pPr>
              <w:pStyle w:val="tabteksts"/>
              <w:rPr>
                <w:snapToGrid w:val="0"/>
                <w:color w:val="000000"/>
              </w:rPr>
            </w:pPr>
            <w:r w:rsidRPr="001946E0">
              <w:rPr>
                <w:snapToGrid w:val="0"/>
                <w:color w:val="000000"/>
              </w:rPr>
              <w:t>12c . Kapitāla nodokļi</w:t>
            </w:r>
          </w:p>
        </w:tc>
        <w:tc>
          <w:tcPr>
            <w:tcW w:w="1134" w:type="dxa"/>
            <w:vAlign w:val="center"/>
          </w:tcPr>
          <w:p w:rsidR="002D62B9" w:rsidRPr="001946E0" w:rsidRDefault="002D62B9" w:rsidP="001B1A50">
            <w:pPr>
              <w:pStyle w:val="tabteksts"/>
              <w:rPr>
                <w:color w:val="000000"/>
              </w:rPr>
            </w:pPr>
            <w:r w:rsidRPr="001946E0">
              <w:rPr>
                <w:color w:val="000000"/>
              </w:rPr>
              <w:t>D.91</w:t>
            </w:r>
          </w:p>
        </w:tc>
        <w:tc>
          <w:tcPr>
            <w:tcW w:w="992" w:type="dxa"/>
            <w:vAlign w:val="center"/>
          </w:tcPr>
          <w:p w:rsidR="002D62B9" w:rsidRPr="001946E0" w:rsidRDefault="002D62B9" w:rsidP="001B1A50">
            <w:pPr>
              <w:pStyle w:val="tabteksts"/>
              <w:jc w:val="right"/>
              <w:rPr>
                <w:snapToGrid w:val="0"/>
                <w:color w:val="000000"/>
              </w:rPr>
            </w:pPr>
            <w:r w:rsidRPr="001946E0">
              <w:rPr>
                <w:snapToGrid w:val="0"/>
                <w:color w:val="000000"/>
              </w:rPr>
              <w:t>1,6</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0,0</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0,0</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0,0</w:t>
            </w:r>
          </w:p>
        </w:tc>
        <w:tc>
          <w:tcPr>
            <w:tcW w:w="708" w:type="dxa"/>
            <w:vAlign w:val="center"/>
          </w:tcPr>
          <w:p w:rsidR="002D62B9" w:rsidRPr="001946E0" w:rsidRDefault="002D62B9" w:rsidP="001B1A50">
            <w:pPr>
              <w:pStyle w:val="tabteksts"/>
              <w:jc w:val="right"/>
              <w:rPr>
                <w:snapToGrid w:val="0"/>
                <w:color w:val="000000"/>
              </w:rPr>
            </w:pPr>
            <w:r w:rsidRPr="001946E0">
              <w:rPr>
                <w:snapToGrid w:val="0"/>
                <w:color w:val="000000"/>
              </w:rPr>
              <w:t>0,0</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0,0</w:t>
            </w:r>
          </w:p>
        </w:tc>
      </w:tr>
      <w:tr w:rsidR="002D62B9" w:rsidRPr="001946E0" w:rsidTr="00D01375">
        <w:trPr>
          <w:cantSplit/>
        </w:trPr>
        <w:tc>
          <w:tcPr>
            <w:tcW w:w="3686" w:type="dxa"/>
            <w:vAlign w:val="center"/>
          </w:tcPr>
          <w:p w:rsidR="002D62B9" w:rsidRPr="001946E0" w:rsidRDefault="002D62B9" w:rsidP="001B1A50">
            <w:pPr>
              <w:pStyle w:val="tabteksts"/>
              <w:rPr>
                <w:snapToGrid w:val="0"/>
                <w:color w:val="000000"/>
              </w:rPr>
            </w:pPr>
            <w:r w:rsidRPr="001946E0">
              <w:rPr>
                <w:snapToGrid w:val="0"/>
                <w:color w:val="000000"/>
              </w:rPr>
              <w:t xml:space="preserve">13. Sociālās iemaksas </w:t>
            </w:r>
          </w:p>
        </w:tc>
        <w:tc>
          <w:tcPr>
            <w:tcW w:w="1134" w:type="dxa"/>
            <w:vAlign w:val="center"/>
          </w:tcPr>
          <w:p w:rsidR="002D62B9" w:rsidRPr="001946E0" w:rsidRDefault="002D62B9" w:rsidP="001B1A50">
            <w:pPr>
              <w:pStyle w:val="tabteksts"/>
              <w:rPr>
                <w:color w:val="000000"/>
              </w:rPr>
            </w:pPr>
            <w:r w:rsidRPr="001946E0">
              <w:rPr>
                <w:color w:val="000000"/>
              </w:rPr>
              <w:t>D.61</w:t>
            </w:r>
          </w:p>
        </w:tc>
        <w:tc>
          <w:tcPr>
            <w:tcW w:w="992" w:type="dxa"/>
            <w:vAlign w:val="center"/>
          </w:tcPr>
          <w:p w:rsidR="002D62B9" w:rsidRPr="001946E0" w:rsidRDefault="002D62B9" w:rsidP="001B1A50">
            <w:pPr>
              <w:pStyle w:val="tabteksts"/>
              <w:jc w:val="right"/>
              <w:rPr>
                <w:snapToGrid w:val="0"/>
                <w:color w:val="000000"/>
              </w:rPr>
            </w:pPr>
            <w:r w:rsidRPr="001946E0">
              <w:rPr>
                <w:snapToGrid w:val="0"/>
                <w:color w:val="000000"/>
              </w:rPr>
              <w:t>1246,3</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8,8</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8,8</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8,0</w:t>
            </w:r>
          </w:p>
        </w:tc>
        <w:tc>
          <w:tcPr>
            <w:tcW w:w="708" w:type="dxa"/>
            <w:vAlign w:val="center"/>
          </w:tcPr>
          <w:p w:rsidR="002D62B9" w:rsidRPr="001946E0" w:rsidRDefault="002D62B9" w:rsidP="001B1A50">
            <w:pPr>
              <w:pStyle w:val="tabteksts"/>
              <w:jc w:val="right"/>
              <w:rPr>
                <w:snapToGrid w:val="0"/>
                <w:color w:val="000000"/>
              </w:rPr>
            </w:pPr>
            <w:r w:rsidRPr="001946E0">
              <w:rPr>
                <w:snapToGrid w:val="0"/>
                <w:color w:val="000000"/>
              </w:rPr>
              <w:t>7,6</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7,5</w:t>
            </w:r>
          </w:p>
        </w:tc>
      </w:tr>
      <w:tr w:rsidR="002D62B9" w:rsidRPr="001946E0" w:rsidTr="00D01375">
        <w:trPr>
          <w:cantSplit/>
        </w:trPr>
        <w:tc>
          <w:tcPr>
            <w:tcW w:w="3686" w:type="dxa"/>
            <w:vAlign w:val="center"/>
          </w:tcPr>
          <w:p w:rsidR="002D62B9" w:rsidRPr="001946E0" w:rsidRDefault="002D62B9" w:rsidP="001B1A50">
            <w:pPr>
              <w:pStyle w:val="tabteksts"/>
              <w:rPr>
                <w:snapToGrid w:val="0"/>
                <w:color w:val="000000"/>
              </w:rPr>
            </w:pPr>
            <w:r w:rsidRPr="001946E0">
              <w:rPr>
                <w:snapToGrid w:val="0"/>
                <w:color w:val="000000"/>
              </w:rPr>
              <w:t>14. Īpašuma ienākumi</w:t>
            </w:r>
          </w:p>
        </w:tc>
        <w:tc>
          <w:tcPr>
            <w:tcW w:w="1134" w:type="dxa"/>
            <w:vAlign w:val="center"/>
          </w:tcPr>
          <w:p w:rsidR="002D62B9" w:rsidRPr="001946E0" w:rsidRDefault="002D62B9" w:rsidP="001B1A50">
            <w:pPr>
              <w:pStyle w:val="tabteksts"/>
              <w:rPr>
                <w:color w:val="000000"/>
              </w:rPr>
            </w:pPr>
            <w:r w:rsidRPr="001946E0">
              <w:rPr>
                <w:color w:val="000000"/>
              </w:rPr>
              <w:t>D.4</w:t>
            </w:r>
          </w:p>
        </w:tc>
        <w:tc>
          <w:tcPr>
            <w:tcW w:w="992" w:type="dxa"/>
            <w:vAlign w:val="center"/>
          </w:tcPr>
          <w:p w:rsidR="002D62B9" w:rsidRPr="001946E0" w:rsidRDefault="003941BE" w:rsidP="003941BE">
            <w:pPr>
              <w:pStyle w:val="tabteksts"/>
              <w:jc w:val="right"/>
              <w:rPr>
                <w:snapToGrid w:val="0"/>
                <w:color w:val="000000"/>
              </w:rPr>
            </w:pPr>
            <w:r>
              <w:rPr>
                <w:snapToGrid w:val="0"/>
                <w:color w:val="000000"/>
              </w:rPr>
              <w:t>184,1</w:t>
            </w:r>
          </w:p>
        </w:tc>
        <w:tc>
          <w:tcPr>
            <w:tcW w:w="709" w:type="dxa"/>
            <w:vAlign w:val="center"/>
          </w:tcPr>
          <w:p w:rsidR="002D62B9" w:rsidRPr="001946E0" w:rsidRDefault="003941BE" w:rsidP="001B1A50">
            <w:pPr>
              <w:pStyle w:val="tabteksts"/>
              <w:jc w:val="right"/>
              <w:rPr>
                <w:snapToGrid w:val="0"/>
                <w:color w:val="000000"/>
              </w:rPr>
            </w:pPr>
            <w:r>
              <w:rPr>
                <w:snapToGrid w:val="0"/>
                <w:color w:val="000000"/>
              </w:rPr>
              <w:t>1,3</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1,3</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0,9</w:t>
            </w:r>
          </w:p>
        </w:tc>
        <w:tc>
          <w:tcPr>
            <w:tcW w:w="708" w:type="dxa"/>
            <w:vAlign w:val="center"/>
          </w:tcPr>
          <w:p w:rsidR="002D62B9" w:rsidRPr="001946E0" w:rsidRDefault="002D62B9" w:rsidP="001B1A50">
            <w:pPr>
              <w:pStyle w:val="tabteksts"/>
              <w:jc w:val="right"/>
              <w:rPr>
                <w:snapToGrid w:val="0"/>
                <w:color w:val="000000"/>
              </w:rPr>
            </w:pPr>
            <w:r w:rsidRPr="001946E0">
              <w:rPr>
                <w:snapToGrid w:val="0"/>
                <w:color w:val="000000"/>
              </w:rPr>
              <w:t>0,7</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0,6</w:t>
            </w:r>
          </w:p>
        </w:tc>
      </w:tr>
      <w:tr w:rsidR="002D62B9" w:rsidRPr="001946E0" w:rsidTr="00D01375">
        <w:trPr>
          <w:cantSplit/>
        </w:trPr>
        <w:tc>
          <w:tcPr>
            <w:tcW w:w="3686" w:type="dxa"/>
            <w:vAlign w:val="center"/>
          </w:tcPr>
          <w:p w:rsidR="002D62B9" w:rsidRPr="001946E0" w:rsidRDefault="002D62B9" w:rsidP="001B1A50">
            <w:pPr>
              <w:pStyle w:val="tabteksts"/>
              <w:rPr>
                <w:snapToGrid w:val="0"/>
                <w:color w:val="000000"/>
              </w:rPr>
            </w:pPr>
            <w:r w:rsidRPr="001946E0">
              <w:rPr>
                <w:snapToGrid w:val="0"/>
                <w:color w:val="000000"/>
              </w:rPr>
              <w:t>15. Pārējie ieņēmumi</w:t>
            </w:r>
          </w:p>
        </w:tc>
        <w:tc>
          <w:tcPr>
            <w:tcW w:w="1134" w:type="dxa"/>
            <w:vAlign w:val="center"/>
          </w:tcPr>
          <w:p w:rsidR="002D62B9" w:rsidRPr="001946E0" w:rsidRDefault="002D62B9" w:rsidP="001B1A50">
            <w:pPr>
              <w:pStyle w:val="tabteksts"/>
              <w:rPr>
                <w:color w:val="000000"/>
              </w:rPr>
            </w:pPr>
            <w:r w:rsidRPr="001946E0">
              <w:rPr>
                <w:color w:val="000000"/>
              </w:rPr>
              <w:t> </w:t>
            </w:r>
          </w:p>
        </w:tc>
        <w:tc>
          <w:tcPr>
            <w:tcW w:w="992" w:type="dxa"/>
            <w:vAlign w:val="center"/>
          </w:tcPr>
          <w:p w:rsidR="002D62B9" w:rsidRPr="001946E0" w:rsidRDefault="003941BE" w:rsidP="001B1A50">
            <w:pPr>
              <w:pStyle w:val="tabteksts"/>
              <w:jc w:val="right"/>
              <w:rPr>
                <w:snapToGrid w:val="0"/>
                <w:color w:val="000000"/>
              </w:rPr>
            </w:pPr>
            <w:r>
              <w:rPr>
                <w:snapToGrid w:val="0"/>
                <w:color w:val="000000"/>
              </w:rPr>
              <w:t>930,3</w:t>
            </w:r>
          </w:p>
        </w:tc>
        <w:tc>
          <w:tcPr>
            <w:tcW w:w="709" w:type="dxa"/>
            <w:vAlign w:val="center"/>
          </w:tcPr>
          <w:p w:rsidR="002D62B9" w:rsidRPr="001946E0" w:rsidRDefault="003941BE" w:rsidP="001B1A50">
            <w:pPr>
              <w:pStyle w:val="tabteksts"/>
              <w:jc w:val="right"/>
              <w:rPr>
                <w:snapToGrid w:val="0"/>
                <w:color w:val="000000"/>
              </w:rPr>
            </w:pPr>
            <w:r>
              <w:rPr>
                <w:snapToGrid w:val="0"/>
                <w:color w:val="000000"/>
              </w:rPr>
              <w:t>6,6</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8,0</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7,1</w:t>
            </w:r>
          </w:p>
        </w:tc>
        <w:tc>
          <w:tcPr>
            <w:tcW w:w="708" w:type="dxa"/>
            <w:vAlign w:val="center"/>
          </w:tcPr>
          <w:p w:rsidR="002D62B9" w:rsidRPr="001946E0" w:rsidRDefault="002D62B9" w:rsidP="001B1A50">
            <w:pPr>
              <w:pStyle w:val="tabteksts"/>
              <w:jc w:val="right"/>
              <w:rPr>
                <w:snapToGrid w:val="0"/>
                <w:color w:val="000000"/>
              </w:rPr>
            </w:pPr>
            <w:r w:rsidRPr="001946E0">
              <w:rPr>
                <w:snapToGrid w:val="0"/>
                <w:color w:val="000000"/>
              </w:rPr>
              <w:t>7,0</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6,1</w:t>
            </w:r>
          </w:p>
        </w:tc>
      </w:tr>
      <w:tr w:rsidR="002D62B9" w:rsidRPr="001946E0" w:rsidTr="00D01375">
        <w:trPr>
          <w:cantSplit/>
        </w:trPr>
        <w:tc>
          <w:tcPr>
            <w:tcW w:w="3686" w:type="dxa"/>
            <w:vAlign w:val="center"/>
          </w:tcPr>
          <w:p w:rsidR="002D62B9" w:rsidRPr="001946E0" w:rsidRDefault="002D62B9" w:rsidP="001B1A50">
            <w:pPr>
              <w:pStyle w:val="tabteksts"/>
              <w:rPr>
                <w:snapToGrid w:val="0"/>
                <w:color w:val="000000"/>
              </w:rPr>
            </w:pPr>
            <w:r w:rsidRPr="001946E0">
              <w:rPr>
                <w:snapToGrid w:val="0"/>
                <w:color w:val="000000"/>
              </w:rPr>
              <w:t>16. Kopējie ieņēmumi</w:t>
            </w:r>
          </w:p>
        </w:tc>
        <w:tc>
          <w:tcPr>
            <w:tcW w:w="1134" w:type="dxa"/>
            <w:vAlign w:val="center"/>
          </w:tcPr>
          <w:p w:rsidR="002D62B9" w:rsidRPr="001946E0" w:rsidRDefault="002D62B9" w:rsidP="001B1A50">
            <w:pPr>
              <w:pStyle w:val="tabteksts"/>
              <w:rPr>
                <w:color w:val="000000"/>
              </w:rPr>
            </w:pPr>
            <w:r w:rsidRPr="001946E0">
              <w:rPr>
                <w:color w:val="000000"/>
              </w:rPr>
              <w:t>TR</w:t>
            </w:r>
          </w:p>
        </w:tc>
        <w:tc>
          <w:tcPr>
            <w:tcW w:w="992" w:type="dxa"/>
            <w:vAlign w:val="center"/>
          </w:tcPr>
          <w:p w:rsidR="002D62B9" w:rsidRPr="001946E0" w:rsidRDefault="002D62B9" w:rsidP="001B1A50">
            <w:pPr>
              <w:pStyle w:val="tabteksts"/>
              <w:jc w:val="right"/>
              <w:rPr>
                <w:snapToGrid w:val="0"/>
                <w:color w:val="000000"/>
              </w:rPr>
            </w:pPr>
            <w:r w:rsidRPr="001946E0">
              <w:rPr>
                <w:snapToGrid w:val="0"/>
                <w:color w:val="000000"/>
              </w:rPr>
              <w:t>5039,6</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35,6</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37,4</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35,1</w:t>
            </w:r>
          </w:p>
        </w:tc>
        <w:tc>
          <w:tcPr>
            <w:tcW w:w="708" w:type="dxa"/>
            <w:vAlign w:val="center"/>
          </w:tcPr>
          <w:p w:rsidR="002D62B9" w:rsidRPr="001946E0" w:rsidRDefault="002D62B9" w:rsidP="001B1A50">
            <w:pPr>
              <w:pStyle w:val="tabteksts"/>
              <w:jc w:val="right"/>
              <w:rPr>
                <w:snapToGrid w:val="0"/>
                <w:color w:val="000000"/>
              </w:rPr>
            </w:pPr>
            <w:r w:rsidRPr="001946E0">
              <w:rPr>
                <w:snapToGrid w:val="0"/>
                <w:color w:val="000000"/>
              </w:rPr>
              <w:t>34,1</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32,8</w:t>
            </w:r>
          </w:p>
        </w:tc>
      </w:tr>
      <w:tr w:rsidR="002D62B9" w:rsidRPr="001946E0" w:rsidTr="00D01375">
        <w:trPr>
          <w:cantSplit/>
        </w:trPr>
        <w:tc>
          <w:tcPr>
            <w:tcW w:w="3686" w:type="dxa"/>
            <w:vAlign w:val="center"/>
          </w:tcPr>
          <w:p w:rsidR="002D62B9" w:rsidRPr="001946E0" w:rsidRDefault="002D62B9" w:rsidP="001B1A50">
            <w:pPr>
              <w:pStyle w:val="tabteksts"/>
              <w:rPr>
                <w:snapToGrid w:val="0"/>
                <w:color w:val="000000"/>
                <w:vertAlign w:val="superscript"/>
              </w:rPr>
            </w:pPr>
            <w:r w:rsidRPr="001946E0">
              <w:rPr>
                <w:snapToGrid w:val="0"/>
                <w:color w:val="000000"/>
              </w:rPr>
              <w:t xml:space="preserve"> Nodokļu slogs (D.2+D.5+D.61+D.91 – D.995)</w:t>
            </w:r>
          </w:p>
        </w:tc>
        <w:tc>
          <w:tcPr>
            <w:tcW w:w="1134" w:type="dxa"/>
            <w:vAlign w:val="center"/>
          </w:tcPr>
          <w:p w:rsidR="002D62B9" w:rsidRPr="001946E0" w:rsidRDefault="002D62B9" w:rsidP="001B1A50">
            <w:pPr>
              <w:pStyle w:val="tabteksts"/>
              <w:rPr>
                <w:color w:val="000000"/>
              </w:rPr>
            </w:pPr>
          </w:p>
        </w:tc>
        <w:tc>
          <w:tcPr>
            <w:tcW w:w="992" w:type="dxa"/>
            <w:vAlign w:val="center"/>
          </w:tcPr>
          <w:p w:rsidR="002D62B9" w:rsidRPr="001946E0" w:rsidRDefault="002D62B9" w:rsidP="001B1A50">
            <w:pPr>
              <w:pStyle w:val="tabteksts"/>
              <w:jc w:val="right"/>
              <w:rPr>
                <w:snapToGrid w:val="0"/>
                <w:color w:val="000000"/>
              </w:rPr>
            </w:pPr>
            <w:r w:rsidRPr="001946E0">
              <w:rPr>
                <w:snapToGrid w:val="0"/>
                <w:color w:val="000000"/>
              </w:rPr>
              <w:t>3983,5</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28,1</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28,3</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27,3</w:t>
            </w:r>
          </w:p>
        </w:tc>
        <w:tc>
          <w:tcPr>
            <w:tcW w:w="708" w:type="dxa"/>
            <w:vAlign w:val="center"/>
          </w:tcPr>
          <w:p w:rsidR="002D62B9" w:rsidRPr="001946E0" w:rsidRDefault="002D62B9" w:rsidP="001B1A50">
            <w:pPr>
              <w:pStyle w:val="tabteksts"/>
              <w:jc w:val="right"/>
              <w:rPr>
                <w:snapToGrid w:val="0"/>
                <w:color w:val="000000"/>
              </w:rPr>
            </w:pPr>
            <w:r w:rsidRPr="001946E0">
              <w:rPr>
                <w:snapToGrid w:val="0"/>
                <w:color w:val="000000"/>
              </w:rPr>
              <w:t>26,7</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26,3</w:t>
            </w:r>
          </w:p>
        </w:tc>
      </w:tr>
      <w:tr w:rsidR="00D01375" w:rsidRPr="001946E0" w:rsidTr="00742A72">
        <w:trPr>
          <w:cantSplit/>
        </w:trPr>
        <w:tc>
          <w:tcPr>
            <w:tcW w:w="9356" w:type="dxa"/>
            <w:gridSpan w:val="8"/>
            <w:vAlign w:val="center"/>
          </w:tcPr>
          <w:p w:rsidR="00D01375" w:rsidRPr="001946E0" w:rsidRDefault="00D01375" w:rsidP="001B1A50">
            <w:pPr>
              <w:pStyle w:val="tabteksts"/>
              <w:jc w:val="center"/>
              <w:rPr>
                <w:b/>
                <w:snapToGrid w:val="0"/>
                <w:color w:val="000000"/>
              </w:rPr>
            </w:pPr>
            <w:r w:rsidRPr="001946E0">
              <w:rPr>
                <w:b/>
                <w:snapToGrid w:val="0"/>
                <w:color w:val="000000"/>
              </w:rPr>
              <w:t>Izdevumu sadaļas</w:t>
            </w:r>
          </w:p>
        </w:tc>
      </w:tr>
      <w:tr w:rsidR="002D62B9" w:rsidRPr="001946E0" w:rsidTr="00D01375">
        <w:trPr>
          <w:cantSplit/>
        </w:trPr>
        <w:tc>
          <w:tcPr>
            <w:tcW w:w="3686" w:type="dxa"/>
            <w:vAlign w:val="center"/>
          </w:tcPr>
          <w:p w:rsidR="002D62B9" w:rsidRPr="001946E0" w:rsidRDefault="002D62B9" w:rsidP="001B1A50">
            <w:pPr>
              <w:pStyle w:val="tabteksts"/>
              <w:rPr>
                <w:snapToGrid w:val="0"/>
                <w:color w:val="000000"/>
              </w:rPr>
            </w:pPr>
            <w:r w:rsidRPr="001946E0">
              <w:rPr>
                <w:snapToGrid w:val="0"/>
                <w:color w:val="000000"/>
              </w:rPr>
              <w:t>17. Atlīdzība nodarbinātajiem un starppatēriņš</w:t>
            </w:r>
          </w:p>
        </w:tc>
        <w:tc>
          <w:tcPr>
            <w:tcW w:w="1134" w:type="dxa"/>
            <w:vAlign w:val="center"/>
          </w:tcPr>
          <w:p w:rsidR="002D62B9" w:rsidRPr="001946E0" w:rsidRDefault="002D62B9" w:rsidP="001B1A50">
            <w:pPr>
              <w:pStyle w:val="tabteksts"/>
              <w:rPr>
                <w:color w:val="000000"/>
              </w:rPr>
            </w:pPr>
            <w:r w:rsidRPr="001946E0">
              <w:rPr>
                <w:color w:val="000000"/>
              </w:rPr>
              <w:t>D.1+P.2</w:t>
            </w:r>
          </w:p>
        </w:tc>
        <w:tc>
          <w:tcPr>
            <w:tcW w:w="992" w:type="dxa"/>
            <w:vAlign w:val="center"/>
          </w:tcPr>
          <w:p w:rsidR="002D62B9" w:rsidRPr="001946E0" w:rsidRDefault="002D62B9" w:rsidP="001B1A50">
            <w:pPr>
              <w:pStyle w:val="tabteksts"/>
              <w:jc w:val="right"/>
              <w:rPr>
                <w:snapToGrid w:val="0"/>
                <w:color w:val="000000"/>
              </w:rPr>
            </w:pPr>
            <w:r w:rsidRPr="001946E0">
              <w:rPr>
                <w:snapToGrid w:val="0"/>
                <w:color w:val="000000"/>
              </w:rPr>
              <w:t>2356,6</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16,6</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16,1</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15,1</w:t>
            </w:r>
          </w:p>
        </w:tc>
        <w:tc>
          <w:tcPr>
            <w:tcW w:w="708" w:type="dxa"/>
            <w:vAlign w:val="center"/>
          </w:tcPr>
          <w:p w:rsidR="002D62B9" w:rsidRPr="001946E0" w:rsidRDefault="002D62B9" w:rsidP="001B1A50">
            <w:pPr>
              <w:pStyle w:val="tabteksts"/>
              <w:jc w:val="right"/>
              <w:rPr>
                <w:snapToGrid w:val="0"/>
                <w:color w:val="000000"/>
              </w:rPr>
            </w:pPr>
            <w:r w:rsidRPr="001946E0">
              <w:rPr>
                <w:snapToGrid w:val="0"/>
                <w:color w:val="000000"/>
              </w:rPr>
              <w:t>14,1</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13,8</w:t>
            </w:r>
          </w:p>
        </w:tc>
      </w:tr>
      <w:tr w:rsidR="002D62B9" w:rsidRPr="001946E0" w:rsidTr="00D01375">
        <w:trPr>
          <w:cantSplit/>
        </w:trPr>
        <w:tc>
          <w:tcPr>
            <w:tcW w:w="3686" w:type="dxa"/>
            <w:vAlign w:val="center"/>
          </w:tcPr>
          <w:p w:rsidR="002D62B9" w:rsidRPr="001946E0" w:rsidRDefault="002D62B9" w:rsidP="001B1A50">
            <w:pPr>
              <w:pStyle w:val="tabteksts"/>
              <w:rPr>
                <w:snapToGrid w:val="0"/>
                <w:color w:val="000000"/>
              </w:rPr>
            </w:pPr>
            <w:r w:rsidRPr="001946E0">
              <w:rPr>
                <w:snapToGrid w:val="0"/>
                <w:color w:val="000000"/>
              </w:rPr>
              <w:t>17a. Atlīdzība nodarbinātajiem</w:t>
            </w:r>
          </w:p>
        </w:tc>
        <w:tc>
          <w:tcPr>
            <w:tcW w:w="1134" w:type="dxa"/>
            <w:vAlign w:val="center"/>
          </w:tcPr>
          <w:p w:rsidR="002D62B9" w:rsidRPr="001946E0" w:rsidRDefault="002D62B9" w:rsidP="001B1A50">
            <w:pPr>
              <w:pStyle w:val="tabteksts"/>
              <w:rPr>
                <w:color w:val="000000"/>
              </w:rPr>
            </w:pPr>
            <w:r w:rsidRPr="001946E0">
              <w:rPr>
                <w:color w:val="000000"/>
              </w:rPr>
              <w:t>D.1</w:t>
            </w:r>
          </w:p>
        </w:tc>
        <w:tc>
          <w:tcPr>
            <w:tcW w:w="992" w:type="dxa"/>
            <w:vAlign w:val="center"/>
          </w:tcPr>
          <w:p w:rsidR="002D62B9" w:rsidRPr="001946E0" w:rsidRDefault="002D62B9" w:rsidP="001B1A50">
            <w:pPr>
              <w:pStyle w:val="tabteksts"/>
              <w:jc w:val="right"/>
              <w:rPr>
                <w:snapToGrid w:val="0"/>
                <w:color w:val="000000"/>
              </w:rPr>
            </w:pPr>
            <w:r w:rsidRPr="001946E0">
              <w:rPr>
                <w:snapToGrid w:val="0"/>
                <w:color w:val="000000"/>
              </w:rPr>
              <w:t>1355,1</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9,6</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9,3</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8,9</w:t>
            </w:r>
          </w:p>
        </w:tc>
        <w:tc>
          <w:tcPr>
            <w:tcW w:w="708" w:type="dxa"/>
            <w:vAlign w:val="center"/>
          </w:tcPr>
          <w:p w:rsidR="002D62B9" w:rsidRPr="001946E0" w:rsidRDefault="002D62B9" w:rsidP="001B1A50">
            <w:pPr>
              <w:pStyle w:val="tabteksts"/>
              <w:jc w:val="right"/>
              <w:rPr>
                <w:snapToGrid w:val="0"/>
                <w:color w:val="000000"/>
              </w:rPr>
            </w:pPr>
            <w:r w:rsidRPr="001946E0">
              <w:rPr>
                <w:snapToGrid w:val="0"/>
                <w:color w:val="000000"/>
              </w:rPr>
              <w:t>8,5</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8,4</w:t>
            </w:r>
          </w:p>
        </w:tc>
      </w:tr>
      <w:tr w:rsidR="002D62B9" w:rsidRPr="001946E0" w:rsidTr="00D01375">
        <w:trPr>
          <w:cantSplit/>
        </w:trPr>
        <w:tc>
          <w:tcPr>
            <w:tcW w:w="3686" w:type="dxa"/>
            <w:vAlign w:val="center"/>
          </w:tcPr>
          <w:p w:rsidR="002D62B9" w:rsidRPr="001946E0" w:rsidRDefault="002D62B9" w:rsidP="001B1A50">
            <w:pPr>
              <w:pStyle w:val="tabteksts"/>
              <w:rPr>
                <w:snapToGrid w:val="0"/>
                <w:color w:val="000000"/>
              </w:rPr>
            </w:pPr>
            <w:r w:rsidRPr="001946E0">
              <w:rPr>
                <w:snapToGrid w:val="0"/>
                <w:color w:val="000000"/>
              </w:rPr>
              <w:t>17b. Starppatēriņš</w:t>
            </w:r>
          </w:p>
        </w:tc>
        <w:tc>
          <w:tcPr>
            <w:tcW w:w="1134" w:type="dxa"/>
            <w:vAlign w:val="center"/>
          </w:tcPr>
          <w:p w:rsidR="002D62B9" w:rsidRPr="001946E0" w:rsidRDefault="002D62B9" w:rsidP="001B1A50">
            <w:pPr>
              <w:pStyle w:val="tabteksts"/>
              <w:rPr>
                <w:color w:val="000000"/>
              </w:rPr>
            </w:pPr>
            <w:r w:rsidRPr="001946E0">
              <w:rPr>
                <w:color w:val="000000"/>
              </w:rPr>
              <w:t>P.2</w:t>
            </w:r>
          </w:p>
        </w:tc>
        <w:tc>
          <w:tcPr>
            <w:tcW w:w="992" w:type="dxa"/>
            <w:vAlign w:val="center"/>
          </w:tcPr>
          <w:p w:rsidR="002D62B9" w:rsidRPr="001946E0" w:rsidRDefault="002D62B9" w:rsidP="001B1A50">
            <w:pPr>
              <w:pStyle w:val="tabteksts"/>
              <w:jc w:val="right"/>
              <w:rPr>
                <w:snapToGrid w:val="0"/>
                <w:color w:val="000000"/>
              </w:rPr>
            </w:pPr>
            <w:r w:rsidRPr="001946E0">
              <w:rPr>
                <w:snapToGrid w:val="0"/>
                <w:color w:val="000000"/>
              </w:rPr>
              <w:t>1001,6</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7,1</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6,8</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6,2</w:t>
            </w:r>
          </w:p>
        </w:tc>
        <w:tc>
          <w:tcPr>
            <w:tcW w:w="708" w:type="dxa"/>
            <w:vAlign w:val="center"/>
          </w:tcPr>
          <w:p w:rsidR="002D62B9" w:rsidRPr="001946E0" w:rsidRDefault="002D62B9" w:rsidP="001B1A50">
            <w:pPr>
              <w:pStyle w:val="tabteksts"/>
              <w:jc w:val="right"/>
              <w:rPr>
                <w:snapToGrid w:val="0"/>
                <w:color w:val="000000"/>
              </w:rPr>
            </w:pPr>
            <w:r w:rsidRPr="001946E0">
              <w:rPr>
                <w:snapToGrid w:val="0"/>
                <w:color w:val="000000"/>
              </w:rPr>
              <w:t>5,7</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5,4</w:t>
            </w:r>
          </w:p>
        </w:tc>
      </w:tr>
      <w:tr w:rsidR="002D62B9" w:rsidRPr="001946E0" w:rsidTr="00D01375">
        <w:trPr>
          <w:cantSplit/>
        </w:trPr>
        <w:tc>
          <w:tcPr>
            <w:tcW w:w="3686" w:type="dxa"/>
            <w:vAlign w:val="center"/>
          </w:tcPr>
          <w:p w:rsidR="002D62B9" w:rsidRPr="001946E0" w:rsidRDefault="002D62B9" w:rsidP="001B1A50">
            <w:pPr>
              <w:pStyle w:val="tabteksts"/>
              <w:rPr>
                <w:snapToGrid w:val="0"/>
                <w:color w:val="000000"/>
              </w:rPr>
            </w:pPr>
            <w:r w:rsidRPr="001946E0">
              <w:rPr>
                <w:snapToGrid w:val="0"/>
                <w:color w:val="000000"/>
              </w:rPr>
              <w:t xml:space="preserve">18. Sociālie maksājumi (18=18a+18b) </w:t>
            </w:r>
          </w:p>
        </w:tc>
        <w:tc>
          <w:tcPr>
            <w:tcW w:w="1134" w:type="dxa"/>
            <w:vAlign w:val="center"/>
          </w:tcPr>
          <w:p w:rsidR="002D62B9" w:rsidRPr="001946E0" w:rsidRDefault="002D62B9" w:rsidP="001B1A50">
            <w:pPr>
              <w:pStyle w:val="tabteksts"/>
              <w:rPr>
                <w:color w:val="000000"/>
              </w:rPr>
            </w:pPr>
          </w:p>
        </w:tc>
        <w:tc>
          <w:tcPr>
            <w:tcW w:w="992" w:type="dxa"/>
            <w:vAlign w:val="center"/>
          </w:tcPr>
          <w:p w:rsidR="002D62B9" w:rsidRPr="001946E0" w:rsidRDefault="002D62B9" w:rsidP="001B1A50">
            <w:pPr>
              <w:pStyle w:val="tabteksts"/>
              <w:jc w:val="right"/>
              <w:rPr>
                <w:snapToGrid w:val="0"/>
                <w:color w:val="000000"/>
              </w:rPr>
            </w:pPr>
            <w:r w:rsidRPr="001946E0">
              <w:rPr>
                <w:snapToGrid w:val="0"/>
                <w:color w:val="000000"/>
              </w:rPr>
              <w:t>1611,8</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11,4</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11,0</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10,2</w:t>
            </w:r>
          </w:p>
        </w:tc>
        <w:tc>
          <w:tcPr>
            <w:tcW w:w="708" w:type="dxa"/>
            <w:vAlign w:val="center"/>
          </w:tcPr>
          <w:p w:rsidR="002D62B9" w:rsidRPr="001946E0" w:rsidRDefault="002D62B9" w:rsidP="001B1A50">
            <w:pPr>
              <w:pStyle w:val="tabteksts"/>
              <w:jc w:val="right"/>
              <w:rPr>
                <w:snapToGrid w:val="0"/>
                <w:color w:val="000000"/>
              </w:rPr>
            </w:pPr>
            <w:r w:rsidRPr="001946E0">
              <w:rPr>
                <w:snapToGrid w:val="0"/>
                <w:color w:val="000000"/>
              </w:rPr>
              <w:t>9,6</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9,1</w:t>
            </w:r>
          </w:p>
        </w:tc>
      </w:tr>
      <w:tr w:rsidR="002D62B9" w:rsidRPr="001946E0" w:rsidTr="00D01375">
        <w:trPr>
          <w:cantSplit/>
        </w:trPr>
        <w:tc>
          <w:tcPr>
            <w:tcW w:w="3686" w:type="dxa"/>
            <w:vAlign w:val="center"/>
          </w:tcPr>
          <w:p w:rsidR="002D62B9" w:rsidRPr="001946E0" w:rsidRDefault="002D62B9" w:rsidP="001B1A50">
            <w:pPr>
              <w:pStyle w:val="tabteksts"/>
              <w:rPr>
                <w:snapToGrid w:val="0"/>
                <w:color w:val="000000"/>
              </w:rPr>
            </w:pPr>
            <w:r w:rsidRPr="001946E0">
              <w:rPr>
                <w:snapToGrid w:val="0"/>
                <w:color w:val="000000"/>
              </w:rPr>
              <w:t xml:space="preserve">        tai skaitā bezdarbnieku pabalsti</w:t>
            </w:r>
          </w:p>
        </w:tc>
        <w:tc>
          <w:tcPr>
            <w:tcW w:w="1134" w:type="dxa"/>
            <w:vAlign w:val="center"/>
          </w:tcPr>
          <w:p w:rsidR="002D62B9" w:rsidRPr="001946E0" w:rsidRDefault="002D62B9" w:rsidP="001B1A50">
            <w:pPr>
              <w:pStyle w:val="tabteksts"/>
              <w:rPr>
                <w:color w:val="000000"/>
              </w:rPr>
            </w:pPr>
          </w:p>
        </w:tc>
        <w:tc>
          <w:tcPr>
            <w:tcW w:w="992" w:type="dxa"/>
            <w:vAlign w:val="center"/>
          </w:tcPr>
          <w:p w:rsidR="002D62B9" w:rsidRPr="001946E0" w:rsidRDefault="002D62B9" w:rsidP="001B1A50">
            <w:pPr>
              <w:pStyle w:val="tabteksts"/>
              <w:jc w:val="right"/>
              <w:rPr>
                <w:snapToGrid w:val="0"/>
                <w:color w:val="000000"/>
              </w:rPr>
            </w:pPr>
            <w:r w:rsidRPr="001946E0">
              <w:rPr>
                <w:snapToGrid w:val="0"/>
                <w:color w:val="000000"/>
              </w:rPr>
              <w:t>43,7</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0,3</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0,3</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0,3</w:t>
            </w:r>
          </w:p>
        </w:tc>
        <w:tc>
          <w:tcPr>
            <w:tcW w:w="708" w:type="dxa"/>
            <w:vAlign w:val="center"/>
          </w:tcPr>
          <w:p w:rsidR="002D62B9" w:rsidRPr="001946E0" w:rsidRDefault="002D62B9" w:rsidP="001B1A50">
            <w:pPr>
              <w:pStyle w:val="tabteksts"/>
              <w:jc w:val="right"/>
              <w:rPr>
                <w:snapToGrid w:val="0"/>
                <w:color w:val="000000"/>
              </w:rPr>
            </w:pPr>
            <w:r w:rsidRPr="001946E0">
              <w:rPr>
                <w:snapToGrid w:val="0"/>
                <w:color w:val="000000"/>
              </w:rPr>
              <w:t>0,3</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0,3</w:t>
            </w:r>
          </w:p>
        </w:tc>
      </w:tr>
      <w:tr w:rsidR="002D62B9" w:rsidRPr="001946E0" w:rsidTr="00D01375">
        <w:trPr>
          <w:cantSplit/>
        </w:trPr>
        <w:tc>
          <w:tcPr>
            <w:tcW w:w="3686" w:type="dxa"/>
            <w:vAlign w:val="center"/>
          </w:tcPr>
          <w:p w:rsidR="002D62B9" w:rsidRPr="001946E0" w:rsidRDefault="002D62B9" w:rsidP="001B1A50">
            <w:pPr>
              <w:pStyle w:val="tabteksts"/>
              <w:rPr>
                <w:snapToGrid w:val="0"/>
                <w:color w:val="000000"/>
              </w:rPr>
            </w:pPr>
            <w:r w:rsidRPr="001946E0">
              <w:rPr>
                <w:snapToGrid w:val="0"/>
                <w:color w:val="000000"/>
              </w:rPr>
              <w:t xml:space="preserve">18a. Sociālie pārvedumi piegādāti caur tirgus ražotājiem </w:t>
            </w:r>
          </w:p>
        </w:tc>
        <w:tc>
          <w:tcPr>
            <w:tcW w:w="1134" w:type="dxa"/>
            <w:vAlign w:val="center"/>
          </w:tcPr>
          <w:p w:rsidR="002D62B9" w:rsidRPr="001946E0" w:rsidRDefault="002D62B9" w:rsidP="001B1A50">
            <w:pPr>
              <w:pStyle w:val="tabteksts"/>
              <w:rPr>
                <w:color w:val="000000"/>
              </w:rPr>
            </w:pPr>
            <w:r w:rsidRPr="001946E0">
              <w:rPr>
                <w:color w:val="000000"/>
              </w:rPr>
              <w:t>D.6311,</w:t>
            </w:r>
          </w:p>
          <w:p w:rsidR="002D62B9" w:rsidRPr="001946E0" w:rsidRDefault="002D62B9" w:rsidP="001B1A50">
            <w:pPr>
              <w:pStyle w:val="tabteksts"/>
              <w:rPr>
                <w:color w:val="000000"/>
              </w:rPr>
            </w:pPr>
            <w:r w:rsidRPr="001946E0">
              <w:rPr>
                <w:color w:val="000000"/>
              </w:rPr>
              <w:t>D.63121,</w:t>
            </w:r>
          </w:p>
          <w:p w:rsidR="002D62B9" w:rsidRPr="001946E0" w:rsidRDefault="002D62B9" w:rsidP="001B1A50">
            <w:pPr>
              <w:pStyle w:val="tabteksts"/>
              <w:rPr>
                <w:color w:val="000000"/>
              </w:rPr>
            </w:pPr>
            <w:r w:rsidRPr="001946E0">
              <w:rPr>
                <w:color w:val="000000"/>
              </w:rPr>
              <w:t xml:space="preserve">D.63131 </w:t>
            </w:r>
          </w:p>
        </w:tc>
        <w:tc>
          <w:tcPr>
            <w:tcW w:w="992" w:type="dxa"/>
            <w:vAlign w:val="center"/>
          </w:tcPr>
          <w:p w:rsidR="002D62B9" w:rsidRPr="001946E0" w:rsidRDefault="002D62B9" w:rsidP="001B1A50">
            <w:pPr>
              <w:pStyle w:val="tabteksts"/>
              <w:jc w:val="right"/>
              <w:rPr>
                <w:snapToGrid w:val="0"/>
                <w:color w:val="000000"/>
              </w:rPr>
            </w:pPr>
            <w:r w:rsidRPr="001946E0">
              <w:rPr>
                <w:snapToGrid w:val="0"/>
                <w:color w:val="000000"/>
              </w:rPr>
              <w:t>80,2</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0,6</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0,5</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0,5</w:t>
            </w:r>
          </w:p>
        </w:tc>
        <w:tc>
          <w:tcPr>
            <w:tcW w:w="708" w:type="dxa"/>
            <w:vAlign w:val="center"/>
          </w:tcPr>
          <w:p w:rsidR="002D62B9" w:rsidRPr="001946E0" w:rsidRDefault="002D62B9" w:rsidP="001B1A50">
            <w:pPr>
              <w:pStyle w:val="tabteksts"/>
              <w:jc w:val="right"/>
              <w:rPr>
                <w:snapToGrid w:val="0"/>
                <w:color w:val="000000"/>
              </w:rPr>
            </w:pPr>
            <w:r w:rsidRPr="001946E0">
              <w:rPr>
                <w:snapToGrid w:val="0"/>
                <w:color w:val="000000"/>
              </w:rPr>
              <w:t>0,5</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0,5</w:t>
            </w:r>
          </w:p>
        </w:tc>
      </w:tr>
      <w:tr w:rsidR="002D62B9" w:rsidRPr="001946E0" w:rsidTr="00D01375">
        <w:trPr>
          <w:cantSplit/>
        </w:trPr>
        <w:tc>
          <w:tcPr>
            <w:tcW w:w="3686" w:type="dxa"/>
            <w:vAlign w:val="center"/>
          </w:tcPr>
          <w:p w:rsidR="002D62B9" w:rsidRPr="001946E0" w:rsidRDefault="002D62B9" w:rsidP="001B1A50">
            <w:pPr>
              <w:pStyle w:val="tabteksts"/>
              <w:rPr>
                <w:snapToGrid w:val="0"/>
                <w:color w:val="000000"/>
              </w:rPr>
            </w:pPr>
            <w:r w:rsidRPr="001946E0">
              <w:rPr>
                <w:snapToGrid w:val="0"/>
                <w:color w:val="000000"/>
              </w:rPr>
              <w:t>18b. Sociālie pārvedumi, kas nav sociālie pārvedumi natūrā</w:t>
            </w:r>
          </w:p>
        </w:tc>
        <w:tc>
          <w:tcPr>
            <w:tcW w:w="1134" w:type="dxa"/>
            <w:vAlign w:val="center"/>
          </w:tcPr>
          <w:p w:rsidR="002D62B9" w:rsidRPr="001946E0" w:rsidRDefault="002D62B9" w:rsidP="001B1A50">
            <w:pPr>
              <w:pStyle w:val="tabteksts"/>
              <w:rPr>
                <w:color w:val="000000"/>
              </w:rPr>
            </w:pPr>
            <w:r w:rsidRPr="001946E0">
              <w:rPr>
                <w:color w:val="000000"/>
              </w:rPr>
              <w:t xml:space="preserve">D.62 </w:t>
            </w:r>
          </w:p>
        </w:tc>
        <w:tc>
          <w:tcPr>
            <w:tcW w:w="992" w:type="dxa"/>
            <w:vAlign w:val="center"/>
          </w:tcPr>
          <w:p w:rsidR="002D62B9" w:rsidRPr="001946E0" w:rsidRDefault="002D62B9" w:rsidP="001B1A50">
            <w:pPr>
              <w:pStyle w:val="tabteksts"/>
              <w:jc w:val="right"/>
              <w:rPr>
                <w:snapToGrid w:val="0"/>
                <w:color w:val="000000"/>
              </w:rPr>
            </w:pPr>
            <w:r w:rsidRPr="001946E0">
              <w:rPr>
                <w:snapToGrid w:val="0"/>
                <w:color w:val="000000"/>
              </w:rPr>
              <w:t>1531,5</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10,8</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10,4</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9,7</w:t>
            </w:r>
          </w:p>
        </w:tc>
        <w:tc>
          <w:tcPr>
            <w:tcW w:w="708" w:type="dxa"/>
            <w:vAlign w:val="center"/>
          </w:tcPr>
          <w:p w:rsidR="002D62B9" w:rsidRPr="001946E0" w:rsidRDefault="002D62B9" w:rsidP="001B1A50">
            <w:pPr>
              <w:pStyle w:val="tabteksts"/>
              <w:jc w:val="right"/>
              <w:rPr>
                <w:snapToGrid w:val="0"/>
                <w:color w:val="000000"/>
              </w:rPr>
            </w:pPr>
            <w:r w:rsidRPr="001946E0">
              <w:rPr>
                <w:snapToGrid w:val="0"/>
                <w:color w:val="000000"/>
              </w:rPr>
              <w:t>9,1</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8,7</w:t>
            </w:r>
          </w:p>
        </w:tc>
      </w:tr>
      <w:tr w:rsidR="002D62B9" w:rsidRPr="001946E0" w:rsidTr="00D01375">
        <w:trPr>
          <w:cantSplit/>
        </w:trPr>
        <w:tc>
          <w:tcPr>
            <w:tcW w:w="3686" w:type="dxa"/>
            <w:vAlign w:val="center"/>
          </w:tcPr>
          <w:p w:rsidR="002D62B9" w:rsidRPr="001946E0" w:rsidRDefault="002D62B9" w:rsidP="001B1A50">
            <w:pPr>
              <w:pStyle w:val="tabteksts"/>
              <w:rPr>
                <w:snapToGrid w:val="0"/>
                <w:color w:val="000000"/>
              </w:rPr>
            </w:pPr>
            <w:r w:rsidRPr="001946E0">
              <w:rPr>
                <w:snapToGrid w:val="0"/>
                <w:color w:val="000000"/>
              </w:rPr>
              <w:t xml:space="preserve">19.=9. Procentu izdevumi </w:t>
            </w:r>
          </w:p>
        </w:tc>
        <w:tc>
          <w:tcPr>
            <w:tcW w:w="1134" w:type="dxa"/>
            <w:vAlign w:val="center"/>
          </w:tcPr>
          <w:p w:rsidR="002D62B9" w:rsidRPr="001946E0" w:rsidRDefault="002D62B9" w:rsidP="001B1A50">
            <w:pPr>
              <w:pStyle w:val="tabteksts"/>
              <w:rPr>
                <w:snapToGrid w:val="0"/>
                <w:color w:val="000000"/>
              </w:rPr>
            </w:pPr>
            <w:r w:rsidRPr="001946E0">
              <w:rPr>
                <w:snapToGrid w:val="0"/>
                <w:color w:val="000000"/>
              </w:rPr>
              <w:t xml:space="preserve">EDP D.41 </w:t>
            </w:r>
          </w:p>
        </w:tc>
        <w:tc>
          <w:tcPr>
            <w:tcW w:w="992" w:type="dxa"/>
            <w:vAlign w:val="center"/>
          </w:tcPr>
          <w:p w:rsidR="002D62B9" w:rsidRPr="001946E0" w:rsidRDefault="002D62B9" w:rsidP="001B1A50">
            <w:pPr>
              <w:pStyle w:val="tabteksts"/>
              <w:jc w:val="right"/>
              <w:rPr>
                <w:snapToGrid w:val="0"/>
                <w:color w:val="000000"/>
              </w:rPr>
            </w:pPr>
            <w:r w:rsidRPr="001946E0">
              <w:rPr>
                <w:snapToGrid w:val="0"/>
                <w:color w:val="000000"/>
              </w:rPr>
              <w:t>210,3</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1,5</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1,7</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1,8</w:t>
            </w:r>
          </w:p>
        </w:tc>
        <w:tc>
          <w:tcPr>
            <w:tcW w:w="708" w:type="dxa"/>
            <w:vAlign w:val="center"/>
          </w:tcPr>
          <w:p w:rsidR="002D62B9" w:rsidRPr="001946E0" w:rsidRDefault="002D62B9" w:rsidP="001B1A50">
            <w:pPr>
              <w:pStyle w:val="tabteksts"/>
              <w:jc w:val="right"/>
              <w:rPr>
                <w:snapToGrid w:val="0"/>
                <w:color w:val="000000"/>
              </w:rPr>
            </w:pPr>
            <w:r w:rsidRPr="001946E0">
              <w:rPr>
                <w:snapToGrid w:val="0"/>
                <w:color w:val="000000"/>
              </w:rPr>
              <w:t>2,1</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2,1</w:t>
            </w:r>
          </w:p>
        </w:tc>
      </w:tr>
      <w:tr w:rsidR="002D62B9" w:rsidRPr="001946E0" w:rsidTr="00D01375">
        <w:trPr>
          <w:cantSplit/>
        </w:trPr>
        <w:tc>
          <w:tcPr>
            <w:tcW w:w="3686" w:type="dxa"/>
            <w:vAlign w:val="center"/>
          </w:tcPr>
          <w:p w:rsidR="002D62B9" w:rsidRPr="001946E0" w:rsidRDefault="002D62B9" w:rsidP="001B1A50">
            <w:pPr>
              <w:pStyle w:val="tabteksts"/>
              <w:rPr>
                <w:snapToGrid w:val="0"/>
                <w:color w:val="000000"/>
              </w:rPr>
            </w:pPr>
            <w:r w:rsidRPr="001946E0">
              <w:rPr>
                <w:snapToGrid w:val="0"/>
                <w:color w:val="000000"/>
              </w:rPr>
              <w:t>20. Subsīdijas</w:t>
            </w:r>
          </w:p>
        </w:tc>
        <w:tc>
          <w:tcPr>
            <w:tcW w:w="1134" w:type="dxa"/>
            <w:vAlign w:val="center"/>
          </w:tcPr>
          <w:p w:rsidR="002D62B9" w:rsidRPr="001946E0" w:rsidRDefault="002D62B9" w:rsidP="001B1A50">
            <w:pPr>
              <w:pStyle w:val="tabteksts"/>
              <w:rPr>
                <w:color w:val="000000"/>
              </w:rPr>
            </w:pPr>
            <w:r w:rsidRPr="001946E0">
              <w:rPr>
                <w:color w:val="000000"/>
              </w:rPr>
              <w:t>D.3</w:t>
            </w:r>
          </w:p>
        </w:tc>
        <w:tc>
          <w:tcPr>
            <w:tcW w:w="992" w:type="dxa"/>
            <w:vAlign w:val="center"/>
          </w:tcPr>
          <w:p w:rsidR="002D62B9" w:rsidRPr="001946E0" w:rsidRDefault="002D62B9" w:rsidP="001B1A50">
            <w:pPr>
              <w:pStyle w:val="tabteksts"/>
              <w:jc w:val="right"/>
              <w:rPr>
                <w:snapToGrid w:val="0"/>
                <w:color w:val="000000"/>
              </w:rPr>
            </w:pPr>
            <w:r w:rsidRPr="001946E0">
              <w:rPr>
                <w:snapToGrid w:val="0"/>
                <w:color w:val="000000"/>
              </w:rPr>
              <w:t>37,8</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0,3</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0,3</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0,3</w:t>
            </w:r>
          </w:p>
        </w:tc>
        <w:tc>
          <w:tcPr>
            <w:tcW w:w="708" w:type="dxa"/>
            <w:vAlign w:val="center"/>
          </w:tcPr>
          <w:p w:rsidR="002D62B9" w:rsidRPr="001946E0" w:rsidRDefault="002D62B9" w:rsidP="001B1A50">
            <w:pPr>
              <w:pStyle w:val="tabteksts"/>
              <w:jc w:val="right"/>
              <w:rPr>
                <w:snapToGrid w:val="0"/>
                <w:color w:val="000000"/>
              </w:rPr>
            </w:pPr>
            <w:r w:rsidRPr="001946E0">
              <w:rPr>
                <w:snapToGrid w:val="0"/>
                <w:color w:val="000000"/>
              </w:rPr>
              <w:t>0,3</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0,3</w:t>
            </w:r>
          </w:p>
        </w:tc>
      </w:tr>
      <w:tr w:rsidR="002D62B9" w:rsidRPr="001946E0" w:rsidTr="00D01375">
        <w:trPr>
          <w:cantSplit/>
        </w:trPr>
        <w:tc>
          <w:tcPr>
            <w:tcW w:w="3686" w:type="dxa"/>
            <w:vAlign w:val="center"/>
          </w:tcPr>
          <w:p w:rsidR="002D62B9" w:rsidRPr="001946E0" w:rsidRDefault="002D62B9" w:rsidP="001B1A50">
            <w:pPr>
              <w:pStyle w:val="tabteksts"/>
              <w:rPr>
                <w:snapToGrid w:val="0"/>
                <w:color w:val="000000"/>
              </w:rPr>
            </w:pPr>
            <w:r w:rsidRPr="001946E0">
              <w:rPr>
                <w:snapToGrid w:val="0"/>
                <w:color w:val="000000"/>
              </w:rPr>
              <w:t>21. Bruto kopējā pamatkapitāla veidošana</w:t>
            </w:r>
          </w:p>
        </w:tc>
        <w:tc>
          <w:tcPr>
            <w:tcW w:w="1134" w:type="dxa"/>
            <w:vAlign w:val="center"/>
          </w:tcPr>
          <w:p w:rsidR="002D62B9" w:rsidRPr="001946E0" w:rsidRDefault="002D62B9" w:rsidP="001B1A50">
            <w:pPr>
              <w:pStyle w:val="tabteksts"/>
              <w:rPr>
                <w:color w:val="000000"/>
              </w:rPr>
            </w:pPr>
            <w:r w:rsidRPr="001946E0">
              <w:rPr>
                <w:color w:val="000000"/>
              </w:rPr>
              <w:t>P.51</w:t>
            </w:r>
          </w:p>
        </w:tc>
        <w:tc>
          <w:tcPr>
            <w:tcW w:w="992" w:type="dxa"/>
            <w:vAlign w:val="center"/>
          </w:tcPr>
          <w:p w:rsidR="002D62B9" w:rsidRPr="001946E0" w:rsidRDefault="002D62B9" w:rsidP="001B1A50">
            <w:pPr>
              <w:pStyle w:val="tabteksts"/>
              <w:jc w:val="right"/>
              <w:rPr>
                <w:snapToGrid w:val="0"/>
                <w:color w:val="000000"/>
              </w:rPr>
            </w:pPr>
            <w:r w:rsidRPr="001946E0">
              <w:rPr>
                <w:snapToGrid w:val="0"/>
                <w:color w:val="000000"/>
              </w:rPr>
              <w:t>593,9</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4,2</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4,2</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2,9</w:t>
            </w:r>
          </w:p>
        </w:tc>
        <w:tc>
          <w:tcPr>
            <w:tcW w:w="708" w:type="dxa"/>
            <w:vAlign w:val="center"/>
          </w:tcPr>
          <w:p w:rsidR="002D62B9" w:rsidRPr="001946E0" w:rsidRDefault="002D62B9" w:rsidP="001B1A50">
            <w:pPr>
              <w:pStyle w:val="tabteksts"/>
              <w:jc w:val="right"/>
              <w:rPr>
                <w:snapToGrid w:val="0"/>
                <w:color w:val="000000"/>
              </w:rPr>
            </w:pPr>
            <w:r w:rsidRPr="001946E0">
              <w:rPr>
                <w:snapToGrid w:val="0"/>
                <w:color w:val="000000"/>
              </w:rPr>
              <w:t>1,5</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1,2</w:t>
            </w:r>
          </w:p>
        </w:tc>
      </w:tr>
      <w:tr w:rsidR="002D62B9" w:rsidRPr="001946E0" w:rsidTr="00D01375">
        <w:trPr>
          <w:cantSplit/>
        </w:trPr>
        <w:tc>
          <w:tcPr>
            <w:tcW w:w="3686" w:type="dxa"/>
            <w:vAlign w:val="center"/>
          </w:tcPr>
          <w:p w:rsidR="002D62B9" w:rsidRPr="001946E0" w:rsidRDefault="002D62B9" w:rsidP="001B1A50">
            <w:pPr>
              <w:pStyle w:val="tabteksts"/>
              <w:rPr>
                <w:snapToGrid w:val="0"/>
                <w:color w:val="000000"/>
              </w:rPr>
            </w:pPr>
            <w:r w:rsidRPr="001946E0">
              <w:rPr>
                <w:snapToGrid w:val="0"/>
                <w:color w:val="000000"/>
              </w:rPr>
              <w:t>22. Kapitālo izdevumu transferti</w:t>
            </w:r>
          </w:p>
        </w:tc>
        <w:tc>
          <w:tcPr>
            <w:tcW w:w="1134" w:type="dxa"/>
            <w:vAlign w:val="center"/>
          </w:tcPr>
          <w:p w:rsidR="002D62B9" w:rsidRPr="001946E0" w:rsidRDefault="002D62B9" w:rsidP="001B1A50">
            <w:pPr>
              <w:pStyle w:val="tabteksts"/>
              <w:rPr>
                <w:color w:val="000000"/>
              </w:rPr>
            </w:pPr>
            <w:r w:rsidRPr="001946E0">
              <w:rPr>
                <w:color w:val="000000"/>
              </w:rPr>
              <w:t>D.9</w:t>
            </w:r>
          </w:p>
        </w:tc>
        <w:tc>
          <w:tcPr>
            <w:tcW w:w="992" w:type="dxa"/>
            <w:vAlign w:val="center"/>
          </w:tcPr>
          <w:p w:rsidR="002D62B9" w:rsidRPr="001946E0" w:rsidRDefault="002D62B9" w:rsidP="001B1A50">
            <w:pPr>
              <w:pStyle w:val="tabteksts"/>
              <w:jc w:val="right"/>
              <w:rPr>
                <w:snapToGrid w:val="0"/>
                <w:color w:val="000000"/>
              </w:rPr>
            </w:pPr>
            <w:r w:rsidRPr="001946E0">
              <w:rPr>
                <w:snapToGrid w:val="0"/>
                <w:color w:val="000000"/>
              </w:rPr>
              <w:t>397,2</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2,8</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2,0</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1,7</w:t>
            </w:r>
          </w:p>
        </w:tc>
        <w:tc>
          <w:tcPr>
            <w:tcW w:w="708" w:type="dxa"/>
            <w:vAlign w:val="center"/>
          </w:tcPr>
          <w:p w:rsidR="002D62B9" w:rsidRPr="001946E0" w:rsidRDefault="002D62B9" w:rsidP="001B1A50">
            <w:pPr>
              <w:pStyle w:val="tabteksts"/>
              <w:jc w:val="right"/>
              <w:rPr>
                <w:snapToGrid w:val="0"/>
                <w:color w:val="000000"/>
              </w:rPr>
            </w:pPr>
            <w:r w:rsidRPr="001946E0">
              <w:rPr>
                <w:snapToGrid w:val="0"/>
                <w:color w:val="000000"/>
              </w:rPr>
              <w:t>1,6</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1,5</w:t>
            </w:r>
          </w:p>
        </w:tc>
      </w:tr>
      <w:tr w:rsidR="002D62B9" w:rsidRPr="001946E0" w:rsidTr="00D01375">
        <w:trPr>
          <w:cantSplit/>
        </w:trPr>
        <w:tc>
          <w:tcPr>
            <w:tcW w:w="3686" w:type="dxa"/>
            <w:vAlign w:val="center"/>
          </w:tcPr>
          <w:p w:rsidR="002D62B9" w:rsidRPr="001946E0" w:rsidRDefault="002D62B9" w:rsidP="001B1A50">
            <w:pPr>
              <w:pStyle w:val="tabteksts"/>
              <w:rPr>
                <w:snapToGrid w:val="0"/>
                <w:color w:val="000000"/>
              </w:rPr>
            </w:pPr>
            <w:r w:rsidRPr="001946E0">
              <w:rPr>
                <w:snapToGrid w:val="0"/>
                <w:color w:val="000000"/>
              </w:rPr>
              <w:t>23. Pārējie izdevumi</w:t>
            </w:r>
          </w:p>
        </w:tc>
        <w:tc>
          <w:tcPr>
            <w:tcW w:w="1134" w:type="dxa"/>
            <w:vAlign w:val="center"/>
          </w:tcPr>
          <w:p w:rsidR="002D62B9" w:rsidRPr="001946E0" w:rsidRDefault="002D62B9" w:rsidP="001B1A50">
            <w:pPr>
              <w:pStyle w:val="tabteksts"/>
              <w:rPr>
                <w:color w:val="000000"/>
              </w:rPr>
            </w:pPr>
          </w:p>
        </w:tc>
        <w:tc>
          <w:tcPr>
            <w:tcW w:w="992" w:type="dxa"/>
            <w:vAlign w:val="center"/>
          </w:tcPr>
          <w:p w:rsidR="002D62B9" w:rsidRPr="001946E0" w:rsidRDefault="002D62B9" w:rsidP="001B1A50">
            <w:pPr>
              <w:pStyle w:val="tabteksts"/>
              <w:jc w:val="right"/>
              <w:rPr>
                <w:snapToGrid w:val="0"/>
                <w:color w:val="000000"/>
              </w:rPr>
            </w:pPr>
            <w:r w:rsidRPr="001946E0">
              <w:rPr>
                <w:snapToGrid w:val="0"/>
                <w:color w:val="000000"/>
              </w:rPr>
              <w:t>326,1</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2,3</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4,3</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4,5</w:t>
            </w:r>
          </w:p>
        </w:tc>
        <w:tc>
          <w:tcPr>
            <w:tcW w:w="708" w:type="dxa"/>
            <w:vAlign w:val="center"/>
          </w:tcPr>
          <w:p w:rsidR="002D62B9" w:rsidRPr="001946E0" w:rsidRDefault="002D62B9" w:rsidP="001B1A50">
            <w:pPr>
              <w:pStyle w:val="tabteksts"/>
              <w:jc w:val="right"/>
              <w:rPr>
                <w:snapToGrid w:val="0"/>
                <w:color w:val="000000"/>
              </w:rPr>
            </w:pPr>
            <w:r w:rsidRPr="001946E0">
              <w:rPr>
                <w:snapToGrid w:val="0"/>
                <w:color w:val="000000"/>
              </w:rPr>
              <w:t>5,7</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5,1</w:t>
            </w:r>
          </w:p>
        </w:tc>
      </w:tr>
      <w:tr w:rsidR="002D62B9" w:rsidRPr="001946E0" w:rsidTr="00D01375">
        <w:trPr>
          <w:cantSplit/>
        </w:trPr>
        <w:tc>
          <w:tcPr>
            <w:tcW w:w="3686" w:type="dxa"/>
            <w:vAlign w:val="center"/>
          </w:tcPr>
          <w:p w:rsidR="002D62B9" w:rsidRPr="001946E0" w:rsidRDefault="002D62B9" w:rsidP="001B1A50">
            <w:pPr>
              <w:pStyle w:val="tabteksts"/>
              <w:rPr>
                <w:snapToGrid w:val="0"/>
                <w:color w:val="000000"/>
              </w:rPr>
            </w:pPr>
            <w:r w:rsidRPr="001946E0">
              <w:rPr>
                <w:snapToGrid w:val="0"/>
                <w:color w:val="000000"/>
              </w:rPr>
              <w:t>24.=7. Kopējie izdevumi</w:t>
            </w:r>
          </w:p>
        </w:tc>
        <w:tc>
          <w:tcPr>
            <w:tcW w:w="1134" w:type="dxa"/>
            <w:vAlign w:val="center"/>
          </w:tcPr>
          <w:p w:rsidR="002D62B9" w:rsidRPr="001946E0" w:rsidRDefault="002D62B9" w:rsidP="001B1A50">
            <w:pPr>
              <w:pStyle w:val="tabteksts"/>
              <w:rPr>
                <w:color w:val="000000"/>
              </w:rPr>
            </w:pPr>
            <w:r w:rsidRPr="001946E0">
              <w:rPr>
                <w:color w:val="000000"/>
              </w:rPr>
              <w:t>TE</w:t>
            </w:r>
          </w:p>
        </w:tc>
        <w:tc>
          <w:tcPr>
            <w:tcW w:w="992" w:type="dxa"/>
            <w:vAlign w:val="center"/>
          </w:tcPr>
          <w:p w:rsidR="002D62B9" w:rsidRPr="001946E0" w:rsidRDefault="002D62B9" w:rsidP="001B1A50">
            <w:pPr>
              <w:pStyle w:val="tabteksts"/>
              <w:jc w:val="right"/>
              <w:rPr>
                <w:snapToGrid w:val="0"/>
                <w:color w:val="000000"/>
              </w:rPr>
            </w:pPr>
            <w:r w:rsidRPr="001946E0">
              <w:rPr>
                <w:snapToGrid w:val="0"/>
                <w:color w:val="000000"/>
              </w:rPr>
              <w:t>5533,7</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39,1</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39,5</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36,5</w:t>
            </w:r>
          </w:p>
        </w:tc>
        <w:tc>
          <w:tcPr>
            <w:tcW w:w="708" w:type="dxa"/>
            <w:vAlign w:val="center"/>
          </w:tcPr>
          <w:p w:rsidR="002D62B9" w:rsidRPr="001946E0" w:rsidRDefault="002D62B9" w:rsidP="001B1A50">
            <w:pPr>
              <w:pStyle w:val="tabteksts"/>
              <w:jc w:val="right"/>
              <w:rPr>
                <w:snapToGrid w:val="0"/>
                <w:color w:val="000000"/>
              </w:rPr>
            </w:pPr>
            <w:r w:rsidRPr="001946E0">
              <w:rPr>
                <w:snapToGrid w:val="0"/>
                <w:color w:val="000000"/>
              </w:rPr>
              <w:t>34,9</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33,1</w:t>
            </w:r>
          </w:p>
        </w:tc>
      </w:tr>
      <w:tr w:rsidR="002D62B9" w:rsidRPr="001946E0" w:rsidTr="00D01375">
        <w:trPr>
          <w:cantSplit/>
        </w:trPr>
        <w:tc>
          <w:tcPr>
            <w:tcW w:w="3686" w:type="dxa"/>
            <w:vAlign w:val="center"/>
          </w:tcPr>
          <w:p w:rsidR="002D62B9" w:rsidRPr="001946E0" w:rsidRDefault="002D62B9" w:rsidP="001B1A50">
            <w:pPr>
              <w:pStyle w:val="tabteksts"/>
              <w:rPr>
                <w:snapToGrid w:val="0"/>
                <w:color w:val="000000"/>
              </w:rPr>
            </w:pPr>
            <w:r w:rsidRPr="001946E0">
              <w:rPr>
                <w:snapToGrid w:val="0"/>
                <w:color w:val="000000"/>
              </w:rPr>
              <w:t>Valdības patēriņš</w:t>
            </w:r>
          </w:p>
        </w:tc>
        <w:tc>
          <w:tcPr>
            <w:tcW w:w="1134" w:type="dxa"/>
            <w:vAlign w:val="center"/>
          </w:tcPr>
          <w:p w:rsidR="002D62B9" w:rsidRPr="001946E0" w:rsidRDefault="002D62B9" w:rsidP="001B1A50">
            <w:pPr>
              <w:pStyle w:val="tabteksts"/>
              <w:rPr>
                <w:color w:val="000000"/>
              </w:rPr>
            </w:pPr>
            <w:r w:rsidRPr="001946E0">
              <w:rPr>
                <w:color w:val="000000"/>
              </w:rPr>
              <w:t>P.3</w:t>
            </w:r>
          </w:p>
        </w:tc>
        <w:tc>
          <w:tcPr>
            <w:tcW w:w="992" w:type="dxa"/>
            <w:vAlign w:val="center"/>
          </w:tcPr>
          <w:p w:rsidR="002D62B9" w:rsidRPr="001946E0" w:rsidRDefault="002D62B9" w:rsidP="001B1A50">
            <w:pPr>
              <w:pStyle w:val="tabteksts"/>
              <w:jc w:val="right"/>
              <w:rPr>
                <w:snapToGrid w:val="0"/>
                <w:color w:val="000000"/>
              </w:rPr>
            </w:pPr>
            <w:r w:rsidRPr="001946E0">
              <w:rPr>
                <w:snapToGrid w:val="0"/>
                <w:color w:val="000000"/>
              </w:rPr>
              <w:t>2296,1</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16,2</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15,7</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14,7</w:t>
            </w:r>
          </w:p>
        </w:tc>
        <w:tc>
          <w:tcPr>
            <w:tcW w:w="708" w:type="dxa"/>
            <w:vAlign w:val="center"/>
          </w:tcPr>
          <w:p w:rsidR="002D62B9" w:rsidRPr="001946E0" w:rsidRDefault="002D62B9" w:rsidP="001B1A50">
            <w:pPr>
              <w:pStyle w:val="tabteksts"/>
              <w:jc w:val="right"/>
              <w:rPr>
                <w:snapToGrid w:val="0"/>
                <w:color w:val="000000"/>
              </w:rPr>
            </w:pPr>
            <w:r w:rsidRPr="001946E0">
              <w:rPr>
                <w:snapToGrid w:val="0"/>
                <w:color w:val="000000"/>
              </w:rPr>
              <w:t>13,8</w:t>
            </w:r>
          </w:p>
        </w:tc>
        <w:tc>
          <w:tcPr>
            <w:tcW w:w="709" w:type="dxa"/>
            <w:vAlign w:val="center"/>
          </w:tcPr>
          <w:p w:rsidR="002D62B9" w:rsidRPr="001946E0" w:rsidRDefault="002D62B9" w:rsidP="001B1A50">
            <w:pPr>
              <w:pStyle w:val="tabteksts"/>
              <w:jc w:val="right"/>
              <w:rPr>
                <w:snapToGrid w:val="0"/>
                <w:color w:val="000000"/>
              </w:rPr>
            </w:pPr>
            <w:r w:rsidRPr="001946E0">
              <w:rPr>
                <w:snapToGrid w:val="0"/>
                <w:color w:val="000000"/>
              </w:rPr>
              <w:t>13,5</w:t>
            </w:r>
          </w:p>
        </w:tc>
      </w:tr>
    </w:tbl>
    <w:p w:rsidR="002D62B9" w:rsidRPr="001946E0" w:rsidRDefault="002D62B9" w:rsidP="002D62B9">
      <w:pPr>
        <w:pStyle w:val="T"/>
        <w:ind w:left="0"/>
        <w:rPr>
          <w:rFonts w:ascii="Times New Roman" w:hAnsi="Times New Roman"/>
          <w:color w:val="000000"/>
          <w:szCs w:val="24"/>
        </w:rPr>
      </w:pPr>
    </w:p>
    <w:p w:rsidR="002D62B9" w:rsidRPr="001946E0" w:rsidRDefault="002D62B9" w:rsidP="002D62B9">
      <w:pPr>
        <w:ind w:firstLine="0"/>
        <w:jc w:val="left"/>
        <w:rPr>
          <w:b/>
          <w:color w:val="000000"/>
          <w:szCs w:val="24"/>
        </w:rPr>
      </w:pPr>
      <w:r w:rsidRPr="001946E0">
        <w:rPr>
          <w:b/>
          <w:color w:val="000000"/>
          <w:szCs w:val="24"/>
        </w:rPr>
        <w:t>2b. tabula. Ieņēmumu sadalījums</w:t>
      </w:r>
    </w:p>
    <w:tbl>
      <w:tblPr>
        <w:tblW w:w="8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992"/>
        <w:gridCol w:w="709"/>
        <w:gridCol w:w="709"/>
        <w:gridCol w:w="709"/>
        <w:gridCol w:w="708"/>
        <w:gridCol w:w="709"/>
      </w:tblGrid>
      <w:tr w:rsidR="002D62B9" w:rsidRPr="001946E0" w:rsidTr="00D01375">
        <w:trPr>
          <w:cantSplit/>
          <w:tblHeader/>
        </w:trPr>
        <w:tc>
          <w:tcPr>
            <w:tcW w:w="3686" w:type="dxa"/>
            <w:vAlign w:val="bottom"/>
          </w:tcPr>
          <w:p w:rsidR="002D62B9" w:rsidRPr="001946E0" w:rsidRDefault="002D62B9" w:rsidP="001B1A50">
            <w:pPr>
              <w:pStyle w:val="tabteksts"/>
              <w:jc w:val="center"/>
              <w:rPr>
                <w:b/>
                <w:color w:val="000000"/>
              </w:rPr>
            </w:pPr>
          </w:p>
        </w:tc>
        <w:tc>
          <w:tcPr>
            <w:tcW w:w="992" w:type="dxa"/>
            <w:vAlign w:val="bottom"/>
          </w:tcPr>
          <w:p w:rsidR="002D62B9" w:rsidRPr="001946E0" w:rsidRDefault="002D62B9" w:rsidP="001B1A50">
            <w:pPr>
              <w:pStyle w:val="tabteksts"/>
              <w:jc w:val="center"/>
              <w:rPr>
                <w:b/>
                <w:color w:val="000000"/>
              </w:rPr>
            </w:pPr>
            <w:r w:rsidRPr="001946E0">
              <w:rPr>
                <w:b/>
                <w:color w:val="000000"/>
              </w:rPr>
              <w:t>2011</w:t>
            </w:r>
          </w:p>
        </w:tc>
        <w:tc>
          <w:tcPr>
            <w:tcW w:w="709" w:type="dxa"/>
            <w:vAlign w:val="bottom"/>
          </w:tcPr>
          <w:p w:rsidR="002D62B9" w:rsidRPr="001946E0" w:rsidRDefault="002D62B9" w:rsidP="001B1A50">
            <w:pPr>
              <w:pStyle w:val="tabteksts"/>
              <w:jc w:val="center"/>
              <w:rPr>
                <w:b/>
                <w:color w:val="000000"/>
              </w:rPr>
            </w:pPr>
            <w:r w:rsidRPr="001946E0">
              <w:rPr>
                <w:b/>
                <w:color w:val="000000"/>
              </w:rPr>
              <w:t>2011</w:t>
            </w:r>
          </w:p>
        </w:tc>
        <w:tc>
          <w:tcPr>
            <w:tcW w:w="709" w:type="dxa"/>
            <w:vAlign w:val="bottom"/>
          </w:tcPr>
          <w:p w:rsidR="002D62B9" w:rsidRPr="001946E0" w:rsidRDefault="002D62B9" w:rsidP="001B1A50">
            <w:pPr>
              <w:pStyle w:val="tabteksts"/>
              <w:jc w:val="center"/>
              <w:rPr>
                <w:b/>
                <w:color w:val="000000"/>
              </w:rPr>
            </w:pPr>
            <w:r w:rsidRPr="001946E0">
              <w:rPr>
                <w:b/>
                <w:color w:val="000000"/>
              </w:rPr>
              <w:t>2012</w:t>
            </w:r>
          </w:p>
        </w:tc>
        <w:tc>
          <w:tcPr>
            <w:tcW w:w="709" w:type="dxa"/>
          </w:tcPr>
          <w:p w:rsidR="002D62B9" w:rsidRPr="001946E0" w:rsidRDefault="002D62B9" w:rsidP="001B1A50">
            <w:pPr>
              <w:pStyle w:val="tabteksts"/>
              <w:jc w:val="center"/>
              <w:rPr>
                <w:b/>
                <w:color w:val="000000"/>
              </w:rPr>
            </w:pPr>
            <w:r w:rsidRPr="001946E0">
              <w:rPr>
                <w:b/>
                <w:color w:val="000000"/>
              </w:rPr>
              <w:t>2013</w:t>
            </w:r>
          </w:p>
        </w:tc>
        <w:tc>
          <w:tcPr>
            <w:tcW w:w="708" w:type="dxa"/>
            <w:vAlign w:val="bottom"/>
          </w:tcPr>
          <w:p w:rsidR="002D62B9" w:rsidRPr="001946E0" w:rsidRDefault="002D62B9" w:rsidP="001B1A50">
            <w:pPr>
              <w:pStyle w:val="tabteksts"/>
              <w:jc w:val="center"/>
              <w:rPr>
                <w:b/>
                <w:color w:val="000000"/>
              </w:rPr>
            </w:pPr>
            <w:r w:rsidRPr="001946E0">
              <w:rPr>
                <w:b/>
                <w:color w:val="000000"/>
              </w:rPr>
              <w:t>2014</w:t>
            </w:r>
          </w:p>
        </w:tc>
        <w:tc>
          <w:tcPr>
            <w:tcW w:w="709" w:type="dxa"/>
            <w:vAlign w:val="bottom"/>
          </w:tcPr>
          <w:p w:rsidR="002D62B9" w:rsidRPr="001946E0" w:rsidRDefault="002D62B9" w:rsidP="001B1A50">
            <w:pPr>
              <w:pStyle w:val="tabteksts"/>
              <w:jc w:val="center"/>
              <w:rPr>
                <w:b/>
                <w:color w:val="000000"/>
              </w:rPr>
            </w:pPr>
            <w:r w:rsidRPr="001946E0">
              <w:rPr>
                <w:b/>
                <w:color w:val="000000"/>
              </w:rPr>
              <w:t>2015</w:t>
            </w:r>
          </w:p>
        </w:tc>
      </w:tr>
      <w:tr w:rsidR="002D62B9" w:rsidRPr="001946E0" w:rsidTr="00D01375">
        <w:trPr>
          <w:cantSplit/>
          <w:tblHeader/>
        </w:trPr>
        <w:tc>
          <w:tcPr>
            <w:tcW w:w="3686" w:type="dxa"/>
            <w:vAlign w:val="bottom"/>
          </w:tcPr>
          <w:p w:rsidR="002D62B9" w:rsidRPr="001946E0" w:rsidRDefault="002D62B9" w:rsidP="001B1A50">
            <w:pPr>
              <w:pStyle w:val="tabteksts"/>
              <w:rPr>
                <w:color w:val="000000"/>
              </w:rPr>
            </w:pPr>
          </w:p>
        </w:tc>
        <w:tc>
          <w:tcPr>
            <w:tcW w:w="992" w:type="dxa"/>
            <w:vAlign w:val="center"/>
          </w:tcPr>
          <w:p w:rsidR="002D62B9" w:rsidRPr="001946E0" w:rsidRDefault="002D62B9" w:rsidP="001B1A50">
            <w:pPr>
              <w:pStyle w:val="tabteksts"/>
              <w:jc w:val="center"/>
              <w:rPr>
                <w:noProof/>
                <w:color w:val="000000"/>
              </w:rPr>
            </w:pPr>
            <w:r w:rsidRPr="001946E0">
              <w:rPr>
                <w:noProof/>
                <w:color w:val="000000"/>
              </w:rPr>
              <w:t>milj. latu</w:t>
            </w:r>
          </w:p>
        </w:tc>
        <w:tc>
          <w:tcPr>
            <w:tcW w:w="3544" w:type="dxa"/>
            <w:gridSpan w:val="5"/>
            <w:vAlign w:val="center"/>
          </w:tcPr>
          <w:p w:rsidR="002D62B9" w:rsidRPr="001946E0" w:rsidRDefault="002D62B9" w:rsidP="001B1A50">
            <w:pPr>
              <w:pStyle w:val="tabteksts"/>
              <w:jc w:val="center"/>
              <w:rPr>
                <w:color w:val="000000"/>
              </w:rPr>
            </w:pPr>
            <w:r w:rsidRPr="001946E0">
              <w:rPr>
                <w:color w:val="000000"/>
              </w:rPr>
              <w:t>% no IKP</w:t>
            </w:r>
          </w:p>
        </w:tc>
      </w:tr>
      <w:tr w:rsidR="002D62B9" w:rsidRPr="001946E0" w:rsidTr="00D01375">
        <w:trPr>
          <w:cantSplit/>
        </w:trPr>
        <w:tc>
          <w:tcPr>
            <w:tcW w:w="3686" w:type="dxa"/>
          </w:tcPr>
          <w:p w:rsidR="002D62B9" w:rsidRPr="001946E0" w:rsidRDefault="002D62B9" w:rsidP="001B1A50">
            <w:pPr>
              <w:pStyle w:val="tabteksts"/>
              <w:rPr>
                <w:snapToGrid w:val="0"/>
                <w:color w:val="000000"/>
              </w:rPr>
            </w:pPr>
            <w:r w:rsidRPr="001946E0">
              <w:rPr>
                <w:snapToGrid w:val="0"/>
                <w:color w:val="000000"/>
              </w:rPr>
              <w:t>1. Kopējie ieņēmumi pie nemainīgas politikas</w:t>
            </w:r>
          </w:p>
        </w:tc>
        <w:tc>
          <w:tcPr>
            <w:tcW w:w="992" w:type="dxa"/>
            <w:vAlign w:val="bottom"/>
          </w:tcPr>
          <w:p w:rsidR="002D62B9" w:rsidRPr="001946E0" w:rsidRDefault="002D62B9" w:rsidP="001B1A50">
            <w:pPr>
              <w:pStyle w:val="tabteksts"/>
              <w:jc w:val="right"/>
              <w:rPr>
                <w:snapToGrid w:val="0"/>
                <w:color w:val="000000"/>
              </w:rPr>
            </w:pPr>
            <w:r w:rsidRPr="001946E0">
              <w:rPr>
                <w:snapToGrid w:val="0"/>
                <w:color w:val="000000"/>
              </w:rPr>
              <w:t>4813,3</w:t>
            </w:r>
          </w:p>
        </w:tc>
        <w:tc>
          <w:tcPr>
            <w:tcW w:w="709" w:type="dxa"/>
            <w:vAlign w:val="bottom"/>
          </w:tcPr>
          <w:p w:rsidR="002D62B9" w:rsidRPr="001946E0" w:rsidRDefault="002D62B9" w:rsidP="001B1A50">
            <w:pPr>
              <w:pStyle w:val="tabteksts"/>
              <w:jc w:val="right"/>
              <w:rPr>
                <w:snapToGrid w:val="0"/>
                <w:color w:val="000000"/>
              </w:rPr>
            </w:pPr>
            <w:r w:rsidRPr="001946E0">
              <w:rPr>
                <w:snapToGrid w:val="0"/>
                <w:color w:val="000000"/>
              </w:rPr>
              <w:t>34,0</w:t>
            </w:r>
          </w:p>
        </w:tc>
        <w:tc>
          <w:tcPr>
            <w:tcW w:w="709" w:type="dxa"/>
            <w:vAlign w:val="bottom"/>
          </w:tcPr>
          <w:p w:rsidR="002D62B9" w:rsidRPr="001946E0" w:rsidRDefault="002D62B9" w:rsidP="001B1A50">
            <w:pPr>
              <w:pStyle w:val="tabteksts"/>
              <w:jc w:val="right"/>
              <w:rPr>
                <w:snapToGrid w:val="0"/>
                <w:color w:val="000000"/>
              </w:rPr>
            </w:pPr>
            <w:r w:rsidRPr="001946E0">
              <w:rPr>
                <w:snapToGrid w:val="0"/>
                <w:color w:val="000000"/>
              </w:rPr>
              <w:t>37,2</w:t>
            </w:r>
          </w:p>
        </w:tc>
        <w:tc>
          <w:tcPr>
            <w:tcW w:w="709" w:type="dxa"/>
            <w:vAlign w:val="bottom"/>
          </w:tcPr>
          <w:p w:rsidR="002D62B9" w:rsidRPr="001946E0" w:rsidRDefault="002D62B9" w:rsidP="001B1A50">
            <w:pPr>
              <w:pStyle w:val="tabteksts"/>
              <w:jc w:val="right"/>
              <w:rPr>
                <w:snapToGrid w:val="0"/>
                <w:color w:val="000000"/>
              </w:rPr>
            </w:pPr>
            <w:r w:rsidRPr="001946E0">
              <w:rPr>
                <w:snapToGrid w:val="0"/>
                <w:color w:val="000000"/>
              </w:rPr>
              <w:t>35,1</w:t>
            </w:r>
          </w:p>
        </w:tc>
        <w:tc>
          <w:tcPr>
            <w:tcW w:w="708" w:type="dxa"/>
            <w:vAlign w:val="bottom"/>
          </w:tcPr>
          <w:p w:rsidR="002D62B9" w:rsidRPr="001946E0" w:rsidRDefault="002D62B9" w:rsidP="001B1A50">
            <w:pPr>
              <w:pStyle w:val="tabteksts"/>
              <w:jc w:val="right"/>
              <w:rPr>
                <w:snapToGrid w:val="0"/>
                <w:color w:val="000000"/>
              </w:rPr>
            </w:pPr>
            <w:r w:rsidRPr="001946E0">
              <w:rPr>
                <w:snapToGrid w:val="0"/>
                <w:color w:val="000000"/>
              </w:rPr>
              <w:t>34,1</w:t>
            </w:r>
          </w:p>
        </w:tc>
        <w:tc>
          <w:tcPr>
            <w:tcW w:w="709" w:type="dxa"/>
            <w:vAlign w:val="bottom"/>
          </w:tcPr>
          <w:p w:rsidR="002D62B9" w:rsidRPr="001946E0" w:rsidRDefault="002D62B9" w:rsidP="001B1A50">
            <w:pPr>
              <w:pStyle w:val="tabteksts"/>
              <w:jc w:val="right"/>
              <w:rPr>
                <w:snapToGrid w:val="0"/>
                <w:color w:val="000000"/>
              </w:rPr>
            </w:pPr>
            <w:r w:rsidRPr="001946E0">
              <w:rPr>
                <w:snapToGrid w:val="0"/>
                <w:color w:val="000000"/>
              </w:rPr>
              <w:t>32,8</w:t>
            </w:r>
          </w:p>
        </w:tc>
      </w:tr>
      <w:tr w:rsidR="002D62B9" w:rsidRPr="001946E0" w:rsidTr="00D01375">
        <w:trPr>
          <w:cantSplit/>
        </w:trPr>
        <w:tc>
          <w:tcPr>
            <w:tcW w:w="3686" w:type="dxa"/>
          </w:tcPr>
          <w:p w:rsidR="002D62B9" w:rsidRPr="001946E0" w:rsidRDefault="002D62B9" w:rsidP="001B1A50">
            <w:pPr>
              <w:pStyle w:val="tabteksts"/>
              <w:rPr>
                <w:snapToGrid w:val="0"/>
                <w:color w:val="000000"/>
              </w:rPr>
            </w:pPr>
            <w:r w:rsidRPr="001946E0">
              <w:rPr>
                <w:snapToGrid w:val="0"/>
                <w:color w:val="000000"/>
              </w:rPr>
              <w:t xml:space="preserve">2. </w:t>
            </w:r>
            <w:r w:rsidRPr="001946E0">
              <w:rPr>
                <w:noProof/>
                <w:snapToGrid w:val="0"/>
                <w:color w:val="000000"/>
              </w:rPr>
              <w:t>Diskrecionāri</w:t>
            </w:r>
            <w:r w:rsidRPr="001946E0">
              <w:rPr>
                <w:snapToGrid w:val="0"/>
                <w:color w:val="000000"/>
              </w:rPr>
              <w:t xml:space="preserve"> ieņēmumu pasākumi</w:t>
            </w:r>
          </w:p>
        </w:tc>
        <w:tc>
          <w:tcPr>
            <w:tcW w:w="992" w:type="dxa"/>
            <w:vAlign w:val="bottom"/>
          </w:tcPr>
          <w:p w:rsidR="002D62B9" w:rsidRPr="001946E0" w:rsidRDefault="002D62B9" w:rsidP="001B1A50">
            <w:pPr>
              <w:pStyle w:val="tabteksts"/>
              <w:jc w:val="right"/>
              <w:rPr>
                <w:snapToGrid w:val="0"/>
                <w:color w:val="000000"/>
              </w:rPr>
            </w:pPr>
            <w:r w:rsidRPr="001946E0">
              <w:rPr>
                <w:snapToGrid w:val="0"/>
                <w:color w:val="000000"/>
              </w:rPr>
              <w:t>226,3</w:t>
            </w:r>
          </w:p>
        </w:tc>
        <w:tc>
          <w:tcPr>
            <w:tcW w:w="709" w:type="dxa"/>
            <w:vAlign w:val="bottom"/>
          </w:tcPr>
          <w:p w:rsidR="002D62B9" w:rsidRPr="001946E0" w:rsidRDefault="002D62B9" w:rsidP="001B1A50">
            <w:pPr>
              <w:pStyle w:val="tabteksts"/>
              <w:jc w:val="right"/>
              <w:rPr>
                <w:snapToGrid w:val="0"/>
                <w:color w:val="000000"/>
              </w:rPr>
            </w:pPr>
            <w:r w:rsidRPr="001946E0">
              <w:rPr>
                <w:snapToGrid w:val="0"/>
                <w:color w:val="000000"/>
              </w:rPr>
              <w:t>1,6</w:t>
            </w:r>
          </w:p>
        </w:tc>
        <w:tc>
          <w:tcPr>
            <w:tcW w:w="709" w:type="dxa"/>
            <w:vAlign w:val="bottom"/>
          </w:tcPr>
          <w:p w:rsidR="002D62B9" w:rsidRPr="001946E0" w:rsidRDefault="002D62B9" w:rsidP="001B1A50">
            <w:pPr>
              <w:pStyle w:val="tabteksts"/>
              <w:jc w:val="right"/>
              <w:rPr>
                <w:snapToGrid w:val="0"/>
                <w:color w:val="000000"/>
              </w:rPr>
            </w:pPr>
            <w:r w:rsidRPr="001946E0">
              <w:rPr>
                <w:snapToGrid w:val="0"/>
                <w:color w:val="000000"/>
              </w:rPr>
              <w:t>0,3</w:t>
            </w:r>
          </w:p>
        </w:tc>
        <w:tc>
          <w:tcPr>
            <w:tcW w:w="709" w:type="dxa"/>
            <w:vAlign w:val="bottom"/>
          </w:tcPr>
          <w:p w:rsidR="002D62B9" w:rsidRPr="001946E0" w:rsidRDefault="002D62B9" w:rsidP="001B1A50">
            <w:pPr>
              <w:pStyle w:val="tabteksts"/>
              <w:jc w:val="right"/>
              <w:rPr>
                <w:snapToGrid w:val="0"/>
                <w:color w:val="000000"/>
              </w:rPr>
            </w:pPr>
          </w:p>
        </w:tc>
        <w:tc>
          <w:tcPr>
            <w:tcW w:w="708" w:type="dxa"/>
            <w:vAlign w:val="bottom"/>
          </w:tcPr>
          <w:p w:rsidR="002D62B9" w:rsidRPr="001946E0" w:rsidRDefault="002D62B9" w:rsidP="001B1A50">
            <w:pPr>
              <w:pStyle w:val="tabteksts"/>
              <w:jc w:val="right"/>
              <w:rPr>
                <w:snapToGrid w:val="0"/>
                <w:color w:val="000000"/>
              </w:rPr>
            </w:pPr>
          </w:p>
        </w:tc>
        <w:tc>
          <w:tcPr>
            <w:tcW w:w="709" w:type="dxa"/>
            <w:vAlign w:val="bottom"/>
          </w:tcPr>
          <w:p w:rsidR="002D62B9" w:rsidRPr="001946E0" w:rsidRDefault="002D62B9" w:rsidP="001B1A50">
            <w:pPr>
              <w:pStyle w:val="tabteksts"/>
              <w:jc w:val="right"/>
              <w:rPr>
                <w:snapToGrid w:val="0"/>
                <w:color w:val="000000"/>
              </w:rPr>
            </w:pPr>
          </w:p>
        </w:tc>
      </w:tr>
    </w:tbl>
    <w:p w:rsidR="002D62B9" w:rsidRDefault="002D62B9" w:rsidP="002D62B9">
      <w:pPr>
        <w:rPr>
          <w:color w:val="000000"/>
          <w:szCs w:val="24"/>
        </w:rPr>
      </w:pPr>
    </w:p>
    <w:p w:rsidR="00203D1A" w:rsidRPr="001946E0" w:rsidRDefault="00203D1A" w:rsidP="002D62B9">
      <w:pPr>
        <w:rPr>
          <w:color w:val="000000"/>
          <w:szCs w:val="24"/>
        </w:rPr>
      </w:pPr>
    </w:p>
    <w:p w:rsidR="002D62B9" w:rsidRPr="001946E0" w:rsidRDefault="002D62B9" w:rsidP="002D62B9">
      <w:pPr>
        <w:ind w:firstLine="0"/>
        <w:jc w:val="left"/>
        <w:rPr>
          <w:b/>
          <w:color w:val="000000"/>
          <w:szCs w:val="24"/>
        </w:rPr>
      </w:pPr>
      <w:r w:rsidRPr="001946E0">
        <w:rPr>
          <w:b/>
          <w:color w:val="000000"/>
          <w:szCs w:val="24"/>
        </w:rPr>
        <w:t>2c. tabula. Izdevumi, kas tiek izslēgti no izdevumu kritērija</w:t>
      </w:r>
    </w:p>
    <w:tbl>
      <w:tblPr>
        <w:tblW w:w="8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992"/>
        <w:gridCol w:w="709"/>
        <w:gridCol w:w="709"/>
        <w:gridCol w:w="709"/>
        <w:gridCol w:w="708"/>
        <w:gridCol w:w="709"/>
      </w:tblGrid>
      <w:tr w:rsidR="002D62B9" w:rsidRPr="001946E0" w:rsidTr="00D01375">
        <w:trPr>
          <w:cantSplit/>
          <w:tblHeader/>
        </w:trPr>
        <w:tc>
          <w:tcPr>
            <w:tcW w:w="3686" w:type="dxa"/>
            <w:vAlign w:val="bottom"/>
          </w:tcPr>
          <w:p w:rsidR="002D62B9" w:rsidRPr="001946E0" w:rsidRDefault="002D62B9" w:rsidP="001B1A50">
            <w:pPr>
              <w:pStyle w:val="tabteksts"/>
              <w:jc w:val="center"/>
              <w:rPr>
                <w:b/>
                <w:color w:val="000000"/>
              </w:rPr>
            </w:pPr>
          </w:p>
        </w:tc>
        <w:tc>
          <w:tcPr>
            <w:tcW w:w="992" w:type="dxa"/>
            <w:vAlign w:val="bottom"/>
          </w:tcPr>
          <w:p w:rsidR="002D62B9" w:rsidRPr="001946E0" w:rsidRDefault="002D62B9" w:rsidP="001B1A50">
            <w:pPr>
              <w:pStyle w:val="tabteksts"/>
              <w:jc w:val="center"/>
              <w:rPr>
                <w:b/>
                <w:color w:val="000000"/>
              </w:rPr>
            </w:pPr>
            <w:r w:rsidRPr="001946E0">
              <w:rPr>
                <w:b/>
                <w:color w:val="000000"/>
              </w:rPr>
              <w:t>2011</w:t>
            </w:r>
          </w:p>
        </w:tc>
        <w:tc>
          <w:tcPr>
            <w:tcW w:w="709" w:type="dxa"/>
            <w:vAlign w:val="bottom"/>
          </w:tcPr>
          <w:p w:rsidR="002D62B9" w:rsidRPr="001946E0" w:rsidRDefault="002D62B9" w:rsidP="001B1A50">
            <w:pPr>
              <w:pStyle w:val="tabteksts"/>
              <w:jc w:val="center"/>
              <w:rPr>
                <w:b/>
                <w:color w:val="000000"/>
              </w:rPr>
            </w:pPr>
            <w:r w:rsidRPr="001946E0">
              <w:rPr>
                <w:b/>
                <w:color w:val="000000"/>
              </w:rPr>
              <w:t>2011</w:t>
            </w:r>
          </w:p>
        </w:tc>
        <w:tc>
          <w:tcPr>
            <w:tcW w:w="709" w:type="dxa"/>
            <w:vAlign w:val="bottom"/>
          </w:tcPr>
          <w:p w:rsidR="002D62B9" w:rsidRPr="001946E0" w:rsidRDefault="002D62B9" w:rsidP="001B1A50">
            <w:pPr>
              <w:pStyle w:val="tabteksts"/>
              <w:jc w:val="center"/>
              <w:rPr>
                <w:b/>
                <w:color w:val="000000"/>
              </w:rPr>
            </w:pPr>
            <w:r w:rsidRPr="001946E0">
              <w:rPr>
                <w:b/>
                <w:color w:val="000000"/>
              </w:rPr>
              <w:t>2012</w:t>
            </w:r>
          </w:p>
        </w:tc>
        <w:tc>
          <w:tcPr>
            <w:tcW w:w="709" w:type="dxa"/>
          </w:tcPr>
          <w:p w:rsidR="002D62B9" w:rsidRPr="001946E0" w:rsidRDefault="002D62B9" w:rsidP="001B1A50">
            <w:pPr>
              <w:pStyle w:val="tabteksts"/>
              <w:jc w:val="center"/>
              <w:rPr>
                <w:b/>
                <w:color w:val="000000"/>
              </w:rPr>
            </w:pPr>
            <w:r w:rsidRPr="001946E0">
              <w:rPr>
                <w:b/>
                <w:color w:val="000000"/>
              </w:rPr>
              <w:t>2013</w:t>
            </w:r>
          </w:p>
        </w:tc>
        <w:tc>
          <w:tcPr>
            <w:tcW w:w="708" w:type="dxa"/>
            <w:vAlign w:val="bottom"/>
          </w:tcPr>
          <w:p w:rsidR="002D62B9" w:rsidRPr="001946E0" w:rsidRDefault="002D62B9" w:rsidP="001B1A50">
            <w:pPr>
              <w:pStyle w:val="tabteksts"/>
              <w:jc w:val="center"/>
              <w:rPr>
                <w:b/>
                <w:color w:val="000000"/>
              </w:rPr>
            </w:pPr>
            <w:r w:rsidRPr="001946E0">
              <w:rPr>
                <w:b/>
                <w:color w:val="000000"/>
              </w:rPr>
              <w:t>2014</w:t>
            </w:r>
          </w:p>
        </w:tc>
        <w:tc>
          <w:tcPr>
            <w:tcW w:w="709" w:type="dxa"/>
            <w:vAlign w:val="bottom"/>
          </w:tcPr>
          <w:p w:rsidR="002D62B9" w:rsidRPr="001946E0" w:rsidRDefault="002D62B9" w:rsidP="001B1A50">
            <w:pPr>
              <w:pStyle w:val="tabteksts"/>
              <w:jc w:val="center"/>
              <w:rPr>
                <w:b/>
                <w:color w:val="000000"/>
              </w:rPr>
            </w:pPr>
            <w:r w:rsidRPr="001946E0">
              <w:rPr>
                <w:b/>
                <w:color w:val="000000"/>
              </w:rPr>
              <w:t>2015</w:t>
            </w:r>
          </w:p>
        </w:tc>
      </w:tr>
      <w:tr w:rsidR="002D62B9" w:rsidRPr="001946E0" w:rsidTr="00D01375">
        <w:trPr>
          <w:cantSplit/>
          <w:tblHeader/>
        </w:trPr>
        <w:tc>
          <w:tcPr>
            <w:tcW w:w="3686" w:type="dxa"/>
            <w:vAlign w:val="bottom"/>
          </w:tcPr>
          <w:p w:rsidR="002D62B9" w:rsidRPr="001946E0" w:rsidRDefault="002D62B9" w:rsidP="001B1A50">
            <w:pPr>
              <w:pStyle w:val="tabteksts"/>
              <w:rPr>
                <w:color w:val="000000"/>
              </w:rPr>
            </w:pPr>
          </w:p>
        </w:tc>
        <w:tc>
          <w:tcPr>
            <w:tcW w:w="992" w:type="dxa"/>
            <w:vAlign w:val="center"/>
          </w:tcPr>
          <w:p w:rsidR="002D62B9" w:rsidRPr="001946E0" w:rsidRDefault="002D62B9" w:rsidP="001B1A50">
            <w:pPr>
              <w:pStyle w:val="tabteksts"/>
              <w:jc w:val="center"/>
              <w:rPr>
                <w:noProof/>
                <w:color w:val="000000"/>
              </w:rPr>
            </w:pPr>
            <w:r w:rsidRPr="001946E0">
              <w:rPr>
                <w:noProof/>
                <w:color w:val="000000"/>
              </w:rPr>
              <w:t>milj. latu</w:t>
            </w:r>
          </w:p>
        </w:tc>
        <w:tc>
          <w:tcPr>
            <w:tcW w:w="3544" w:type="dxa"/>
            <w:gridSpan w:val="5"/>
            <w:vAlign w:val="center"/>
          </w:tcPr>
          <w:p w:rsidR="002D62B9" w:rsidRPr="001946E0" w:rsidRDefault="002D62B9" w:rsidP="001B1A50">
            <w:pPr>
              <w:pStyle w:val="tabteksts"/>
              <w:jc w:val="center"/>
              <w:rPr>
                <w:color w:val="000000"/>
              </w:rPr>
            </w:pPr>
            <w:r w:rsidRPr="001946E0">
              <w:rPr>
                <w:color w:val="000000"/>
              </w:rPr>
              <w:t>% no IKP</w:t>
            </w:r>
          </w:p>
        </w:tc>
      </w:tr>
      <w:tr w:rsidR="002D62B9" w:rsidRPr="001946E0" w:rsidTr="00D01375">
        <w:trPr>
          <w:cantSplit/>
        </w:trPr>
        <w:tc>
          <w:tcPr>
            <w:tcW w:w="3686" w:type="dxa"/>
          </w:tcPr>
          <w:p w:rsidR="002D62B9" w:rsidRPr="001946E0" w:rsidRDefault="002D62B9" w:rsidP="001B1A50">
            <w:pPr>
              <w:pStyle w:val="tabteksts"/>
              <w:rPr>
                <w:snapToGrid w:val="0"/>
                <w:color w:val="000000"/>
              </w:rPr>
            </w:pPr>
            <w:r w:rsidRPr="001946E0">
              <w:rPr>
                <w:snapToGrid w:val="0"/>
                <w:color w:val="000000"/>
              </w:rPr>
              <w:t>1. Izdevumi ārvalstu finanšu palīdzības projektiem,  kas atbilst saņemtajiem ārvalstu finanšu palīdzības ieņēmumiem</w:t>
            </w:r>
          </w:p>
        </w:tc>
        <w:tc>
          <w:tcPr>
            <w:tcW w:w="992" w:type="dxa"/>
            <w:vAlign w:val="bottom"/>
          </w:tcPr>
          <w:p w:rsidR="002D62B9" w:rsidRPr="001946E0" w:rsidRDefault="002D62B9" w:rsidP="001B1A50">
            <w:pPr>
              <w:pStyle w:val="tabteksts"/>
              <w:jc w:val="right"/>
              <w:rPr>
                <w:snapToGrid w:val="0"/>
                <w:color w:val="000000"/>
              </w:rPr>
            </w:pPr>
            <w:r w:rsidRPr="001946E0">
              <w:rPr>
                <w:snapToGrid w:val="0"/>
                <w:color w:val="000000"/>
              </w:rPr>
              <w:t>663,3</w:t>
            </w:r>
          </w:p>
        </w:tc>
        <w:tc>
          <w:tcPr>
            <w:tcW w:w="709" w:type="dxa"/>
            <w:vAlign w:val="bottom"/>
          </w:tcPr>
          <w:p w:rsidR="002D62B9" w:rsidRPr="001946E0" w:rsidRDefault="002D62B9" w:rsidP="001B1A50">
            <w:pPr>
              <w:pStyle w:val="tabteksts"/>
              <w:jc w:val="right"/>
              <w:rPr>
                <w:snapToGrid w:val="0"/>
                <w:color w:val="000000"/>
              </w:rPr>
            </w:pPr>
            <w:r w:rsidRPr="001946E0">
              <w:rPr>
                <w:snapToGrid w:val="0"/>
                <w:color w:val="000000"/>
              </w:rPr>
              <w:t>4,7</w:t>
            </w:r>
          </w:p>
        </w:tc>
        <w:tc>
          <w:tcPr>
            <w:tcW w:w="709" w:type="dxa"/>
            <w:vAlign w:val="bottom"/>
          </w:tcPr>
          <w:p w:rsidR="002D62B9" w:rsidRPr="001946E0" w:rsidRDefault="002D62B9" w:rsidP="001B1A50">
            <w:pPr>
              <w:pStyle w:val="tabteksts"/>
              <w:jc w:val="right"/>
              <w:rPr>
                <w:snapToGrid w:val="0"/>
                <w:color w:val="000000"/>
              </w:rPr>
            </w:pPr>
            <w:r w:rsidRPr="001946E0">
              <w:rPr>
                <w:snapToGrid w:val="0"/>
                <w:color w:val="000000"/>
              </w:rPr>
              <w:t>5,8</w:t>
            </w:r>
          </w:p>
        </w:tc>
        <w:tc>
          <w:tcPr>
            <w:tcW w:w="709" w:type="dxa"/>
            <w:vAlign w:val="bottom"/>
          </w:tcPr>
          <w:p w:rsidR="002D62B9" w:rsidRPr="001946E0" w:rsidRDefault="002D62B9" w:rsidP="001B1A50">
            <w:pPr>
              <w:pStyle w:val="tabteksts"/>
              <w:jc w:val="right"/>
              <w:rPr>
                <w:snapToGrid w:val="0"/>
                <w:color w:val="000000"/>
              </w:rPr>
            </w:pPr>
            <w:r w:rsidRPr="001946E0">
              <w:rPr>
                <w:snapToGrid w:val="0"/>
                <w:color w:val="000000"/>
              </w:rPr>
              <w:t>4,9</w:t>
            </w:r>
          </w:p>
        </w:tc>
        <w:tc>
          <w:tcPr>
            <w:tcW w:w="708" w:type="dxa"/>
            <w:vAlign w:val="bottom"/>
          </w:tcPr>
          <w:p w:rsidR="002D62B9" w:rsidRPr="001946E0" w:rsidRDefault="002D62B9" w:rsidP="001B1A50">
            <w:pPr>
              <w:pStyle w:val="tabteksts"/>
              <w:jc w:val="right"/>
              <w:rPr>
                <w:snapToGrid w:val="0"/>
                <w:color w:val="000000"/>
              </w:rPr>
            </w:pPr>
            <w:r w:rsidRPr="001946E0">
              <w:rPr>
                <w:snapToGrid w:val="0"/>
                <w:color w:val="000000"/>
              </w:rPr>
              <w:t>5,2</w:t>
            </w:r>
          </w:p>
        </w:tc>
        <w:tc>
          <w:tcPr>
            <w:tcW w:w="709" w:type="dxa"/>
            <w:vAlign w:val="bottom"/>
          </w:tcPr>
          <w:p w:rsidR="002D62B9" w:rsidRPr="001946E0" w:rsidRDefault="002D62B9" w:rsidP="001B1A50">
            <w:pPr>
              <w:pStyle w:val="tabteksts"/>
              <w:jc w:val="right"/>
              <w:rPr>
                <w:snapToGrid w:val="0"/>
                <w:color w:val="000000"/>
              </w:rPr>
            </w:pPr>
            <w:r w:rsidRPr="001946E0">
              <w:rPr>
                <w:snapToGrid w:val="0"/>
                <w:color w:val="000000"/>
              </w:rPr>
              <w:t>4,4</w:t>
            </w:r>
          </w:p>
        </w:tc>
      </w:tr>
      <w:tr w:rsidR="002D62B9" w:rsidRPr="001946E0" w:rsidTr="00D01375">
        <w:trPr>
          <w:cantSplit/>
        </w:trPr>
        <w:tc>
          <w:tcPr>
            <w:tcW w:w="3686" w:type="dxa"/>
          </w:tcPr>
          <w:p w:rsidR="002D62B9" w:rsidRPr="001946E0" w:rsidRDefault="002D62B9" w:rsidP="001B1A50">
            <w:pPr>
              <w:pStyle w:val="tabteksts"/>
              <w:rPr>
                <w:snapToGrid w:val="0"/>
                <w:color w:val="000000"/>
              </w:rPr>
            </w:pPr>
            <w:r w:rsidRPr="001946E0">
              <w:rPr>
                <w:snapToGrid w:val="0"/>
                <w:color w:val="000000"/>
              </w:rPr>
              <w:t>2. Izdevumi, kas atbilst noteiktajam ieņēmumu palielinājumam</w:t>
            </w:r>
          </w:p>
        </w:tc>
        <w:tc>
          <w:tcPr>
            <w:tcW w:w="992" w:type="dxa"/>
            <w:vAlign w:val="center"/>
          </w:tcPr>
          <w:p w:rsidR="002D62B9" w:rsidRPr="001946E0" w:rsidRDefault="002D62B9" w:rsidP="001B1A50">
            <w:pPr>
              <w:pStyle w:val="tabteksts"/>
              <w:jc w:val="right"/>
              <w:rPr>
                <w:snapToGrid w:val="0"/>
                <w:color w:val="000000"/>
              </w:rPr>
            </w:pPr>
          </w:p>
        </w:tc>
        <w:tc>
          <w:tcPr>
            <w:tcW w:w="709" w:type="dxa"/>
            <w:vAlign w:val="center"/>
          </w:tcPr>
          <w:p w:rsidR="002D62B9" w:rsidRPr="001946E0" w:rsidRDefault="002D62B9" w:rsidP="001B1A50">
            <w:pPr>
              <w:pStyle w:val="tabteksts"/>
              <w:jc w:val="right"/>
              <w:rPr>
                <w:snapToGrid w:val="0"/>
                <w:color w:val="000000"/>
              </w:rPr>
            </w:pPr>
          </w:p>
        </w:tc>
        <w:tc>
          <w:tcPr>
            <w:tcW w:w="709" w:type="dxa"/>
            <w:vAlign w:val="center"/>
          </w:tcPr>
          <w:p w:rsidR="002D62B9" w:rsidRPr="001946E0" w:rsidRDefault="002D62B9" w:rsidP="001B1A50">
            <w:pPr>
              <w:pStyle w:val="tabteksts"/>
              <w:jc w:val="right"/>
              <w:rPr>
                <w:snapToGrid w:val="0"/>
                <w:color w:val="000000"/>
              </w:rPr>
            </w:pPr>
          </w:p>
        </w:tc>
        <w:tc>
          <w:tcPr>
            <w:tcW w:w="709" w:type="dxa"/>
            <w:vAlign w:val="center"/>
          </w:tcPr>
          <w:p w:rsidR="002D62B9" w:rsidRPr="001946E0" w:rsidRDefault="002D62B9" w:rsidP="001B1A50">
            <w:pPr>
              <w:pStyle w:val="tabteksts"/>
              <w:jc w:val="right"/>
              <w:rPr>
                <w:snapToGrid w:val="0"/>
                <w:color w:val="000000"/>
              </w:rPr>
            </w:pPr>
          </w:p>
        </w:tc>
        <w:tc>
          <w:tcPr>
            <w:tcW w:w="708" w:type="dxa"/>
            <w:vAlign w:val="center"/>
          </w:tcPr>
          <w:p w:rsidR="002D62B9" w:rsidRPr="001946E0" w:rsidRDefault="002D62B9" w:rsidP="001B1A50">
            <w:pPr>
              <w:pStyle w:val="tabteksts"/>
              <w:jc w:val="right"/>
              <w:rPr>
                <w:snapToGrid w:val="0"/>
                <w:color w:val="000000"/>
              </w:rPr>
            </w:pPr>
          </w:p>
        </w:tc>
        <w:tc>
          <w:tcPr>
            <w:tcW w:w="709" w:type="dxa"/>
            <w:vAlign w:val="center"/>
          </w:tcPr>
          <w:p w:rsidR="002D62B9" w:rsidRPr="001946E0" w:rsidRDefault="002D62B9" w:rsidP="001B1A50">
            <w:pPr>
              <w:pStyle w:val="tabteksts"/>
              <w:jc w:val="right"/>
              <w:rPr>
                <w:snapToGrid w:val="0"/>
                <w:color w:val="000000"/>
              </w:rPr>
            </w:pPr>
          </w:p>
        </w:tc>
      </w:tr>
      <w:tr w:rsidR="002D62B9" w:rsidRPr="001946E0" w:rsidTr="00D01375">
        <w:trPr>
          <w:cantSplit/>
        </w:trPr>
        <w:tc>
          <w:tcPr>
            <w:tcW w:w="3686" w:type="dxa"/>
          </w:tcPr>
          <w:p w:rsidR="002D62B9" w:rsidRPr="001946E0" w:rsidRDefault="002D62B9" w:rsidP="001B1A50">
            <w:pPr>
              <w:pStyle w:val="tabteksts"/>
              <w:rPr>
                <w:snapToGrid w:val="0"/>
                <w:color w:val="000000"/>
              </w:rPr>
            </w:pPr>
            <w:r w:rsidRPr="001946E0">
              <w:rPr>
                <w:snapToGrid w:val="0"/>
                <w:color w:val="000000"/>
              </w:rPr>
              <w:t xml:space="preserve">3. </w:t>
            </w:r>
            <w:r w:rsidRPr="001946E0">
              <w:rPr>
                <w:noProof/>
                <w:snapToGrid w:val="0"/>
                <w:color w:val="000000"/>
              </w:rPr>
              <w:t>Nediskrecionāras</w:t>
            </w:r>
            <w:r w:rsidRPr="001946E0">
              <w:rPr>
                <w:snapToGrid w:val="0"/>
                <w:color w:val="000000"/>
              </w:rPr>
              <w:t xml:space="preserve"> izmaiņas bezdarbnieku pabalstu izdevumos (pret iepriekšējo gadu)</w:t>
            </w:r>
          </w:p>
        </w:tc>
        <w:tc>
          <w:tcPr>
            <w:tcW w:w="992" w:type="dxa"/>
            <w:vAlign w:val="bottom"/>
          </w:tcPr>
          <w:p w:rsidR="002D62B9" w:rsidRPr="001946E0" w:rsidRDefault="002D62B9" w:rsidP="001B1A50">
            <w:pPr>
              <w:pStyle w:val="tabteksts"/>
              <w:jc w:val="right"/>
              <w:rPr>
                <w:snapToGrid w:val="0"/>
                <w:color w:val="000000"/>
              </w:rPr>
            </w:pPr>
            <w:r w:rsidRPr="001946E0">
              <w:rPr>
                <w:snapToGrid w:val="0"/>
                <w:color w:val="000000"/>
              </w:rPr>
              <w:t>-45,1</w:t>
            </w:r>
          </w:p>
        </w:tc>
        <w:tc>
          <w:tcPr>
            <w:tcW w:w="709" w:type="dxa"/>
            <w:vAlign w:val="bottom"/>
          </w:tcPr>
          <w:p w:rsidR="002D62B9" w:rsidRPr="001946E0" w:rsidRDefault="002D62B9" w:rsidP="001B1A50">
            <w:pPr>
              <w:pStyle w:val="tabteksts"/>
              <w:jc w:val="right"/>
              <w:rPr>
                <w:snapToGrid w:val="0"/>
                <w:color w:val="000000"/>
              </w:rPr>
            </w:pPr>
            <w:r w:rsidRPr="001946E0">
              <w:rPr>
                <w:snapToGrid w:val="0"/>
                <w:color w:val="000000"/>
              </w:rPr>
              <w:t>-0,3</w:t>
            </w:r>
          </w:p>
        </w:tc>
        <w:tc>
          <w:tcPr>
            <w:tcW w:w="709" w:type="dxa"/>
            <w:vAlign w:val="bottom"/>
          </w:tcPr>
          <w:p w:rsidR="002D62B9" w:rsidRPr="001946E0" w:rsidRDefault="002D62B9" w:rsidP="001B1A50">
            <w:pPr>
              <w:pStyle w:val="tabteksts"/>
              <w:jc w:val="right"/>
              <w:rPr>
                <w:snapToGrid w:val="0"/>
                <w:color w:val="000000"/>
              </w:rPr>
            </w:pPr>
            <w:r w:rsidRPr="001946E0">
              <w:rPr>
                <w:snapToGrid w:val="0"/>
                <w:color w:val="000000"/>
              </w:rPr>
              <w:t>0,0</w:t>
            </w:r>
          </w:p>
        </w:tc>
        <w:tc>
          <w:tcPr>
            <w:tcW w:w="709" w:type="dxa"/>
            <w:vAlign w:val="bottom"/>
          </w:tcPr>
          <w:p w:rsidR="002D62B9" w:rsidRPr="001946E0" w:rsidRDefault="002D62B9" w:rsidP="001B1A50">
            <w:pPr>
              <w:pStyle w:val="tabteksts"/>
              <w:jc w:val="right"/>
              <w:rPr>
                <w:snapToGrid w:val="0"/>
                <w:color w:val="000000"/>
              </w:rPr>
            </w:pPr>
            <w:r w:rsidRPr="001946E0">
              <w:rPr>
                <w:snapToGrid w:val="0"/>
                <w:color w:val="000000"/>
              </w:rPr>
              <w:t>0,0</w:t>
            </w:r>
          </w:p>
        </w:tc>
        <w:tc>
          <w:tcPr>
            <w:tcW w:w="708" w:type="dxa"/>
            <w:vAlign w:val="bottom"/>
          </w:tcPr>
          <w:p w:rsidR="002D62B9" w:rsidRPr="001946E0" w:rsidRDefault="002D62B9" w:rsidP="001B1A50">
            <w:pPr>
              <w:pStyle w:val="tabteksts"/>
              <w:jc w:val="right"/>
              <w:rPr>
                <w:snapToGrid w:val="0"/>
                <w:color w:val="000000"/>
              </w:rPr>
            </w:pPr>
            <w:r w:rsidRPr="001946E0">
              <w:rPr>
                <w:snapToGrid w:val="0"/>
                <w:color w:val="000000"/>
              </w:rPr>
              <w:t>0,0</w:t>
            </w:r>
          </w:p>
        </w:tc>
        <w:tc>
          <w:tcPr>
            <w:tcW w:w="709" w:type="dxa"/>
            <w:vAlign w:val="bottom"/>
          </w:tcPr>
          <w:p w:rsidR="002D62B9" w:rsidRPr="001946E0" w:rsidRDefault="002D62B9" w:rsidP="001B1A50">
            <w:pPr>
              <w:pStyle w:val="tabteksts"/>
              <w:jc w:val="right"/>
              <w:rPr>
                <w:snapToGrid w:val="0"/>
                <w:color w:val="000000"/>
              </w:rPr>
            </w:pPr>
            <w:r w:rsidRPr="001946E0">
              <w:rPr>
                <w:snapToGrid w:val="0"/>
                <w:color w:val="000000"/>
              </w:rPr>
              <w:t>0,0</w:t>
            </w:r>
          </w:p>
        </w:tc>
      </w:tr>
    </w:tbl>
    <w:p w:rsidR="002D62B9" w:rsidRPr="001946E0" w:rsidRDefault="002D62B9" w:rsidP="002D62B9">
      <w:pPr>
        <w:rPr>
          <w:color w:val="000000"/>
          <w:szCs w:val="24"/>
        </w:rPr>
      </w:pPr>
    </w:p>
    <w:p w:rsidR="002D62B9" w:rsidRPr="001946E0" w:rsidRDefault="002D62B9" w:rsidP="002D62B9">
      <w:pPr>
        <w:ind w:firstLine="0"/>
        <w:jc w:val="left"/>
        <w:rPr>
          <w:b/>
          <w:color w:val="000000"/>
          <w:szCs w:val="24"/>
        </w:rPr>
      </w:pPr>
      <w:r w:rsidRPr="001946E0">
        <w:rPr>
          <w:b/>
          <w:color w:val="000000"/>
          <w:szCs w:val="24"/>
        </w:rPr>
        <w:t>3. tabula. Vispārējās valdības izdevumi funkciju sadalījumā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7"/>
        <w:gridCol w:w="952"/>
        <w:gridCol w:w="797"/>
        <w:gridCol w:w="798"/>
      </w:tblGrid>
      <w:tr w:rsidR="002D62B9" w:rsidRPr="001946E0" w:rsidTr="00D01375">
        <w:trPr>
          <w:tblHeader/>
        </w:trPr>
        <w:tc>
          <w:tcPr>
            <w:tcW w:w="4137" w:type="dxa"/>
          </w:tcPr>
          <w:p w:rsidR="002D62B9" w:rsidRPr="001946E0" w:rsidRDefault="002D62B9" w:rsidP="001B1A50">
            <w:pPr>
              <w:pStyle w:val="tabteksts"/>
              <w:rPr>
                <w:color w:val="000000"/>
              </w:rPr>
            </w:pPr>
            <w:r w:rsidRPr="001946E0">
              <w:rPr>
                <w:color w:val="000000"/>
              </w:rPr>
              <w:t>% no IKP</w:t>
            </w:r>
          </w:p>
        </w:tc>
        <w:tc>
          <w:tcPr>
            <w:tcW w:w="952" w:type="dxa"/>
          </w:tcPr>
          <w:p w:rsidR="002D62B9" w:rsidRPr="001946E0" w:rsidRDefault="002D62B9" w:rsidP="001B1A50">
            <w:pPr>
              <w:pStyle w:val="tabteksts"/>
              <w:rPr>
                <w:color w:val="000000"/>
              </w:rPr>
            </w:pPr>
            <w:r w:rsidRPr="001946E0">
              <w:rPr>
                <w:color w:val="000000"/>
              </w:rPr>
              <w:t>COFOG</w:t>
            </w:r>
          </w:p>
          <w:p w:rsidR="002D62B9" w:rsidRPr="001946E0" w:rsidRDefault="002D62B9" w:rsidP="001B1A50">
            <w:pPr>
              <w:pStyle w:val="tabteksts"/>
              <w:rPr>
                <w:color w:val="000000"/>
              </w:rPr>
            </w:pPr>
            <w:r w:rsidRPr="001946E0">
              <w:rPr>
                <w:color w:val="000000"/>
              </w:rPr>
              <w:t>kods</w:t>
            </w:r>
          </w:p>
        </w:tc>
        <w:tc>
          <w:tcPr>
            <w:tcW w:w="797" w:type="dxa"/>
          </w:tcPr>
          <w:p w:rsidR="002D62B9" w:rsidRPr="001946E0" w:rsidRDefault="002D62B9" w:rsidP="001B1A50">
            <w:pPr>
              <w:pStyle w:val="tabteksts"/>
              <w:jc w:val="center"/>
              <w:rPr>
                <w:b/>
                <w:color w:val="000000"/>
              </w:rPr>
            </w:pPr>
            <w:r w:rsidRPr="001946E0">
              <w:rPr>
                <w:b/>
                <w:color w:val="000000"/>
              </w:rPr>
              <w:t>2010</w:t>
            </w:r>
          </w:p>
        </w:tc>
        <w:tc>
          <w:tcPr>
            <w:tcW w:w="798" w:type="dxa"/>
          </w:tcPr>
          <w:p w:rsidR="002D62B9" w:rsidRPr="001946E0" w:rsidRDefault="002D62B9" w:rsidP="001B1A50">
            <w:pPr>
              <w:pStyle w:val="tabteksts"/>
              <w:jc w:val="center"/>
              <w:rPr>
                <w:b/>
                <w:color w:val="000000"/>
              </w:rPr>
            </w:pPr>
            <w:r w:rsidRPr="001946E0">
              <w:rPr>
                <w:b/>
                <w:color w:val="000000"/>
              </w:rPr>
              <w:t>2015</w:t>
            </w:r>
          </w:p>
        </w:tc>
      </w:tr>
      <w:tr w:rsidR="002D62B9" w:rsidRPr="001946E0" w:rsidTr="00D01375">
        <w:tc>
          <w:tcPr>
            <w:tcW w:w="4137" w:type="dxa"/>
          </w:tcPr>
          <w:p w:rsidR="002D62B9" w:rsidRPr="001946E0" w:rsidRDefault="002D62B9" w:rsidP="00D01375">
            <w:pPr>
              <w:pStyle w:val="tabteksts"/>
              <w:spacing w:line="360" w:lineRule="auto"/>
              <w:rPr>
                <w:snapToGrid w:val="0"/>
                <w:color w:val="000000"/>
              </w:rPr>
            </w:pPr>
            <w:r w:rsidRPr="001946E0">
              <w:rPr>
                <w:snapToGrid w:val="0"/>
                <w:color w:val="000000"/>
              </w:rPr>
              <w:t>1. Vispārējie sabiedriskie pakalpojumi</w:t>
            </w:r>
          </w:p>
        </w:tc>
        <w:tc>
          <w:tcPr>
            <w:tcW w:w="952" w:type="dxa"/>
          </w:tcPr>
          <w:p w:rsidR="002D62B9" w:rsidRPr="001946E0" w:rsidRDefault="002D62B9" w:rsidP="00D01375">
            <w:pPr>
              <w:pStyle w:val="tabteksts"/>
              <w:spacing w:line="360" w:lineRule="auto"/>
              <w:rPr>
                <w:snapToGrid w:val="0"/>
                <w:color w:val="000000"/>
              </w:rPr>
            </w:pPr>
            <w:r w:rsidRPr="001946E0">
              <w:rPr>
                <w:snapToGrid w:val="0"/>
                <w:color w:val="000000"/>
              </w:rPr>
              <w:t>1</w:t>
            </w:r>
          </w:p>
        </w:tc>
        <w:tc>
          <w:tcPr>
            <w:tcW w:w="797" w:type="dxa"/>
            <w:shd w:val="clear" w:color="auto" w:fill="auto"/>
            <w:vAlign w:val="bottom"/>
          </w:tcPr>
          <w:p w:rsidR="002D62B9" w:rsidRPr="001946E0" w:rsidRDefault="002D62B9" w:rsidP="00D01375">
            <w:pPr>
              <w:pStyle w:val="tabteksts"/>
              <w:spacing w:line="360" w:lineRule="auto"/>
              <w:jc w:val="right"/>
              <w:rPr>
                <w:snapToGrid w:val="0"/>
                <w:color w:val="000000"/>
              </w:rPr>
            </w:pPr>
            <w:r w:rsidRPr="001946E0">
              <w:rPr>
                <w:snapToGrid w:val="0"/>
                <w:color w:val="000000"/>
              </w:rPr>
              <w:t>4,5</w:t>
            </w:r>
          </w:p>
        </w:tc>
        <w:tc>
          <w:tcPr>
            <w:tcW w:w="798" w:type="dxa"/>
            <w:shd w:val="clear" w:color="auto" w:fill="auto"/>
            <w:vAlign w:val="bottom"/>
          </w:tcPr>
          <w:p w:rsidR="002D62B9" w:rsidRPr="001946E0" w:rsidRDefault="002D62B9" w:rsidP="00D01375">
            <w:pPr>
              <w:pStyle w:val="tabteksts"/>
              <w:spacing w:line="360" w:lineRule="auto"/>
              <w:jc w:val="right"/>
              <w:rPr>
                <w:snapToGrid w:val="0"/>
                <w:color w:val="000000"/>
              </w:rPr>
            </w:pPr>
            <w:r w:rsidRPr="001946E0">
              <w:rPr>
                <w:snapToGrid w:val="0"/>
                <w:color w:val="000000"/>
              </w:rPr>
              <w:t>3,3</w:t>
            </w:r>
          </w:p>
        </w:tc>
      </w:tr>
      <w:tr w:rsidR="002D62B9" w:rsidRPr="001946E0" w:rsidTr="00D01375">
        <w:tc>
          <w:tcPr>
            <w:tcW w:w="4137" w:type="dxa"/>
          </w:tcPr>
          <w:p w:rsidR="002D62B9" w:rsidRPr="001946E0" w:rsidRDefault="002D62B9" w:rsidP="00D01375">
            <w:pPr>
              <w:pStyle w:val="tabteksts"/>
              <w:spacing w:line="360" w:lineRule="auto"/>
              <w:rPr>
                <w:snapToGrid w:val="0"/>
                <w:color w:val="000000"/>
              </w:rPr>
            </w:pPr>
            <w:r w:rsidRPr="001946E0">
              <w:rPr>
                <w:snapToGrid w:val="0"/>
                <w:color w:val="000000"/>
              </w:rPr>
              <w:t>2. Aizsardzība</w:t>
            </w:r>
          </w:p>
        </w:tc>
        <w:tc>
          <w:tcPr>
            <w:tcW w:w="952" w:type="dxa"/>
          </w:tcPr>
          <w:p w:rsidR="002D62B9" w:rsidRPr="001946E0" w:rsidRDefault="002D62B9" w:rsidP="00D01375">
            <w:pPr>
              <w:pStyle w:val="tabteksts"/>
              <w:spacing w:line="360" w:lineRule="auto"/>
              <w:rPr>
                <w:snapToGrid w:val="0"/>
                <w:color w:val="000000"/>
              </w:rPr>
            </w:pPr>
            <w:r w:rsidRPr="001946E0">
              <w:rPr>
                <w:snapToGrid w:val="0"/>
                <w:color w:val="000000"/>
              </w:rPr>
              <w:t>2</w:t>
            </w:r>
          </w:p>
        </w:tc>
        <w:tc>
          <w:tcPr>
            <w:tcW w:w="797" w:type="dxa"/>
            <w:shd w:val="clear" w:color="auto" w:fill="auto"/>
            <w:vAlign w:val="bottom"/>
          </w:tcPr>
          <w:p w:rsidR="002D62B9" w:rsidRPr="001946E0" w:rsidRDefault="002D62B9" w:rsidP="00D01375">
            <w:pPr>
              <w:pStyle w:val="tabteksts"/>
              <w:spacing w:line="360" w:lineRule="auto"/>
              <w:jc w:val="right"/>
              <w:rPr>
                <w:snapToGrid w:val="0"/>
                <w:color w:val="000000"/>
              </w:rPr>
            </w:pPr>
            <w:r w:rsidRPr="001946E0">
              <w:rPr>
                <w:snapToGrid w:val="0"/>
                <w:color w:val="000000"/>
              </w:rPr>
              <w:t>1,0</w:t>
            </w:r>
          </w:p>
        </w:tc>
        <w:tc>
          <w:tcPr>
            <w:tcW w:w="798" w:type="dxa"/>
            <w:shd w:val="clear" w:color="auto" w:fill="auto"/>
            <w:vAlign w:val="bottom"/>
          </w:tcPr>
          <w:p w:rsidR="002D62B9" w:rsidRPr="001946E0" w:rsidRDefault="002D62B9" w:rsidP="00D01375">
            <w:pPr>
              <w:pStyle w:val="tabteksts"/>
              <w:spacing w:line="360" w:lineRule="auto"/>
              <w:jc w:val="right"/>
              <w:rPr>
                <w:snapToGrid w:val="0"/>
                <w:color w:val="000000"/>
              </w:rPr>
            </w:pPr>
            <w:r w:rsidRPr="001946E0">
              <w:rPr>
                <w:snapToGrid w:val="0"/>
                <w:color w:val="000000"/>
              </w:rPr>
              <w:t>0,8</w:t>
            </w:r>
          </w:p>
        </w:tc>
      </w:tr>
      <w:tr w:rsidR="002D62B9" w:rsidRPr="001946E0" w:rsidTr="00D01375">
        <w:tc>
          <w:tcPr>
            <w:tcW w:w="4137" w:type="dxa"/>
          </w:tcPr>
          <w:p w:rsidR="002D62B9" w:rsidRPr="001946E0" w:rsidRDefault="002D62B9" w:rsidP="00D01375">
            <w:pPr>
              <w:pStyle w:val="tabteksts"/>
              <w:spacing w:line="360" w:lineRule="auto"/>
              <w:rPr>
                <w:snapToGrid w:val="0"/>
                <w:color w:val="000000"/>
              </w:rPr>
            </w:pPr>
            <w:r w:rsidRPr="001946E0">
              <w:rPr>
                <w:snapToGrid w:val="0"/>
                <w:color w:val="000000"/>
              </w:rPr>
              <w:t>3. Sabiedriskā kārtība un drošība</w:t>
            </w:r>
          </w:p>
        </w:tc>
        <w:tc>
          <w:tcPr>
            <w:tcW w:w="952" w:type="dxa"/>
          </w:tcPr>
          <w:p w:rsidR="002D62B9" w:rsidRPr="001946E0" w:rsidRDefault="002D62B9" w:rsidP="00D01375">
            <w:pPr>
              <w:pStyle w:val="tabteksts"/>
              <w:spacing w:line="360" w:lineRule="auto"/>
              <w:rPr>
                <w:snapToGrid w:val="0"/>
                <w:color w:val="000000"/>
              </w:rPr>
            </w:pPr>
            <w:r w:rsidRPr="001946E0">
              <w:rPr>
                <w:snapToGrid w:val="0"/>
                <w:color w:val="000000"/>
              </w:rPr>
              <w:t>3</w:t>
            </w:r>
          </w:p>
        </w:tc>
        <w:tc>
          <w:tcPr>
            <w:tcW w:w="797" w:type="dxa"/>
            <w:shd w:val="clear" w:color="auto" w:fill="auto"/>
            <w:vAlign w:val="bottom"/>
          </w:tcPr>
          <w:p w:rsidR="002D62B9" w:rsidRPr="001946E0" w:rsidRDefault="002D62B9" w:rsidP="00D01375">
            <w:pPr>
              <w:pStyle w:val="tabteksts"/>
              <w:spacing w:line="360" w:lineRule="auto"/>
              <w:jc w:val="right"/>
              <w:rPr>
                <w:snapToGrid w:val="0"/>
                <w:color w:val="000000"/>
              </w:rPr>
            </w:pPr>
            <w:r w:rsidRPr="001946E0">
              <w:rPr>
                <w:snapToGrid w:val="0"/>
                <w:color w:val="000000"/>
              </w:rPr>
              <w:t>2,0</w:t>
            </w:r>
          </w:p>
        </w:tc>
        <w:tc>
          <w:tcPr>
            <w:tcW w:w="798" w:type="dxa"/>
            <w:shd w:val="clear" w:color="auto" w:fill="auto"/>
            <w:vAlign w:val="bottom"/>
          </w:tcPr>
          <w:p w:rsidR="002D62B9" w:rsidRPr="001946E0" w:rsidRDefault="002D62B9" w:rsidP="00D01375">
            <w:pPr>
              <w:pStyle w:val="tabteksts"/>
              <w:spacing w:line="360" w:lineRule="auto"/>
              <w:jc w:val="right"/>
              <w:rPr>
                <w:snapToGrid w:val="0"/>
                <w:color w:val="000000"/>
              </w:rPr>
            </w:pPr>
            <w:r w:rsidRPr="001946E0">
              <w:rPr>
                <w:snapToGrid w:val="0"/>
                <w:color w:val="000000"/>
              </w:rPr>
              <w:t>1,5</w:t>
            </w:r>
          </w:p>
        </w:tc>
      </w:tr>
      <w:tr w:rsidR="002D62B9" w:rsidRPr="001946E0" w:rsidTr="00D01375">
        <w:tc>
          <w:tcPr>
            <w:tcW w:w="4137" w:type="dxa"/>
          </w:tcPr>
          <w:p w:rsidR="002D62B9" w:rsidRPr="001946E0" w:rsidRDefault="002D62B9" w:rsidP="00D01375">
            <w:pPr>
              <w:pStyle w:val="tabteksts"/>
              <w:spacing w:line="360" w:lineRule="auto"/>
              <w:rPr>
                <w:snapToGrid w:val="0"/>
                <w:color w:val="000000"/>
              </w:rPr>
            </w:pPr>
            <w:r w:rsidRPr="001946E0">
              <w:rPr>
                <w:snapToGrid w:val="0"/>
                <w:color w:val="000000"/>
              </w:rPr>
              <w:t>4. Ekonomiskā darbība</w:t>
            </w:r>
          </w:p>
        </w:tc>
        <w:tc>
          <w:tcPr>
            <w:tcW w:w="952" w:type="dxa"/>
          </w:tcPr>
          <w:p w:rsidR="002D62B9" w:rsidRPr="001946E0" w:rsidRDefault="002D62B9" w:rsidP="00D01375">
            <w:pPr>
              <w:pStyle w:val="tabteksts"/>
              <w:spacing w:line="360" w:lineRule="auto"/>
              <w:rPr>
                <w:snapToGrid w:val="0"/>
                <w:color w:val="000000"/>
              </w:rPr>
            </w:pPr>
            <w:r w:rsidRPr="001946E0">
              <w:rPr>
                <w:snapToGrid w:val="0"/>
                <w:color w:val="000000"/>
              </w:rPr>
              <w:t>4</w:t>
            </w:r>
          </w:p>
        </w:tc>
        <w:tc>
          <w:tcPr>
            <w:tcW w:w="797" w:type="dxa"/>
            <w:shd w:val="clear" w:color="auto" w:fill="auto"/>
            <w:vAlign w:val="bottom"/>
          </w:tcPr>
          <w:p w:rsidR="002D62B9" w:rsidRPr="001946E0" w:rsidRDefault="002D62B9" w:rsidP="00D01375">
            <w:pPr>
              <w:pStyle w:val="tabteksts"/>
              <w:spacing w:line="360" w:lineRule="auto"/>
              <w:jc w:val="right"/>
              <w:rPr>
                <w:snapToGrid w:val="0"/>
                <w:color w:val="000000"/>
              </w:rPr>
            </w:pPr>
            <w:r w:rsidRPr="001946E0">
              <w:rPr>
                <w:snapToGrid w:val="0"/>
                <w:color w:val="000000"/>
              </w:rPr>
              <w:t>9,0</w:t>
            </w:r>
          </w:p>
        </w:tc>
        <w:tc>
          <w:tcPr>
            <w:tcW w:w="798" w:type="dxa"/>
            <w:shd w:val="clear" w:color="auto" w:fill="auto"/>
            <w:vAlign w:val="bottom"/>
          </w:tcPr>
          <w:p w:rsidR="002D62B9" w:rsidRPr="001946E0" w:rsidRDefault="002D62B9" w:rsidP="00D01375">
            <w:pPr>
              <w:pStyle w:val="tabteksts"/>
              <w:spacing w:line="360" w:lineRule="auto"/>
              <w:jc w:val="right"/>
              <w:rPr>
                <w:snapToGrid w:val="0"/>
                <w:color w:val="000000"/>
              </w:rPr>
            </w:pPr>
            <w:r w:rsidRPr="001946E0">
              <w:rPr>
                <w:snapToGrid w:val="0"/>
                <w:color w:val="000000"/>
              </w:rPr>
              <w:t>6,7</w:t>
            </w:r>
          </w:p>
        </w:tc>
      </w:tr>
      <w:tr w:rsidR="002D62B9" w:rsidRPr="001946E0" w:rsidTr="00D01375">
        <w:tc>
          <w:tcPr>
            <w:tcW w:w="4137" w:type="dxa"/>
          </w:tcPr>
          <w:p w:rsidR="002D62B9" w:rsidRPr="001946E0" w:rsidRDefault="002D62B9" w:rsidP="00D01375">
            <w:pPr>
              <w:pStyle w:val="tabteksts"/>
              <w:spacing w:line="360" w:lineRule="auto"/>
              <w:rPr>
                <w:snapToGrid w:val="0"/>
                <w:color w:val="000000"/>
              </w:rPr>
            </w:pPr>
            <w:r w:rsidRPr="001946E0">
              <w:rPr>
                <w:snapToGrid w:val="0"/>
                <w:color w:val="000000"/>
              </w:rPr>
              <w:t>5. Vides aizsardzība</w:t>
            </w:r>
          </w:p>
        </w:tc>
        <w:tc>
          <w:tcPr>
            <w:tcW w:w="952" w:type="dxa"/>
          </w:tcPr>
          <w:p w:rsidR="002D62B9" w:rsidRPr="001946E0" w:rsidRDefault="002D62B9" w:rsidP="00D01375">
            <w:pPr>
              <w:pStyle w:val="tabteksts"/>
              <w:spacing w:line="360" w:lineRule="auto"/>
              <w:rPr>
                <w:color w:val="000000"/>
              </w:rPr>
            </w:pPr>
            <w:r w:rsidRPr="001946E0">
              <w:rPr>
                <w:color w:val="000000"/>
              </w:rPr>
              <w:t>5</w:t>
            </w:r>
          </w:p>
        </w:tc>
        <w:tc>
          <w:tcPr>
            <w:tcW w:w="797" w:type="dxa"/>
            <w:shd w:val="clear" w:color="auto" w:fill="auto"/>
            <w:vAlign w:val="bottom"/>
          </w:tcPr>
          <w:p w:rsidR="002D62B9" w:rsidRPr="001946E0" w:rsidRDefault="002D62B9" w:rsidP="00D01375">
            <w:pPr>
              <w:pStyle w:val="tabteksts"/>
              <w:spacing w:line="360" w:lineRule="auto"/>
              <w:jc w:val="right"/>
              <w:rPr>
                <w:snapToGrid w:val="0"/>
                <w:color w:val="000000"/>
              </w:rPr>
            </w:pPr>
            <w:r w:rsidRPr="001946E0">
              <w:rPr>
                <w:snapToGrid w:val="0"/>
                <w:color w:val="000000"/>
              </w:rPr>
              <w:t>0,8</w:t>
            </w:r>
          </w:p>
        </w:tc>
        <w:tc>
          <w:tcPr>
            <w:tcW w:w="798" w:type="dxa"/>
            <w:shd w:val="clear" w:color="auto" w:fill="auto"/>
            <w:vAlign w:val="bottom"/>
          </w:tcPr>
          <w:p w:rsidR="002D62B9" w:rsidRPr="001946E0" w:rsidRDefault="002D62B9" w:rsidP="00D01375">
            <w:pPr>
              <w:pStyle w:val="tabteksts"/>
              <w:spacing w:line="360" w:lineRule="auto"/>
              <w:jc w:val="right"/>
              <w:rPr>
                <w:snapToGrid w:val="0"/>
                <w:color w:val="000000"/>
              </w:rPr>
            </w:pPr>
            <w:r w:rsidRPr="001946E0">
              <w:rPr>
                <w:snapToGrid w:val="0"/>
                <w:color w:val="000000"/>
              </w:rPr>
              <w:t>0,6</w:t>
            </w:r>
          </w:p>
        </w:tc>
      </w:tr>
      <w:tr w:rsidR="002D62B9" w:rsidRPr="001946E0" w:rsidTr="00D01375">
        <w:tc>
          <w:tcPr>
            <w:tcW w:w="4137" w:type="dxa"/>
          </w:tcPr>
          <w:p w:rsidR="002D62B9" w:rsidRPr="001946E0" w:rsidRDefault="002D62B9" w:rsidP="00D01375">
            <w:pPr>
              <w:pStyle w:val="tabteksts"/>
              <w:spacing w:line="360" w:lineRule="auto"/>
              <w:rPr>
                <w:snapToGrid w:val="0"/>
                <w:color w:val="000000"/>
              </w:rPr>
            </w:pPr>
            <w:r w:rsidRPr="001946E0">
              <w:rPr>
                <w:snapToGrid w:val="0"/>
                <w:color w:val="000000"/>
              </w:rPr>
              <w:t>6. Mājoklis un komunālā saimniecība</w:t>
            </w:r>
          </w:p>
        </w:tc>
        <w:tc>
          <w:tcPr>
            <w:tcW w:w="952" w:type="dxa"/>
          </w:tcPr>
          <w:p w:rsidR="002D62B9" w:rsidRPr="001946E0" w:rsidRDefault="002D62B9" w:rsidP="00D01375">
            <w:pPr>
              <w:pStyle w:val="tabteksts"/>
              <w:spacing w:line="360" w:lineRule="auto"/>
              <w:rPr>
                <w:color w:val="000000"/>
              </w:rPr>
            </w:pPr>
            <w:r w:rsidRPr="001946E0">
              <w:rPr>
                <w:color w:val="000000"/>
              </w:rPr>
              <w:t>6</w:t>
            </w:r>
          </w:p>
        </w:tc>
        <w:tc>
          <w:tcPr>
            <w:tcW w:w="797" w:type="dxa"/>
            <w:shd w:val="clear" w:color="auto" w:fill="auto"/>
            <w:vAlign w:val="bottom"/>
          </w:tcPr>
          <w:p w:rsidR="002D62B9" w:rsidRPr="001946E0" w:rsidRDefault="002D62B9" w:rsidP="00D01375">
            <w:pPr>
              <w:pStyle w:val="tabteksts"/>
              <w:spacing w:line="360" w:lineRule="auto"/>
              <w:jc w:val="right"/>
              <w:rPr>
                <w:snapToGrid w:val="0"/>
                <w:color w:val="000000"/>
              </w:rPr>
            </w:pPr>
            <w:r w:rsidRPr="001946E0">
              <w:rPr>
                <w:snapToGrid w:val="0"/>
                <w:color w:val="000000"/>
              </w:rPr>
              <w:t>1,3</w:t>
            </w:r>
          </w:p>
        </w:tc>
        <w:tc>
          <w:tcPr>
            <w:tcW w:w="798" w:type="dxa"/>
            <w:shd w:val="clear" w:color="auto" w:fill="auto"/>
            <w:vAlign w:val="bottom"/>
          </w:tcPr>
          <w:p w:rsidR="002D62B9" w:rsidRPr="001946E0" w:rsidRDefault="002D62B9" w:rsidP="00D01375">
            <w:pPr>
              <w:pStyle w:val="tabteksts"/>
              <w:spacing w:line="360" w:lineRule="auto"/>
              <w:jc w:val="right"/>
              <w:rPr>
                <w:snapToGrid w:val="0"/>
                <w:color w:val="000000"/>
              </w:rPr>
            </w:pPr>
            <w:r w:rsidRPr="001946E0">
              <w:rPr>
                <w:snapToGrid w:val="0"/>
                <w:color w:val="000000"/>
              </w:rPr>
              <w:t>1,0</w:t>
            </w:r>
          </w:p>
        </w:tc>
      </w:tr>
      <w:tr w:rsidR="002D62B9" w:rsidRPr="001946E0" w:rsidTr="00D01375">
        <w:tc>
          <w:tcPr>
            <w:tcW w:w="4137" w:type="dxa"/>
          </w:tcPr>
          <w:p w:rsidR="002D62B9" w:rsidRPr="001946E0" w:rsidRDefault="002D62B9" w:rsidP="00D01375">
            <w:pPr>
              <w:pStyle w:val="tabteksts"/>
              <w:spacing w:line="360" w:lineRule="auto"/>
              <w:rPr>
                <w:snapToGrid w:val="0"/>
                <w:color w:val="000000"/>
              </w:rPr>
            </w:pPr>
            <w:r w:rsidRPr="001946E0">
              <w:rPr>
                <w:snapToGrid w:val="0"/>
                <w:color w:val="000000"/>
              </w:rPr>
              <w:t>7. Veselība</w:t>
            </w:r>
          </w:p>
        </w:tc>
        <w:tc>
          <w:tcPr>
            <w:tcW w:w="952" w:type="dxa"/>
          </w:tcPr>
          <w:p w:rsidR="002D62B9" w:rsidRPr="001946E0" w:rsidRDefault="002D62B9" w:rsidP="00D01375">
            <w:pPr>
              <w:pStyle w:val="tabteksts"/>
              <w:spacing w:line="360" w:lineRule="auto"/>
              <w:rPr>
                <w:color w:val="000000"/>
              </w:rPr>
            </w:pPr>
            <w:r w:rsidRPr="001946E0">
              <w:rPr>
                <w:color w:val="000000"/>
              </w:rPr>
              <w:t>7</w:t>
            </w:r>
          </w:p>
        </w:tc>
        <w:tc>
          <w:tcPr>
            <w:tcW w:w="797" w:type="dxa"/>
            <w:shd w:val="clear" w:color="auto" w:fill="auto"/>
            <w:vAlign w:val="bottom"/>
          </w:tcPr>
          <w:p w:rsidR="002D62B9" w:rsidRPr="001946E0" w:rsidRDefault="002D62B9" w:rsidP="00D01375">
            <w:pPr>
              <w:pStyle w:val="tabteksts"/>
              <w:spacing w:line="360" w:lineRule="auto"/>
              <w:jc w:val="right"/>
              <w:rPr>
                <w:snapToGrid w:val="0"/>
                <w:color w:val="000000"/>
              </w:rPr>
            </w:pPr>
            <w:r w:rsidRPr="001946E0">
              <w:rPr>
                <w:snapToGrid w:val="0"/>
                <w:color w:val="000000"/>
              </w:rPr>
              <w:t>4,3</w:t>
            </w:r>
          </w:p>
        </w:tc>
        <w:tc>
          <w:tcPr>
            <w:tcW w:w="798" w:type="dxa"/>
            <w:shd w:val="clear" w:color="auto" w:fill="auto"/>
            <w:vAlign w:val="bottom"/>
          </w:tcPr>
          <w:p w:rsidR="002D62B9" w:rsidRPr="001946E0" w:rsidRDefault="002D62B9" w:rsidP="00D01375">
            <w:pPr>
              <w:pStyle w:val="tabteksts"/>
              <w:spacing w:line="360" w:lineRule="auto"/>
              <w:jc w:val="right"/>
              <w:rPr>
                <w:snapToGrid w:val="0"/>
                <w:color w:val="000000"/>
              </w:rPr>
            </w:pPr>
            <w:r w:rsidRPr="001946E0">
              <w:rPr>
                <w:snapToGrid w:val="0"/>
                <w:color w:val="000000"/>
              </w:rPr>
              <w:t>3,2</w:t>
            </w:r>
          </w:p>
        </w:tc>
      </w:tr>
      <w:tr w:rsidR="002D62B9" w:rsidRPr="001946E0" w:rsidTr="00D01375">
        <w:tc>
          <w:tcPr>
            <w:tcW w:w="4137" w:type="dxa"/>
          </w:tcPr>
          <w:p w:rsidR="002D62B9" w:rsidRPr="001946E0" w:rsidRDefault="002D62B9" w:rsidP="00D01375">
            <w:pPr>
              <w:pStyle w:val="tabteksts"/>
              <w:spacing w:line="360" w:lineRule="auto"/>
              <w:rPr>
                <w:snapToGrid w:val="0"/>
                <w:color w:val="000000"/>
              </w:rPr>
            </w:pPr>
            <w:r w:rsidRPr="001946E0">
              <w:rPr>
                <w:snapToGrid w:val="0"/>
                <w:color w:val="000000"/>
              </w:rPr>
              <w:t>8. Atpūta, kultūra un reliģija</w:t>
            </w:r>
          </w:p>
        </w:tc>
        <w:tc>
          <w:tcPr>
            <w:tcW w:w="952" w:type="dxa"/>
          </w:tcPr>
          <w:p w:rsidR="002D62B9" w:rsidRPr="001946E0" w:rsidRDefault="002D62B9" w:rsidP="00D01375">
            <w:pPr>
              <w:pStyle w:val="tabteksts"/>
              <w:spacing w:line="360" w:lineRule="auto"/>
              <w:rPr>
                <w:color w:val="000000"/>
              </w:rPr>
            </w:pPr>
            <w:r w:rsidRPr="001946E0">
              <w:rPr>
                <w:color w:val="000000"/>
              </w:rPr>
              <w:t>8</w:t>
            </w:r>
          </w:p>
        </w:tc>
        <w:tc>
          <w:tcPr>
            <w:tcW w:w="797" w:type="dxa"/>
            <w:shd w:val="clear" w:color="auto" w:fill="auto"/>
            <w:vAlign w:val="bottom"/>
          </w:tcPr>
          <w:p w:rsidR="002D62B9" w:rsidRPr="001946E0" w:rsidRDefault="002D62B9" w:rsidP="00D01375">
            <w:pPr>
              <w:pStyle w:val="tabteksts"/>
              <w:spacing w:line="360" w:lineRule="auto"/>
              <w:jc w:val="right"/>
              <w:rPr>
                <w:snapToGrid w:val="0"/>
                <w:color w:val="000000"/>
              </w:rPr>
            </w:pPr>
            <w:r w:rsidRPr="001946E0">
              <w:rPr>
                <w:snapToGrid w:val="0"/>
                <w:color w:val="000000"/>
              </w:rPr>
              <w:t>1,6</w:t>
            </w:r>
          </w:p>
        </w:tc>
        <w:tc>
          <w:tcPr>
            <w:tcW w:w="798" w:type="dxa"/>
            <w:shd w:val="clear" w:color="auto" w:fill="auto"/>
            <w:vAlign w:val="bottom"/>
          </w:tcPr>
          <w:p w:rsidR="002D62B9" w:rsidRPr="001946E0" w:rsidRDefault="002D62B9" w:rsidP="00D01375">
            <w:pPr>
              <w:pStyle w:val="tabteksts"/>
              <w:spacing w:line="360" w:lineRule="auto"/>
              <w:jc w:val="right"/>
              <w:rPr>
                <w:snapToGrid w:val="0"/>
                <w:color w:val="000000"/>
              </w:rPr>
            </w:pPr>
            <w:r w:rsidRPr="001946E0">
              <w:rPr>
                <w:snapToGrid w:val="0"/>
                <w:color w:val="000000"/>
              </w:rPr>
              <w:t>1,2</w:t>
            </w:r>
          </w:p>
        </w:tc>
      </w:tr>
      <w:tr w:rsidR="002D62B9" w:rsidRPr="001946E0" w:rsidTr="00D01375">
        <w:tc>
          <w:tcPr>
            <w:tcW w:w="4137" w:type="dxa"/>
          </w:tcPr>
          <w:p w:rsidR="002D62B9" w:rsidRPr="001946E0" w:rsidRDefault="002D62B9" w:rsidP="00D01375">
            <w:pPr>
              <w:pStyle w:val="tabteksts"/>
              <w:spacing w:line="360" w:lineRule="auto"/>
              <w:rPr>
                <w:snapToGrid w:val="0"/>
                <w:color w:val="000000"/>
              </w:rPr>
            </w:pPr>
            <w:r w:rsidRPr="001946E0">
              <w:rPr>
                <w:snapToGrid w:val="0"/>
                <w:color w:val="000000"/>
              </w:rPr>
              <w:t>9. Izglītība</w:t>
            </w:r>
          </w:p>
        </w:tc>
        <w:tc>
          <w:tcPr>
            <w:tcW w:w="952" w:type="dxa"/>
          </w:tcPr>
          <w:p w:rsidR="002D62B9" w:rsidRPr="001946E0" w:rsidRDefault="002D62B9" w:rsidP="00D01375">
            <w:pPr>
              <w:pStyle w:val="tabteksts"/>
              <w:spacing w:line="360" w:lineRule="auto"/>
              <w:rPr>
                <w:color w:val="000000"/>
              </w:rPr>
            </w:pPr>
            <w:r w:rsidRPr="001946E0">
              <w:rPr>
                <w:color w:val="000000"/>
              </w:rPr>
              <w:t>9</w:t>
            </w:r>
          </w:p>
        </w:tc>
        <w:tc>
          <w:tcPr>
            <w:tcW w:w="797" w:type="dxa"/>
            <w:shd w:val="clear" w:color="auto" w:fill="auto"/>
            <w:vAlign w:val="bottom"/>
          </w:tcPr>
          <w:p w:rsidR="002D62B9" w:rsidRPr="001946E0" w:rsidRDefault="002D62B9" w:rsidP="00D01375">
            <w:pPr>
              <w:pStyle w:val="tabteksts"/>
              <w:spacing w:line="360" w:lineRule="auto"/>
              <w:jc w:val="right"/>
              <w:rPr>
                <w:snapToGrid w:val="0"/>
                <w:color w:val="000000"/>
              </w:rPr>
            </w:pPr>
            <w:r w:rsidRPr="001946E0">
              <w:rPr>
                <w:snapToGrid w:val="0"/>
                <w:color w:val="000000"/>
              </w:rPr>
              <w:t>6,2</w:t>
            </w:r>
          </w:p>
        </w:tc>
        <w:tc>
          <w:tcPr>
            <w:tcW w:w="798" w:type="dxa"/>
            <w:shd w:val="clear" w:color="auto" w:fill="auto"/>
            <w:vAlign w:val="bottom"/>
          </w:tcPr>
          <w:p w:rsidR="002D62B9" w:rsidRPr="001946E0" w:rsidRDefault="002D62B9" w:rsidP="00D01375">
            <w:pPr>
              <w:pStyle w:val="tabteksts"/>
              <w:spacing w:line="360" w:lineRule="auto"/>
              <w:jc w:val="right"/>
              <w:rPr>
                <w:snapToGrid w:val="0"/>
                <w:color w:val="000000"/>
              </w:rPr>
            </w:pPr>
            <w:r w:rsidRPr="001946E0">
              <w:rPr>
                <w:snapToGrid w:val="0"/>
                <w:color w:val="000000"/>
              </w:rPr>
              <w:t>4,6</w:t>
            </w:r>
          </w:p>
        </w:tc>
      </w:tr>
      <w:tr w:rsidR="002D62B9" w:rsidRPr="001946E0" w:rsidTr="00D01375">
        <w:tc>
          <w:tcPr>
            <w:tcW w:w="4137" w:type="dxa"/>
          </w:tcPr>
          <w:p w:rsidR="002D62B9" w:rsidRPr="001946E0" w:rsidRDefault="002D62B9" w:rsidP="00D01375">
            <w:pPr>
              <w:pStyle w:val="tabteksts"/>
              <w:spacing w:line="360" w:lineRule="auto"/>
              <w:rPr>
                <w:snapToGrid w:val="0"/>
                <w:color w:val="000000"/>
              </w:rPr>
            </w:pPr>
            <w:r w:rsidRPr="001946E0">
              <w:rPr>
                <w:snapToGrid w:val="0"/>
                <w:color w:val="000000"/>
              </w:rPr>
              <w:t>10. Sociālā aizsardzība</w:t>
            </w:r>
          </w:p>
        </w:tc>
        <w:tc>
          <w:tcPr>
            <w:tcW w:w="952" w:type="dxa"/>
          </w:tcPr>
          <w:p w:rsidR="002D62B9" w:rsidRPr="001946E0" w:rsidRDefault="002D62B9" w:rsidP="00D01375">
            <w:pPr>
              <w:pStyle w:val="tabteksts"/>
              <w:spacing w:line="360" w:lineRule="auto"/>
              <w:rPr>
                <w:color w:val="000000"/>
              </w:rPr>
            </w:pPr>
            <w:r w:rsidRPr="001946E0">
              <w:rPr>
                <w:color w:val="000000"/>
              </w:rPr>
              <w:t>10</w:t>
            </w:r>
          </w:p>
        </w:tc>
        <w:tc>
          <w:tcPr>
            <w:tcW w:w="797" w:type="dxa"/>
            <w:shd w:val="clear" w:color="auto" w:fill="auto"/>
            <w:vAlign w:val="bottom"/>
          </w:tcPr>
          <w:p w:rsidR="002D62B9" w:rsidRPr="001946E0" w:rsidRDefault="002D62B9" w:rsidP="00D01375">
            <w:pPr>
              <w:pStyle w:val="tabteksts"/>
              <w:spacing w:line="360" w:lineRule="auto"/>
              <w:jc w:val="right"/>
              <w:rPr>
                <w:snapToGrid w:val="0"/>
                <w:color w:val="000000"/>
              </w:rPr>
            </w:pPr>
            <w:r w:rsidRPr="001946E0">
              <w:rPr>
                <w:snapToGrid w:val="0"/>
                <w:color w:val="000000"/>
              </w:rPr>
              <w:t>13,8</w:t>
            </w:r>
          </w:p>
        </w:tc>
        <w:tc>
          <w:tcPr>
            <w:tcW w:w="798" w:type="dxa"/>
            <w:shd w:val="clear" w:color="auto" w:fill="auto"/>
            <w:vAlign w:val="bottom"/>
          </w:tcPr>
          <w:p w:rsidR="002D62B9" w:rsidRPr="001946E0" w:rsidRDefault="002D62B9" w:rsidP="00D01375">
            <w:pPr>
              <w:pStyle w:val="tabteksts"/>
              <w:spacing w:line="360" w:lineRule="auto"/>
              <w:jc w:val="right"/>
              <w:rPr>
                <w:snapToGrid w:val="0"/>
                <w:color w:val="000000"/>
              </w:rPr>
            </w:pPr>
            <w:r w:rsidRPr="001946E0">
              <w:rPr>
                <w:snapToGrid w:val="0"/>
                <w:color w:val="000000"/>
              </w:rPr>
              <w:t>10,3</w:t>
            </w:r>
          </w:p>
        </w:tc>
      </w:tr>
      <w:tr w:rsidR="002D62B9" w:rsidRPr="001946E0" w:rsidTr="00D01375">
        <w:tc>
          <w:tcPr>
            <w:tcW w:w="4137" w:type="dxa"/>
          </w:tcPr>
          <w:p w:rsidR="002D62B9" w:rsidRPr="001946E0" w:rsidRDefault="002D62B9" w:rsidP="00D01375">
            <w:pPr>
              <w:pStyle w:val="tabteksts"/>
              <w:spacing w:line="360" w:lineRule="auto"/>
              <w:rPr>
                <w:snapToGrid w:val="0"/>
                <w:color w:val="000000"/>
              </w:rPr>
            </w:pPr>
            <w:r w:rsidRPr="001946E0">
              <w:rPr>
                <w:snapToGrid w:val="0"/>
                <w:color w:val="000000"/>
              </w:rPr>
              <w:t>11. Kopējie izdevumi</w:t>
            </w:r>
          </w:p>
        </w:tc>
        <w:tc>
          <w:tcPr>
            <w:tcW w:w="952" w:type="dxa"/>
          </w:tcPr>
          <w:p w:rsidR="002D62B9" w:rsidRPr="001946E0" w:rsidRDefault="002D62B9" w:rsidP="00D01375">
            <w:pPr>
              <w:pStyle w:val="tabteksts"/>
              <w:spacing w:line="360" w:lineRule="auto"/>
              <w:rPr>
                <w:color w:val="000000"/>
              </w:rPr>
            </w:pPr>
            <w:r w:rsidRPr="001946E0">
              <w:rPr>
                <w:color w:val="000000"/>
              </w:rPr>
              <w:t>TE</w:t>
            </w:r>
          </w:p>
        </w:tc>
        <w:tc>
          <w:tcPr>
            <w:tcW w:w="797" w:type="dxa"/>
            <w:shd w:val="clear" w:color="auto" w:fill="auto"/>
            <w:vAlign w:val="bottom"/>
          </w:tcPr>
          <w:p w:rsidR="002D62B9" w:rsidRPr="001946E0" w:rsidRDefault="002D62B9" w:rsidP="00D01375">
            <w:pPr>
              <w:pStyle w:val="tabteksts"/>
              <w:spacing w:line="360" w:lineRule="auto"/>
              <w:jc w:val="right"/>
              <w:rPr>
                <w:snapToGrid w:val="0"/>
                <w:color w:val="000000"/>
              </w:rPr>
            </w:pPr>
            <w:r w:rsidRPr="001946E0">
              <w:rPr>
                <w:snapToGrid w:val="0"/>
                <w:color w:val="000000"/>
              </w:rPr>
              <w:t>44,4</w:t>
            </w:r>
          </w:p>
        </w:tc>
        <w:tc>
          <w:tcPr>
            <w:tcW w:w="798" w:type="dxa"/>
            <w:shd w:val="clear" w:color="auto" w:fill="auto"/>
            <w:vAlign w:val="bottom"/>
          </w:tcPr>
          <w:p w:rsidR="002D62B9" w:rsidRPr="001946E0" w:rsidRDefault="002D62B9" w:rsidP="00D01375">
            <w:pPr>
              <w:pStyle w:val="tabteksts"/>
              <w:spacing w:line="360" w:lineRule="auto"/>
              <w:jc w:val="right"/>
              <w:rPr>
                <w:snapToGrid w:val="0"/>
                <w:color w:val="000000"/>
              </w:rPr>
            </w:pPr>
            <w:r w:rsidRPr="001946E0">
              <w:rPr>
                <w:snapToGrid w:val="0"/>
                <w:color w:val="000000"/>
              </w:rPr>
              <w:t>33,1</w:t>
            </w:r>
          </w:p>
        </w:tc>
      </w:tr>
    </w:tbl>
    <w:p w:rsidR="002D62B9" w:rsidRPr="001946E0" w:rsidRDefault="00203D1A" w:rsidP="002D62B9">
      <w:pPr>
        <w:pStyle w:val="T"/>
        <w:ind w:left="0"/>
        <w:rPr>
          <w:rFonts w:ascii="Times New Roman" w:hAnsi="Times New Roman"/>
          <w:color w:val="000000"/>
          <w:szCs w:val="24"/>
        </w:rPr>
      </w:pPr>
      <w:r>
        <w:rPr>
          <w:rFonts w:ascii="Times New Roman" w:hAnsi="Times New Roman"/>
          <w:color w:val="000000"/>
          <w:szCs w:val="24"/>
        </w:rPr>
        <w:br w:type="page"/>
      </w:r>
      <w:r w:rsidR="002D62B9" w:rsidRPr="001946E0">
        <w:rPr>
          <w:rFonts w:ascii="Times New Roman" w:hAnsi="Times New Roman"/>
          <w:color w:val="000000"/>
          <w:szCs w:val="24"/>
        </w:rPr>
        <w:t>4. tabula. Vispārējās valdības parāda attīstība</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7"/>
        <w:gridCol w:w="850"/>
        <w:gridCol w:w="1135"/>
        <w:gridCol w:w="1215"/>
        <w:gridCol w:w="954"/>
        <w:gridCol w:w="949"/>
        <w:gridCol w:w="993"/>
      </w:tblGrid>
      <w:tr w:rsidR="002D62B9" w:rsidRPr="001946E0" w:rsidTr="00203D1A">
        <w:trPr>
          <w:trHeight w:val="374"/>
        </w:trPr>
        <w:tc>
          <w:tcPr>
            <w:tcW w:w="3417" w:type="dxa"/>
            <w:shd w:val="clear" w:color="auto" w:fill="auto"/>
            <w:noWrap/>
            <w:vAlign w:val="center"/>
            <w:hideMark/>
          </w:tcPr>
          <w:p w:rsidR="002D62B9" w:rsidRPr="001946E0" w:rsidRDefault="002D62B9" w:rsidP="001B1A50">
            <w:pPr>
              <w:spacing w:after="0"/>
              <w:ind w:firstLine="0"/>
              <w:jc w:val="left"/>
              <w:rPr>
                <w:b/>
                <w:bCs/>
                <w:color w:val="000000"/>
                <w:sz w:val="20"/>
                <w:szCs w:val="24"/>
                <w:lang w:eastAsia="lv-LV"/>
              </w:rPr>
            </w:pPr>
            <w:r w:rsidRPr="001946E0">
              <w:rPr>
                <w:b/>
                <w:bCs/>
                <w:color w:val="000000"/>
                <w:sz w:val="20"/>
                <w:szCs w:val="24"/>
                <w:lang w:eastAsia="lv-LV"/>
              </w:rPr>
              <w:t>% no IKP</w:t>
            </w:r>
          </w:p>
        </w:tc>
        <w:tc>
          <w:tcPr>
            <w:tcW w:w="850" w:type="dxa"/>
            <w:shd w:val="clear" w:color="auto" w:fill="auto"/>
            <w:vAlign w:val="center"/>
            <w:hideMark/>
          </w:tcPr>
          <w:p w:rsidR="002D62B9" w:rsidRPr="001946E0" w:rsidRDefault="002D62B9" w:rsidP="001B1A50">
            <w:pPr>
              <w:spacing w:after="0"/>
              <w:ind w:firstLine="0"/>
              <w:jc w:val="center"/>
              <w:rPr>
                <w:color w:val="000000"/>
                <w:sz w:val="20"/>
                <w:szCs w:val="24"/>
                <w:lang w:eastAsia="lv-LV"/>
              </w:rPr>
            </w:pPr>
            <w:r w:rsidRPr="001946E0">
              <w:rPr>
                <w:color w:val="000000"/>
                <w:sz w:val="20"/>
                <w:szCs w:val="24"/>
                <w:lang w:eastAsia="lv-LV"/>
              </w:rPr>
              <w:t>ESA kods</w:t>
            </w:r>
          </w:p>
        </w:tc>
        <w:tc>
          <w:tcPr>
            <w:tcW w:w="1135" w:type="dxa"/>
            <w:shd w:val="clear" w:color="auto" w:fill="auto"/>
            <w:noWrap/>
            <w:vAlign w:val="center"/>
            <w:hideMark/>
          </w:tcPr>
          <w:p w:rsidR="002D62B9" w:rsidRPr="001946E0" w:rsidRDefault="002D62B9" w:rsidP="001B1A50">
            <w:pPr>
              <w:spacing w:after="0"/>
              <w:ind w:firstLine="0"/>
              <w:jc w:val="center"/>
              <w:rPr>
                <w:b/>
                <w:bCs/>
                <w:color w:val="000000"/>
                <w:sz w:val="20"/>
                <w:szCs w:val="24"/>
                <w:lang w:eastAsia="lv-LV"/>
              </w:rPr>
            </w:pPr>
            <w:r w:rsidRPr="001946E0">
              <w:rPr>
                <w:b/>
                <w:bCs/>
                <w:color w:val="000000"/>
                <w:sz w:val="20"/>
                <w:szCs w:val="24"/>
                <w:lang w:eastAsia="lv-LV"/>
              </w:rPr>
              <w:t>2011</w:t>
            </w:r>
          </w:p>
        </w:tc>
        <w:tc>
          <w:tcPr>
            <w:tcW w:w="1215" w:type="dxa"/>
            <w:shd w:val="clear" w:color="auto" w:fill="auto"/>
            <w:noWrap/>
            <w:vAlign w:val="center"/>
            <w:hideMark/>
          </w:tcPr>
          <w:p w:rsidR="002D62B9" w:rsidRPr="001946E0" w:rsidRDefault="002D62B9" w:rsidP="001B1A50">
            <w:pPr>
              <w:spacing w:after="0"/>
              <w:ind w:firstLine="0"/>
              <w:jc w:val="center"/>
              <w:rPr>
                <w:b/>
                <w:bCs/>
                <w:color w:val="000000"/>
                <w:sz w:val="20"/>
                <w:szCs w:val="24"/>
                <w:lang w:eastAsia="lv-LV"/>
              </w:rPr>
            </w:pPr>
            <w:r w:rsidRPr="001946E0">
              <w:rPr>
                <w:b/>
                <w:bCs/>
                <w:color w:val="000000"/>
                <w:sz w:val="20"/>
                <w:szCs w:val="24"/>
                <w:lang w:eastAsia="lv-LV"/>
              </w:rPr>
              <w:t>2012</w:t>
            </w:r>
          </w:p>
        </w:tc>
        <w:tc>
          <w:tcPr>
            <w:tcW w:w="954" w:type="dxa"/>
            <w:shd w:val="clear" w:color="auto" w:fill="auto"/>
            <w:noWrap/>
            <w:vAlign w:val="center"/>
            <w:hideMark/>
          </w:tcPr>
          <w:p w:rsidR="002D62B9" w:rsidRPr="001946E0" w:rsidRDefault="002D62B9" w:rsidP="001B1A50">
            <w:pPr>
              <w:spacing w:after="0"/>
              <w:ind w:firstLine="0"/>
              <w:jc w:val="center"/>
              <w:rPr>
                <w:b/>
                <w:bCs/>
                <w:color w:val="000000"/>
                <w:sz w:val="20"/>
                <w:szCs w:val="24"/>
                <w:lang w:eastAsia="lv-LV"/>
              </w:rPr>
            </w:pPr>
            <w:r w:rsidRPr="001946E0">
              <w:rPr>
                <w:b/>
                <w:bCs/>
                <w:color w:val="000000"/>
                <w:sz w:val="20"/>
                <w:szCs w:val="24"/>
                <w:lang w:eastAsia="lv-LV"/>
              </w:rPr>
              <w:t>2013</w:t>
            </w:r>
          </w:p>
        </w:tc>
        <w:tc>
          <w:tcPr>
            <w:tcW w:w="949" w:type="dxa"/>
            <w:shd w:val="clear" w:color="auto" w:fill="auto"/>
            <w:noWrap/>
            <w:vAlign w:val="center"/>
            <w:hideMark/>
          </w:tcPr>
          <w:p w:rsidR="002D62B9" w:rsidRPr="001946E0" w:rsidRDefault="002D62B9" w:rsidP="001B1A50">
            <w:pPr>
              <w:spacing w:after="0"/>
              <w:ind w:firstLine="0"/>
              <w:jc w:val="center"/>
              <w:rPr>
                <w:b/>
                <w:bCs/>
                <w:color w:val="000000"/>
                <w:sz w:val="20"/>
                <w:szCs w:val="24"/>
                <w:lang w:eastAsia="lv-LV"/>
              </w:rPr>
            </w:pPr>
            <w:r w:rsidRPr="001946E0">
              <w:rPr>
                <w:b/>
                <w:bCs/>
                <w:color w:val="000000"/>
                <w:sz w:val="20"/>
                <w:szCs w:val="24"/>
                <w:lang w:eastAsia="lv-LV"/>
              </w:rPr>
              <w:t>2014</w:t>
            </w:r>
          </w:p>
        </w:tc>
        <w:tc>
          <w:tcPr>
            <w:tcW w:w="993" w:type="dxa"/>
            <w:shd w:val="clear" w:color="auto" w:fill="auto"/>
            <w:noWrap/>
            <w:vAlign w:val="center"/>
            <w:hideMark/>
          </w:tcPr>
          <w:p w:rsidR="002D62B9" w:rsidRPr="001946E0" w:rsidRDefault="002D62B9" w:rsidP="001B1A50">
            <w:pPr>
              <w:spacing w:after="0"/>
              <w:ind w:firstLine="0"/>
              <w:jc w:val="center"/>
              <w:rPr>
                <w:b/>
                <w:bCs/>
                <w:color w:val="000000"/>
                <w:sz w:val="20"/>
                <w:szCs w:val="24"/>
                <w:lang w:eastAsia="lv-LV"/>
              </w:rPr>
            </w:pPr>
            <w:r w:rsidRPr="001946E0">
              <w:rPr>
                <w:b/>
                <w:bCs/>
                <w:color w:val="000000"/>
                <w:sz w:val="20"/>
                <w:szCs w:val="24"/>
                <w:lang w:eastAsia="lv-LV"/>
              </w:rPr>
              <w:t>2015</w:t>
            </w:r>
          </w:p>
        </w:tc>
      </w:tr>
      <w:tr w:rsidR="002D62B9" w:rsidRPr="001946E0" w:rsidTr="00203D1A">
        <w:trPr>
          <w:trHeight w:val="466"/>
        </w:trPr>
        <w:tc>
          <w:tcPr>
            <w:tcW w:w="3417" w:type="dxa"/>
            <w:shd w:val="clear" w:color="auto" w:fill="auto"/>
            <w:noWrap/>
            <w:vAlign w:val="center"/>
            <w:hideMark/>
          </w:tcPr>
          <w:p w:rsidR="00F57830" w:rsidRDefault="002D62B9" w:rsidP="001B1A50">
            <w:pPr>
              <w:spacing w:after="0"/>
              <w:ind w:firstLine="0"/>
              <w:jc w:val="left"/>
              <w:rPr>
                <w:b/>
                <w:bCs/>
                <w:color w:val="000000"/>
                <w:sz w:val="20"/>
                <w:szCs w:val="24"/>
                <w:lang w:eastAsia="lv-LV"/>
              </w:rPr>
            </w:pPr>
            <w:r w:rsidRPr="001946E0">
              <w:rPr>
                <w:b/>
                <w:bCs/>
                <w:color w:val="000000"/>
                <w:sz w:val="20"/>
                <w:szCs w:val="24"/>
                <w:lang w:eastAsia="lv-LV"/>
              </w:rPr>
              <w:t xml:space="preserve">1. Bruto parāds </w:t>
            </w:r>
          </w:p>
          <w:p w:rsidR="002D62B9" w:rsidRPr="001946E0" w:rsidRDefault="002D62B9" w:rsidP="001B1A50">
            <w:pPr>
              <w:spacing w:after="0"/>
              <w:ind w:firstLine="0"/>
              <w:jc w:val="left"/>
              <w:rPr>
                <w:b/>
                <w:bCs/>
                <w:color w:val="000000"/>
                <w:sz w:val="20"/>
                <w:szCs w:val="24"/>
                <w:lang w:eastAsia="lv-LV"/>
              </w:rPr>
            </w:pPr>
            <w:r w:rsidRPr="001946E0">
              <w:rPr>
                <w:b/>
                <w:bCs/>
                <w:color w:val="000000"/>
                <w:sz w:val="20"/>
                <w:szCs w:val="24"/>
                <w:lang w:eastAsia="lv-LV"/>
              </w:rPr>
              <w:t>(Gross debt)</w:t>
            </w:r>
          </w:p>
        </w:tc>
        <w:tc>
          <w:tcPr>
            <w:tcW w:w="850" w:type="dxa"/>
            <w:shd w:val="clear" w:color="auto" w:fill="auto"/>
            <w:noWrap/>
            <w:vAlign w:val="center"/>
            <w:hideMark/>
          </w:tcPr>
          <w:p w:rsidR="002D62B9" w:rsidRPr="001946E0" w:rsidRDefault="002D62B9" w:rsidP="001B1A50">
            <w:pPr>
              <w:spacing w:after="0"/>
              <w:ind w:firstLine="0"/>
              <w:jc w:val="left"/>
              <w:rPr>
                <w:b/>
                <w:bCs/>
                <w:color w:val="000000"/>
                <w:sz w:val="20"/>
                <w:szCs w:val="24"/>
                <w:lang w:eastAsia="lv-LV"/>
              </w:rPr>
            </w:pPr>
            <w:r w:rsidRPr="001946E0">
              <w:rPr>
                <w:b/>
                <w:bCs/>
                <w:color w:val="000000"/>
                <w:sz w:val="20"/>
                <w:szCs w:val="24"/>
                <w:lang w:eastAsia="lv-LV"/>
              </w:rPr>
              <w:t> </w:t>
            </w:r>
          </w:p>
        </w:tc>
        <w:tc>
          <w:tcPr>
            <w:tcW w:w="1135" w:type="dxa"/>
            <w:shd w:val="clear" w:color="auto" w:fill="auto"/>
            <w:noWrap/>
            <w:vAlign w:val="center"/>
            <w:hideMark/>
          </w:tcPr>
          <w:p w:rsidR="002D62B9" w:rsidRPr="001946E0" w:rsidRDefault="002D62B9" w:rsidP="001B1A50">
            <w:pPr>
              <w:spacing w:after="0"/>
              <w:ind w:firstLine="0"/>
              <w:jc w:val="right"/>
              <w:rPr>
                <w:b/>
                <w:bCs/>
                <w:color w:val="000000"/>
                <w:sz w:val="20"/>
                <w:szCs w:val="24"/>
                <w:lang w:eastAsia="lv-LV"/>
              </w:rPr>
            </w:pPr>
            <w:r w:rsidRPr="001946E0">
              <w:rPr>
                <w:b/>
                <w:bCs/>
                <w:color w:val="000000"/>
                <w:sz w:val="20"/>
                <w:szCs w:val="24"/>
                <w:lang w:eastAsia="lv-LV"/>
              </w:rPr>
              <w:t>42</w:t>
            </w:r>
            <w:r w:rsidR="00C740F1">
              <w:rPr>
                <w:b/>
                <w:bCs/>
                <w:color w:val="000000"/>
                <w:sz w:val="20"/>
                <w:szCs w:val="24"/>
                <w:lang w:eastAsia="lv-LV"/>
              </w:rPr>
              <w:t>,</w:t>
            </w:r>
            <w:r w:rsidRPr="001946E0">
              <w:rPr>
                <w:b/>
                <w:bCs/>
                <w:color w:val="000000"/>
                <w:sz w:val="20"/>
                <w:szCs w:val="24"/>
                <w:lang w:eastAsia="lv-LV"/>
              </w:rPr>
              <w:t>6%</w:t>
            </w:r>
          </w:p>
        </w:tc>
        <w:tc>
          <w:tcPr>
            <w:tcW w:w="1215" w:type="dxa"/>
            <w:shd w:val="clear" w:color="auto" w:fill="auto"/>
            <w:noWrap/>
            <w:vAlign w:val="center"/>
            <w:hideMark/>
          </w:tcPr>
          <w:p w:rsidR="002D62B9" w:rsidRPr="001946E0" w:rsidRDefault="002D62B9" w:rsidP="001B1A50">
            <w:pPr>
              <w:spacing w:after="0"/>
              <w:ind w:firstLine="0"/>
              <w:jc w:val="right"/>
              <w:rPr>
                <w:b/>
                <w:bCs/>
                <w:color w:val="000000"/>
                <w:sz w:val="20"/>
                <w:szCs w:val="24"/>
                <w:lang w:eastAsia="lv-LV"/>
              </w:rPr>
            </w:pPr>
            <w:r w:rsidRPr="001946E0">
              <w:rPr>
                <w:b/>
                <w:bCs/>
                <w:color w:val="000000"/>
                <w:sz w:val="20"/>
                <w:szCs w:val="24"/>
                <w:lang w:eastAsia="lv-LV"/>
              </w:rPr>
              <w:t>44</w:t>
            </w:r>
            <w:r w:rsidR="00C740F1">
              <w:rPr>
                <w:b/>
                <w:bCs/>
                <w:color w:val="000000"/>
                <w:sz w:val="20"/>
                <w:szCs w:val="24"/>
                <w:lang w:eastAsia="lv-LV"/>
              </w:rPr>
              <w:t>,</w:t>
            </w:r>
            <w:r w:rsidRPr="001946E0">
              <w:rPr>
                <w:b/>
                <w:bCs/>
                <w:color w:val="000000"/>
                <w:sz w:val="20"/>
                <w:szCs w:val="24"/>
                <w:lang w:eastAsia="lv-LV"/>
              </w:rPr>
              <w:t>5%</w:t>
            </w:r>
          </w:p>
        </w:tc>
        <w:tc>
          <w:tcPr>
            <w:tcW w:w="954" w:type="dxa"/>
            <w:shd w:val="clear" w:color="auto" w:fill="auto"/>
            <w:noWrap/>
            <w:vAlign w:val="center"/>
            <w:hideMark/>
          </w:tcPr>
          <w:p w:rsidR="002D62B9" w:rsidRPr="001946E0" w:rsidRDefault="002D62B9" w:rsidP="001B1A50">
            <w:pPr>
              <w:spacing w:after="0"/>
              <w:ind w:firstLine="0"/>
              <w:jc w:val="right"/>
              <w:rPr>
                <w:b/>
                <w:bCs/>
                <w:color w:val="000000"/>
                <w:sz w:val="20"/>
                <w:szCs w:val="24"/>
                <w:lang w:eastAsia="lv-LV"/>
              </w:rPr>
            </w:pPr>
            <w:r w:rsidRPr="001946E0">
              <w:rPr>
                <w:b/>
                <w:bCs/>
                <w:color w:val="000000"/>
                <w:sz w:val="20"/>
                <w:szCs w:val="24"/>
                <w:lang w:eastAsia="lv-LV"/>
              </w:rPr>
              <w:t>45</w:t>
            </w:r>
            <w:r w:rsidR="00C740F1">
              <w:rPr>
                <w:b/>
                <w:bCs/>
                <w:color w:val="000000"/>
                <w:sz w:val="20"/>
                <w:szCs w:val="24"/>
                <w:lang w:eastAsia="lv-LV"/>
              </w:rPr>
              <w:t>,</w:t>
            </w:r>
            <w:r w:rsidRPr="001946E0">
              <w:rPr>
                <w:b/>
                <w:bCs/>
                <w:color w:val="000000"/>
                <w:sz w:val="20"/>
                <w:szCs w:val="24"/>
                <w:lang w:eastAsia="lv-LV"/>
              </w:rPr>
              <w:t>8%</w:t>
            </w:r>
          </w:p>
        </w:tc>
        <w:tc>
          <w:tcPr>
            <w:tcW w:w="949" w:type="dxa"/>
            <w:shd w:val="clear" w:color="auto" w:fill="auto"/>
            <w:noWrap/>
            <w:vAlign w:val="center"/>
            <w:hideMark/>
          </w:tcPr>
          <w:p w:rsidR="002D62B9" w:rsidRPr="001946E0" w:rsidRDefault="002D62B9" w:rsidP="001B1A50">
            <w:pPr>
              <w:spacing w:after="0"/>
              <w:ind w:firstLine="0"/>
              <w:jc w:val="right"/>
              <w:rPr>
                <w:b/>
                <w:bCs/>
                <w:color w:val="000000"/>
                <w:sz w:val="20"/>
                <w:szCs w:val="24"/>
                <w:lang w:eastAsia="lv-LV"/>
              </w:rPr>
            </w:pPr>
            <w:r w:rsidRPr="001946E0">
              <w:rPr>
                <w:b/>
                <w:bCs/>
                <w:color w:val="000000"/>
                <w:sz w:val="20"/>
                <w:szCs w:val="24"/>
                <w:lang w:eastAsia="lv-LV"/>
              </w:rPr>
              <w:t>46</w:t>
            </w:r>
            <w:r w:rsidR="00C740F1">
              <w:rPr>
                <w:b/>
                <w:bCs/>
                <w:color w:val="000000"/>
                <w:sz w:val="20"/>
                <w:szCs w:val="24"/>
                <w:lang w:eastAsia="lv-LV"/>
              </w:rPr>
              <w:t>,</w:t>
            </w:r>
            <w:r w:rsidRPr="001946E0">
              <w:rPr>
                <w:b/>
                <w:bCs/>
                <w:color w:val="000000"/>
                <w:sz w:val="20"/>
                <w:szCs w:val="24"/>
                <w:lang w:eastAsia="lv-LV"/>
              </w:rPr>
              <w:t>7%</w:t>
            </w:r>
          </w:p>
        </w:tc>
        <w:tc>
          <w:tcPr>
            <w:tcW w:w="993" w:type="dxa"/>
            <w:shd w:val="clear" w:color="auto" w:fill="auto"/>
            <w:noWrap/>
            <w:vAlign w:val="center"/>
            <w:hideMark/>
          </w:tcPr>
          <w:p w:rsidR="002D62B9" w:rsidRPr="001946E0" w:rsidRDefault="002D62B9" w:rsidP="001B1A50">
            <w:pPr>
              <w:spacing w:after="0"/>
              <w:ind w:firstLine="0"/>
              <w:jc w:val="right"/>
              <w:rPr>
                <w:b/>
                <w:bCs/>
                <w:color w:val="000000"/>
                <w:sz w:val="20"/>
                <w:szCs w:val="24"/>
                <w:lang w:eastAsia="lv-LV"/>
              </w:rPr>
            </w:pPr>
            <w:r w:rsidRPr="001946E0">
              <w:rPr>
                <w:b/>
                <w:bCs/>
                <w:color w:val="000000"/>
                <w:sz w:val="20"/>
                <w:szCs w:val="24"/>
                <w:lang w:eastAsia="lv-LV"/>
              </w:rPr>
              <w:t>38</w:t>
            </w:r>
            <w:r w:rsidR="00C740F1">
              <w:rPr>
                <w:b/>
                <w:bCs/>
                <w:color w:val="000000"/>
                <w:sz w:val="20"/>
                <w:szCs w:val="24"/>
                <w:lang w:eastAsia="lv-LV"/>
              </w:rPr>
              <w:t>,</w:t>
            </w:r>
            <w:r w:rsidRPr="001946E0">
              <w:rPr>
                <w:b/>
                <w:bCs/>
                <w:color w:val="000000"/>
                <w:sz w:val="20"/>
                <w:szCs w:val="24"/>
                <w:lang w:eastAsia="lv-LV"/>
              </w:rPr>
              <w:t>9%</w:t>
            </w:r>
          </w:p>
        </w:tc>
      </w:tr>
      <w:tr w:rsidR="002D62B9" w:rsidRPr="001946E0" w:rsidTr="00203D1A">
        <w:trPr>
          <w:trHeight w:val="401"/>
        </w:trPr>
        <w:tc>
          <w:tcPr>
            <w:tcW w:w="3417" w:type="dxa"/>
            <w:shd w:val="clear" w:color="auto" w:fill="auto"/>
            <w:noWrap/>
            <w:vAlign w:val="center"/>
            <w:hideMark/>
          </w:tcPr>
          <w:p w:rsidR="00F57830" w:rsidRDefault="002D62B9" w:rsidP="001B1A50">
            <w:pPr>
              <w:spacing w:after="0"/>
              <w:ind w:firstLine="0"/>
              <w:jc w:val="left"/>
              <w:rPr>
                <w:b/>
                <w:bCs/>
                <w:color w:val="000000"/>
                <w:sz w:val="20"/>
                <w:szCs w:val="24"/>
                <w:lang w:eastAsia="lv-LV"/>
              </w:rPr>
            </w:pPr>
            <w:r w:rsidRPr="001946E0">
              <w:rPr>
                <w:b/>
                <w:bCs/>
                <w:color w:val="000000"/>
                <w:sz w:val="20"/>
                <w:szCs w:val="24"/>
                <w:lang w:eastAsia="lv-LV"/>
              </w:rPr>
              <w:t xml:space="preserve">2. Bruto parāda izmaiņas </w:t>
            </w:r>
          </w:p>
          <w:p w:rsidR="002D62B9" w:rsidRPr="001946E0" w:rsidRDefault="002D62B9" w:rsidP="001B1A50">
            <w:pPr>
              <w:spacing w:after="0"/>
              <w:ind w:firstLine="0"/>
              <w:jc w:val="left"/>
              <w:rPr>
                <w:b/>
                <w:bCs/>
                <w:color w:val="000000"/>
                <w:sz w:val="20"/>
                <w:szCs w:val="24"/>
                <w:lang w:eastAsia="lv-LV"/>
              </w:rPr>
            </w:pPr>
            <w:r w:rsidRPr="001946E0">
              <w:rPr>
                <w:b/>
                <w:bCs/>
                <w:color w:val="000000"/>
                <w:sz w:val="20"/>
                <w:szCs w:val="24"/>
                <w:lang w:eastAsia="lv-LV"/>
              </w:rPr>
              <w:t>(Change in gross debt ratio)</w:t>
            </w:r>
          </w:p>
        </w:tc>
        <w:tc>
          <w:tcPr>
            <w:tcW w:w="850" w:type="dxa"/>
            <w:shd w:val="clear" w:color="auto" w:fill="auto"/>
            <w:noWrap/>
            <w:vAlign w:val="center"/>
            <w:hideMark/>
          </w:tcPr>
          <w:p w:rsidR="002D62B9" w:rsidRPr="001946E0" w:rsidRDefault="002D62B9" w:rsidP="001B1A50">
            <w:pPr>
              <w:spacing w:after="0"/>
              <w:ind w:firstLine="0"/>
              <w:jc w:val="left"/>
              <w:rPr>
                <w:b/>
                <w:bCs/>
                <w:color w:val="000000"/>
                <w:sz w:val="20"/>
                <w:szCs w:val="24"/>
                <w:lang w:eastAsia="lv-LV"/>
              </w:rPr>
            </w:pPr>
            <w:r w:rsidRPr="001946E0">
              <w:rPr>
                <w:b/>
                <w:bCs/>
                <w:color w:val="000000"/>
                <w:sz w:val="20"/>
                <w:szCs w:val="24"/>
                <w:lang w:eastAsia="lv-LV"/>
              </w:rPr>
              <w:t> </w:t>
            </w:r>
          </w:p>
        </w:tc>
        <w:tc>
          <w:tcPr>
            <w:tcW w:w="1135" w:type="dxa"/>
            <w:shd w:val="clear" w:color="auto" w:fill="auto"/>
            <w:noWrap/>
            <w:vAlign w:val="center"/>
            <w:hideMark/>
          </w:tcPr>
          <w:p w:rsidR="002D62B9" w:rsidRPr="001946E0" w:rsidRDefault="002D62B9" w:rsidP="001B1A50">
            <w:pPr>
              <w:spacing w:after="0"/>
              <w:ind w:firstLine="0"/>
              <w:jc w:val="right"/>
              <w:rPr>
                <w:b/>
                <w:bCs/>
                <w:color w:val="000000"/>
                <w:sz w:val="20"/>
                <w:szCs w:val="24"/>
                <w:lang w:eastAsia="lv-LV"/>
              </w:rPr>
            </w:pPr>
            <w:r w:rsidRPr="001946E0">
              <w:rPr>
                <w:b/>
                <w:bCs/>
                <w:color w:val="000000"/>
                <w:sz w:val="20"/>
                <w:szCs w:val="24"/>
                <w:lang w:eastAsia="lv-LV"/>
              </w:rPr>
              <w:t>2</w:t>
            </w:r>
            <w:r w:rsidR="00C740F1">
              <w:rPr>
                <w:b/>
                <w:bCs/>
                <w:color w:val="000000"/>
                <w:sz w:val="20"/>
                <w:szCs w:val="24"/>
                <w:lang w:eastAsia="lv-LV"/>
              </w:rPr>
              <w:t>,</w:t>
            </w:r>
            <w:r w:rsidRPr="001946E0">
              <w:rPr>
                <w:b/>
                <w:bCs/>
                <w:color w:val="000000"/>
                <w:sz w:val="20"/>
                <w:szCs w:val="24"/>
                <w:lang w:eastAsia="lv-LV"/>
              </w:rPr>
              <w:t>4%</w:t>
            </w:r>
          </w:p>
        </w:tc>
        <w:tc>
          <w:tcPr>
            <w:tcW w:w="1215" w:type="dxa"/>
            <w:shd w:val="clear" w:color="auto" w:fill="auto"/>
            <w:noWrap/>
            <w:vAlign w:val="center"/>
            <w:hideMark/>
          </w:tcPr>
          <w:p w:rsidR="002D62B9" w:rsidRPr="001946E0" w:rsidRDefault="002D62B9" w:rsidP="001B1A50">
            <w:pPr>
              <w:spacing w:after="0"/>
              <w:ind w:firstLine="0"/>
              <w:jc w:val="right"/>
              <w:rPr>
                <w:b/>
                <w:bCs/>
                <w:color w:val="000000"/>
                <w:sz w:val="20"/>
                <w:szCs w:val="24"/>
                <w:lang w:eastAsia="lv-LV"/>
              </w:rPr>
            </w:pPr>
            <w:r w:rsidRPr="001946E0">
              <w:rPr>
                <w:b/>
                <w:bCs/>
                <w:color w:val="000000"/>
                <w:sz w:val="20"/>
                <w:szCs w:val="24"/>
                <w:lang w:eastAsia="lv-LV"/>
              </w:rPr>
              <w:t>3</w:t>
            </w:r>
            <w:r w:rsidR="00C740F1">
              <w:rPr>
                <w:b/>
                <w:bCs/>
                <w:color w:val="000000"/>
                <w:sz w:val="20"/>
                <w:szCs w:val="24"/>
                <w:lang w:eastAsia="lv-LV"/>
              </w:rPr>
              <w:t>,</w:t>
            </w:r>
            <w:r w:rsidRPr="001946E0">
              <w:rPr>
                <w:b/>
                <w:bCs/>
                <w:color w:val="000000"/>
                <w:sz w:val="20"/>
                <w:szCs w:val="24"/>
                <w:lang w:eastAsia="lv-LV"/>
              </w:rPr>
              <w:t>5%</w:t>
            </w:r>
          </w:p>
        </w:tc>
        <w:tc>
          <w:tcPr>
            <w:tcW w:w="954" w:type="dxa"/>
            <w:shd w:val="clear" w:color="auto" w:fill="auto"/>
            <w:noWrap/>
            <w:vAlign w:val="center"/>
            <w:hideMark/>
          </w:tcPr>
          <w:p w:rsidR="002D62B9" w:rsidRPr="001946E0" w:rsidRDefault="002D62B9" w:rsidP="001B1A50">
            <w:pPr>
              <w:spacing w:after="0"/>
              <w:ind w:firstLine="0"/>
              <w:jc w:val="right"/>
              <w:rPr>
                <w:b/>
                <w:bCs/>
                <w:color w:val="000000"/>
                <w:sz w:val="20"/>
                <w:szCs w:val="24"/>
                <w:lang w:eastAsia="lv-LV"/>
              </w:rPr>
            </w:pPr>
            <w:r w:rsidRPr="001946E0">
              <w:rPr>
                <w:b/>
                <w:bCs/>
                <w:color w:val="000000"/>
                <w:sz w:val="20"/>
                <w:szCs w:val="24"/>
                <w:lang w:eastAsia="lv-LV"/>
              </w:rPr>
              <w:t>3</w:t>
            </w:r>
            <w:r w:rsidR="00C740F1">
              <w:rPr>
                <w:b/>
                <w:bCs/>
                <w:color w:val="000000"/>
                <w:sz w:val="20"/>
                <w:szCs w:val="24"/>
                <w:lang w:eastAsia="lv-LV"/>
              </w:rPr>
              <w:t>,</w:t>
            </w:r>
            <w:r w:rsidRPr="001946E0">
              <w:rPr>
                <w:b/>
                <w:bCs/>
                <w:color w:val="000000"/>
                <w:sz w:val="20"/>
                <w:szCs w:val="24"/>
                <w:lang w:eastAsia="lv-LV"/>
              </w:rPr>
              <w:t>7%</w:t>
            </w:r>
          </w:p>
        </w:tc>
        <w:tc>
          <w:tcPr>
            <w:tcW w:w="949" w:type="dxa"/>
            <w:shd w:val="clear" w:color="auto" w:fill="auto"/>
            <w:noWrap/>
            <w:vAlign w:val="center"/>
            <w:hideMark/>
          </w:tcPr>
          <w:p w:rsidR="002D62B9" w:rsidRPr="001946E0" w:rsidRDefault="002D62B9" w:rsidP="001B1A50">
            <w:pPr>
              <w:spacing w:after="0"/>
              <w:ind w:firstLine="0"/>
              <w:jc w:val="right"/>
              <w:rPr>
                <w:b/>
                <w:bCs/>
                <w:color w:val="000000"/>
                <w:sz w:val="20"/>
                <w:szCs w:val="24"/>
                <w:lang w:eastAsia="lv-LV"/>
              </w:rPr>
            </w:pPr>
            <w:r w:rsidRPr="001946E0">
              <w:rPr>
                <w:b/>
                <w:bCs/>
                <w:color w:val="000000"/>
                <w:sz w:val="20"/>
                <w:szCs w:val="24"/>
                <w:lang w:eastAsia="lv-LV"/>
              </w:rPr>
              <w:t>3</w:t>
            </w:r>
            <w:r w:rsidR="00C740F1">
              <w:rPr>
                <w:b/>
                <w:bCs/>
                <w:color w:val="000000"/>
                <w:sz w:val="20"/>
                <w:szCs w:val="24"/>
                <w:lang w:eastAsia="lv-LV"/>
              </w:rPr>
              <w:t>,</w:t>
            </w:r>
            <w:r w:rsidRPr="001946E0">
              <w:rPr>
                <w:b/>
                <w:bCs/>
                <w:color w:val="000000"/>
                <w:sz w:val="20"/>
                <w:szCs w:val="24"/>
                <w:lang w:eastAsia="lv-LV"/>
              </w:rPr>
              <w:t>6%</w:t>
            </w:r>
          </w:p>
        </w:tc>
        <w:tc>
          <w:tcPr>
            <w:tcW w:w="993" w:type="dxa"/>
            <w:shd w:val="clear" w:color="auto" w:fill="auto"/>
            <w:noWrap/>
            <w:vAlign w:val="center"/>
            <w:hideMark/>
          </w:tcPr>
          <w:p w:rsidR="002D62B9" w:rsidRPr="001946E0" w:rsidRDefault="002D62B9" w:rsidP="001B1A50">
            <w:pPr>
              <w:spacing w:after="0"/>
              <w:ind w:firstLine="0"/>
              <w:jc w:val="right"/>
              <w:rPr>
                <w:b/>
                <w:bCs/>
                <w:color w:val="000000"/>
                <w:sz w:val="20"/>
                <w:szCs w:val="24"/>
                <w:lang w:eastAsia="lv-LV"/>
              </w:rPr>
            </w:pPr>
            <w:r w:rsidRPr="001946E0">
              <w:rPr>
                <w:b/>
                <w:bCs/>
                <w:color w:val="000000"/>
                <w:sz w:val="20"/>
                <w:szCs w:val="24"/>
                <w:lang w:eastAsia="lv-LV"/>
              </w:rPr>
              <w:t>-5</w:t>
            </w:r>
            <w:r w:rsidR="00C740F1">
              <w:rPr>
                <w:b/>
                <w:bCs/>
                <w:color w:val="000000"/>
                <w:sz w:val="20"/>
                <w:szCs w:val="24"/>
                <w:lang w:eastAsia="lv-LV"/>
              </w:rPr>
              <w:t>,</w:t>
            </w:r>
            <w:r w:rsidRPr="001946E0">
              <w:rPr>
                <w:b/>
                <w:bCs/>
                <w:color w:val="000000"/>
                <w:sz w:val="20"/>
                <w:szCs w:val="24"/>
                <w:lang w:eastAsia="lv-LV"/>
              </w:rPr>
              <w:t>2%</w:t>
            </w:r>
          </w:p>
        </w:tc>
      </w:tr>
      <w:tr w:rsidR="002D62B9" w:rsidRPr="001946E0" w:rsidTr="00D01375">
        <w:trPr>
          <w:trHeight w:val="450"/>
        </w:trPr>
        <w:tc>
          <w:tcPr>
            <w:tcW w:w="9513" w:type="dxa"/>
            <w:gridSpan w:val="7"/>
            <w:shd w:val="clear" w:color="auto" w:fill="auto"/>
            <w:noWrap/>
            <w:vAlign w:val="center"/>
            <w:hideMark/>
          </w:tcPr>
          <w:p w:rsidR="002D62B9" w:rsidRPr="001946E0" w:rsidRDefault="002D62B9" w:rsidP="001B1A50">
            <w:pPr>
              <w:spacing w:after="0"/>
              <w:ind w:firstLine="0"/>
              <w:jc w:val="center"/>
              <w:rPr>
                <w:b/>
                <w:bCs/>
                <w:color w:val="000000"/>
                <w:sz w:val="20"/>
                <w:szCs w:val="24"/>
                <w:lang w:eastAsia="lv-LV"/>
              </w:rPr>
            </w:pPr>
            <w:r w:rsidRPr="001946E0">
              <w:rPr>
                <w:b/>
                <w:bCs/>
                <w:color w:val="000000"/>
                <w:sz w:val="20"/>
                <w:szCs w:val="24"/>
                <w:lang w:eastAsia="lv-LV"/>
              </w:rPr>
              <w:t>Kopējā parāda izmaiņas ietekmējošie faktori</w:t>
            </w:r>
          </w:p>
        </w:tc>
      </w:tr>
      <w:tr w:rsidR="002D62B9" w:rsidRPr="001946E0" w:rsidTr="00203D1A">
        <w:trPr>
          <w:trHeight w:val="471"/>
        </w:trPr>
        <w:tc>
          <w:tcPr>
            <w:tcW w:w="3417" w:type="dxa"/>
            <w:shd w:val="clear" w:color="auto" w:fill="auto"/>
            <w:noWrap/>
            <w:vAlign w:val="center"/>
            <w:hideMark/>
          </w:tcPr>
          <w:p w:rsidR="00F57830" w:rsidRDefault="002D62B9" w:rsidP="001B1A50">
            <w:pPr>
              <w:spacing w:after="0"/>
              <w:ind w:firstLine="0"/>
              <w:jc w:val="left"/>
              <w:rPr>
                <w:b/>
                <w:bCs/>
                <w:color w:val="000000"/>
                <w:sz w:val="20"/>
                <w:szCs w:val="24"/>
                <w:lang w:eastAsia="lv-LV"/>
              </w:rPr>
            </w:pPr>
            <w:r w:rsidRPr="001946E0">
              <w:rPr>
                <w:b/>
                <w:bCs/>
                <w:color w:val="000000"/>
                <w:sz w:val="20"/>
                <w:szCs w:val="24"/>
                <w:lang w:eastAsia="lv-LV"/>
              </w:rPr>
              <w:t xml:space="preserve">3. Primārā bilance </w:t>
            </w:r>
          </w:p>
          <w:p w:rsidR="002D62B9" w:rsidRPr="001946E0" w:rsidRDefault="002D62B9" w:rsidP="001B1A50">
            <w:pPr>
              <w:spacing w:after="0"/>
              <w:ind w:firstLine="0"/>
              <w:jc w:val="left"/>
              <w:rPr>
                <w:b/>
                <w:bCs/>
                <w:color w:val="000000"/>
                <w:sz w:val="20"/>
                <w:szCs w:val="24"/>
                <w:lang w:eastAsia="lv-LV"/>
              </w:rPr>
            </w:pPr>
            <w:r w:rsidRPr="001946E0">
              <w:rPr>
                <w:b/>
                <w:bCs/>
                <w:color w:val="000000"/>
                <w:sz w:val="20"/>
                <w:szCs w:val="24"/>
                <w:lang w:eastAsia="lv-LV"/>
              </w:rPr>
              <w:t>(Primary balance)</w:t>
            </w:r>
          </w:p>
        </w:tc>
        <w:tc>
          <w:tcPr>
            <w:tcW w:w="850" w:type="dxa"/>
            <w:shd w:val="clear" w:color="auto" w:fill="auto"/>
            <w:noWrap/>
            <w:vAlign w:val="center"/>
            <w:hideMark/>
          </w:tcPr>
          <w:p w:rsidR="002D62B9" w:rsidRPr="001946E0" w:rsidRDefault="002D62B9" w:rsidP="001B1A50">
            <w:pPr>
              <w:spacing w:after="0"/>
              <w:ind w:firstLine="0"/>
              <w:jc w:val="left"/>
              <w:rPr>
                <w:b/>
                <w:bCs/>
                <w:color w:val="000000"/>
                <w:sz w:val="20"/>
                <w:szCs w:val="24"/>
                <w:lang w:eastAsia="lv-LV"/>
              </w:rPr>
            </w:pPr>
            <w:r w:rsidRPr="001946E0">
              <w:rPr>
                <w:b/>
                <w:bCs/>
                <w:color w:val="000000"/>
                <w:sz w:val="20"/>
                <w:szCs w:val="24"/>
                <w:lang w:eastAsia="lv-LV"/>
              </w:rPr>
              <w:t> </w:t>
            </w:r>
          </w:p>
        </w:tc>
        <w:tc>
          <w:tcPr>
            <w:tcW w:w="1135" w:type="dxa"/>
            <w:shd w:val="clear" w:color="auto" w:fill="auto"/>
            <w:noWrap/>
            <w:vAlign w:val="center"/>
            <w:hideMark/>
          </w:tcPr>
          <w:p w:rsidR="002D62B9" w:rsidRPr="001946E0" w:rsidRDefault="002D62B9" w:rsidP="001B1A50">
            <w:pPr>
              <w:spacing w:after="0"/>
              <w:ind w:firstLine="0"/>
              <w:jc w:val="right"/>
              <w:rPr>
                <w:b/>
                <w:bCs/>
                <w:color w:val="000000"/>
                <w:sz w:val="20"/>
                <w:szCs w:val="24"/>
                <w:lang w:eastAsia="lv-LV"/>
              </w:rPr>
            </w:pPr>
            <w:r w:rsidRPr="001946E0">
              <w:rPr>
                <w:b/>
                <w:bCs/>
                <w:color w:val="000000"/>
                <w:sz w:val="20"/>
                <w:szCs w:val="24"/>
                <w:lang w:eastAsia="lv-LV"/>
              </w:rPr>
              <w:t>-2</w:t>
            </w:r>
            <w:r w:rsidR="00C740F1">
              <w:rPr>
                <w:b/>
                <w:bCs/>
                <w:color w:val="000000"/>
                <w:sz w:val="20"/>
                <w:szCs w:val="24"/>
                <w:lang w:eastAsia="lv-LV"/>
              </w:rPr>
              <w:t>,</w:t>
            </w:r>
            <w:r w:rsidRPr="001946E0">
              <w:rPr>
                <w:b/>
                <w:bCs/>
                <w:color w:val="000000"/>
                <w:sz w:val="20"/>
                <w:szCs w:val="24"/>
                <w:lang w:eastAsia="lv-LV"/>
              </w:rPr>
              <w:t>0%</w:t>
            </w:r>
          </w:p>
        </w:tc>
        <w:tc>
          <w:tcPr>
            <w:tcW w:w="1215" w:type="dxa"/>
            <w:shd w:val="clear" w:color="auto" w:fill="auto"/>
            <w:noWrap/>
            <w:vAlign w:val="center"/>
            <w:hideMark/>
          </w:tcPr>
          <w:p w:rsidR="002D62B9" w:rsidRPr="001946E0" w:rsidRDefault="002D62B9" w:rsidP="001B1A50">
            <w:pPr>
              <w:spacing w:after="0"/>
              <w:ind w:firstLine="0"/>
              <w:jc w:val="right"/>
              <w:rPr>
                <w:b/>
                <w:bCs/>
                <w:color w:val="000000"/>
                <w:sz w:val="20"/>
                <w:szCs w:val="24"/>
                <w:lang w:eastAsia="lv-LV"/>
              </w:rPr>
            </w:pPr>
            <w:r w:rsidRPr="001946E0">
              <w:rPr>
                <w:b/>
                <w:bCs/>
                <w:color w:val="000000"/>
                <w:sz w:val="20"/>
                <w:szCs w:val="24"/>
                <w:lang w:eastAsia="lv-LV"/>
              </w:rPr>
              <w:t>-0</w:t>
            </w:r>
            <w:r w:rsidR="00C740F1">
              <w:rPr>
                <w:b/>
                <w:bCs/>
                <w:color w:val="000000"/>
                <w:sz w:val="20"/>
                <w:szCs w:val="24"/>
                <w:lang w:eastAsia="lv-LV"/>
              </w:rPr>
              <w:t>,</w:t>
            </w:r>
            <w:r w:rsidRPr="001946E0">
              <w:rPr>
                <w:b/>
                <w:bCs/>
                <w:color w:val="000000"/>
                <w:sz w:val="20"/>
                <w:szCs w:val="24"/>
                <w:lang w:eastAsia="lv-LV"/>
              </w:rPr>
              <w:t>4%</w:t>
            </w:r>
          </w:p>
        </w:tc>
        <w:tc>
          <w:tcPr>
            <w:tcW w:w="954" w:type="dxa"/>
            <w:shd w:val="clear" w:color="auto" w:fill="auto"/>
            <w:noWrap/>
            <w:vAlign w:val="center"/>
            <w:hideMark/>
          </w:tcPr>
          <w:p w:rsidR="002D62B9" w:rsidRPr="001946E0" w:rsidRDefault="002D62B9" w:rsidP="001B1A50">
            <w:pPr>
              <w:spacing w:after="0"/>
              <w:ind w:firstLine="0"/>
              <w:jc w:val="right"/>
              <w:rPr>
                <w:b/>
                <w:bCs/>
                <w:color w:val="000000"/>
                <w:sz w:val="20"/>
                <w:szCs w:val="24"/>
                <w:lang w:eastAsia="lv-LV"/>
              </w:rPr>
            </w:pPr>
            <w:r w:rsidRPr="001946E0">
              <w:rPr>
                <w:b/>
                <w:bCs/>
                <w:color w:val="000000"/>
                <w:sz w:val="20"/>
                <w:szCs w:val="24"/>
                <w:lang w:eastAsia="lv-LV"/>
              </w:rPr>
              <w:t>0</w:t>
            </w:r>
            <w:r w:rsidR="00C740F1">
              <w:rPr>
                <w:b/>
                <w:bCs/>
                <w:color w:val="000000"/>
                <w:sz w:val="20"/>
                <w:szCs w:val="24"/>
                <w:lang w:eastAsia="lv-LV"/>
              </w:rPr>
              <w:t>,</w:t>
            </w:r>
            <w:r w:rsidRPr="001946E0">
              <w:rPr>
                <w:b/>
                <w:bCs/>
                <w:color w:val="000000"/>
                <w:sz w:val="20"/>
                <w:szCs w:val="24"/>
                <w:lang w:eastAsia="lv-LV"/>
              </w:rPr>
              <w:t>5%</w:t>
            </w:r>
          </w:p>
        </w:tc>
        <w:tc>
          <w:tcPr>
            <w:tcW w:w="949" w:type="dxa"/>
            <w:shd w:val="clear" w:color="auto" w:fill="auto"/>
            <w:noWrap/>
            <w:vAlign w:val="center"/>
            <w:hideMark/>
          </w:tcPr>
          <w:p w:rsidR="002D62B9" w:rsidRPr="001946E0" w:rsidRDefault="002D62B9" w:rsidP="001B1A50">
            <w:pPr>
              <w:spacing w:after="0"/>
              <w:ind w:firstLine="0"/>
              <w:jc w:val="right"/>
              <w:rPr>
                <w:b/>
                <w:bCs/>
                <w:color w:val="000000"/>
                <w:sz w:val="20"/>
                <w:szCs w:val="24"/>
                <w:lang w:eastAsia="lv-LV"/>
              </w:rPr>
            </w:pPr>
            <w:r w:rsidRPr="001946E0">
              <w:rPr>
                <w:b/>
                <w:bCs/>
                <w:color w:val="000000"/>
                <w:sz w:val="20"/>
                <w:szCs w:val="24"/>
                <w:lang w:eastAsia="lv-LV"/>
              </w:rPr>
              <w:t>1</w:t>
            </w:r>
            <w:r w:rsidR="00C740F1">
              <w:rPr>
                <w:b/>
                <w:bCs/>
                <w:color w:val="000000"/>
                <w:sz w:val="20"/>
                <w:szCs w:val="24"/>
                <w:lang w:eastAsia="lv-LV"/>
              </w:rPr>
              <w:t>,</w:t>
            </w:r>
            <w:r w:rsidRPr="001946E0">
              <w:rPr>
                <w:b/>
                <w:bCs/>
                <w:color w:val="000000"/>
                <w:sz w:val="20"/>
                <w:szCs w:val="24"/>
                <w:lang w:eastAsia="lv-LV"/>
              </w:rPr>
              <w:t>4%</w:t>
            </w:r>
          </w:p>
        </w:tc>
        <w:tc>
          <w:tcPr>
            <w:tcW w:w="993" w:type="dxa"/>
            <w:shd w:val="clear" w:color="auto" w:fill="auto"/>
            <w:noWrap/>
            <w:vAlign w:val="center"/>
            <w:hideMark/>
          </w:tcPr>
          <w:p w:rsidR="002D62B9" w:rsidRPr="001946E0" w:rsidRDefault="002D62B9" w:rsidP="001B1A50">
            <w:pPr>
              <w:spacing w:after="0"/>
              <w:ind w:firstLine="0"/>
              <w:jc w:val="right"/>
              <w:rPr>
                <w:b/>
                <w:bCs/>
                <w:color w:val="000000"/>
                <w:sz w:val="20"/>
                <w:szCs w:val="24"/>
                <w:lang w:eastAsia="lv-LV"/>
              </w:rPr>
            </w:pPr>
            <w:r w:rsidRPr="001946E0">
              <w:rPr>
                <w:b/>
                <w:bCs/>
                <w:color w:val="000000"/>
                <w:sz w:val="20"/>
                <w:szCs w:val="24"/>
                <w:lang w:eastAsia="lv-LV"/>
              </w:rPr>
              <w:t>2</w:t>
            </w:r>
            <w:r w:rsidR="00C740F1">
              <w:rPr>
                <w:b/>
                <w:bCs/>
                <w:color w:val="000000"/>
                <w:sz w:val="20"/>
                <w:szCs w:val="24"/>
                <w:lang w:eastAsia="lv-LV"/>
              </w:rPr>
              <w:t>,</w:t>
            </w:r>
            <w:r w:rsidRPr="001946E0">
              <w:rPr>
                <w:b/>
                <w:bCs/>
                <w:color w:val="000000"/>
                <w:sz w:val="20"/>
                <w:szCs w:val="24"/>
                <w:lang w:eastAsia="lv-LV"/>
              </w:rPr>
              <w:t>4%</w:t>
            </w:r>
          </w:p>
        </w:tc>
      </w:tr>
      <w:tr w:rsidR="002D62B9" w:rsidRPr="001946E0" w:rsidTr="00D01375">
        <w:trPr>
          <w:trHeight w:val="585"/>
        </w:trPr>
        <w:tc>
          <w:tcPr>
            <w:tcW w:w="3417" w:type="dxa"/>
            <w:shd w:val="clear" w:color="auto" w:fill="auto"/>
            <w:noWrap/>
            <w:vAlign w:val="center"/>
            <w:hideMark/>
          </w:tcPr>
          <w:p w:rsidR="00F57830" w:rsidRDefault="002D62B9" w:rsidP="001B1A50">
            <w:pPr>
              <w:spacing w:after="0"/>
              <w:ind w:firstLine="0"/>
              <w:jc w:val="left"/>
              <w:rPr>
                <w:b/>
                <w:bCs/>
                <w:color w:val="000000"/>
                <w:sz w:val="20"/>
                <w:szCs w:val="24"/>
                <w:lang w:eastAsia="lv-LV"/>
              </w:rPr>
            </w:pPr>
            <w:r w:rsidRPr="001946E0">
              <w:rPr>
                <w:b/>
                <w:bCs/>
                <w:color w:val="000000"/>
                <w:sz w:val="20"/>
                <w:szCs w:val="24"/>
                <w:lang w:eastAsia="lv-LV"/>
              </w:rPr>
              <w:t xml:space="preserve">4. Procentu maksājumi </w:t>
            </w:r>
            <w:r w:rsidR="00F57830">
              <w:rPr>
                <w:b/>
                <w:bCs/>
                <w:color w:val="000000"/>
                <w:sz w:val="20"/>
                <w:szCs w:val="24"/>
                <w:lang w:eastAsia="lv-LV"/>
              </w:rPr>
              <w:t xml:space="preserve"> </w:t>
            </w:r>
          </w:p>
          <w:p w:rsidR="002D62B9" w:rsidRPr="001946E0" w:rsidRDefault="002D62B9" w:rsidP="001B1A50">
            <w:pPr>
              <w:spacing w:after="0"/>
              <w:ind w:firstLine="0"/>
              <w:jc w:val="left"/>
              <w:rPr>
                <w:b/>
                <w:bCs/>
                <w:color w:val="000000"/>
                <w:sz w:val="20"/>
                <w:szCs w:val="24"/>
                <w:lang w:eastAsia="lv-LV"/>
              </w:rPr>
            </w:pPr>
            <w:r w:rsidRPr="001946E0">
              <w:rPr>
                <w:b/>
                <w:bCs/>
                <w:color w:val="000000"/>
                <w:sz w:val="20"/>
                <w:szCs w:val="24"/>
                <w:lang w:eastAsia="lv-LV"/>
              </w:rPr>
              <w:t>(Interest expenditure)</w:t>
            </w:r>
          </w:p>
        </w:tc>
        <w:tc>
          <w:tcPr>
            <w:tcW w:w="850" w:type="dxa"/>
            <w:shd w:val="clear" w:color="auto" w:fill="auto"/>
            <w:vAlign w:val="center"/>
            <w:hideMark/>
          </w:tcPr>
          <w:p w:rsidR="002D62B9" w:rsidRPr="001946E0" w:rsidRDefault="002D62B9" w:rsidP="001B1A50">
            <w:pPr>
              <w:spacing w:after="0"/>
              <w:ind w:firstLine="0"/>
              <w:jc w:val="left"/>
              <w:rPr>
                <w:b/>
                <w:bCs/>
                <w:color w:val="000000"/>
                <w:sz w:val="20"/>
                <w:szCs w:val="16"/>
                <w:lang w:eastAsia="lv-LV"/>
              </w:rPr>
            </w:pPr>
            <w:r w:rsidRPr="001946E0">
              <w:rPr>
                <w:b/>
                <w:bCs/>
                <w:color w:val="000000"/>
                <w:sz w:val="20"/>
                <w:szCs w:val="16"/>
                <w:lang w:eastAsia="lv-LV"/>
              </w:rPr>
              <w:t>EDP D.41</w:t>
            </w:r>
          </w:p>
        </w:tc>
        <w:tc>
          <w:tcPr>
            <w:tcW w:w="1135" w:type="dxa"/>
            <w:shd w:val="clear" w:color="auto" w:fill="auto"/>
            <w:noWrap/>
            <w:vAlign w:val="center"/>
            <w:hideMark/>
          </w:tcPr>
          <w:p w:rsidR="002D62B9" w:rsidRPr="001946E0" w:rsidRDefault="002D62B9" w:rsidP="001B1A50">
            <w:pPr>
              <w:spacing w:after="0"/>
              <w:ind w:firstLine="0"/>
              <w:jc w:val="right"/>
              <w:rPr>
                <w:b/>
                <w:bCs/>
                <w:color w:val="000000"/>
                <w:sz w:val="20"/>
                <w:szCs w:val="24"/>
                <w:lang w:eastAsia="lv-LV"/>
              </w:rPr>
            </w:pPr>
            <w:r w:rsidRPr="001946E0">
              <w:rPr>
                <w:b/>
                <w:bCs/>
                <w:color w:val="000000"/>
                <w:sz w:val="20"/>
                <w:szCs w:val="24"/>
                <w:lang w:eastAsia="lv-LV"/>
              </w:rPr>
              <w:t>1</w:t>
            </w:r>
            <w:r w:rsidR="00C740F1">
              <w:rPr>
                <w:b/>
                <w:bCs/>
                <w:color w:val="000000"/>
                <w:sz w:val="20"/>
                <w:szCs w:val="24"/>
                <w:lang w:eastAsia="lv-LV"/>
              </w:rPr>
              <w:t>,</w:t>
            </w:r>
            <w:r w:rsidRPr="001946E0">
              <w:rPr>
                <w:b/>
                <w:bCs/>
                <w:color w:val="000000"/>
                <w:sz w:val="20"/>
                <w:szCs w:val="24"/>
                <w:lang w:eastAsia="lv-LV"/>
              </w:rPr>
              <w:t>5%</w:t>
            </w:r>
          </w:p>
        </w:tc>
        <w:tc>
          <w:tcPr>
            <w:tcW w:w="1215" w:type="dxa"/>
            <w:shd w:val="clear" w:color="auto" w:fill="auto"/>
            <w:noWrap/>
            <w:vAlign w:val="center"/>
            <w:hideMark/>
          </w:tcPr>
          <w:p w:rsidR="002D62B9" w:rsidRPr="001946E0" w:rsidRDefault="002D62B9" w:rsidP="001B1A50">
            <w:pPr>
              <w:spacing w:after="0"/>
              <w:ind w:firstLine="0"/>
              <w:jc w:val="right"/>
              <w:rPr>
                <w:b/>
                <w:bCs/>
                <w:color w:val="000000"/>
                <w:sz w:val="20"/>
                <w:szCs w:val="24"/>
                <w:lang w:eastAsia="lv-LV"/>
              </w:rPr>
            </w:pPr>
            <w:r w:rsidRPr="001946E0">
              <w:rPr>
                <w:b/>
                <w:bCs/>
                <w:color w:val="000000"/>
                <w:sz w:val="20"/>
                <w:szCs w:val="24"/>
                <w:lang w:eastAsia="lv-LV"/>
              </w:rPr>
              <w:t>1</w:t>
            </w:r>
            <w:r w:rsidR="00C740F1">
              <w:rPr>
                <w:b/>
                <w:bCs/>
                <w:color w:val="000000"/>
                <w:sz w:val="20"/>
                <w:szCs w:val="24"/>
                <w:lang w:eastAsia="lv-LV"/>
              </w:rPr>
              <w:t>,</w:t>
            </w:r>
            <w:r w:rsidRPr="001946E0">
              <w:rPr>
                <w:b/>
                <w:bCs/>
                <w:color w:val="000000"/>
                <w:sz w:val="20"/>
                <w:szCs w:val="24"/>
                <w:lang w:eastAsia="lv-LV"/>
              </w:rPr>
              <w:t>7%</w:t>
            </w:r>
          </w:p>
        </w:tc>
        <w:tc>
          <w:tcPr>
            <w:tcW w:w="954" w:type="dxa"/>
            <w:shd w:val="clear" w:color="auto" w:fill="auto"/>
            <w:noWrap/>
            <w:vAlign w:val="center"/>
            <w:hideMark/>
          </w:tcPr>
          <w:p w:rsidR="002D62B9" w:rsidRPr="001946E0" w:rsidRDefault="002D62B9" w:rsidP="001B1A50">
            <w:pPr>
              <w:spacing w:after="0"/>
              <w:ind w:firstLine="0"/>
              <w:jc w:val="right"/>
              <w:rPr>
                <w:b/>
                <w:bCs/>
                <w:color w:val="000000"/>
                <w:sz w:val="20"/>
                <w:szCs w:val="24"/>
                <w:lang w:eastAsia="lv-LV"/>
              </w:rPr>
            </w:pPr>
            <w:r w:rsidRPr="001946E0">
              <w:rPr>
                <w:b/>
                <w:bCs/>
                <w:color w:val="000000"/>
                <w:sz w:val="20"/>
                <w:szCs w:val="24"/>
                <w:lang w:eastAsia="lv-LV"/>
              </w:rPr>
              <w:t>1</w:t>
            </w:r>
            <w:r w:rsidR="00C740F1">
              <w:rPr>
                <w:b/>
                <w:bCs/>
                <w:color w:val="000000"/>
                <w:sz w:val="20"/>
                <w:szCs w:val="24"/>
                <w:lang w:eastAsia="lv-LV"/>
              </w:rPr>
              <w:t>,</w:t>
            </w:r>
            <w:r w:rsidRPr="001946E0">
              <w:rPr>
                <w:b/>
                <w:bCs/>
                <w:color w:val="000000"/>
                <w:sz w:val="20"/>
                <w:szCs w:val="24"/>
                <w:lang w:eastAsia="lv-LV"/>
              </w:rPr>
              <w:t>8%</w:t>
            </w:r>
          </w:p>
        </w:tc>
        <w:tc>
          <w:tcPr>
            <w:tcW w:w="949" w:type="dxa"/>
            <w:shd w:val="clear" w:color="auto" w:fill="auto"/>
            <w:noWrap/>
            <w:vAlign w:val="center"/>
            <w:hideMark/>
          </w:tcPr>
          <w:p w:rsidR="002D62B9" w:rsidRPr="001946E0" w:rsidRDefault="002D62B9" w:rsidP="001B1A50">
            <w:pPr>
              <w:spacing w:after="0"/>
              <w:ind w:firstLine="0"/>
              <w:jc w:val="right"/>
              <w:rPr>
                <w:b/>
                <w:bCs/>
                <w:color w:val="000000"/>
                <w:sz w:val="20"/>
                <w:szCs w:val="24"/>
                <w:lang w:eastAsia="lv-LV"/>
              </w:rPr>
            </w:pPr>
            <w:r w:rsidRPr="001946E0">
              <w:rPr>
                <w:b/>
                <w:bCs/>
                <w:color w:val="000000"/>
                <w:sz w:val="20"/>
                <w:szCs w:val="24"/>
                <w:lang w:eastAsia="lv-LV"/>
              </w:rPr>
              <w:t>2</w:t>
            </w:r>
            <w:r w:rsidR="00C740F1">
              <w:rPr>
                <w:b/>
                <w:bCs/>
                <w:color w:val="000000"/>
                <w:sz w:val="20"/>
                <w:szCs w:val="24"/>
                <w:lang w:eastAsia="lv-LV"/>
              </w:rPr>
              <w:t>,</w:t>
            </w:r>
            <w:r w:rsidRPr="001946E0">
              <w:rPr>
                <w:b/>
                <w:bCs/>
                <w:color w:val="000000"/>
                <w:sz w:val="20"/>
                <w:szCs w:val="24"/>
                <w:lang w:eastAsia="lv-LV"/>
              </w:rPr>
              <w:t>1%</w:t>
            </w:r>
          </w:p>
        </w:tc>
        <w:tc>
          <w:tcPr>
            <w:tcW w:w="993" w:type="dxa"/>
            <w:shd w:val="clear" w:color="auto" w:fill="auto"/>
            <w:noWrap/>
            <w:vAlign w:val="center"/>
            <w:hideMark/>
          </w:tcPr>
          <w:p w:rsidR="002D62B9" w:rsidRPr="001946E0" w:rsidRDefault="002D62B9" w:rsidP="001B1A50">
            <w:pPr>
              <w:spacing w:after="0"/>
              <w:ind w:firstLine="0"/>
              <w:jc w:val="right"/>
              <w:rPr>
                <w:b/>
                <w:bCs/>
                <w:color w:val="000000"/>
                <w:sz w:val="20"/>
                <w:szCs w:val="24"/>
                <w:lang w:eastAsia="lv-LV"/>
              </w:rPr>
            </w:pPr>
            <w:r w:rsidRPr="001946E0">
              <w:rPr>
                <w:b/>
                <w:bCs/>
                <w:color w:val="000000"/>
                <w:sz w:val="20"/>
                <w:szCs w:val="24"/>
                <w:lang w:eastAsia="lv-LV"/>
              </w:rPr>
              <w:t>2</w:t>
            </w:r>
            <w:r w:rsidR="00C740F1">
              <w:rPr>
                <w:b/>
                <w:bCs/>
                <w:color w:val="000000"/>
                <w:sz w:val="20"/>
                <w:szCs w:val="24"/>
                <w:lang w:eastAsia="lv-LV"/>
              </w:rPr>
              <w:t>,</w:t>
            </w:r>
            <w:r w:rsidRPr="001946E0">
              <w:rPr>
                <w:b/>
                <w:bCs/>
                <w:color w:val="000000"/>
                <w:sz w:val="20"/>
                <w:szCs w:val="24"/>
                <w:lang w:eastAsia="lv-LV"/>
              </w:rPr>
              <w:t>1%</w:t>
            </w:r>
          </w:p>
        </w:tc>
      </w:tr>
      <w:tr w:rsidR="002D62B9" w:rsidRPr="001946E0" w:rsidTr="00203D1A">
        <w:trPr>
          <w:trHeight w:val="515"/>
        </w:trPr>
        <w:tc>
          <w:tcPr>
            <w:tcW w:w="3417" w:type="dxa"/>
            <w:shd w:val="clear" w:color="auto" w:fill="auto"/>
            <w:noWrap/>
            <w:vAlign w:val="center"/>
            <w:hideMark/>
          </w:tcPr>
          <w:p w:rsidR="00F57830" w:rsidRDefault="002D62B9" w:rsidP="001B1A50">
            <w:pPr>
              <w:spacing w:after="0"/>
              <w:ind w:firstLine="0"/>
              <w:jc w:val="left"/>
              <w:rPr>
                <w:b/>
                <w:bCs/>
                <w:color w:val="000000"/>
                <w:sz w:val="20"/>
                <w:szCs w:val="24"/>
                <w:lang w:eastAsia="lv-LV"/>
              </w:rPr>
            </w:pPr>
            <w:r w:rsidRPr="001946E0">
              <w:rPr>
                <w:b/>
                <w:bCs/>
                <w:color w:val="000000"/>
                <w:sz w:val="20"/>
                <w:szCs w:val="24"/>
                <w:lang w:eastAsia="lv-LV"/>
              </w:rPr>
              <w:t xml:space="preserve">5. Krājumu izmaiņas </w:t>
            </w:r>
          </w:p>
          <w:p w:rsidR="002D62B9" w:rsidRPr="001946E0" w:rsidRDefault="002D62B9" w:rsidP="001B1A50">
            <w:pPr>
              <w:spacing w:after="0"/>
              <w:ind w:firstLine="0"/>
              <w:jc w:val="left"/>
              <w:rPr>
                <w:b/>
                <w:bCs/>
                <w:color w:val="000000"/>
                <w:sz w:val="20"/>
                <w:szCs w:val="24"/>
                <w:lang w:eastAsia="lv-LV"/>
              </w:rPr>
            </w:pPr>
            <w:r w:rsidRPr="001946E0">
              <w:rPr>
                <w:b/>
                <w:bCs/>
                <w:color w:val="000000"/>
                <w:sz w:val="20"/>
                <w:szCs w:val="24"/>
                <w:lang w:eastAsia="lv-LV"/>
              </w:rPr>
              <w:t>(Stock-flow adjustment),  t.sk.</w:t>
            </w:r>
          </w:p>
        </w:tc>
        <w:tc>
          <w:tcPr>
            <w:tcW w:w="850" w:type="dxa"/>
            <w:shd w:val="clear" w:color="auto" w:fill="auto"/>
            <w:vAlign w:val="center"/>
            <w:hideMark/>
          </w:tcPr>
          <w:p w:rsidR="002D62B9" w:rsidRPr="001946E0" w:rsidRDefault="002D62B9" w:rsidP="001B1A50">
            <w:pPr>
              <w:spacing w:after="0"/>
              <w:ind w:firstLine="0"/>
              <w:jc w:val="left"/>
              <w:rPr>
                <w:b/>
                <w:bCs/>
                <w:color w:val="000000"/>
                <w:sz w:val="20"/>
                <w:szCs w:val="16"/>
                <w:lang w:eastAsia="lv-LV"/>
              </w:rPr>
            </w:pPr>
            <w:r w:rsidRPr="001946E0">
              <w:rPr>
                <w:b/>
                <w:bCs/>
                <w:color w:val="000000"/>
                <w:sz w:val="20"/>
                <w:szCs w:val="16"/>
                <w:lang w:eastAsia="lv-LV"/>
              </w:rPr>
              <w:t> </w:t>
            </w:r>
          </w:p>
        </w:tc>
        <w:tc>
          <w:tcPr>
            <w:tcW w:w="1135" w:type="dxa"/>
            <w:shd w:val="clear" w:color="auto" w:fill="auto"/>
            <w:noWrap/>
            <w:vAlign w:val="center"/>
            <w:hideMark/>
          </w:tcPr>
          <w:p w:rsidR="002D62B9" w:rsidRPr="001946E0" w:rsidRDefault="002D62B9" w:rsidP="001B1A50">
            <w:pPr>
              <w:spacing w:after="0"/>
              <w:ind w:firstLine="0"/>
              <w:jc w:val="right"/>
              <w:rPr>
                <w:b/>
                <w:bCs/>
                <w:color w:val="000000"/>
                <w:sz w:val="20"/>
                <w:szCs w:val="24"/>
                <w:lang w:eastAsia="lv-LV"/>
              </w:rPr>
            </w:pPr>
            <w:r w:rsidRPr="001946E0">
              <w:rPr>
                <w:b/>
                <w:bCs/>
                <w:color w:val="000000"/>
                <w:sz w:val="20"/>
                <w:szCs w:val="24"/>
                <w:lang w:eastAsia="lv-LV"/>
              </w:rPr>
              <w:t>-1</w:t>
            </w:r>
            <w:r w:rsidR="00C740F1">
              <w:rPr>
                <w:b/>
                <w:bCs/>
                <w:color w:val="000000"/>
                <w:sz w:val="20"/>
                <w:szCs w:val="24"/>
                <w:lang w:eastAsia="lv-LV"/>
              </w:rPr>
              <w:t>,</w:t>
            </w:r>
            <w:r w:rsidRPr="001946E0">
              <w:rPr>
                <w:b/>
                <w:bCs/>
                <w:color w:val="000000"/>
                <w:sz w:val="20"/>
                <w:szCs w:val="24"/>
                <w:lang w:eastAsia="lv-LV"/>
              </w:rPr>
              <w:t>1%</w:t>
            </w:r>
          </w:p>
        </w:tc>
        <w:tc>
          <w:tcPr>
            <w:tcW w:w="1215" w:type="dxa"/>
            <w:shd w:val="clear" w:color="auto" w:fill="auto"/>
            <w:noWrap/>
            <w:vAlign w:val="center"/>
            <w:hideMark/>
          </w:tcPr>
          <w:p w:rsidR="002D62B9" w:rsidRPr="001946E0" w:rsidRDefault="002D62B9" w:rsidP="001B1A50">
            <w:pPr>
              <w:spacing w:after="0"/>
              <w:ind w:firstLine="0"/>
              <w:jc w:val="right"/>
              <w:rPr>
                <w:b/>
                <w:bCs/>
                <w:color w:val="000000"/>
                <w:sz w:val="20"/>
                <w:szCs w:val="24"/>
                <w:lang w:eastAsia="lv-LV"/>
              </w:rPr>
            </w:pPr>
            <w:r w:rsidRPr="001946E0">
              <w:rPr>
                <w:b/>
                <w:bCs/>
                <w:color w:val="000000"/>
                <w:sz w:val="20"/>
                <w:szCs w:val="24"/>
                <w:lang w:eastAsia="lv-LV"/>
              </w:rPr>
              <w:t>1</w:t>
            </w:r>
            <w:r w:rsidR="00C740F1">
              <w:rPr>
                <w:b/>
                <w:bCs/>
                <w:color w:val="000000"/>
                <w:sz w:val="20"/>
                <w:szCs w:val="24"/>
                <w:lang w:eastAsia="lv-LV"/>
              </w:rPr>
              <w:t>,</w:t>
            </w:r>
            <w:r w:rsidRPr="001946E0">
              <w:rPr>
                <w:b/>
                <w:bCs/>
                <w:color w:val="000000"/>
                <w:sz w:val="20"/>
                <w:szCs w:val="24"/>
                <w:lang w:eastAsia="lv-LV"/>
              </w:rPr>
              <w:t>4%</w:t>
            </w:r>
          </w:p>
        </w:tc>
        <w:tc>
          <w:tcPr>
            <w:tcW w:w="954" w:type="dxa"/>
            <w:shd w:val="clear" w:color="auto" w:fill="auto"/>
            <w:noWrap/>
            <w:vAlign w:val="center"/>
            <w:hideMark/>
          </w:tcPr>
          <w:p w:rsidR="002D62B9" w:rsidRPr="001946E0" w:rsidRDefault="002D62B9" w:rsidP="001B1A50">
            <w:pPr>
              <w:spacing w:after="0"/>
              <w:ind w:firstLine="0"/>
              <w:jc w:val="right"/>
              <w:rPr>
                <w:b/>
                <w:bCs/>
                <w:color w:val="000000"/>
                <w:sz w:val="20"/>
                <w:szCs w:val="24"/>
                <w:lang w:eastAsia="lv-LV"/>
              </w:rPr>
            </w:pPr>
            <w:r w:rsidRPr="001946E0">
              <w:rPr>
                <w:b/>
                <w:bCs/>
                <w:color w:val="000000"/>
                <w:sz w:val="20"/>
                <w:szCs w:val="24"/>
                <w:lang w:eastAsia="lv-LV"/>
              </w:rPr>
              <w:t>2</w:t>
            </w:r>
            <w:r w:rsidR="00C740F1">
              <w:rPr>
                <w:b/>
                <w:bCs/>
                <w:color w:val="000000"/>
                <w:sz w:val="20"/>
                <w:szCs w:val="24"/>
                <w:lang w:eastAsia="lv-LV"/>
              </w:rPr>
              <w:t>,</w:t>
            </w:r>
            <w:r w:rsidRPr="001946E0">
              <w:rPr>
                <w:b/>
                <w:bCs/>
                <w:color w:val="000000"/>
                <w:sz w:val="20"/>
                <w:szCs w:val="24"/>
                <w:lang w:eastAsia="lv-LV"/>
              </w:rPr>
              <w:t>4%</w:t>
            </w:r>
          </w:p>
        </w:tc>
        <w:tc>
          <w:tcPr>
            <w:tcW w:w="949" w:type="dxa"/>
            <w:shd w:val="clear" w:color="auto" w:fill="auto"/>
            <w:noWrap/>
            <w:vAlign w:val="center"/>
            <w:hideMark/>
          </w:tcPr>
          <w:p w:rsidR="002D62B9" w:rsidRPr="001946E0" w:rsidRDefault="002D62B9" w:rsidP="001B1A50">
            <w:pPr>
              <w:spacing w:after="0"/>
              <w:ind w:firstLine="0"/>
              <w:jc w:val="right"/>
              <w:rPr>
                <w:b/>
                <w:bCs/>
                <w:color w:val="000000"/>
                <w:sz w:val="20"/>
                <w:szCs w:val="24"/>
                <w:lang w:eastAsia="lv-LV"/>
              </w:rPr>
            </w:pPr>
            <w:r w:rsidRPr="001946E0">
              <w:rPr>
                <w:b/>
                <w:bCs/>
                <w:color w:val="000000"/>
                <w:sz w:val="20"/>
                <w:szCs w:val="24"/>
                <w:lang w:eastAsia="lv-LV"/>
              </w:rPr>
              <w:t>2</w:t>
            </w:r>
            <w:r w:rsidR="00C740F1">
              <w:rPr>
                <w:b/>
                <w:bCs/>
                <w:color w:val="000000"/>
                <w:sz w:val="20"/>
                <w:szCs w:val="24"/>
                <w:lang w:eastAsia="lv-LV"/>
              </w:rPr>
              <w:t>,</w:t>
            </w:r>
            <w:r w:rsidRPr="001946E0">
              <w:rPr>
                <w:b/>
                <w:bCs/>
                <w:color w:val="000000"/>
                <w:sz w:val="20"/>
                <w:szCs w:val="24"/>
                <w:lang w:eastAsia="lv-LV"/>
              </w:rPr>
              <w:t>8%</w:t>
            </w:r>
          </w:p>
        </w:tc>
        <w:tc>
          <w:tcPr>
            <w:tcW w:w="993" w:type="dxa"/>
            <w:shd w:val="clear" w:color="auto" w:fill="auto"/>
            <w:noWrap/>
            <w:vAlign w:val="center"/>
            <w:hideMark/>
          </w:tcPr>
          <w:p w:rsidR="002D62B9" w:rsidRPr="001946E0" w:rsidRDefault="002D62B9" w:rsidP="001B1A50">
            <w:pPr>
              <w:spacing w:after="0"/>
              <w:ind w:firstLine="0"/>
              <w:jc w:val="right"/>
              <w:rPr>
                <w:b/>
                <w:bCs/>
                <w:color w:val="000000"/>
                <w:sz w:val="20"/>
                <w:szCs w:val="24"/>
                <w:lang w:eastAsia="lv-LV"/>
              </w:rPr>
            </w:pPr>
            <w:r w:rsidRPr="001946E0">
              <w:rPr>
                <w:b/>
                <w:bCs/>
                <w:color w:val="000000"/>
                <w:sz w:val="20"/>
                <w:szCs w:val="24"/>
                <w:lang w:eastAsia="lv-LV"/>
              </w:rPr>
              <w:t>-4</w:t>
            </w:r>
            <w:r w:rsidR="00C740F1">
              <w:rPr>
                <w:b/>
                <w:bCs/>
                <w:color w:val="000000"/>
                <w:sz w:val="20"/>
                <w:szCs w:val="24"/>
                <w:lang w:eastAsia="lv-LV"/>
              </w:rPr>
              <w:t>,</w:t>
            </w:r>
            <w:r w:rsidRPr="001946E0">
              <w:rPr>
                <w:b/>
                <w:bCs/>
                <w:color w:val="000000"/>
                <w:sz w:val="20"/>
                <w:szCs w:val="24"/>
                <w:lang w:eastAsia="lv-LV"/>
              </w:rPr>
              <w:t>9%</w:t>
            </w:r>
          </w:p>
        </w:tc>
      </w:tr>
      <w:tr w:rsidR="002D62B9" w:rsidRPr="001946E0" w:rsidTr="00203D1A">
        <w:trPr>
          <w:trHeight w:val="564"/>
        </w:trPr>
        <w:tc>
          <w:tcPr>
            <w:tcW w:w="3417" w:type="dxa"/>
            <w:shd w:val="clear" w:color="auto" w:fill="auto"/>
            <w:vAlign w:val="center"/>
            <w:hideMark/>
          </w:tcPr>
          <w:p w:rsidR="002D62B9" w:rsidRPr="001946E0" w:rsidRDefault="002D62B9" w:rsidP="00203D1A">
            <w:pPr>
              <w:spacing w:after="0"/>
              <w:ind w:left="-93" w:right="-108" w:firstLine="0"/>
              <w:jc w:val="left"/>
              <w:rPr>
                <w:color w:val="000000"/>
                <w:sz w:val="20"/>
                <w:szCs w:val="22"/>
                <w:lang w:eastAsia="lv-LV"/>
              </w:rPr>
            </w:pPr>
            <w:r w:rsidRPr="001946E0">
              <w:rPr>
                <w:color w:val="000000"/>
                <w:sz w:val="20"/>
                <w:szCs w:val="22"/>
                <w:lang w:eastAsia="lv-LV"/>
              </w:rPr>
              <w:t>- Starpības starp plūsmu un uzkrājumiem (Differences between cash and accruals) *</w:t>
            </w:r>
          </w:p>
        </w:tc>
        <w:tc>
          <w:tcPr>
            <w:tcW w:w="850" w:type="dxa"/>
            <w:shd w:val="clear" w:color="auto" w:fill="auto"/>
            <w:vAlign w:val="center"/>
            <w:hideMark/>
          </w:tcPr>
          <w:p w:rsidR="002D62B9" w:rsidRPr="001946E0" w:rsidRDefault="002D62B9" w:rsidP="00F57830">
            <w:pPr>
              <w:spacing w:after="0"/>
              <w:ind w:firstLine="0"/>
              <w:jc w:val="left"/>
              <w:rPr>
                <w:color w:val="000000"/>
                <w:sz w:val="20"/>
                <w:szCs w:val="22"/>
                <w:lang w:eastAsia="lv-LV"/>
              </w:rPr>
            </w:pPr>
            <w:r w:rsidRPr="001946E0">
              <w:rPr>
                <w:color w:val="000000"/>
                <w:sz w:val="20"/>
                <w:szCs w:val="22"/>
                <w:lang w:eastAsia="lv-LV"/>
              </w:rPr>
              <w:t> </w:t>
            </w:r>
          </w:p>
        </w:tc>
        <w:tc>
          <w:tcPr>
            <w:tcW w:w="1135" w:type="dxa"/>
            <w:shd w:val="clear" w:color="auto" w:fill="auto"/>
            <w:noWrap/>
            <w:vAlign w:val="center"/>
            <w:hideMark/>
          </w:tcPr>
          <w:p w:rsidR="002D62B9" w:rsidRPr="001946E0" w:rsidRDefault="002D62B9" w:rsidP="00F57830">
            <w:pPr>
              <w:spacing w:after="0"/>
              <w:ind w:firstLine="0"/>
              <w:jc w:val="right"/>
              <w:rPr>
                <w:color w:val="000000"/>
                <w:sz w:val="20"/>
                <w:szCs w:val="24"/>
                <w:lang w:eastAsia="lv-LV"/>
              </w:rPr>
            </w:pPr>
            <w:r w:rsidRPr="001946E0">
              <w:rPr>
                <w:color w:val="000000"/>
                <w:sz w:val="20"/>
                <w:szCs w:val="24"/>
                <w:lang w:eastAsia="lv-LV"/>
              </w:rPr>
              <w:t>-0</w:t>
            </w:r>
            <w:r w:rsidR="00C740F1">
              <w:rPr>
                <w:color w:val="000000"/>
                <w:sz w:val="20"/>
                <w:szCs w:val="24"/>
                <w:lang w:eastAsia="lv-LV"/>
              </w:rPr>
              <w:t>,</w:t>
            </w:r>
            <w:r w:rsidRPr="001946E0">
              <w:rPr>
                <w:color w:val="000000"/>
                <w:sz w:val="20"/>
                <w:szCs w:val="24"/>
                <w:lang w:eastAsia="lv-LV"/>
              </w:rPr>
              <w:t>2%</w:t>
            </w:r>
          </w:p>
        </w:tc>
        <w:tc>
          <w:tcPr>
            <w:tcW w:w="1215" w:type="dxa"/>
            <w:shd w:val="clear" w:color="auto" w:fill="auto"/>
            <w:noWrap/>
            <w:vAlign w:val="center"/>
            <w:hideMark/>
          </w:tcPr>
          <w:p w:rsidR="002D62B9" w:rsidRPr="001946E0" w:rsidRDefault="002D62B9" w:rsidP="00F57830">
            <w:pPr>
              <w:spacing w:after="0"/>
              <w:ind w:firstLine="0"/>
              <w:jc w:val="right"/>
              <w:rPr>
                <w:color w:val="000000"/>
                <w:sz w:val="20"/>
                <w:szCs w:val="24"/>
                <w:lang w:eastAsia="lv-LV"/>
              </w:rPr>
            </w:pPr>
            <w:r w:rsidRPr="001946E0">
              <w:rPr>
                <w:color w:val="000000"/>
                <w:sz w:val="20"/>
                <w:szCs w:val="24"/>
                <w:lang w:eastAsia="lv-LV"/>
              </w:rPr>
              <w:t> </w:t>
            </w:r>
          </w:p>
        </w:tc>
        <w:tc>
          <w:tcPr>
            <w:tcW w:w="954" w:type="dxa"/>
            <w:shd w:val="clear" w:color="auto" w:fill="auto"/>
            <w:noWrap/>
            <w:vAlign w:val="center"/>
            <w:hideMark/>
          </w:tcPr>
          <w:p w:rsidR="002D62B9" w:rsidRPr="001946E0" w:rsidRDefault="002D62B9" w:rsidP="00F57830">
            <w:pPr>
              <w:spacing w:after="0"/>
              <w:ind w:firstLine="0"/>
              <w:jc w:val="right"/>
              <w:rPr>
                <w:color w:val="000000"/>
                <w:sz w:val="20"/>
                <w:szCs w:val="24"/>
                <w:lang w:eastAsia="lv-LV"/>
              </w:rPr>
            </w:pPr>
            <w:r w:rsidRPr="001946E0">
              <w:rPr>
                <w:color w:val="000000"/>
                <w:sz w:val="20"/>
                <w:szCs w:val="24"/>
                <w:lang w:eastAsia="lv-LV"/>
              </w:rPr>
              <w:t> </w:t>
            </w:r>
          </w:p>
        </w:tc>
        <w:tc>
          <w:tcPr>
            <w:tcW w:w="949" w:type="dxa"/>
            <w:shd w:val="clear" w:color="auto" w:fill="auto"/>
            <w:noWrap/>
            <w:vAlign w:val="center"/>
            <w:hideMark/>
          </w:tcPr>
          <w:p w:rsidR="002D62B9" w:rsidRPr="001946E0" w:rsidRDefault="002D62B9" w:rsidP="00F57830">
            <w:pPr>
              <w:spacing w:after="0"/>
              <w:ind w:firstLine="0"/>
              <w:jc w:val="right"/>
              <w:rPr>
                <w:color w:val="000000"/>
                <w:sz w:val="20"/>
                <w:szCs w:val="24"/>
                <w:lang w:eastAsia="lv-LV"/>
              </w:rPr>
            </w:pPr>
            <w:r w:rsidRPr="001946E0">
              <w:rPr>
                <w:color w:val="000000"/>
                <w:sz w:val="20"/>
                <w:szCs w:val="24"/>
                <w:lang w:eastAsia="lv-LV"/>
              </w:rPr>
              <w:t> </w:t>
            </w:r>
          </w:p>
        </w:tc>
        <w:tc>
          <w:tcPr>
            <w:tcW w:w="993" w:type="dxa"/>
            <w:shd w:val="clear" w:color="auto" w:fill="auto"/>
            <w:noWrap/>
            <w:vAlign w:val="center"/>
            <w:hideMark/>
          </w:tcPr>
          <w:p w:rsidR="002D62B9" w:rsidRPr="001946E0" w:rsidRDefault="002D62B9" w:rsidP="00F57830">
            <w:pPr>
              <w:spacing w:after="0"/>
              <w:ind w:firstLine="0"/>
              <w:jc w:val="right"/>
              <w:rPr>
                <w:color w:val="000000"/>
                <w:sz w:val="20"/>
                <w:szCs w:val="24"/>
                <w:lang w:eastAsia="lv-LV"/>
              </w:rPr>
            </w:pPr>
            <w:r w:rsidRPr="001946E0">
              <w:rPr>
                <w:color w:val="000000"/>
                <w:sz w:val="20"/>
                <w:szCs w:val="24"/>
                <w:lang w:eastAsia="lv-LV"/>
              </w:rPr>
              <w:t> </w:t>
            </w:r>
          </w:p>
        </w:tc>
      </w:tr>
      <w:tr w:rsidR="002D62B9" w:rsidRPr="001946E0" w:rsidTr="00203D1A">
        <w:trPr>
          <w:trHeight w:val="573"/>
        </w:trPr>
        <w:tc>
          <w:tcPr>
            <w:tcW w:w="3417" w:type="dxa"/>
            <w:shd w:val="clear" w:color="auto" w:fill="auto"/>
            <w:vAlign w:val="center"/>
            <w:hideMark/>
          </w:tcPr>
          <w:p w:rsidR="00F57830" w:rsidRDefault="002D62B9" w:rsidP="00203D1A">
            <w:pPr>
              <w:spacing w:after="0"/>
              <w:ind w:left="-93" w:right="-108" w:firstLine="0"/>
              <w:jc w:val="left"/>
              <w:rPr>
                <w:color w:val="000000"/>
                <w:sz w:val="20"/>
                <w:szCs w:val="22"/>
                <w:lang w:eastAsia="lv-LV"/>
              </w:rPr>
            </w:pPr>
            <w:r w:rsidRPr="001946E0">
              <w:rPr>
                <w:color w:val="000000"/>
                <w:sz w:val="20"/>
                <w:szCs w:val="22"/>
                <w:lang w:eastAsia="lv-LV"/>
              </w:rPr>
              <w:t>- Finanšu aktīvu neto uzkrājums</w:t>
            </w:r>
          </w:p>
          <w:p w:rsidR="002D62B9" w:rsidRPr="001946E0" w:rsidRDefault="002D62B9" w:rsidP="00203D1A">
            <w:pPr>
              <w:spacing w:after="0"/>
              <w:ind w:left="-93" w:right="-108" w:firstLine="0"/>
              <w:jc w:val="left"/>
              <w:rPr>
                <w:color w:val="000000"/>
                <w:sz w:val="20"/>
                <w:szCs w:val="22"/>
                <w:lang w:eastAsia="lv-LV"/>
              </w:rPr>
            </w:pPr>
            <w:r w:rsidRPr="001946E0">
              <w:rPr>
                <w:color w:val="000000"/>
                <w:sz w:val="20"/>
                <w:szCs w:val="22"/>
                <w:lang w:eastAsia="lv-LV"/>
              </w:rPr>
              <w:t>(Net accumulation of financial assets), **</w:t>
            </w:r>
          </w:p>
        </w:tc>
        <w:tc>
          <w:tcPr>
            <w:tcW w:w="850" w:type="dxa"/>
            <w:shd w:val="clear" w:color="auto" w:fill="auto"/>
            <w:vAlign w:val="center"/>
            <w:hideMark/>
          </w:tcPr>
          <w:p w:rsidR="002D62B9" w:rsidRPr="001946E0" w:rsidRDefault="002D62B9" w:rsidP="00F57830">
            <w:pPr>
              <w:spacing w:after="0"/>
              <w:ind w:firstLine="0"/>
              <w:jc w:val="left"/>
              <w:rPr>
                <w:color w:val="000000"/>
                <w:sz w:val="20"/>
                <w:szCs w:val="22"/>
                <w:lang w:eastAsia="lv-LV"/>
              </w:rPr>
            </w:pPr>
            <w:r w:rsidRPr="001946E0">
              <w:rPr>
                <w:color w:val="000000"/>
                <w:sz w:val="20"/>
                <w:szCs w:val="22"/>
                <w:lang w:eastAsia="lv-LV"/>
              </w:rPr>
              <w:t> </w:t>
            </w:r>
          </w:p>
        </w:tc>
        <w:tc>
          <w:tcPr>
            <w:tcW w:w="1135" w:type="dxa"/>
            <w:shd w:val="clear" w:color="auto" w:fill="auto"/>
            <w:noWrap/>
            <w:vAlign w:val="center"/>
            <w:hideMark/>
          </w:tcPr>
          <w:p w:rsidR="002D62B9" w:rsidRPr="001946E0" w:rsidRDefault="002D62B9" w:rsidP="00F57830">
            <w:pPr>
              <w:spacing w:after="0"/>
              <w:ind w:firstLine="0"/>
              <w:jc w:val="right"/>
              <w:rPr>
                <w:color w:val="000000"/>
                <w:sz w:val="20"/>
                <w:szCs w:val="24"/>
                <w:lang w:eastAsia="lv-LV"/>
              </w:rPr>
            </w:pPr>
            <w:r w:rsidRPr="001946E0">
              <w:rPr>
                <w:color w:val="000000"/>
                <w:sz w:val="20"/>
                <w:szCs w:val="24"/>
                <w:lang w:eastAsia="lv-LV"/>
              </w:rPr>
              <w:t>-1</w:t>
            </w:r>
            <w:r w:rsidR="00C740F1">
              <w:rPr>
                <w:color w:val="000000"/>
                <w:sz w:val="20"/>
                <w:szCs w:val="24"/>
                <w:lang w:eastAsia="lv-LV"/>
              </w:rPr>
              <w:t>,</w:t>
            </w:r>
            <w:r w:rsidRPr="001946E0">
              <w:rPr>
                <w:color w:val="000000"/>
                <w:sz w:val="20"/>
                <w:szCs w:val="24"/>
                <w:lang w:eastAsia="lv-LV"/>
              </w:rPr>
              <w:t>1%</w:t>
            </w:r>
          </w:p>
        </w:tc>
        <w:tc>
          <w:tcPr>
            <w:tcW w:w="1215" w:type="dxa"/>
            <w:shd w:val="clear" w:color="auto" w:fill="auto"/>
            <w:noWrap/>
            <w:vAlign w:val="center"/>
            <w:hideMark/>
          </w:tcPr>
          <w:p w:rsidR="002D62B9" w:rsidRPr="001946E0" w:rsidRDefault="002D62B9" w:rsidP="00F57830">
            <w:pPr>
              <w:spacing w:after="0"/>
              <w:ind w:firstLine="0"/>
              <w:jc w:val="right"/>
              <w:rPr>
                <w:color w:val="000000"/>
                <w:sz w:val="20"/>
                <w:szCs w:val="24"/>
                <w:lang w:eastAsia="lv-LV"/>
              </w:rPr>
            </w:pPr>
            <w:r w:rsidRPr="001946E0">
              <w:rPr>
                <w:color w:val="000000"/>
                <w:sz w:val="20"/>
                <w:szCs w:val="24"/>
                <w:lang w:eastAsia="lv-LV"/>
              </w:rPr>
              <w:t> </w:t>
            </w:r>
          </w:p>
        </w:tc>
        <w:tc>
          <w:tcPr>
            <w:tcW w:w="954" w:type="dxa"/>
            <w:shd w:val="clear" w:color="auto" w:fill="auto"/>
            <w:noWrap/>
            <w:vAlign w:val="center"/>
            <w:hideMark/>
          </w:tcPr>
          <w:p w:rsidR="002D62B9" w:rsidRPr="001946E0" w:rsidRDefault="002D62B9" w:rsidP="00F57830">
            <w:pPr>
              <w:spacing w:after="0"/>
              <w:ind w:firstLine="0"/>
              <w:jc w:val="right"/>
              <w:rPr>
                <w:color w:val="000000"/>
                <w:sz w:val="20"/>
                <w:szCs w:val="24"/>
                <w:lang w:eastAsia="lv-LV"/>
              </w:rPr>
            </w:pPr>
            <w:r w:rsidRPr="001946E0">
              <w:rPr>
                <w:color w:val="000000"/>
                <w:sz w:val="20"/>
                <w:szCs w:val="24"/>
                <w:lang w:eastAsia="lv-LV"/>
              </w:rPr>
              <w:t> </w:t>
            </w:r>
          </w:p>
        </w:tc>
        <w:tc>
          <w:tcPr>
            <w:tcW w:w="949" w:type="dxa"/>
            <w:shd w:val="clear" w:color="auto" w:fill="auto"/>
            <w:noWrap/>
            <w:vAlign w:val="center"/>
            <w:hideMark/>
          </w:tcPr>
          <w:p w:rsidR="002D62B9" w:rsidRPr="001946E0" w:rsidRDefault="002D62B9" w:rsidP="00F57830">
            <w:pPr>
              <w:spacing w:after="0"/>
              <w:ind w:firstLine="0"/>
              <w:jc w:val="right"/>
              <w:rPr>
                <w:color w:val="000000"/>
                <w:sz w:val="20"/>
                <w:szCs w:val="24"/>
                <w:lang w:eastAsia="lv-LV"/>
              </w:rPr>
            </w:pPr>
            <w:r w:rsidRPr="001946E0">
              <w:rPr>
                <w:color w:val="000000"/>
                <w:sz w:val="20"/>
                <w:szCs w:val="24"/>
                <w:lang w:eastAsia="lv-LV"/>
              </w:rPr>
              <w:t> </w:t>
            </w:r>
          </w:p>
        </w:tc>
        <w:tc>
          <w:tcPr>
            <w:tcW w:w="993" w:type="dxa"/>
            <w:shd w:val="clear" w:color="auto" w:fill="auto"/>
            <w:noWrap/>
            <w:vAlign w:val="center"/>
            <w:hideMark/>
          </w:tcPr>
          <w:p w:rsidR="002D62B9" w:rsidRPr="001946E0" w:rsidRDefault="002D62B9" w:rsidP="00F57830">
            <w:pPr>
              <w:spacing w:after="0"/>
              <w:ind w:firstLine="0"/>
              <w:jc w:val="right"/>
              <w:rPr>
                <w:color w:val="000000"/>
                <w:sz w:val="20"/>
                <w:szCs w:val="24"/>
                <w:lang w:eastAsia="lv-LV"/>
              </w:rPr>
            </w:pPr>
            <w:r w:rsidRPr="001946E0">
              <w:rPr>
                <w:color w:val="000000"/>
                <w:sz w:val="20"/>
                <w:szCs w:val="24"/>
                <w:lang w:eastAsia="lv-LV"/>
              </w:rPr>
              <w:t> </w:t>
            </w:r>
          </w:p>
        </w:tc>
      </w:tr>
      <w:tr w:rsidR="002D62B9" w:rsidRPr="001946E0" w:rsidTr="00203D1A">
        <w:trPr>
          <w:trHeight w:val="553"/>
        </w:trPr>
        <w:tc>
          <w:tcPr>
            <w:tcW w:w="3417" w:type="dxa"/>
            <w:shd w:val="clear" w:color="auto" w:fill="auto"/>
            <w:noWrap/>
            <w:vAlign w:val="center"/>
            <w:hideMark/>
          </w:tcPr>
          <w:p w:rsidR="002D62B9" w:rsidRPr="001946E0" w:rsidRDefault="002D62B9" w:rsidP="00203D1A">
            <w:pPr>
              <w:spacing w:after="0"/>
              <w:ind w:left="-93" w:right="-108" w:firstLine="0"/>
              <w:jc w:val="right"/>
              <w:rPr>
                <w:color w:val="000000"/>
                <w:sz w:val="20"/>
                <w:szCs w:val="22"/>
                <w:lang w:eastAsia="lv-LV"/>
              </w:rPr>
            </w:pPr>
            <w:r w:rsidRPr="001946E0">
              <w:rPr>
                <w:color w:val="000000"/>
                <w:sz w:val="20"/>
                <w:szCs w:val="22"/>
                <w:lang w:eastAsia="lv-LV"/>
              </w:rPr>
              <w:t xml:space="preserve">   t.sk. privatizācijas ieņēmumi (privatisation proceeds)</w:t>
            </w:r>
          </w:p>
        </w:tc>
        <w:tc>
          <w:tcPr>
            <w:tcW w:w="850" w:type="dxa"/>
            <w:shd w:val="clear" w:color="auto" w:fill="auto"/>
            <w:vAlign w:val="center"/>
            <w:hideMark/>
          </w:tcPr>
          <w:p w:rsidR="002D62B9" w:rsidRPr="001946E0" w:rsidRDefault="002D62B9" w:rsidP="001B1A50">
            <w:pPr>
              <w:spacing w:after="0"/>
              <w:ind w:firstLine="0"/>
              <w:jc w:val="left"/>
              <w:rPr>
                <w:i/>
                <w:iCs/>
                <w:color w:val="000000"/>
                <w:sz w:val="20"/>
                <w:szCs w:val="22"/>
                <w:lang w:eastAsia="lv-LV"/>
              </w:rPr>
            </w:pPr>
            <w:r w:rsidRPr="001946E0">
              <w:rPr>
                <w:i/>
                <w:iCs/>
                <w:color w:val="000000"/>
                <w:sz w:val="20"/>
                <w:szCs w:val="22"/>
                <w:lang w:eastAsia="lv-LV"/>
              </w:rPr>
              <w:t> </w:t>
            </w:r>
          </w:p>
        </w:tc>
        <w:tc>
          <w:tcPr>
            <w:tcW w:w="1135" w:type="dxa"/>
            <w:shd w:val="clear" w:color="auto" w:fill="auto"/>
            <w:noWrap/>
            <w:vAlign w:val="center"/>
            <w:hideMark/>
          </w:tcPr>
          <w:p w:rsidR="002D62B9" w:rsidRPr="001946E0" w:rsidRDefault="002D62B9" w:rsidP="001B1A50">
            <w:pPr>
              <w:spacing w:after="0"/>
              <w:ind w:firstLine="0"/>
              <w:jc w:val="right"/>
              <w:rPr>
                <w:i/>
                <w:iCs/>
                <w:color w:val="000000"/>
                <w:sz w:val="20"/>
                <w:szCs w:val="24"/>
                <w:lang w:eastAsia="lv-LV"/>
              </w:rPr>
            </w:pPr>
            <w:r w:rsidRPr="001946E0">
              <w:rPr>
                <w:i/>
                <w:iCs/>
                <w:color w:val="000000"/>
                <w:sz w:val="20"/>
                <w:szCs w:val="24"/>
                <w:lang w:eastAsia="lv-LV"/>
              </w:rPr>
              <w:t>0</w:t>
            </w:r>
            <w:r w:rsidR="00C740F1">
              <w:rPr>
                <w:i/>
                <w:iCs/>
                <w:color w:val="000000"/>
                <w:sz w:val="20"/>
                <w:szCs w:val="24"/>
                <w:lang w:eastAsia="lv-LV"/>
              </w:rPr>
              <w:t>,</w:t>
            </w:r>
            <w:r w:rsidRPr="001946E0">
              <w:rPr>
                <w:i/>
                <w:iCs/>
                <w:color w:val="000000"/>
                <w:sz w:val="20"/>
                <w:szCs w:val="24"/>
                <w:lang w:eastAsia="lv-LV"/>
              </w:rPr>
              <w:t>1%</w:t>
            </w:r>
          </w:p>
        </w:tc>
        <w:tc>
          <w:tcPr>
            <w:tcW w:w="1215" w:type="dxa"/>
            <w:shd w:val="clear" w:color="auto" w:fill="auto"/>
            <w:noWrap/>
            <w:vAlign w:val="center"/>
            <w:hideMark/>
          </w:tcPr>
          <w:p w:rsidR="002D62B9" w:rsidRPr="001946E0" w:rsidRDefault="002D62B9" w:rsidP="001B1A50">
            <w:pPr>
              <w:spacing w:after="0"/>
              <w:ind w:firstLine="0"/>
              <w:jc w:val="right"/>
              <w:rPr>
                <w:i/>
                <w:iCs/>
                <w:color w:val="000000"/>
                <w:sz w:val="20"/>
                <w:szCs w:val="24"/>
                <w:lang w:eastAsia="lv-LV"/>
              </w:rPr>
            </w:pPr>
            <w:r w:rsidRPr="001946E0">
              <w:rPr>
                <w:i/>
                <w:iCs/>
                <w:color w:val="000000"/>
                <w:sz w:val="20"/>
                <w:szCs w:val="24"/>
                <w:lang w:eastAsia="lv-LV"/>
              </w:rPr>
              <w:t> </w:t>
            </w:r>
          </w:p>
        </w:tc>
        <w:tc>
          <w:tcPr>
            <w:tcW w:w="954" w:type="dxa"/>
            <w:shd w:val="clear" w:color="auto" w:fill="auto"/>
            <w:noWrap/>
            <w:vAlign w:val="center"/>
            <w:hideMark/>
          </w:tcPr>
          <w:p w:rsidR="002D62B9" w:rsidRPr="001946E0" w:rsidRDefault="002D62B9" w:rsidP="001B1A50">
            <w:pPr>
              <w:spacing w:after="0"/>
              <w:ind w:firstLine="0"/>
              <w:jc w:val="right"/>
              <w:rPr>
                <w:i/>
                <w:iCs/>
                <w:color w:val="000000"/>
                <w:sz w:val="20"/>
                <w:szCs w:val="24"/>
                <w:lang w:eastAsia="lv-LV"/>
              </w:rPr>
            </w:pPr>
            <w:r w:rsidRPr="001946E0">
              <w:rPr>
                <w:i/>
                <w:iCs/>
                <w:color w:val="000000"/>
                <w:sz w:val="20"/>
                <w:szCs w:val="24"/>
                <w:lang w:eastAsia="lv-LV"/>
              </w:rPr>
              <w:t> </w:t>
            </w:r>
          </w:p>
        </w:tc>
        <w:tc>
          <w:tcPr>
            <w:tcW w:w="949" w:type="dxa"/>
            <w:shd w:val="clear" w:color="auto" w:fill="auto"/>
            <w:noWrap/>
            <w:vAlign w:val="center"/>
            <w:hideMark/>
          </w:tcPr>
          <w:p w:rsidR="002D62B9" w:rsidRPr="001946E0" w:rsidRDefault="002D62B9" w:rsidP="001B1A50">
            <w:pPr>
              <w:spacing w:after="0"/>
              <w:ind w:firstLine="0"/>
              <w:jc w:val="right"/>
              <w:rPr>
                <w:i/>
                <w:iCs/>
                <w:color w:val="000000"/>
                <w:sz w:val="20"/>
                <w:szCs w:val="24"/>
                <w:lang w:eastAsia="lv-LV"/>
              </w:rPr>
            </w:pPr>
            <w:r w:rsidRPr="001946E0">
              <w:rPr>
                <w:i/>
                <w:iCs/>
                <w:color w:val="000000"/>
                <w:sz w:val="20"/>
                <w:szCs w:val="24"/>
                <w:lang w:eastAsia="lv-LV"/>
              </w:rPr>
              <w:t> </w:t>
            </w:r>
          </w:p>
        </w:tc>
        <w:tc>
          <w:tcPr>
            <w:tcW w:w="993" w:type="dxa"/>
            <w:shd w:val="clear" w:color="auto" w:fill="auto"/>
            <w:noWrap/>
            <w:vAlign w:val="center"/>
            <w:hideMark/>
          </w:tcPr>
          <w:p w:rsidR="002D62B9" w:rsidRPr="001946E0" w:rsidRDefault="002D62B9" w:rsidP="001B1A50">
            <w:pPr>
              <w:spacing w:after="0"/>
              <w:ind w:firstLine="0"/>
              <w:jc w:val="right"/>
              <w:rPr>
                <w:i/>
                <w:iCs/>
                <w:color w:val="000000"/>
                <w:sz w:val="20"/>
                <w:szCs w:val="24"/>
                <w:lang w:eastAsia="lv-LV"/>
              </w:rPr>
            </w:pPr>
            <w:r w:rsidRPr="001946E0">
              <w:rPr>
                <w:i/>
                <w:iCs/>
                <w:color w:val="000000"/>
                <w:sz w:val="20"/>
                <w:szCs w:val="24"/>
                <w:lang w:eastAsia="lv-LV"/>
              </w:rPr>
              <w:t> </w:t>
            </w:r>
          </w:p>
        </w:tc>
      </w:tr>
      <w:tr w:rsidR="002D62B9" w:rsidRPr="001946E0" w:rsidTr="00203D1A">
        <w:trPr>
          <w:trHeight w:val="405"/>
        </w:trPr>
        <w:tc>
          <w:tcPr>
            <w:tcW w:w="3417" w:type="dxa"/>
            <w:shd w:val="clear" w:color="auto" w:fill="auto"/>
            <w:vAlign w:val="center"/>
            <w:hideMark/>
          </w:tcPr>
          <w:p w:rsidR="00F57830" w:rsidRDefault="002D62B9" w:rsidP="00203D1A">
            <w:pPr>
              <w:spacing w:after="0"/>
              <w:ind w:left="-93" w:right="-108" w:firstLine="0"/>
              <w:jc w:val="left"/>
              <w:rPr>
                <w:color w:val="000000"/>
                <w:sz w:val="20"/>
                <w:szCs w:val="22"/>
                <w:lang w:eastAsia="lv-LV"/>
              </w:rPr>
            </w:pPr>
            <w:r w:rsidRPr="001946E0">
              <w:rPr>
                <w:color w:val="000000"/>
                <w:sz w:val="20"/>
                <w:szCs w:val="22"/>
                <w:lang w:eastAsia="lv-LV"/>
              </w:rPr>
              <w:t xml:space="preserve">- Pārvērtēšanas efekti un citi </w:t>
            </w:r>
          </w:p>
          <w:p w:rsidR="002D62B9" w:rsidRPr="001946E0" w:rsidRDefault="002D62B9" w:rsidP="00203D1A">
            <w:pPr>
              <w:spacing w:after="0"/>
              <w:ind w:left="-93" w:right="-108" w:firstLine="0"/>
              <w:jc w:val="left"/>
              <w:rPr>
                <w:color w:val="000000"/>
                <w:sz w:val="20"/>
                <w:szCs w:val="22"/>
                <w:lang w:eastAsia="lv-LV"/>
              </w:rPr>
            </w:pPr>
            <w:r w:rsidRPr="001946E0">
              <w:rPr>
                <w:color w:val="000000"/>
                <w:sz w:val="20"/>
                <w:szCs w:val="22"/>
                <w:lang w:eastAsia="lv-LV"/>
              </w:rPr>
              <w:t>(Valuation effects and other) ***</w:t>
            </w:r>
          </w:p>
        </w:tc>
        <w:tc>
          <w:tcPr>
            <w:tcW w:w="850" w:type="dxa"/>
            <w:shd w:val="clear" w:color="auto" w:fill="auto"/>
            <w:noWrap/>
            <w:vAlign w:val="center"/>
            <w:hideMark/>
          </w:tcPr>
          <w:p w:rsidR="002D62B9" w:rsidRPr="001946E0" w:rsidRDefault="002D62B9" w:rsidP="001B1A50">
            <w:pPr>
              <w:spacing w:after="0"/>
              <w:ind w:firstLine="0"/>
              <w:jc w:val="left"/>
              <w:rPr>
                <w:color w:val="000000"/>
                <w:sz w:val="20"/>
                <w:szCs w:val="22"/>
                <w:lang w:eastAsia="lv-LV"/>
              </w:rPr>
            </w:pPr>
            <w:r w:rsidRPr="001946E0">
              <w:rPr>
                <w:color w:val="000000"/>
                <w:sz w:val="20"/>
                <w:szCs w:val="22"/>
                <w:lang w:eastAsia="lv-LV"/>
              </w:rPr>
              <w:t> </w:t>
            </w:r>
          </w:p>
        </w:tc>
        <w:tc>
          <w:tcPr>
            <w:tcW w:w="1135" w:type="dxa"/>
            <w:shd w:val="clear" w:color="auto" w:fill="auto"/>
            <w:noWrap/>
            <w:vAlign w:val="center"/>
            <w:hideMark/>
          </w:tcPr>
          <w:p w:rsidR="002D62B9" w:rsidRPr="001946E0" w:rsidRDefault="002D62B9" w:rsidP="001B1A50">
            <w:pPr>
              <w:spacing w:after="0"/>
              <w:ind w:firstLine="0"/>
              <w:jc w:val="right"/>
              <w:rPr>
                <w:color w:val="000000"/>
                <w:sz w:val="20"/>
                <w:szCs w:val="24"/>
                <w:lang w:eastAsia="lv-LV"/>
              </w:rPr>
            </w:pPr>
            <w:r w:rsidRPr="001946E0">
              <w:rPr>
                <w:color w:val="000000"/>
                <w:sz w:val="20"/>
                <w:szCs w:val="24"/>
                <w:lang w:eastAsia="lv-LV"/>
              </w:rPr>
              <w:t>0</w:t>
            </w:r>
            <w:r w:rsidR="00C740F1">
              <w:rPr>
                <w:color w:val="000000"/>
                <w:sz w:val="20"/>
                <w:szCs w:val="24"/>
                <w:lang w:eastAsia="lv-LV"/>
              </w:rPr>
              <w:t>,</w:t>
            </w:r>
            <w:r w:rsidRPr="001946E0">
              <w:rPr>
                <w:color w:val="000000"/>
                <w:sz w:val="20"/>
                <w:szCs w:val="24"/>
                <w:lang w:eastAsia="lv-LV"/>
              </w:rPr>
              <w:t>2%</w:t>
            </w:r>
          </w:p>
        </w:tc>
        <w:tc>
          <w:tcPr>
            <w:tcW w:w="1215" w:type="dxa"/>
            <w:shd w:val="clear" w:color="auto" w:fill="auto"/>
            <w:noWrap/>
            <w:vAlign w:val="center"/>
            <w:hideMark/>
          </w:tcPr>
          <w:p w:rsidR="002D62B9" w:rsidRPr="001946E0" w:rsidRDefault="002D62B9" w:rsidP="001B1A50">
            <w:pPr>
              <w:spacing w:after="0"/>
              <w:ind w:firstLine="0"/>
              <w:jc w:val="right"/>
              <w:rPr>
                <w:color w:val="000000"/>
                <w:sz w:val="20"/>
                <w:szCs w:val="24"/>
                <w:lang w:eastAsia="lv-LV"/>
              </w:rPr>
            </w:pPr>
            <w:r w:rsidRPr="001946E0">
              <w:rPr>
                <w:color w:val="000000"/>
                <w:sz w:val="20"/>
                <w:szCs w:val="24"/>
                <w:lang w:eastAsia="lv-LV"/>
              </w:rPr>
              <w:t> </w:t>
            </w:r>
          </w:p>
        </w:tc>
        <w:tc>
          <w:tcPr>
            <w:tcW w:w="954" w:type="dxa"/>
            <w:shd w:val="clear" w:color="auto" w:fill="auto"/>
            <w:noWrap/>
            <w:vAlign w:val="center"/>
            <w:hideMark/>
          </w:tcPr>
          <w:p w:rsidR="002D62B9" w:rsidRPr="001946E0" w:rsidRDefault="002D62B9" w:rsidP="001B1A50">
            <w:pPr>
              <w:spacing w:after="0"/>
              <w:ind w:firstLine="0"/>
              <w:jc w:val="right"/>
              <w:rPr>
                <w:color w:val="000000"/>
                <w:sz w:val="20"/>
                <w:szCs w:val="24"/>
                <w:lang w:eastAsia="lv-LV"/>
              </w:rPr>
            </w:pPr>
            <w:r w:rsidRPr="001946E0">
              <w:rPr>
                <w:color w:val="000000"/>
                <w:sz w:val="20"/>
                <w:szCs w:val="24"/>
                <w:lang w:eastAsia="lv-LV"/>
              </w:rPr>
              <w:t> </w:t>
            </w:r>
          </w:p>
        </w:tc>
        <w:tc>
          <w:tcPr>
            <w:tcW w:w="949" w:type="dxa"/>
            <w:shd w:val="clear" w:color="auto" w:fill="auto"/>
            <w:noWrap/>
            <w:vAlign w:val="center"/>
            <w:hideMark/>
          </w:tcPr>
          <w:p w:rsidR="002D62B9" w:rsidRPr="001946E0" w:rsidRDefault="002D62B9" w:rsidP="001B1A50">
            <w:pPr>
              <w:spacing w:after="0"/>
              <w:ind w:firstLine="0"/>
              <w:jc w:val="right"/>
              <w:rPr>
                <w:color w:val="000000"/>
                <w:sz w:val="20"/>
                <w:szCs w:val="24"/>
                <w:lang w:eastAsia="lv-LV"/>
              </w:rPr>
            </w:pPr>
            <w:r w:rsidRPr="001946E0">
              <w:rPr>
                <w:color w:val="000000"/>
                <w:sz w:val="20"/>
                <w:szCs w:val="24"/>
                <w:lang w:eastAsia="lv-LV"/>
              </w:rPr>
              <w:t> </w:t>
            </w:r>
          </w:p>
        </w:tc>
        <w:tc>
          <w:tcPr>
            <w:tcW w:w="993" w:type="dxa"/>
            <w:shd w:val="clear" w:color="auto" w:fill="auto"/>
            <w:noWrap/>
            <w:vAlign w:val="center"/>
            <w:hideMark/>
          </w:tcPr>
          <w:p w:rsidR="002D62B9" w:rsidRPr="001946E0" w:rsidRDefault="002D62B9" w:rsidP="001B1A50">
            <w:pPr>
              <w:spacing w:after="0"/>
              <w:ind w:firstLine="0"/>
              <w:jc w:val="right"/>
              <w:rPr>
                <w:color w:val="000000"/>
                <w:sz w:val="20"/>
                <w:szCs w:val="24"/>
                <w:lang w:eastAsia="lv-LV"/>
              </w:rPr>
            </w:pPr>
            <w:r w:rsidRPr="001946E0">
              <w:rPr>
                <w:color w:val="000000"/>
                <w:sz w:val="20"/>
                <w:szCs w:val="24"/>
                <w:lang w:eastAsia="lv-LV"/>
              </w:rPr>
              <w:t> </w:t>
            </w:r>
          </w:p>
        </w:tc>
      </w:tr>
      <w:tr w:rsidR="002D62B9" w:rsidRPr="001946E0" w:rsidTr="00203D1A">
        <w:trPr>
          <w:trHeight w:val="355"/>
        </w:trPr>
        <w:tc>
          <w:tcPr>
            <w:tcW w:w="3417" w:type="dxa"/>
            <w:shd w:val="clear" w:color="auto" w:fill="auto"/>
            <w:vAlign w:val="center"/>
            <w:hideMark/>
          </w:tcPr>
          <w:p w:rsidR="002D62B9" w:rsidRPr="001946E0" w:rsidRDefault="002D62B9" w:rsidP="001B1A50">
            <w:pPr>
              <w:spacing w:after="0"/>
              <w:ind w:firstLine="0"/>
              <w:jc w:val="left"/>
              <w:rPr>
                <w:b/>
                <w:bCs/>
                <w:color w:val="000000"/>
                <w:sz w:val="20"/>
                <w:szCs w:val="24"/>
                <w:lang w:eastAsia="lv-LV"/>
              </w:rPr>
            </w:pPr>
            <w:r w:rsidRPr="001946E0">
              <w:rPr>
                <w:b/>
                <w:bCs/>
                <w:color w:val="000000"/>
                <w:sz w:val="20"/>
                <w:szCs w:val="24"/>
                <w:lang w:eastAsia="lv-LV"/>
              </w:rPr>
              <w:t>Valsts parāda netiešā procentu likme</w:t>
            </w:r>
          </w:p>
        </w:tc>
        <w:tc>
          <w:tcPr>
            <w:tcW w:w="850" w:type="dxa"/>
            <w:shd w:val="clear" w:color="auto" w:fill="auto"/>
            <w:noWrap/>
            <w:vAlign w:val="center"/>
            <w:hideMark/>
          </w:tcPr>
          <w:p w:rsidR="002D62B9" w:rsidRPr="001946E0" w:rsidRDefault="002D62B9" w:rsidP="001B1A50">
            <w:pPr>
              <w:spacing w:after="0"/>
              <w:ind w:firstLine="0"/>
              <w:jc w:val="left"/>
              <w:rPr>
                <w:b/>
                <w:bCs/>
                <w:color w:val="000000"/>
                <w:sz w:val="20"/>
                <w:szCs w:val="22"/>
                <w:lang w:eastAsia="lv-LV"/>
              </w:rPr>
            </w:pPr>
            <w:r w:rsidRPr="001946E0">
              <w:rPr>
                <w:b/>
                <w:bCs/>
                <w:color w:val="000000"/>
                <w:sz w:val="20"/>
                <w:szCs w:val="22"/>
                <w:lang w:eastAsia="lv-LV"/>
              </w:rPr>
              <w:t> </w:t>
            </w:r>
          </w:p>
        </w:tc>
        <w:tc>
          <w:tcPr>
            <w:tcW w:w="1135" w:type="dxa"/>
            <w:shd w:val="clear" w:color="auto" w:fill="auto"/>
            <w:noWrap/>
            <w:vAlign w:val="center"/>
            <w:hideMark/>
          </w:tcPr>
          <w:p w:rsidR="002D62B9" w:rsidRPr="001946E0" w:rsidRDefault="002D62B9" w:rsidP="001B1A50">
            <w:pPr>
              <w:spacing w:after="0"/>
              <w:ind w:firstLine="0"/>
              <w:jc w:val="right"/>
              <w:rPr>
                <w:b/>
                <w:bCs/>
                <w:color w:val="000000"/>
                <w:sz w:val="20"/>
                <w:szCs w:val="24"/>
                <w:lang w:eastAsia="lv-LV"/>
              </w:rPr>
            </w:pPr>
            <w:r w:rsidRPr="001946E0">
              <w:rPr>
                <w:b/>
                <w:bCs/>
                <w:color w:val="000000"/>
                <w:sz w:val="20"/>
                <w:szCs w:val="24"/>
                <w:lang w:eastAsia="lv-LV"/>
              </w:rPr>
              <w:t>3</w:t>
            </w:r>
            <w:r w:rsidR="00C740F1">
              <w:rPr>
                <w:b/>
                <w:bCs/>
                <w:color w:val="000000"/>
                <w:sz w:val="20"/>
                <w:szCs w:val="24"/>
                <w:lang w:eastAsia="lv-LV"/>
              </w:rPr>
              <w:t>,</w:t>
            </w:r>
            <w:r w:rsidRPr="001946E0">
              <w:rPr>
                <w:b/>
                <w:bCs/>
                <w:color w:val="000000"/>
                <w:sz w:val="20"/>
                <w:szCs w:val="24"/>
                <w:lang w:eastAsia="lv-LV"/>
              </w:rPr>
              <w:t>7%</w:t>
            </w:r>
          </w:p>
        </w:tc>
        <w:tc>
          <w:tcPr>
            <w:tcW w:w="1215" w:type="dxa"/>
            <w:shd w:val="clear" w:color="auto" w:fill="auto"/>
            <w:noWrap/>
            <w:vAlign w:val="center"/>
            <w:hideMark/>
          </w:tcPr>
          <w:p w:rsidR="002D62B9" w:rsidRPr="001946E0" w:rsidRDefault="002D62B9" w:rsidP="001B1A50">
            <w:pPr>
              <w:spacing w:after="0"/>
              <w:ind w:firstLine="0"/>
              <w:jc w:val="right"/>
              <w:rPr>
                <w:b/>
                <w:bCs/>
                <w:color w:val="000000"/>
                <w:sz w:val="20"/>
                <w:szCs w:val="24"/>
                <w:lang w:eastAsia="lv-LV"/>
              </w:rPr>
            </w:pPr>
            <w:r w:rsidRPr="001946E0">
              <w:rPr>
                <w:b/>
                <w:bCs/>
                <w:color w:val="000000"/>
                <w:sz w:val="20"/>
                <w:szCs w:val="24"/>
                <w:lang w:eastAsia="lv-LV"/>
              </w:rPr>
              <w:t>4</w:t>
            </w:r>
            <w:r w:rsidR="00C740F1">
              <w:rPr>
                <w:b/>
                <w:bCs/>
                <w:color w:val="000000"/>
                <w:sz w:val="20"/>
                <w:szCs w:val="24"/>
                <w:lang w:eastAsia="lv-LV"/>
              </w:rPr>
              <w:t>,</w:t>
            </w:r>
            <w:r w:rsidRPr="001946E0">
              <w:rPr>
                <w:b/>
                <w:bCs/>
                <w:color w:val="000000"/>
                <w:sz w:val="20"/>
                <w:szCs w:val="24"/>
                <w:lang w:eastAsia="lv-LV"/>
              </w:rPr>
              <w:t>1%</w:t>
            </w:r>
          </w:p>
        </w:tc>
        <w:tc>
          <w:tcPr>
            <w:tcW w:w="954" w:type="dxa"/>
            <w:shd w:val="clear" w:color="auto" w:fill="auto"/>
            <w:noWrap/>
            <w:vAlign w:val="center"/>
            <w:hideMark/>
          </w:tcPr>
          <w:p w:rsidR="002D62B9" w:rsidRPr="001946E0" w:rsidRDefault="002D62B9" w:rsidP="001B1A50">
            <w:pPr>
              <w:spacing w:after="0"/>
              <w:ind w:firstLine="0"/>
              <w:jc w:val="right"/>
              <w:rPr>
                <w:b/>
                <w:bCs/>
                <w:color w:val="000000"/>
                <w:sz w:val="20"/>
                <w:szCs w:val="24"/>
                <w:lang w:eastAsia="lv-LV"/>
              </w:rPr>
            </w:pPr>
            <w:r w:rsidRPr="001946E0">
              <w:rPr>
                <w:b/>
                <w:bCs/>
                <w:color w:val="000000"/>
                <w:sz w:val="20"/>
                <w:szCs w:val="24"/>
                <w:lang w:eastAsia="lv-LV"/>
              </w:rPr>
              <w:t>4</w:t>
            </w:r>
            <w:r w:rsidR="00C740F1">
              <w:rPr>
                <w:b/>
                <w:bCs/>
                <w:color w:val="000000"/>
                <w:sz w:val="20"/>
                <w:szCs w:val="24"/>
                <w:lang w:eastAsia="lv-LV"/>
              </w:rPr>
              <w:t>,</w:t>
            </w:r>
            <w:r w:rsidRPr="001946E0">
              <w:rPr>
                <w:b/>
                <w:bCs/>
                <w:color w:val="000000"/>
                <w:sz w:val="20"/>
                <w:szCs w:val="24"/>
                <w:lang w:eastAsia="lv-LV"/>
              </w:rPr>
              <w:t>4%</w:t>
            </w:r>
          </w:p>
        </w:tc>
        <w:tc>
          <w:tcPr>
            <w:tcW w:w="949" w:type="dxa"/>
            <w:shd w:val="clear" w:color="auto" w:fill="auto"/>
            <w:noWrap/>
            <w:vAlign w:val="center"/>
            <w:hideMark/>
          </w:tcPr>
          <w:p w:rsidR="002D62B9" w:rsidRPr="001946E0" w:rsidRDefault="002D62B9" w:rsidP="001B1A50">
            <w:pPr>
              <w:spacing w:after="0"/>
              <w:ind w:firstLine="0"/>
              <w:jc w:val="right"/>
              <w:rPr>
                <w:b/>
                <w:bCs/>
                <w:color w:val="000000"/>
                <w:sz w:val="20"/>
                <w:szCs w:val="24"/>
                <w:lang w:eastAsia="lv-LV"/>
              </w:rPr>
            </w:pPr>
            <w:r w:rsidRPr="001946E0">
              <w:rPr>
                <w:b/>
                <w:bCs/>
                <w:color w:val="000000"/>
                <w:sz w:val="20"/>
                <w:szCs w:val="24"/>
                <w:lang w:eastAsia="lv-LV"/>
              </w:rPr>
              <w:t>4</w:t>
            </w:r>
            <w:r w:rsidR="00C740F1">
              <w:rPr>
                <w:b/>
                <w:bCs/>
                <w:color w:val="000000"/>
                <w:sz w:val="20"/>
                <w:szCs w:val="24"/>
                <w:lang w:eastAsia="lv-LV"/>
              </w:rPr>
              <w:t>,</w:t>
            </w:r>
            <w:r w:rsidRPr="001946E0">
              <w:rPr>
                <w:b/>
                <w:bCs/>
                <w:color w:val="000000"/>
                <w:sz w:val="20"/>
                <w:szCs w:val="24"/>
                <w:lang w:eastAsia="lv-LV"/>
              </w:rPr>
              <w:t>9%</w:t>
            </w:r>
          </w:p>
        </w:tc>
        <w:tc>
          <w:tcPr>
            <w:tcW w:w="993" w:type="dxa"/>
            <w:shd w:val="clear" w:color="auto" w:fill="auto"/>
            <w:noWrap/>
            <w:vAlign w:val="center"/>
            <w:hideMark/>
          </w:tcPr>
          <w:p w:rsidR="002D62B9" w:rsidRPr="001946E0" w:rsidRDefault="002D62B9" w:rsidP="001B1A50">
            <w:pPr>
              <w:spacing w:after="0"/>
              <w:ind w:firstLine="0"/>
              <w:jc w:val="right"/>
              <w:rPr>
                <w:b/>
                <w:bCs/>
                <w:color w:val="000000"/>
                <w:sz w:val="20"/>
                <w:szCs w:val="24"/>
                <w:lang w:eastAsia="lv-LV"/>
              </w:rPr>
            </w:pPr>
            <w:r w:rsidRPr="001946E0">
              <w:rPr>
                <w:b/>
                <w:bCs/>
                <w:color w:val="000000"/>
                <w:sz w:val="20"/>
                <w:szCs w:val="24"/>
                <w:lang w:eastAsia="lv-LV"/>
              </w:rPr>
              <w:t>4</w:t>
            </w:r>
            <w:r w:rsidR="00C740F1">
              <w:rPr>
                <w:b/>
                <w:bCs/>
                <w:color w:val="000000"/>
                <w:sz w:val="20"/>
                <w:szCs w:val="24"/>
                <w:lang w:eastAsia="lv-LV"/>
              </w:rPr>
              <w:t>,</w:t>
            </w:r>
            <w:r w:rsidRPr="001946E0">
              <w:rPr>
                <w:b/>
                <w:bCs/>
                <w:color w:val="000000"/>
                <w:sz w:val="20"/>
                <w:szCs w:val="24"/>
                <w:lang w:eastAsia="lv-LV"/>
              </w:rPr>
              <w:t>7%</w:t>
            </w:r>
          </w:p>
        </w:tc>
      </w:tr>
      <w:tr w:rsidR="002D62B9" w:rsidRPr="001946E0" w:rsidTr="00D01375">
        <w:trPr>
          <w:trHeight w:val="420"/>
        </w:trPr>
        <w:tc>
          <w:tcPr>
            <w:tcW w:w="9513" w:type="dxa"/>
            <w:gridSpan w:val="7"/>
            <w:shd w:val="clear" w:color="auto" w:fill="auto"/>
            <w:noWrap/>
            <w:vAlign w:val="center"/>
            <w:hideMark/>
          </w:tcPr>
          <w:p w:rsidR="002D62B9" w:rsidRPr="001946E0" w:rsidRDefault="002D62B9" w:rsidP="001B1A50">
            <w:pPr>
              <w:spacing w:after="0"/>
              <w:ind w:firstLine="0"/>
              <w:jc w:val="center"/>
              <w:rPr>
                <w:b/>
                <w:bCs/>
                <w:color w:val="000000"/>
                <w:sz w:val="20"/>
                <w:szCs w:val="24"/>
                <w:lang w:eastAsia="lv-LV"/>
              </w:rPr>
            </w:pPr>
            <w:r w:rsidRPr="001946E0">
              <w:rPr>
                <w:b/>
                <w:bCs/>
                <w:color w:val="000000"/>
                <w:sz w:val="20"/>
                <w:szCs w:val="24"/>
                <w:lang w:eastAsia="lv-LV"/>
              </w:rPr>
              <w:t>Citi mainīgie</w:t>
            </w:r>
          </w:p>
        </w:tc>
      </w:tr>
      <w:tr w:rsidR="002D62B9" w:rsidRPr="001946E0" w:rsidTr="00203D1A">
        <w:trPr>
          <w:trHeight w:val="422"/>
        </w:trPr>
        <w:tc>
          <w:tcPr>
            <w:tcW w:w="3417" w:type="dxa"/>
            <w:shd w:val="clear" w:color="auto" w:fill="auto"/>
            <w:noWrap/>
            <w:vAlign w:val="center"/>
            <w:hideMark/>
          </w:tcPr>
          <w:p w:rsidR="00F57830" w:rsidRDefault="002D62B9" w:rsidP="001B1A50">
            <w:pPr>
              <w:spacing w:after="0"/>
              <w:ind w:firstLine="0"/>
              <w:jc w:val="left"/>
              <w:rPr>
                <w:color w:val="000000"/>
                <w:sz w:val="20"/>
                <w:szCs w:val="24"/>
                <w:lang w:eastAsia="lv-LV"/>
              </w:rPr>
            </w:pPr>
            <w:r w:rsidRPr="001946E0">
              <w:rPr>
                <w:color w:val="000000"/>
                <w:sz w:val="20"/>
                <w:szCs w:val="24"/>
                <w:lang w:eastAsia="lv-LV"/>
              </w:rPr>
              <w:t xml:space="preserve">6. Likvīdi finanšu aktīvi </w:t>
            </w:r>
          </w:p>
          <w:p w:rsidR="002D62B9" w:rsidRPr="001946E0" w:rsidRDefault="002D62B9" w:rsidP="001B1A50">
            <w:pPr>
              <w:spacing w:after="0"/>
              <w:ind w:firstLine="0"/>
              <w:jc w:val="left"/>
              <w:rPr>
                <w:color w:val="000000"/>
                <w:sz w:val="20"/>
                <w:szCs w:val="24"/>
                <w:lang w:eastAsia="lv-LV"/>
              </w:rPr>
            </w:pPr>
            <w:r w:rsidRPr="001946E0">
              <w:rPr>
                <w:color w:val="000000"/>
                <w:sz w:val="20"/>
                <w:szCs w:val="24"/>
                <w:lang w:eastAsia="lv-LV"/>
              </w:rPr>
              <w:t>(Liquid financial assets)</w:t>
            </w:r>
          </w:p>
        </w:tc>
        <w:tc>
          <w:tcPr>
            <w:tcW w:w="850" w:type="dxa"/>
            <w:shd w:val="clear" w:color="auto" w:fill="auto"/>
            <w:noWrap/>
            <w:vAlign w:val="center"/>
            <w:hideMark/>
          </w:tcPr>
          <w:p w:rsidR="002D62B9" w:rsidRPr="001946E0" w:rsidRDefault="002D62B9" w:rsidP="001B1A50">
            <w:pPr>
              <w:spacing w:after="0"/>
              <w:ind w:firstLine="0"/>
              <w:jc w:val="left"/>
              <w:rPr>
                <w:color w:val="000000"/>
                <w:sz w:val="20"/>
                <w:szCs w:val="24"/>
                <w:lang w:eastAsia="lv-LV"/>
              </w:rPr>
            </w:pPr>
            <w:r w:rsidRPr="001946E0">
              <w:rPr>
                <w:color w:val="000000"/>
                <w:sz w:val="20"/>
                <w:szCs w:val="24"/>
                <w:lang w:eastAsia="lv-LV"/>
              </w:rPr>
              <w:t> </w:t>
            </w:r>
          </w:p>
        </w:tc>
        <w:tc>
          <w:tcPr>
            <w:tcW w:w="1135" w:type="dxa"/>
            <w:shd w:val="clear" w:color="auto" w:fill="auto"/>
            <w:noWrap/>
            <w:vAlign w:val="center"/>
            <w:hideMark/>
          </w:tcPr>
          <w:p w:rsidR="002D62B9" w:rsidRPr="001946E0" w:rsidRDefault="002D62B9" w:rsidP="001B1A50">
            <w:pPr>
              <w:spacing w:after="0"/>
              <w:ind w:firstLine="0"/>
              <w:jc w:val="right"/>
              <w:rPr>
                <w:color w:val="000000"/>
                <w:sz w:val="20"/>
                <w:szCs w:val="24"/>
                <w:lang w:eastAsia="lv-LV"/>
              </w:rPr>
            </w:pPr>
            <w:r w:rsidRPr="001946E0">
              <w:rPr>
                <w:color w:val="000000"/>
                <w:sz w:val="20"/>
                <w:szCs w:val="24"/>
                <w:lang w:eastAsia="lv-LV"/>
              </w:rPr>
              <w:t>6</w:t>
            </w:r>
            <w:r w:rsidR="00C740F1">
              <w:rPr>
                <w:color w:val="000000"/>
                <w:sz w:val="20"/>
                <w:szCs w:val="24"/>
                <w:lang w:eastAsia="lv-LV"/>
              </w:rPr>
              <w:t>,</w:t>
            </w:r>
            <w:r w:rsidRPr="001946E0">
              <w:rPr>
                <w:color w:val="000000"/>
                <w:sz w:val="20"/>
                <w:szCs w:val="24"/>
                <w:lang w:eastAsia="lv-LV"/>
              </w:rPr>
              <w:t>9%</w:t>
            </w:r>
          </w:p>
        </w:tc>
        <w:tc>
          <w:tcPr>
            <w:tcW w:w="1215" w:type="dxa"/>
            <w:shd w:val="clear" w:color="auto" w:fill="auto"/>
            <w:noWrap/>
            <w:vAlign w:val="center"/>
            <w:hideMark/>
          </w:tcPr>
          <w:p w:rsidR="002D62B9" w:rsidRPr="001946E0" w:rsidRDefault="002D62B9" w:rsidP="001B1A50">
            <w:pPr>
              <w:spacing w:after="0"/>
              <w:ind w:firstLine="0"/>
              <w:jc w:val="left"/>
              <w:rPr>
                <w:color w:val="000000"/>
                <w:sz w:val="20"/>
                <w:szCs w:val="24"/>
                <w:lang w:eastAsia="lv-LV"/>
              </w:rPr>
            </w:pPr>
            <w:r w:rsidRPr="001946E0">
              <w:rPr>
                <w:color w:val="000000"/>
                <w:sz w:val="20"/>
                <w:szCs w:val="24"/>
                <w:lang w:eastAsia="lv-LV"/>
              </w:rPr>
              <w:t> </w:t>
            </w:r>
          </w:p>
        </w:tc>
        <w:tc>
          <w:tcPr>
            <w:tcW w:w="954" w:type="dxa"/>
            <w:shd w:val="clear" w:color="auto" w:fill="auto"/>
            <w:noWrap/>
            <w:vAlign w:val="center"/>
            <w:hideMark/>
          </w:tcPr>
          <w:p w:rsidR="002D62B9" w:rsidRPr="001946E0" w:rsidRDefault="002D62B9" w:rsidP="001B1A50">
            <w:pPr>
              <w:spacing w:after="0"/>
              <w:ind w:firstLine="0"/>
              <w:jc w:val="left"/>
              <w:rPr>
                <w:color w:val="000000"/>
                <w:sz w:val="20"/>
                <w:szCs w:val="24"/>
                <w:lang w:eastAsia="lv-LV"/>
              </w:rPr>
            </w:pPr>
            <w:r w:rsidRPr="001946E0">
              <w:rPr>
                <w:color w:val="000000"/>
                <w:sz w:val="20"/>
                <w:szCs w:val="24"/>
                <w:lang w:eastAsia="lv-LV"/>
              </w:rPr>
              <w:t> </w:t>
            </w:r>
          </w:p>
        </w:tc>
        <w:tc>
          <w:tcPr>
            <w:tcW w:w="949" w:type="dxa"/>
            <w:shd w:val="clear" w:color="auto" w:fill="auto"/>
            <w:noWrap/>
            <w:vAlign w:val="center"/>
            <w:hideMark/>
          </w:tcPr>
          <w:p w:rsidR="002D62B9" w:rsidRPr="001946E0" w:rsidRDefault="002D62B9" w:rsidP="001B1A50">
            <w:pPr>
              <w:spacing w:after="0"/>
              <w:ind w:firstLine="0"/>
              <w:jc w:val="left"/>
              <w:rPr>
                <w:color w:val="000000"/>
                <w:sz w:val="20"/>
                <w:szCs w:val="24"/>
                <w:lang w:eastAsia="lv-LV"/>
              </w:rPr>
            </w:pPr>
            <w:r w:rsidRPr="001946E0">
              <w:rPr>
                <w:color w:val="000000"/>
                <w:sz w:val="20"/>
                <w:szCs w:val="24"/>
                <w:lang w:eastAsia="lv-LV"/>
              </w:rPr>
              <w:t> </w:t>
            </w:r>
          </w:p>
        </w:tc>
        <w:tc>
          <w:tcPr>
            <w:tcW w:w="993" w:type="dxa"/>
            <w:shd w:val="clear" w:color="auto" w:fill="auto"/>
            <w:noWrap/>
            <w:vAlign w:val="center"/>
            <w:hideMark/>
          </w:tcPr>
          <w:p w:rsidR="002D62B9" w:rsidRPr="001946E0" w:rsidRDefault="002D62B9" w:rsidP="001B1A50">
            <w:pPr>
              <w:spacing w:after="0"/>
              <w:ind w:firstLine="0"/>
              <w:jc w:val="left"/>
              <w:rPr>
                <w:color w:val="000000"/>
                <w:sz w:val="20"/>
                <w:szCs w:val="24"/>
                <w:lang w:eastAsia="lv-LV"/>
              </w:rPr>
            </w:pPr>
            <w:r w:rsidRPr="001946E0">
              <w:rPr>
                <w:color w:val="000000"/>
                <w:sz w:val="20"/>
                <w:szCs w:val="24"/>
                <w:lang w:eastAsia="lv-LV"/>
              </w:rPr>
              <w:t> </w:t>
            </w:r>
          </w:p>
        </w:tc>
      </w:tr>
      <w:tr w:rsidR="002D62B9" w:rsidRPr="001946E0" w:rsidTr="00203D1A">
        <w:trPr>
          <w:trHeight w:val="529"/>
        </w:trPr>
        <w:tc>
          <w:tcPr>
            <w:tcW w:w="3417" w:type="dxa"/>
            <w:shd w:val="clear" w:color="auto" w:fill="auto"/>
            <w:noWrap/>
            <w:vAlign w:val="center"/>
            <w:hideMark/>
          </w:tcPr>
          <w:p w:rsidR="00F57830" w:rsidRDefault="002D62B9" w:rsidP="001B1A50">
            <w:pPr>
              <w:spacing w:after="0"/>
              <w:ind w:firstLine="0"/>
              <w:jc w:val="left"/>
              <w:rPr>
                <w:color w:val="000000"/>
                <w:sz w:val="20"/>
                <w:szCs w:val="24"/>
                <w:lang w:eastAsia="lv-LV"/>
              </w:rPr>
            </w:pPr>
            <w:r w:rsidRPr="001946E0">
              <w:rPr>
                <w:color w:val="000000"/>
                <w:sz w:val="20"/>
                <w:szCs w:val="24"/>
                <w:lang w:eastAsia="lv-LV"/>
              </w:rPr>
              <w:t xml:space="preserve">7. Neto finansiālais parāds (7=1-6) </w:t>
            </w:r>
          </w:p>
          <w:p w:rsidR="002D62B9" w:rsidRPr="001946E0" w:rsidRDefault="002D62B9" w:rsidP="001B1A50">
            <w:pPr>
              <w:spacing w:after="0"/>
              <w:ind w:firstLine="0"/>
              <w:jc w:val="left"/>
              <w:rPr>
                <w:color w:val="000000"/>
                <w:sz w:val="20"/>
                <w:szCs w:val="24"/>
                <w:lang w:eastAsia="lv-LV"/>
              </w:rPr>
            </w:pPr>
            <w:r w:rsidRPr="001946E0">
              <w:rPr>
                <w:color w:val="000000"/>
                <w:sz w:val="20"/>
                <w:szCs w:val="24"/>
                <w:lang w:eastAsia="lv-LV"/>
              </w:rPr>
              <w:t>(Net financial debt)</w:t>
            </w:r>
          </w:p>
        </w:tc>
        <w:tc>
          <w:tcPr>
            <w:tcW w:w="850" w:type="dxa"/>
            <w:shd w:val="clear" w:color="auto" w:fill="auto"/>
            <w:noWrap/>
            <w:vAlign w:val="center"/>
            <w:hideMark/>
          </w:tcPr>
          <w:p w:rsidR="002D62B9" w:rsidRPr="001946E0" w:rsidRDefault="002D62B9" w:rsidP="001B1A50">
            <w:pPr>
              <w:spacing w:after="0"/>
              <w:ind w:firstLine="0"/>
              <w:jc w:val="left"/>
              <w:rPr>
                <w:color w:val="000000"/>
                <w:sz w:val="20"/>
                <w:szCs w:val="24"/>
                <w:lang w:eastAsia="lv-LV"/>
              </w:rPr>
            </w:pPr>
            <w:r w:rsidRPr="001946E0">
              <w:rPr>
                <w:color w:val="000000"/>
                <w:sz w:val="20"/>
                <w:szCs w:val="24"/>
                <w:lang w:eastAsia="lv-LV"/>
              </w:rPr>
              <w:t> </w:t>
            </w:r>
          </w:p>
        </w:tc>
        <w:tc>
          <w:tcPr>
            <w:tcW w:w="1135" w:type="dxa"/>
            <w:shd w:val="clear" w:color="auto" w:fill="auto"/>
            <w:noWrap/>
            <w:vAlign w:val="center"/>
            <w:hideMark/>
          </w:tcPr>
          <w:p w:rsidR="002D62B9" w:rsidRPr="001946E0" w:rsidRDefault="002D62B9" w:rsidP="001B1A50">
            <w:pPr>
              <w:spacing w:after="0"/>
              <w:ind w:firstLine="0"/>
              <w:jc w:val="right"/>
              <w:rPr>
                <w:color w:val="000000"/>
                <w:sz w:val="20"/>
                <w:szCs w:val="24"/>
                <w:lang w:eastAsia="lv-LV"/>
              </w:rPr>
            </w:pPr>
            <w:r w:rsidRPr="001946E0">
              <w:rPr>
                <w:color w:val="000000"/>
                <w:sz w:val="20"/>
                <w:szCs w:val="24"/>
                <w:lang w:eastAsia="lv-LV"/>
              </w:rPr>
              <w:t>35</w:t>
            </w:r>
            <w:r w:rsidR="00C740F1">
              <w:rPr>
                <w:color w:val="000000"/>
                <w:sz w:val="20"/>
                <w:szCs w:val="24"/>
                <w:lang w:eastAsia="lv-LV"/>
              </w:rPr>
              <w:t>,</w:t>
            </w:r>
            <w:r w:rsidRPr="001946E0">
              <w:rPr>
                <w:color w:val="000000"/>
                <w:sz w:val="20"/>
                <w:szCs w:val="24"/>
                <w:lang w:eastAsia="lv-LV"/>
              </w:rPr>
              <w:t>6%</w:t>
            </w:r>
          </w:p>
        </w:tc>
        <w:tc>
          <w:tcPr>
            <w:tcW w:w="1215" w:type="dxa"/>
            <w:shd w:val="clear" w:color="auto" w:fill="auto"/>
            <w:noWrap/>
            <w:vAlign w:val="center"/>
            <w:hideMark/>
          </w:tcPr>
          <w:p w:rsidR="002D62B9" w:rsidRPr="001946E0" w:rsidRDefault="002D62B9" w:rsidP="001B1A50">
            <w:pPr>
              <w:spacing w:after="0"/>
              <w:ind w:firstLine="0"/>
              <w:jc w:val="left"/>
              <w:rPr>
                <w:color w:val="000000"/>
                <w:sz w:val="20"/>
                <w:szCs w:val="24"/>
                <w:lang w:eastAsia="lv-LV"/>
              </w:rPr>
            </w:pPr>
            <w:r w:rsidRPr="001946E0">
              <w:rPr>
                <w:color w:val="000000"/>
                <w:sz w:val="20"/>
                <w:szCs w:val="24"/>
                <w:lang w:eastAsia="lv-LV"/>
              </w:rPr>
              <w:t> </w:t>
            </w:r>
          </w:p>
        </w:tc>
        <w:tc>
          <w:tcPr>
            <w:tcW w:w="954" w:type="dxa"/>
            <w:shd w:val="clear" w:color="auto" w:fill="auto"/>
            <w:noWrap/>
            <w:vAlign w:val="center"/>
            <w:hideMark/>
          </w:tcPr>
          <w:p w:rsidR="002D62B9" w:rsidRPr="001946E0" w:rsidRDefault="002D62B9" w:rsidP="001B1A50">
            <w:pPr>
              <w:spacing w:after="0"/>
              <w:ind w:firstLine="0"/>
              <w:jc w:val="left"/>
              <w:rPr>
                <w:color w:val="000000"/>
                <w:sz w:val="20"/>
                <w:szCs w:val="24"/>
                <w:lang w:eastAsia="lv-LV"/>
              </w:rPr>
            </w:pPr>
            <w:r w:rsidRPr="001946E0">
              <w:rPr>
                <w:color w:val="000000"/>
                <w:sz w:val="20"/>
                <w:szCs w:val="24"/>
                <w:lang w:eastAsia="lv-LV"/>
              </w:rPr>
              <w:t> </w:t>
            </w:r>
          </w:p>
        </w:tc>
        <w:tc>
          <w:tcPr>
            <w:tcW w:w="949" w:type="dxa"/>
            <w:shd w:val="clear" w:color="auto" w:fill="auto"/>
            <w:noWrap/>
            <w:vAlign w:val="center"/>
            <w:hideMark/>
          </w:tcPr>
          <w:p w:rsidR="002D62B9" w:rsidRPr="001946E0" w:rsidRDefault="002D62B9" w:rsidP="001B1A50">
            <w:pPr>
              <w:spacing w:after="0"/>
              <w:ind w:firstLine="0"/>
              <w:jc w:val="left"/>
              <w:rPr>
                <w:color w:val="000000"/>
                <w:sz w:val="20"/>
                <w:szCs w:val="24"/>
                <w:lang w:eastAsia="lv-LV"/>
              </w:rPr>
            </w:pPr>
            <w:r w:rsidRPr="001946E0">
              <w:rPr>
                <w:color w:val="000000"/>
                <w:sz w:val="20"/>
                <w:szCs w:val="24"/>
                <w:lang w:eastAsia="lv-LV"/>
              </w:rPr>
              <w:t> </w:t>
            </w:r>
          </w:p>
        </w:tc>
        <w:tc>
          <w:tcPr>
            <w:tcW w:w="993" w:type="dxa"/>
            <w:shd w:val="clear" w:color="auto" w:fill="auto"/>
            <w:noWrap/>
            <w:vAlign w:val="center"/>
            <w:hideMark/>
          </w:tcPr>
          <w:p w:rsidR="002D62B9" w:rsidRPr="001946E0" w:rsidRDefault="002D62B9" w:rsidP="001B1A50">
            <w:pPr>
              <w:spacing w:after="0"/>
              <w:ind w:firstLine="0"/>
              <w:jc w:val="left"/>
              <w:rPr>
                <w:color w:val="000000"/>
                <w:sz w:val="20"/>
                <w:szCs w:val="24"/>
                <w:lang w:eastAsia="lv-LV"/>
              </w:rPr>
            </w:pPr>
            <w:r w:rsidRPr="001946E0">
              <w:rPr>
                <w:color w:val="000000"/>
                <w:sz w:val="20"/>
                <w:szCs w:val="24"/>
                <w:lang w:eastAsia="lv-LV"/>
              </w:rPr>
              <w:t> </w:t>
            </w:r>
          </w:p>
        </w:tc>
      </w:tr>
      <w:tr w:rsidR="002D62B9" w:rsidRPr="001946E0" w:rsidTr="00D01375">
        <w:trPr>
          <w:trHeight w:val="630"/>
        </w:trPr>
        <w:tc>
          <w:tcPr>
            <w:tcW w:w="3417" w:type="dxa"/>
            <w:shd w:val="clear" w:color="auto" w:fill="auto"/>
            <w:vAlign w:val="center"/>
            <w:hideMark/>
          </w:tcPr>
          <w:p w:rsidR="00F57830" w:rsidRDefault="002D62B9" w:rsidP="001B1A50">
            <w:pPr>
              <w:spacing w:after="0"/>
              <w:ind w:firstLine="0"/>
              <w:jc w:val="left"/>
              <w:rPr>
                <w:color w:val="000000"/>
                <w:sz w:val="20"/>
                <w:szCs w:val="24"/>
                <w:lang w:eastAsia="lv-LV"/>
              </w:rPr>
            </w:pPr>
            <w:r w:rsidRPr="001946E0">
              <w:rPr>
                <w:color w:val="000000"/>
                <w:sz w:val="20"/>
                <w:szCs w:val="24"/>
                <w:lang w:eastAsia="lv-LV"/>
              </w:rPr>
              <w:t xml:space="preserve">8. Parāda amortizācija </w:t>
            </w:r>
          </w:p>
          <w:p w:rsidR="002D62B9" w:rsidRPr="001946E0" w:rsidRDefault="002D62B9" w:rsidP="001B1A50">
            <w:pPr>
              <w:spacing w:after="0"/>
              <w:ind w:firstLine="0"/>
              <w:jc w:val="left"/>
              <w:rPr>
                <w:color w:val="000000"/>
                <w:sz w:val="20"/>
                <w:szCs w:val="24"/>
                <w:lang w:eastAsia="lv-LV"/>
              </w:rPr>
            </w:pPr>
            <w:r w:rsidRPr="001946E0">
              <w:rPr>
                <w:color w:val="000000"/>
                <w:sz w:val="20"/>
                <w:szCs w:val="24"/>
                <w:lang w:eastAsia="lv-LV"/>
              </w:rPr>
              <w:t>(Debt amortization (existing bonds) since the end of the previous year)</w:t>
            </w:r>
          </w:p>
        </w:tc>
        <w:tc>
          <w:tcPr>
            <w:tcW w:w="850" w:type="dxa"/>
            <w:shd w:val="clear" w:color="auto" w:fill="auto"/>
            <w:noWrap/>
            <w:vAlign w:val="center"/>
            <w:hideMark/>
          </w:tcPr>
          <w:p w:rsidR="002D62B9" w:rsidRPr="001946E0" w:rsidRDefault="002D62B9" w:rsidP="001B1A50">
            <w:pPr>
              <w:spacing w:after="0"/>
              <w:ind w:firstLine="0"/>
              <w:jc w:val="right"/>
              <w:rPr>
                <w:color w:val="000000"/>
                <w:sz w:val="20"/>
                <w:szCs w:val="24"/>
                <w:lang w:eastAsia="lv-LV"/>
              </w:rPr>
            </w:pPr>
            <w:r w:rsidRPr="001946E0">
              <w:rPr>
                <w:color w:val="000000"/>
                <w:sz w:val="20"/>
                <w:szCs w:val="24"/>
                <w:lang w:eastAsia="lv-LV"/>
              </w:rPr>
              <w:t> </w:t>
            </w:r>
          </w:p>
        </w:tc>
        <w:tc>
          <w:tcPr>
            <w:tcW w:w="1135" w:type="dxa"/>
            <w:shd w:val="clear" w:color="auto" w:fill="auto"/>
            <w:noWrap/>
            <w:vAlign w:val="center"/>
            <w:hideMark/>
          </w:tcPr>
          <w:p w:rsidR="002D62B9" w:rsidRPr="001946E0" w:rsidRDefault="002D62B9" w:rsidP="001B1A50">
            <w:pPr>
              <w:spacing w:after="0"/>
              <w:ind w:firstLine="0"/>
              <w:jc w:val="right"/>
              <w:rPr>
                <w:color w:val="000000"/>
                <w:sz w:val="20"/>
                <w:szCs w:val="24"/>
                <w:lang w:eastAsia="lv-LV"/>
              </w:rPr>
            </w:pPr>
            <w:r w:rsidRPr="001946E0">
              <w:rPr>
                <w:color w:val="000000"/>
                <w:sz w:val="20"/>
                <w:szCs w:val="24"/>
                <w:lang w:eastAsia="lv-LV"/>
              </w:rPr>
              <w:t>0</w:t>
            </w:r>
            <w:r w:rsidR="00C740F1">
              <w:rPr>
                <w:color w:val="000000"/>
                <w:sz w:val="20"/>
                <w:szCs w:val="24"/>
                <w:lang w:eastAsia="lv-LV"/>
              </w:rPr>
              <w:t>,</w:t>
            </w:r>
            <w:r w:rsidRPr="001946E0">
              <w:rPr>
                <w:color w:val="000000"/>
                <w:sz w:val="20"/>
                <w:szCs w:val="24"/>
                <w:lang w:eastAsia="lv-LV"/>
              </w:rPr>
              <w:t>9%</w:t>
            </w:r>
          </w:p>
        </w:tc>
        <w:tc>
          <w:tcPr>
            <w:tcW w:w="1215" w:type="dxa"/>
            <w:shd w:val="clear" w:color="auto" w:fill="auto"/>
            <w:noWrap/>
            <w:vAlign w:val="center"/>
            <w:hideMark/>
          </w:tcPr>
          <w:p w:rsidR="002D62B9" w:rsidRPr="001946E0" w:rsidRDefault="002D62B9" w:rsidP="001B1A50">
            <w:pPr>
              <w:spacing w:after="0"/>
              <w:ind w:firstLine="0"/>
              <w:jc w:val="right"/>
              <w:rPr>
                <w:color w:val="000000"/>
                <w:sz w:val="20"/>
                <w:szCs w:val="24"/>
                <w:lang w:eastAsia="lv-LV"/>
              </w:rPr>
            </w:pPr>
            <w:r w:rsidRPr="001946E0">
              <w:rPr>
                <w:color w:val="000000"/>
                <w:sz w:val="20"/>
                <w:szCs w:val="24"/>
                <w:lang w:eastAsia="lv-LV"/>
              </w:rPr>
              <w:t>0</w:t>
            </w:r>
            <w:r w:rsidR="00C740F1">
              <w:rPr>
                <w:color w:val="000000"/>
                <w:sz w:val="20"/>
                <w:szCs w:val="24"/>
                <w:lang w:eastAsia="lv-LV"/>
              </w:rPr>
              <w:t>,</w:t>
            </w:r>
            <w:r w:rsidRPr="001946E0">
              <w:rPr>
                <w:color w:val="000000"/>
                <w:sz w:val="20"/>
                <w:szCs w:val="24"/>
                <w:lang w:eastAsia="lv-LV"/>
              </w:rPr>
              <w:t>3%</w:t>
            </w:r>
          </w:p>
        </w:tc>
        <w:tc>
          <w:tcPr>
            <w:tcW w:w="954" w:type="dxa"/>
            <w:shd w:val="clear" w:color="auto" w:fill="auto"/>
            <w:noWrap/>
            <w:vAlign w:val="center"/>
            <w:hideMark/>
          </w:tcPr>
          <w:p w:rsidR="002D62B9" w:rsidRPr="001946E0" w:rsidRDefault="002D62B9" w:rsidP="001B1A50">
            <w:pPr>
              <w:spacing w:after="0"/>
              <w:ind w:firstLine="0"/>
              <w:jc w:val="right"/>
              <w:rPr>
                <w:color w:val="000000"/>
                <w:sz w:val="20"/>
                <w:szCs w:val="24"/>
                <w:lang w:eastAsia="lv-LV"/>
              </w:rPr>
            </w:pPr>
            <w:r w:rsidRPr="001946E0">
              <w:rPr>
                <w:color w:val="000000"/>
                <w:sz w:val="20"/>
                <w:szCs w:val="24"/>
                <w:lang w:eastAsia="lv-LV"/>
              </w:rPr>
              <w:t>0</w:t>
            </w:r>
            <w:r w:rsidR="00C740F1">
              <w:rPr>
                <w:color w:val="000000"/>
                <w:sz w:val="20"/>
                <w:szCs w:val="24"/>
                <w:lang w:eastAsia="lv-LV"/>
              </w:rPr>
              <w:t>,</w:t>
            </w:r>
            <w:r w:rsidRPr="001946E0">
              <w:rPr>
                <w:color w:val="000000"/>
                <w:sz w:val="20"/>
                <w:szCs w:val="24"/>
                <w:lang w:eastAsia="lv-LV"/>
              </w:rPr>
              <w:t>9%</w:t>
            </w:r>
          </w:p>
        </w:tc>
        <w:tc>
          <w:tcPr>
            <w:tcW w:w="949" w:type="dxa"/>
            <w:shd w:val="clear" w:color="auto" w:fill="auto"/>
            <w:noWrap/>
            <w:vAlign w:val="center"/>
            <w:hideMark/>
          </w:tcPr>
          <w:p w:rsidR="002D62B9" w:rsidRPr="001946E0" w:rsidRDefault="002D62B9" w:rsidP="001B1A50">
            <w:pPr>
              <w:spacing w:after="0"/>
              <w:ind w:firstLine="0"/>
              <w:jc w:val="right"/>
              <w:rPr>
                <w:color w:val="000000"/>
                <w:sz w:val="20"/>
                <w:szCs w:val="24"/>
                <w:lang w:eastAsia="lv-LV"/>
              </w:rPr>
            </w:pPr>
            <w:r w:rsidRPr="001946E0">
              <w:rPr>
                <w:color w:val="000000"/>
                <w:sz w:val="20"/>
                <w:szCs w:val="24"/>
                <w:lang w:eastAsia="lv-LV"/>
              </w:rPr>
              <w:t>1</w:t>
            </w:r>
            <w:r w:rsidR="00C740F1">
              <w:rPr>
                <w:color w:val="000000"/>
                <w:sz w:val="20"/>
                <w:szCs w:val="24"/>
                <w:lang w:eastAsia="lv-LV"/>
              </w:rPr>
              <w:t>,</w:t>
            </w:r>
            <w:r w:rsidRPr="001946E0">
              <w:rPr>
                <w:color w:val="000000"/>
                <w:sz w:val="20"/>
                <w:szCs w:val="24"/>
                <w:lang w:eastAsia="lv-LV"/>
              </w:rPr>
              <w:t>9%</w:t>
            </w:r>
          </w:p>
        </w:tc>
        <w:tc>
          <w:tcPr>
            <w:tcW w:w="993" w:type="dxa"/>
            <w:shd w:val="clear" w:color="auto" w:fill="auto"/>
            <w:noWrap/>
            <w:vAlign w:val="center"/>
            <w:hideMark/>
          </w:tcPr>
          <w:p w:rsidR="002D62B9" w:rsidRPr="001946E0" w:rsidRDefault="002D62B9" w:rsidP="001B1A50">
            <w:pPr>
              <w:spacing w:after="0"/>
              <w:ind w:firstLine="0"/>
              <w:jc w:val="right"/>
              <w:rPr>
                <w:color w:val="000000"/>
                <w:sz w:val="20"/>
                <w:szCs w:val="24"/>
                <w:lang w:eastAsia="lv-LV"/>
              </w:rPr>
            </w:pPr>
            <w:r w:rsidRPr="001946E0">
              <w:rPr>
                <w:color w:val="000000"/>
                <w:sz w:val="20"/>
                <w:szCs w:val="24"/>
                <w:lang w:eastAsia="lv-LV"/>
              </w:rPr>
              <w:t>0</w:t>
            </w:r>
            <w:r w:rsidR="00C740F1">
              <w:rPr>
                <w:color w:val="000000"/>
                <w:sz w:val="20"/>
                <w:szCs w:val="24"/>
                <w:lang w:eastAsia="lv-LV"/>
              </w:rPr>
              <w:t>,</w:t>
            </w:r>
            <w:r w:rsidRPr="001946E0">
              <w:rPr>
                <w:color w:val="000000"/>
                <w:sz w:val="20"/>
                <w:szCs w:val="24"/>
                <w:lang w:eastAsia="lv-LV"/>
              </w:rPr>
              <w:t>7%</w:t>
            </w:r>
          </w:p>
        </w:tc>
      </w:tr>
      <w:tr w:rsidR="002D62B9" w:rsidRPr="001946E0" w:rsidTr="00D01375">
        <w:trPr>
          <w:trHeight w:val="600"/>
        </w:trPr>
        <w:tc>
          <w:tcPr>
            <w:tcW w:w="3417" w:type="dxa"/>
            <w:shd w:val="clear" w:color="auto" w:fill="auto"/>
            <w:vAlign w:val="center"/>
            <w:hideMark/>
          </w:tcPr>
          <w:p w:rsidR="00F57830" w:rsidRDefault="002D62B9" w:rsidP="001B1A50">
            <w:pPr>
              <w:spacing w:after="0"/>
              <w:ind w:firstLine="0"/>
              <w:jc w:val="left"/>
              <w:rPr>
                <w:color w:val="000000"/>
                <w:sz w:val="20"/>
                <w:szCs w:val="24"/>
                <w:lang w:eastAsia="lv-LV"/>
              </w:rPr>
            </w:pPr>
            <w:r w:rsidRPr="001946E0">
              <w:rPr>
                <w:color w:val="000000"/>
                <w:sz w:val="20"/>
                <w:szCs w:val="24"/>
                <w:lang w:eastAsia="lv-LV"/>
              </w:rPr>
              <w:t xml:space="preserve">9. Ārvalstu valūtā denominētā parāda īpatsvars </w:t>
            </w:r>
          </w:p>
          <w:p w:rsidR="002D62B9" w:rsidRPr="001946E0" w:rsidRDefault="002D62B9" w:rsidP="001B1A50">
            <w:pPr>
              <w:spacing w:after="0"/>
              <w:ind w:firstLine="0"/>
              <w:jc w:val="left"/>
              <w:rPr>
                <w:color w:val="000000"/>
                <w:sz w:val="20"/>
                <w:szCs w:val="24"/>
                <w:lang w:eastAsia="lv-LV"/>
              </w:rPr>
            </w:pPr>
            <w:r w:rsidRPr="001946E0">
              <w:rPr>
                <w:color w:val="000000"/>
                <w:sz w:val="20"/>
                <w:szCs w:val="24"/>
                <w:lang w:eastAsia="lv-LV"/>
              </w:rPr>
              <w:t>(Percentage of debt denominated in foreign currency)</w:t>
            </w:r>
          </w:p>
        </w:tc>
        <w:tc>
          <w:tcPr>
            <w:tcW w:w="850" w:type="dxa"/>
            <w:shd w:val="clear" w:color="auto" w:fill="auto"/>
            <w:noWrap/>
            <w:vAlign w:val="center"/>
            <w:hideMark/>
          </w:tcPr>
          <w:p w:rsidR="002D62B9" w:rsidRPr="001946E0" w:rsidRDefault="002D62B9" w:rsidP="001B1A50">
            <w:pPr>
              <w:spacing w:after="0"/>
              <w:ind w:firstLine="0"/>
              <w:jc w:val="left"/>
              <w:rPr>
                <w:color w:val="000000"/>
                <w:sz w:val="20"/>
                <w:szCs w:val="24"/>
                <w:lang w:eastAsia="lv-LV"/>
              </w:rPr>
            </w:pPr>
            <w:r w:rsidRPr="001946E0">
              <w:rPr>
                <w:color w:val="000000"/>
                <w:sz w:val="20"/>
                <w:szCs w:val="24"/>
                <w:lang w:eastAsia="lv-LV"/>
              </w:rPr>
              <w:t> </w:t>
            </w:r>
          </w:p>
        </w:tc>
        <w:tc>
          <w:tcPr>
            <w:tcW w:w="1135" w:type="dxa"/>
            <w:shd w:val="clear" w:color="auto" w:fill="auto"/>
            <w:noWrap/>
            <w:vAlign w:val="center"/>
            <w:hideMark/>
          </w:tcPr>
          <w:p w:rsidR="002D62B9" w:rsidRPr="001946E0" w:rsidRDefault="002D62B9" w:rsidP="001B1A50">
            <w:pPr>
              <w:spacing w:after="0"/>
              <w:ind w:firstLine="0"/>
              <w:jc w:val="right"/>
              <w:rPr>
                <w:color w:val="000000"/>
                <w:sz w:val="20"/>
                <w:szCs w:val="24"/>
                <w:lang w:eastAsia="lv-LV"/>
              </w:rPr>
            </w:pPr>
            <w:r w:rsidRPr="001946E0">
              <w:rPr>
                <w:color w:val="000000"/>
                <w:sz w:val="20"/>
                <w:szCs w:val="24"/>
                <w:lang w:eastAsia="lv-LV"/>
              </w:rPr>
              <w:t>80</w:t>
            </w:r>
            <w:r w:rsidR="00C740F1">
              <w:rPr>
                <w:color w:val="000000"/>
                <w:sz w:val="20"/>
                <w:szCs w:val="24"/>
                <w:lang w:eastAsia="lv-LV"/>
              </w:rPr>
              <w:t>,</w:t>
            </w:r>
            <w:r w:rsidRPr="001946E0">
              <w:rPr>
                <w:color w:val="000000"/>
                <w:sz w:val="20"/>
                <w:szCs w:val="24"/>
                <w:lang w:eastAsia="lv-LV"/>
              </w:rPr>
              <w:t>4%</w:t>
            </w:r>
          </w:p>
        </w:tc>
        <w:tc>
          <w:tcPr>
            <w:tcW w:w="1215" w:type="dxa"/>
            <w:shd w:val="clear" w:color="auto" w:fill="auto"/>
            <w:noWrap/>
            <w:vAlign w:val="center"/>
            <w:hideMark/>
          </w:tcPr>
          <w:p w:rsidR="002D62B9" w:rsidRPr="001946E0" w:rsidRDefault="002D62B9" w:rsidP="001B1A50">
            <w:pPr>
              <w:spacing w:after="0"/>
              <w:ind w:firstLine="0"/>
              <w:jc w:val="right"/>
              <w:rPr>
                <w:color w:val="000000"/>
                <w:sz w:val="20"/>
                <w:szCs w:val="24"/>
                <w:lang w:eastAsia="lv-LV"/>
              </w:rPr>
            </w:pPr>
            <w:r w:rsidRPr="001946E0">
              <w:rPr>
                <w:color w:val="000000"/>
                <w:sz w:val="20"/>
                <w:szCs w:val="24"/>
                <w:lang w:eastAsia="lv-LV"/>
              </w:rPr>
              <w:t>83</w:t>
            </w:r>
            <w:r w:rsidR="00C740F1">
              <w:rPr>
                <w:color w:val="000000"/>
                <w:sz w:val="20"/>
                <w:szCs w:val="24"/>
                <w:lang w:eastAsia="lv-LV"/>
              </w:rPr>
              <w:t>,</w:t>
            </w:r>
            <w:r w:rsidRPr="001946E0">
              <w:rPr>
                <w:color w:val="000000"/>
                <w:sz w:val="20"/>
                <w:szCs w:val="24"/>
                <w:lang w:eastAsia="lv-LV"/>
              </w:rPr>
              <w:t>5%</w:t>
            </w:r>
          </w:p>
        </w:tc>
        <w:tc>
          <w:tcPr>
            <w:tcW w:w="954" w:type="dxa"/>
            <w:shd w:val="clear" w:color="auto" w:fill="auto"/>
            <w:noWrap/>
            <w:vAlign w:val="center"/>
            <w:hideMark/>
          </w:tcPr>
          <w:p w:rsidR="002D62B9" w:rsidRPr="001946E0" w:rsidRDefault="002D62B9" w:rsidP="001B1A50">
            <w:pPr>
              <w:spacing w:after="0"/>
              <w:ind w:firstLine="0"/>
              <w:jc w:val="right"/>
              <w:rPr>
                <w:color w:val="000000"/>
                <w:sz w:val="20"/>
                <w:szCs w:val="24"/>
                <w:lang w:eastAsia="lv-LV"/>
              </w:rPr>
            </w:pPr>
            <w:r w:rsidRPr="001946E0">
              <w:rPr>
                <w:color w:val="000000"/>
                <w:sz w:val="20"/>
                <w:szCs w:val="24"/>
                <w:lang w:eastAsia="lv-LV"/>
              </w:rPr>
              <w:t>87</w:t>
            </w:r>
            <w:r w:rsidR="00C740F1">
              <w:rPr>
                <w:color w:val="000000"/>
                <w:sz w:val="20"/>
                <w:szCs w:val="24"/>
                <w:lang w:eastAsia="lv-LV"/>
              </w:rPr>
              <w:t>,</w:t>
            </w:r>
            <w:r w:rsidRPr="001946E0">
              <w:rPr>
                <w:color w:val="000000"/>
                <w:sz w:val="20"/>
                <w:szCs w:val="24"/>
                <w:lang w:eastAsia="lv-LV"/>
              </w:rPr>
              <w:t>1%</w:t>
            </w:r>
          </w:p>
        </w:tc>
        <w:tc>
          <w:tcPr>
            <w:tcW w:w="949" w:type="dxa"/>
            <w:shd w:val="clear" w:color="auto" w:fill="auto"/>
            <w:noWrap/>
            <w:vAlign w:val="center"/>
            <w:hideMark/>
          </w:tcPr>
          <w:p w:rsidR="002D62B9" w:rsidRPr="001946E0" w:rsidRDefault="002D62B9" w:rsidP="001B1A50">
            <w:pPr>
              <w:spacing w:after="0"/>
              <w:ind w:firstLine="0"/>
              <w:jc w:val="right"/>
              <w:rPr>
                <w:color w:val="000000"/>
                <w:sz w:val="20"/>
                <w:szCs w:val="24"/>
                <w:lang w:eastAsia="lv-LV"/>
              </w:rPr>
            </w:pPr>
            <w:r w:rsidRPr="001946E0">
              <w:rPr>
                <w:color w:val="000000"/>
                <w:sz w:val="20"/>
                <w:szCs w:val="24"/>
                <w:lang w:eastAsia="lv-LV"/>
              </w:rPr>
              <w:t>88</w:t>
            </w:r>
            <w:r w:rsidR="00C740F1">
              <w:rPr>
                <w:color w:val="000000"/>
                <w:sz w:val="20"/>
                <w:szCs w:val="24"/>
                <w:lang w:eastAsia="lv-LV"/>
              </w:rPr>
              <w:t>,</w:t>
            </w:r>
            <w:r w:rsidRPr="001946E0">
              <w:rPr>
                <w:color w:val="000000"/>
                <w:sz w:val="20"/>
                <w:szCs w:val="24"/>
                <w:lang w:eastAsia="lv-LV"/>
              </w:rPr>
              <w:t>7%</w:t>
            </w:r>
          </w:p>
        </w:tc>
        <w:tc>
          <w:tcPr>
            <w:tcW w:w="993" w:type="dxa"/>
            <w:shd w:val="clear" w:color="auto" w:fill="auto"/>
            <w:noWrap/>
            <w:vAlign w:val="center"/>
            <w:hideMark/>
          </w:tcPr>
          <w:p w:rsidR="002D62B9" w:rsidRPr="001946E0" w:rsidRDefault="002D62B9" w:rsidP="001B1A50">
            <w:pPr>
              <w:spacing w:after="0"/>
              <w:ind w:firstLine="0"/>
              <w:jc w:val="right"/>
              <w:rPr>
                <w:color w:val="000000"/>
                <w:sz w:val="20"/>
                <w:szCs w:val="24"/>
                <w:lang w:eastAsia="lv-LV"/>
              </w:rPr>
            </w:pPr>
            <w:r w:rsidRPr="001946E0">
              <w:rPr>
                <w:color w:val="000000"/>
                <w:sz w:val="20"/>
                <w:szCs w:val="24"/>
                <w:lang w:eastAsia="lv-LV"/>
              </w:rPr>
              <w:t>85</w:t>
            </w:r>
            <w:r w:rsidR="00C740F1">
              <w:rPr>
                <w:color w:val="000000"/>
                <w:sz w:val="20"/>
                <w:szCs w:val="24"/>
                <w:lang w:eastAsia="lv-LV"/>
              </w:rPr>
              <w:t>,</w:t>
            </w:r>
            <w:r w:rsidRPr="001946E0">
              <w:rPr>
                <w:color w:val="000000"/>
                <w:sz w:val="20"/>
                <w:szCs w:val="24"/>
                <w:lang w:eastAsia="lv-LV"/>
              </w:rPr>
              <w:t>7%</w:t>
            </w:r>
          </w:p>
        </w:tc>
      </w:tr>
      <w:tr w:rsidR="002D62B9" w:rsidRPr="001946E0" w:rsidTr="00203D1A">
        <w:trPr>
          <w:trHeight w:val="333"/>
        </w:trPr>
        <w:tc>
          <w:tcPr>
            <w:tcW w:w="3417" w:type="dxa"/>
            <w:shd w:val="clear" w:color="auto" w:fill="auto"/>
            <w:noWrap/>
            <w:vAlign w:val="center"/>
            <w:hideMark/>
          </w:tcPr>
          <w:p w:rsidR="002D62B9" w:rsidRPr="001946E0" w:rsidRDefault="002D62B9" w:rsidP="00203D1A">
            <w:pPr>
              <w:spacing w:after="0"/>
              <w:ind w:firstLine="0"/>
              <w:jc w:val="left"/>
              <w:rPr>
                <w:color w:val="000000"/>
                <w:sz w:val="20"/>
                <w:szCs w:val="24"/>
                <w:lang w:eastAsia="lv-LV"/>
              </w:rPr>
            </w:pPr>
            <w:r w:rsidRPr="001946E0">
              <w:rPr>
                <w:color w:val="000000"/>
                <w:sz w:val="20"/>
                <w:szCs w:val="24"/>
                <w:lang w:eastAsia="lv-LV"/>
              </w:rPr>
              <w:t>10. Vidējā dzēšana</w:t>
            </w:r>
            <w:r w:rsidR="00203D1A">
              <w:rPr>
                <w:color w:val="000000"/>
                <w:sz w:val="20"/>
                <w:szCs w:val="24"/>
                <w:lang w:eastAsia="lv-LV"/>
              </w:rPr>
              <w:t xml:space="preserve"> </w:t>
            </w:r>
            <w:r w:rsidRPr="001946E0">
              <w:rPr>
                <w:color w:val="000000"/>
                <w:sz w:val="20"/>
                <w:szCs w:val="24"/>
                <w:lang w:eastAsia="lv-LV"/>
              </w:rPr>
              <w:t>(Average maturity)</w:t>
            </w:r>
          </w:p>
        </w:tc>
        <w:tc>
          <w:tcPr>
            <w:tcW w:w="850" w:type="dxa"/>
            <w:shd w:val="clear" w:color="auto" w:fill="auto"/>
            <w:noWrap/>
            <w:vAlign w:val="center"/>
            <w:hideMark/>
          </w:tcPr>
          <w:p w:rsidR="002D62B9" w:rsidRPr="001946E0" w:rsidRDefault="002D62B9" w:rsidP="001B1A50">
            <w:pPr>
              <w:spacing w:after="0"/>
              <w:ind w:firstLine="0"/>
              <w:jc w:val="left"/>
              <w:rPr>
                <w:color w:val="000000"/>
                <w:sz w:val="20"/>
                <w:szCs w:val="24"/>
                <w:lang w:eastAsia="lv-LV"/>
              </w:rPr>
            </w:pPr>
            <w:r w:rsidRPr="001946E0">
              <w:rPr>
                <w:color w:val="000000"/>
                <w:sz w:val="20"/>
                <w:szCs w:val="24"/>
                <w:lang w:eastAsia="lv-LV"/>
              </w:rPr>
              <w:t> </w:t>
            </w:r>
          </w:p>
        </w:tc>
        <w:tc>
          <w:tcPr>
            <w:tcW w:w="1135" w:type="dxa"/>
            <w:shd w:val="clear" w:color="auto" w:fill="auto"/>
            <w:noWrap/>
            <w:vAlign w:val="center"/>
            <w:hideMark/>
          </w:tcPr>
          <w:p w:rsidR="002D62B9" w:rsidRPr="001946E0" w:rsidRDefault="002D62B9" w:rsidP="001B1A50">
            <w:pPr>
              <w:spacing w:after="0"/>
              <w:ind w:firstLine="0"/>
              <w:jc w:val="left"/>
              <w:rPr>
                <w:color w:val="000000"/>
                <w:sz w:val="20"/>
                <w:szCs w:val="24"/>
                <w:lang w:eastAsia="lv-LV"/>
              </w:rPr>
            </w:pPr>
            <w:r w:rsidRPr="001946E0">
              <w:rPr>
                <w:color w:val="000000"/>
                <w:sz w:val="20"/>
                <w:szCs w:val="24"/>
                <w:lang w:eastAsia="lv-LV"/>
              </w:rPr>
              <w:t>5,25 years</w:t>
            </w:r>
          </w:p>
        </w:tc>
        <w:tc>
          <w:tcPr>
            <w:tcW w:w="1215" w:type="dxa"/>
            <w:shd w:val="clear" w:color="auto" w:fill="auto"/>
            <w:noWrap/>
            <w:vAlign w:val="center"/>
            <w:hideMark/>
          </w:tcPr>
          <w:p w:rsidR="002D62B9" w:rsidRPr="001946E0" w:rsidRDefault="002D62B9" w:rsidP="001B1A50">
            <w:pPr>
              <w:spacing w:after="0"/>
              <w:ind w:firstLine="0"/>
              <w:jc w:val="left"/>
              <w:rPr>
                <w:color w:val="000000"/>
                <w:sz w:val="20"/>
                <w:szCs w:val="24"/>
                <w:lang w:eastAsia="lv-LV"/>
              </w:rPr>
            </w:pPr>
            <w:r w:rsidRPr="001946E0">
              <w:rPr>
                <w:color w:val="000000"/>
                <w:sz w:val="20"/>
                <w:szCs w:val="24"/>
                <w:lang w:eastAsia="lv-LV"/>
              </w:rPr>
              <w:t>4,80 years</w:t>
            </w:r>
          </w:p>
        </w:tc>
        <w:tc>
          <w:tcPr>
            <w:tcW w:w="954" w:type="dxa"/>
            <w:shd w:val="clear" w:color="auto" w:fill="auto"/>
            <w:noWrap/>
            <w:vAlign w:val="center"/>
            <w:hideMark/>
          </w:tcPr>
          <w:p w:rsidR="002D62B9" w:rsidRPr="001946E0" w:rsidRDefault="002D62B9" w:rsidP="001B1A50">
            <w:pPr>
              <w:spacing w:after="0"/>
              <w:ind w:firstLine="0"/>
              <w:jc w:val="center"/>
              <w:rPr>
                <w:color w:val="000000"/>
                <w:sz w:val="20"/>
                <w:szCs w:val="24"/>
                <w:lang w:eastAsia="lv-LV"/>
              </w:rPr>
            </w:pPr>
            <w:r w:rsidRPr="001946E0">
              <w:rPr>
                <w:color w:val="000000"/>
                <w:sz w:val="20"/>
                <w:szCs w:val="24"/>
                <w:lang w:eastAsia="lv-LV"/>
              </w:rPr>
              <w:t>-</w:t>
            </w:r>
          </w:p>
        </w:tc>
        <w:tc>
          <w:tcPr>
            <w:tcW w:w="949" w:type="dxa"/>
            <w:shd w:val="clear" w:color="auto" w:fill="auto"/>
            <w:noWrap/>
            <w:vAlign w:val="center"/>
            <w:hideMark/>
          </w:tcPr>
          <w:p w:rsidR="002D62B9" w:rsidRPr="001946E0" w:rsidRDefault="002D62B9" w:rsidP="001B1A50">
            <w:pPr>
              <w:spacing w:after="0"/>
              <w:ind w:firstLine="0"/>
              <w:jc w:val="center"/>
              <w:rPr>
                <w:color w:val="000000"/>
                <w:sz w:val="20"/>
                <w:szCs w:val="24"/>
                <w:lang w:eastAsia="lv-LV"/>
              </w:rPr>
            </w:pPr>
            <w:r w:rsidRPr="001946E0">
              <w:rPr>
                <w:color w:val="000000"/>
                <w:sz w:val="20"/>
                <w:szCs w:val="24"/>
                <w:lang w:eastAsia="lv-LV"/>
              </w:rPr>
              <w:t>-</w:t>
            </w:r>
          </w:p>
        </w:tc>
        <w:tc>
          <w:tcPr>
            <w:tcW w:w="993" w:type="dxa"/>
            <w:shd w:val="clear" w:color="auto" w:fill="auto"/>
            <w:noWrap/>
            <w:vAlign w:val="center"/>
            <w:hideMark/>
          </w:tcPr>
          <w:p w:rsidR="002D62B9" w:rsidRPr="001946E0" w:rsidRDefault="002D62B9" w:rsidP="001B1A50">
            <w:pPr>
              <w:spacing w:after="0"/>
              <w:ind w:firstLine="0"/>
              <w:jc w:val="center"/>
              <w:rPr>
                <w:color w:val="000000"/>
                <w:sz w:val="20"/>
                <w:szCs w:val="24"/>
                <w:lang w:eastAsia="lv-LV"/>
              </w:rPr>
            </w:pPr>
            <w:r w:rsidRPr="001946E0">
              <w:rPr>
                <w:color w:val="000000"/>
                <w:sz w:val="20"/>
                <w:szCs w:val="24"/>
                <w:lang w:eastAsia="lv-LV"/>
              </w:rPr>
              <w:t>-</w:t>
            </w:r>
          </w:p>
        </w:tc>
      </w:tr>
      <w:tr w:rsidR="002D62B9" w:rsidRPr="001946E0" w:rsidTr="00203D1A">
        <w:trPr>
          <w:trHeight w:val="373"/>
        </w:trPr>
        <w:tc>
          <w:tcPr>
            <w:tcW w:w="3417" w:type="dxa"/>
            <w:shd w:val="clear" w:color="auto" w:fill="auto"/>
            <w:noWrap/>
            <w:vAlign w:val="center"/>
            <w:hideMark/>
          </w:tcPr>
          <w:p w:rsidR="002D62B9" w:rsidRPr="001946E0" w:rsidRDefault="00203D1A" w:rsidP="001B1A50">
            <w:pPr>
              <w:spacing w:after="0"/>
              <w:ind w:firstLine="0"/>
              <w:jc w:val="left"/>
              <w:rPr>
                <w:color w:val="000000"/>
                <w:sz w:val="20"/>
                <w:szCs w:val="24"/>
                <w:lang w:eastAsia="lv-LV"/>
              </w:rPr>
            </w:pPr>
            <w:r w:rsidRPr="001946E0">
              <w:rPr>
                <w:b/>
                <w:bCs/>
                <w:i/>
                <w:iCs/>
                <w:color w:val="000000"/>
                <w:sz w:val="20"/>
                <w:szCs w:val="24"/>
                <w:lang w:eastAsia="lv-LV"/>
              </w:rPr>
              <w:t>Informācijai - aprēķinos izmantotie IKP dati:</w:t>
            </w:r>
            <w:r>
              <w:rPr>
                <w:b/>
                <w:bCs/>
                <w:i/>
                <w:iCs/>
                <w:color w:val="000000"/>
                <w:sz w:val="20"/>
                <w:szCs w:val="24"/>
                <w:lang w:eastAsia="lv-LV"/>
              </w:rPr>
              <w:t xml:space="preserve">  </w:t>
            </w:r>
            <w:r w:rsidR="002D62B9" w:rsidRPr="001946E0">
              <w:rPr>
                <w:color w:val="000000"/>
                <w:sz w:val="20"/>
                <w:szCs w:val="24"/>
                <w:lang w:eastAsia="lv-LV"/>
              </w:rPr>
              <w:t>IKP faktiskajās cenās, milj.latu</w:t>
            </w:r>
          </w:p>
        </w:tc>
        <w:tc>
          <w:tcPr>
            <w:tcW w:w="850" w:type="dxa"/>
            <w:shd w:val="clear" w:color="auto" w:fill="auto"/>
            <w:noWrap/>
            <w:vAlign w:val="center"/>
            <w:hideMark/>
          </w:tcPr>
          <w:p w:rsidR="002D62B9" w:rsidRPr="001946E0" w:rsidRDefault="002D62B9" w:rsidP="001B1A50">
            <w:pPr>
              <w:spacing w:after="0"/>
              <w:ind w:firstLine="0"/>
              <w:jc w:val="left"/>
              <w:rPr>
                <w:color w:val="000000"/>
                <w:sz w:val="20"/>
                <w:szCs w:val="24"/>
                <w:lang w:eastAsia="lv-LV"/>
              </w:rPr>
            </w:pPr>
            <w:r w:rsidRPr="001946E0">
              <w:rPr>
                <w:color w:val="000000"/>
                <w:sz w:val="20"/>
                <w:szCs w:val="24"/>
                <w:lang w:eastAsia="lv-LV"/>
              </w:rPr>
              <w:t> </w:t>
            </w:r>
          </w:p>
        </w:tc>
        <w:tc>
          <w:tcPr>
            <w:tcW w:w="1135" w:type="dxa"/>
            <w:shd w:val="clear" w:color="auto" w:fill="auto"/>
            <w:noWrap/>
            <w:vAlign w:val="center"/>
            <w:hideMark/>
          </w:tcPr>
          <w:p w:rsidR="002D62B9" w:rsidRPr="001946E0" w:rsidRDefault="002D62B9" w:rsidP="001B1A50">
            <w:pPr>
              <w:spacing w:after="0"/>
              <w:ind w:firstLine="0"/>
              <w:jc w:val="right"/>
              <w:rPr>
                <w:color w:val="000000"/>
                <w:sz w:val="20"/>
                <w:szCs w:val="24"/>
                <w:lang w:eastAsia="lv-LV"/>
              </w:rPr>
            </w:pPr>
            <w:r w:rsidRPr="001946E0">
              <w:rPr>
                <w:color w:val="000000"/>
                <w:sz w:val="20"/>
                <w:szCs w:val="24"/>
                <w:lang w:eastAsia="lv-LV"/>
              </w:rPr>
              <w:t>14 161</w:t>
            </w:r>
            <w:r w:rsidR="00C740F1">
              <w:rPr>
                <w:color w:val="000000"/>
                <w:sz w:val="20"/>
                <w:szCs w:val="24"/>
                <w:lang w:eastAsia="lv-LV"/>
              </w:rPr>
              <w:t>,</w:t>
            </w:r>
            <w:r w:rsidRPr="001946E0">
              <w:rPr>
                <w:color w:val="000000"/>
                <w:sz w:val="20"/>
                <w:szCs w:val="24"/>
                <w:lang w:eastAsia="lv-LV"/>
              </w:rPr>
              <w:t>0</w:t>
            </w:r>
          </w:p>
        </w:tc>
        <w:tc>
          <w:tcPr>
            <w:tcW w:w="1215" w:type="dxa"/>
            <w:shd w:val="clear" w:color="auto" w:fill="auto"/>
            <w:noWrap/>
            <w:vAlign w:val="center"/>
            <w:hideMark/>
          </w:tcPr>
          <w:p w:rsidR="002D62B9" w:rsidRPr="001946E0" w:rsidRDefault="002D62B9" w:rsidP="001B1A50">
            <w:pPr>
              <w:spacing w:after="0"/>
              <w:ind w:firstLine="0"/>
              <w:jc w:val="right"/>
              <w:rPr>
                <w:color w:val="000000"/>
                <w:sz w:val="20"/>
                <w:szCs w:val="24"/>
                <w:lang w:eastAsia="lv-LV"/>
              </w:rPr>
            </w:pPr>
            <w:r w:rsidRPr="001946E0">
              <w:rPr>
                <w:color w:val="000000"/>
                <w:sz w:val="20"/>
                <w:szCs w:val="24"/>
                <w:lang w:eastAsia="lv-LV"/>
              </w:rPr>
              <w:t>14 690</w:t>
            </w:r>
            <w:r w:rsidR="00C740F1">
              <w:rPr>
                <w:color w:val="000000"/>
                <w:sz w:val="20"/>
                <w:szCs w:val="24"/>
                <w:lang w:eastAsia="lv-LV"/>
              </w:rPr>
              <w:t>,</w:t>
            </w:r>
            <w:r w:rsidRPr="001946E0">
              <w:rPr>
                <w:color w:val="000000"/>
                <w:sz w:val="20"/>
                <w:szCs w:val="24"/>
                <w:lang w:eastAsia="lv-LV"/>
              </w:rPr>
              <w:t>0</w:t>
            </w:r>
          </w:p>
        </w:tc>
        <w:tc>
          <w:tcPr>
            <w:tcW w:w="954" w:type="dxa"/>
            <w:shd w:val="clear" w:color="auto" w:fill="auto"/>
            <w:noWrap/>
            <w:vAlign w:val="center"/>
            <w:hideMark/>
          </w:tcPr>
          <w:p w:rsidR="002D62B9" w:rsidRPr="001946E0" w:rsidRDefault="002D62B9" w:rsidP="001B1A50">
            <w:pPr>
              <w:spacing w:after="0"/>
              <w:ind w:firstLine="0"/>
              <w:jc w:val="right"/>
              <w:rPr>
                <w:color w:val="000000"/>
                <w:sz w:val="20"/>
                <w:szCs w:val="24"/>
                <w:lang w:eastAsia="lv-LV"/>
              </w:rPr>
            </w:pPr>
            <w:r w:rsidRPr="001946E0">
              <w:rPr>
                <w:color w:val="000000"/>
                <w:sz w:val="20"/>
                <w:szCs w:val="24"/>
                <w:lang w:eastAsia="lv-LV"/>
              </w:rPr>
              <w:t>15 537</w:t>
            </w:r>
            <w:r w:rsidR="00C740F1">
              <w:rPr>
                <w:color w:val="000000"/>
                <w:sz w:val="20"/>
                <w:szCs w:val="24"/>
                <w:lang w:eastAsia="lv-LV"/>
              </w:rPr>
              <w:t>,</w:t>
            </w:r>
            <w:r w:rsidRPr="001946E0">
              <w:rPr>
                <w:color w:val="000000"/>
                <w:sz w:val="20"/>
                <w:szCs w:val="24"/>
                <w:lang w:eastAsia="lv-LV"/>
              </w:rPr>
              <w:t>3</w:t>
            </w:r>
          </w:p>
        </w:tc>
        <w:tc>
          <w:tcPr>
            <w:tcW w:w="949" w:type="dxa"/>
            <w:shd w:val="clear" w:color="auto" w:fill="auto"/>
            <w:noWrap/>
            <w:vAlign w:val="center"/>
            <w:hideMark/>
          </w:tcPr>
          <w:p w:rsidR="002D62B9" w:rsidRPr="001946E0" w:rsidRDefault="002D62B9" w:rsidP="00F57830">
            <w:pPr>
              <w:spacing w:after="0"/>
              <w:ind w:firstLine="0"/>
              <w:rPr>
                <w:color w:val="000000"/>
                <w:sz w:val="20"/>
                <w:szCs w:val="24"/>
                <w:lang w:eastAsia="lv-LV"/>
              </w:rPr>
            </w:pPr>
            <w:r w:rsidRPr="001946E0">
              <w:rPr>
                <w:color w:val="000000"/>
                <w:sz w:val="20"/>
                <w:szCs w:val="24"/>
                <w:lang w:eastAsia="lv-LV"/>
              </w:rPr>
              <w:t>16 476</w:t>
            </w:r>
            <w:r w:rsidR="00C740F1">
              <w:rPr>
                <w:color w:val="000000"/>
                <w:sz w:val="20"/>
                <w:szCs w:val="24"/>
                <w:lang w:eastAsia="lv-LV"/>
              </w:rPr>
              <w:t>,</w:t>
            </w:r>
            <w:r w:rsidRPr="001946E0">
              <w:rPr>
                <w:color w:val="000000"/>
                <w:sz w:val="20"/>
                <w:szCs w:val="24"/>
                <w:lang w:eastAsia="lv-LV"/>
              </w:rPr>
              <w:t>6</w:t>
            </w:r>
          </w:p>
        </w:tc>
        <w:tc>
          <w:tcPr>
            <w:tcW w:w="993" w:type="dxa"/>
            <w:shd w:val="clear" w:color="auto" w:fill="auto"/>
            <w:noWrap/>
            <w:vAlign w:val="center"/>
            <w:hideMark/>
          </w:tcPr>
          <w:p w:rsidR="002D62B9" w:rsidRPr="001946E0" w:rsidRDefault="002D62B9" w:rsidP="001B1A50">
            <w:pPr>
              <w:spacing w:after="0"/>
              <w:ind w:firstLine="0"/>
              <w:jc w:val="right"/>
              <w:rPr>
                <w:color w:val="000000"/>
                <w:sz w:val="20"/>
                <w:szCs w:val="24"/>
                <w:lang w:eastAsia="lv-LV"/>
              </w:rPr>
            </w:pPr>
            <w:r w:rsidRPr="001946E0">
              <w:rPr>
                <w:color w:val="000000"/>
                <w:sz w:val="20"/>
                <w:szCs w:val="24"/>
                <w:lang w:eastAsia="lv-LV"/>
              </w:rPr>
              <w:t>17 478</w:t>
            </w:r>
            <w:r w:rsidR="00C740F1">
              <w:rPr>
                <w:color w:val="000000"/>
                <w:sz w:val="20"/>
                <w:szCs w:val="24"/>
                <w:lang w:eastAsia="lv-LV"/>
              </w:rPr>
              <w:t>,</w:t>
            </w:r>
            <w:r w:rsidRPr="001946E0">
              <w:rPr>
                <w:color w:val="000000"/>
                <w:sz w:val="20"/>
                <w:szCs w:val="24"/>
                <w:lang w:eastAsia="lv-LV"/>
              </w:rPr>
              <w:t>4</w:t>
            </w:r>
          </w:p>
        </w:tc>
      </w:tr>
      <w:tr w:rsidR="00203D1A" w:rsidRPr="001946E0" w:rsidTr="00203D1A">
        <w:trPr>
          <w:trHeight w:val="155"/>
        </w:trPr>
        <w:tc>
          <w:tcPr>
            <w:tcW w:w="9513" w:type="dxa"/>
            <w:gridSpan w:val="7"/>
            <w:shd w:val="clear" w:color="auto" w:fill="auto"/>
            <w:noWrap/>
            <w:vAlign w:val="center"/>
            <w:hideMark/>
          </w:tcPr>
          <w:p w:rsidR="00203D1A" w:rsidRPr="00203D1A" w:rsidRDefault="00203D1A" w:rsidP="001B1A50">
            <w:pPr>
              <w:spacing w:after="0"/>
              <w:ind w:firstLine="0"/>
              <w:jc w:val="right"/>
              <w:rPr>
                <w:color w:val="000000"/>
                <w:sz w:val="12"/>
                <w:szCs w:val="24"/>
                <w:lang w:eastAsia="lv-LV"/>
              </w:rPr>
            </w:pPr>
          </w:p>
        </w:tc>
      </w:tr>
      <w:tr w:rsidR="002D62B9" w:rsidRPr="001946E0" w:rsidTr="00D01375">
        <w:trPr>
          <w:trHeight w:val="390"/>
        </w:trPr>
        <w:tc>
          <w:tcPr>
            <w:tcW w:w="9513" w:type="dxa"/>
            <w:gridSpan w:val="7"/>
            <w:shd w:val="clear" w:color="auto" w:fill="auto"/>
            <w:noWrap/>
            <w:vAlign w:val="center"/>
            <w:hideMark/>
          </w:tcPr>
          <w:p w:rsidR="002D62B9" w:rsidRPr="001946E0" w:rsidRDefault="002D62B9" w:rsidP="001B1A50">
            <w:pPr>
              <w:spacing w:after="0"/>
              <w:ind w:firstLine="0"/>
              <w:jc w:val="left"/>
              <w:rPr>
                <w:color w:val="000000"/>
                <w:sz w:val="20"/>
                <w:szCs w:val="24"/>
                <w:lang w:eastAsia="lv-LV"/>
              </w:rPr>
            </w:pPr>
            <w:r w:rsidRPr="001946E0">
              <w:rPr>
                <w:color w:val="000000"/>
                <w:sz w:val="20"/>
                <w:lang w:eastAsia="lv-LV"/>
              </w:rPr>
              <w:t>Saskaņā ar valsts budžeta deficīta un parāda 2012.gada aprīļa notifikācijas 3.A tabulas datiem:</w:t>
            </w:r>
          </w:p>
        </w:tc>
      </w:tr>
      <w:tr w:rsidR="002D62B9" w:rsidRPr="001946E0" w:rsidTr="00D01375">
        <w:trPr>
          <w:trHeight w:val="315"/>
        </w:trPr>
        <w:tc>
          <w:tcPr>
            <w:tcW w:w="9513" w:type="dxa"/>
            <w:gridSpan w:val="7"/>
            <w:shd w:val="clear" w:color="auto" w:fill="auto"/>
            <w:noWrap/>
            <w:vAlign w:val="center"/>
            <w:hideMark/>
          </w:tcPr>
          <w:p w:rsidR="002D62B9" w:rsidRPr="001946E0" w:rsidRDefault="002D62B9" w:rsidP="001B1A50">
            <w:pPr>
              <w:spacing w:after="0"/>
              <w:ind w:firstLine="0"/>
              <w:jc w:val="left"/>
              <w:rPr>
                <w:color w:val="000000"/>
                <w:sz w:val="20"/>
                <w:lang w:eastAsia="lv-LV"/>
              </w:rPr>
            </w:pPr>
            <w:r w:rsidRPr="001946E0">
              <w:rPr>
                <w:color w:val="000000"/>
                <w:sz w:val="20"/>
                <w:lang w:eastAsia="lv-LV"/>
              </w:rPr>
              <w:t>* rindā "Uzkrāto procentu (-) un samaksāto (+) procentu (EDP D.41) starpība" ("Difference between interest (EDP D.41) accrued (-) and paid (+)"),</w:t>
            </w:r>
          </w:p>
        </w:tc>
      </w:tr>
      <w:tr w:rsidR="002D62B9" w:rsidRPr="001946E0" w:rsidTr="00D01375">
        <w:trPr>
          <w:trHeight w:val="315"/>
        </w:trPr>
        <w:tc>
          <w:tcPr>
            <w:tcW w:w="9513" w:type="dxa"/>
            <w:gridSpan w:val="7"/>
            <w:shd w:val="clear" w:color="auto" w:fill="auto"/>
            <w:noWrap/>
            <w:vAlign w:val="center"/>
            <w:hideMark/>
          </w:tcPr>
          <w:p w:rsidR="002D62B9" w:rsidRPr="001946E0" w:rsidRDefault="002D62B9" w:rsidP="001B1A50">
            <w:pPr>
              <w:spacing w:after="0"/>
              <w:ind w:firstLine="0"/>
              <w:jc w:val="left"/>
              <w:rPr>
                <w:rFonts w:ascii="Arial" w:hAnsi="Arial" w:cs="Arial"/>
                <w:color w:val="000000"/>
                <w:sz w:val="20"/>
                <w:lang w:eastAsia="lv-LV"/>
              </w:rPr>
            </w:pPr>
            <w:r w:rsidRPr="001946E0">
              <w:rPr>
                <w:color w:val="000000"/>
                <w:sz w:val="20"/>
                <w:lang w:eastAsia="lv-LV"/>
              </w:rPr>
              <w:t>** rindā "Finanšu aktīvu tīrā iegāde" ("Net acquisition of financial assets"),</w:t>
            </w:r>
          </w:p>
        </w:tc>
      </w:tr>
      <w:tr w:rsidR="002D62B9" w:rsidRPr="001946E0" w:rsidTr="00D01375">
        <w:trPr>
          <w:trHeight w:val="540"/>
        </w:trPr>
        <w:tc>
          <w:tcPr>
            <w:tcW w:w="9513" w:type="dxa"/>
            <w:gridSpan w:val="7"/>
            <w:shd w:val="clear" w:color="auto" w:fill="auto"/>
            <w:vAlign w:val="center"/>
            <w:hideMark/>
          </w:tcPr>
          <w:p w:rsidR="002D62B9" w:rsidRPr="001946E0" w:rsidRDefault="002D62B9" w:rsidP="001B1A50">
            <w:pPr>
              <w:spacing w:after="0"/>
              <w:ind w:firstLine="0"/>
              <w:jc w:val="left"/>
              <w:rPr>
                <w:color w:val="000000"/>
                <w:sz w:val="20"/>
                <w:lang w:eastAsia="lv-LV"/>
              </w:rPr>
            </w:pPr>
            <w:r w:rsidRPr="001946E0">
              <w:rPr>
                <w:color w:val="000000"/>
                <w:sz w:val="20"/>
                <w:lang w:eastAsia="lv-LV"/>
              </w:rPr>
              <w:t>*** rindā "Korekcijas" ("Adjustments"), izņemot rindas "Uzkrāto procentu (-) un samaksāto (+) procentu (EDP D.41) starpība" ("Difference between interest (EDP D.41) accrued (-) and paid (+)") datus, un rindā "Statistikas neatbilstības" "Statistical discrepancies").</w:t>
            </w:r>
          </w:p>
        </w:tc>
      </w:tr>
    </w:tbl>
    <w:p w:rsidR="002D62B9" w:rsidRPr="001946E0" w:rsidRDefault="002D62B9" w:rsidP="002D62B9">
      <w:pPr>
        <w:spacing w:after="0"/>
        <w:ind w:firstLine="0"/>
        <w:rPr>
          <w:b/>
          <w:color w:val="000000"/>
          <w:szCs w:val="24"/>
        </w:rPr>
      </w:pPr>
    </w:p>
    <w:p w:rsidR="002D62B9" w:rsidRPr="001946E0" w:rsidRDefault="00203D1A" w:rsidP="002D62B9">
      <w:pPr>
        <w:pStyle w:val="T"/>
        <w:ind w:left="0"/>
        <w:rPr>
          <w:rFonts w:ascii="Times New Roman" w:hAnsi="Times New Roman"/>
          <w:color w:val="000000"/>
          <w:szCs w:val="24"/>
        </w:rPr>
      </w:pPr>
      <w:r>
        <w:rPr>
          <w:rFonts w:ascii="Times New Roman" w:hAnsi="Times New Roman"/>
          <w:color w:val="000000"/>
          <w:szCs w:val="24"/>
        </w:rPr>
        <w:br w:type="page"/>
      </w:r>
      <w:r w:rsidR="002D62B9" w:rsidRPr="001946E0">
        <w:rPr>
          <w:rFonts w:ascii="Times New Roman" w:hAnsi="Times New Roman"/>
          <w:color w:val="000000"/>
          <w:szCs w:val="24"/>
        </w:rPr>
        <w:t>5. tabula. Cikliskā attīstība</w:t>
      </w:r>
    </w:p>
    <w:tbl>
      <w:tblPr>
        <w:tblpPr w:leftFromText="180" w:rightFromText="180" w:vertAnchor="text" w:horzAnchor="margin" w:tblpXSpec="center" w:tblpY="90"/>
        <w:tblW w:w="8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5"/>
        <w:gridCol w:w="768"/>
        <w:gridCol w:w="710"/>
        <w:gridCol w:w="710"/>
        <w:gridCol w:w="710"/>
        <w:gridCol w:w="710"/>
        <w:gridCol w:w="710"/>
      </w:tblGrid>
      <w:tr w:rsidR="002D62B9" w:rsidRPr="001946E0" w:rsidTr="00D01375">
        <w:trPr>
          <w:trHeight w:val="541"/>
        </w:trPr>
        <w:tc>
          <w:tcPr>
            <w:tcW w:w="3845" w:type="dxa"/>
            <w:shd w:val="clear" w:color="auto" w:fill="auto"/>
            <w:noWrap/>
            <w:vAlign w:val="center"/>
            <w:hideMark/>
          </w:tcPr>
          <w:p w:rsidR="002D62B9" w:rsidRPr="001946E0" w:rsidRDefault="002D62B9" w:rsidP="001B1A50">
            <w:pPr>
              <w:spacing w:after="0"/>
              <w:ind w:firstLine="0"/>
              <w:rPr>
                <w:color w:val="000000"/>
                <w:sz w:val="20"/>
                <w:lang w:eastAsia="lv-LV"/>
              </w:rPr>
            </w:pPr>
            <w:r w:rsidRPr="001946E0">
              <w:rPr>
                <w:color w:val="000000"/>
                <w:sz w:val="20"/>
                <w:lang w:eastAsia="lv-LV"/>
              </w:rPr>
              <w:t>% no IKP</w:t>
            </w:r>
          </w:p>
        </w:tc>
        <w:tc>
          <w:tcPr>
            <w:tcW w:w="768" w:type="dxa"/>
            <w:shd w:val="clear" w:color="auto" w:fill="auto"/>
            <w:vAlign w:val="bottom"/>
            <w:hideMark/>
          </w:tcPr>
          <w:p w:rsidR="002D62B9" w:rsidRPr="001946E0" w:rsidRDefault="002D62B9" w:rsidP="001B1A50">
            <w:pPr>
              <w:spacing w:after="0"/>
              <w:ind w:firstLine="0"/>
              <w:jc w:val="center"/>
              <w:rPr>
                <w:color w:val="000000"/>
                <w:sz w:val="20"/>
                <w:lang w:eastAsia="lv-LV"/>
              </w:rPr>
            </w:pPr>
            <w:r w:rsidRPr="001946E0">
              <w:rPr>
                <w:color w:val="000000"/>
                <w:sz w:val="20"/>
                <w:lang w:eastAsia="lv-LV"/>
              </w:rPr>
              <w:t>EKS Kods</w:t>
            </w:r>
          </w:p>
        </w:tc>
        <w:tc>
          <w:tcPr>
            <w:tcW w:w="710" w:type="dxa"/>
            <w:shd w:val="clear" w:color="auto" w:fill="auto"/>
            <w:noWrap/>
            <w:vAlign w:val="center"/>
            <w:hideMark/>
          </w:tcPr>
          <w:p w:rsidR="002D62B9" w:rsidRPr="001946E0" w:rsidRDefault="002D62B9" w:rsidP="001B1A50">
            <w:pPr>
              <w:spacing w:after="0"/>
              <w:ind w:firstLine="0"/>
              <w:jc w:val="center"/>
              <w:rPr>
                <w:color w:val="000000"/>
                <w:sz w:val="20"/>
                <w:lang w:eastAsia="lv-LV"/>
              </w:rPr>
            </w:pPr>
            <w:r w:rsidRPr="001946E0">
              <w:rPr>
                <w:color w:val="000000"/>
                <w:sz w:val="20"/>
                <w:lang w:eastAsia="lv-LV"/>
              </w:rPr>
              <w:t>2011</w:t>
            </w:r>
          </w:p>
        </w:tc>
        <w:tc>
          <w:tcPr>
            <w:tcW w:w="710" w:type="dxa"/>
            <w:shd w:val="clear" w:color="auto" w:fill="auto"/>
            <w:noWrap/>
            <w:vAlign w:val="center"/>
            <w:hideMark/>
          </w:tcPr>
          <w:p w:rsidR="002D62B9" w:rsidRPr="001946E0" w:rsidRDefault="002D62B9" w:rsidP="001B1A50">
            <w:pPr>
              <w:spacing w:after="0"/>
              <w:ind w:firstLine="0"/>
              <w:jc w:val="center"/>
              <w:rPr>
                <w:color w:val="000000"/>
                <w:sz w:val="20"/>
                <w:lang w:eastAsia="lv-LV"/>
              </w:rPr>
            </w:pPr>
            <w:r w:rsidRPr="001946E0">
              <w:rPr>
                <w:color w:val="000000"/>
                <w:sz w:val="20"/>
                <w:lang w:eastAsia="lv-LV"/>
              </w:rPr>
              <w:t>2012</w:t>
            </w:r>
          </w:p>
        </w:tc>
        <w:tc>
          <w:tcPr>
            <w:tcW w:w="710" w:type="dxa"/>
            <w:shd w:val="clear" w:color="auto" w:fill="auto"/>
            <w:noWrap/>
            <w:vAlign w:val="center"/>
            <w:hideMark/>
          </w:tcPr>
          <w:p w:rsidR="002D62B9" w:rsidRPr="001946E0" w:rsidRDefault="002D62B9" w:rsidP="001B1A50">
            <w:pPr>
              <w:spacing w:after="0"/>
              <w:ind w:firstLine="0"/>
              <w:jc w:val="center"/>
              <w:rPr>
                <w:color w:val="000000"/>
                <w:sz w:val="20"/>
                <w:lang w:eastAsia="lv-LV"/>
              </w:rPr>
            </w:pPr>
            <w:r w:rsidRPr="001946E0">
              <w:rPr>
                <w:color w:val="000000"/>
                <w:sz w:val="20"/>
                <w:lang w:eastAsia="lv-LV"/>
              </w:rPr>
              <w:t>2013</w:t>
            </w:r>
          </w:p>
        </w:tc>
        <w:tc>
          <w:tcPr>
            <w:tcW w:w="710" w:type="dxa"/>
            <w:shd w:val="clear" w:color="auto" w:fill="auto"/>
            <w:noWrap/>
            <w:vAlign w:val="center"/>
            <w:hideMark/>
          </w:tcPr>
          <w:p w:rsidR="002D62B9" w:rsidRPr="001946E0" w:rsidRDefault="002D62B9" w:rsidP="001B1A50">
            <w:pPr>
              <w:spacing w:after="0"/>
              <w:ind w:firstLine="0"/>
              <w:jc w:val="center"/>
              <w:rPr>
                <w:color w:val="000000"/>
                <w:sz w:val="20"/>
                <w:lang w:eastAsia="lv-LV"/>
              </w:rPr>
            </w:pPr>
            <w:r w:rsidRPr="001946E0">
              <w:rPr>
                <w:color w:val="000000"/>
                <w:sz w:val="20"/>
                <w:lang w:eastAsia="lv-LV"/>
              </w:rPr>
              <w:t>2014</w:t>
            </w:r>
          </w:p>
        </w:tc>
        <w:tc>
          <w:tcPr>
            <w:tcW w:w="710" w:type="dxa"/>
            <w:shd w:val="clear" w:color="auto" w:fill="auto"/>
            <w:noWrap/>
            <w:vAlign w:val="center"/>
            <w:hideMark/>
          </w:tcPr>
          <w:p w:rsidR="002D62B9" w:rsidRPr="001946E0" w:rsidRDefault="002D62B9" w:rsidP="001B1A50">
            <w:pPr>
              <w:spacing w:after="0"/>
              <w:ind w:firstLine="0"/>
              <w:jc w:val="center"/>
              <w:rPr>
                <w:color w:val="000000"/>
                <w:sz w:val="20"/>
                <w:lang w:eastAsia="lv-LV"/>
              </w:rPr>
            </w:pPr>
            <w:r w:rsidRPr="001946E0">
              <w:rPr>
                <w:color w:val="000000"/>
                <w:sz w:val="20"/>
                <w:lang w:eastAsia="lv-LV"/>
              </w:rPr>
              <w:t>2015</w:t>
            </w:r>
          </w:p>
        </w:tc>
      </w:tr>
      <w:tr w:rsidR="002D62B9" w:rsidRPr="001946E0" w:rsidTr="00D01375">
        <w:trPr>
          <w:trHeight w:val="270"/>
        </w:trPr>
        <w:tc>
          <w:tcPr>
            <w:tcW w:w="3845" w:type="dxa"/>
            <w:shd w:val="clear" w:color="auto" w:fill="auto"/>
            <w:noWrap/>
            <w:vAlign w:val="bottom"/>
            <w:hideMark/>
          </w:tcPr>
          <w:p w:rsidR="002D62B9" w:rsidRPr="001946E0" w:rsidRDefault="002D62B9" w:rsidP="001B1A50">
            <w:pPr>
              <w:spacing w:after="0"/>
              <w:ind w:firstLine="0"/>
              <w:jc w:val="left"/>
              <w:rPr>
                <w:color w:val="000000"/>
                <w:sz w:val="20"/>
                <w:lang w:eastAsia="lv-LV"/>
              </w:rPr>
            </w:pPr>
            <w:r w:rsidRPr="001946E0">
              <w:rPr>
                <w:color w:val="000000"/>
                <w:sz w:val="20"/>
                <w:lang w:eastAsia="lv-LV"/>
              </w:rPr>
              <w:t>1. IKP pieaugums salīdzināmajās cenās (%)</w:t>
            </w:r>
          </w:p>
        </w:tc>
        <w:tc>
          <w:tcPr>
            <w:tcW w:w="768" w:type="dxa"/>
            <w:shd w:val="clear" w:color="auto" w:fill="auto"/>
            <w:noWrap/>
            <w:vAlign w:val="center"/>
            <w:hideMark/>
          </w:tcPr>
          <w:p w:rsidR="002D62B9" w:rsidRPr="001946E0" w:rsidRDefault="002D62B9" w:rsidP="001B1A50">
            <w:pPr>
              <w:spacing w:after="0"/>
              <w:ind w:firstLine="0"/>
              <w:jc w:val="center"/>
              <w:rPr>
                <w:color w:val="000000"/>
                <w:sz w:val="20"/>
                <w:lang w:eastAsia="lv-LV"/>
              </w:rPr>
            </w:pPr>
            <w:r w:rsidRPr="001946E0">
              <w:rPr>
                <w:color w:val="000000"/>
                <w:sz w:val="20"/>
                <w:lang w:eastAsia="lv-LV"/>
              </w:rPr>
              <w:t>B1g</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5,5</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2,0</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3,7</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4,0</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4,0</w:t>
            </w:r>
          </w:p>
        </w:tc>
      </w:tr>
      <w:tr w:rsidR="002D62B9" w:rsidRPr="001946E0" w:rsidTr="00D01375">
        <w:trPr>
          <w:trHeight w:val="258"/>
        </w:trPr>
        <w:tc>
          <w:tcPr>
            <w:tcW w:w="3845" w:type="dxa"/>
            <w:shd w:val="clear" w:color="auto" w:fill="auto"/>
            <w:noWrap/>
            <w:vAlign w:val="bottom"/>
            <w:hideMark/>
          </w:tcPr>
          <w:p w:rsidR="002D62B9" w:rsidRPr="001946E0" w:rsidRDefault="002D62B9" w:rsidP="001B1A50">
            <w:pPr>
              <w:spacing w:after="0"/>
              <w:ind w:firstLine="0"/>
              <w:jc w:val="left"/>
              <w:rPr>
                <w:color w:val="000000"/>
                <w:sz w:val="20"/>
                <w:lang w:eastAsia="lv-LV"/>
              </w:rPr>
            </w:pPr>
            <w:r w:rsidRPr="001946E0">
              <w:rPr>
                <w:color w:val="000000"/>
                <w:sz w:val="20"/>
                <w:lang w:eastAsia="lv-LV"/>
              </w:rPr>
              <w:t>2. Faktiskā budžeta bilance</w:t>
            </w:r>
          </w:p>
        </w:tc>
        <w:tc>
          <w:tcPr>
            <w:tcW w:w="768" w:type="dxa"/>
            <w:shd w:val="clear" w:color="auto" w:fill="auto"/>
            <w:noWrap/>
            <w:vAlign w:val="bottom"/>
            <w:hideMark/>
          </w:tcPr>
          <w:p w:rsidR="002D62B9" w:rsidRPr="001946E0" w:rsidRDefault="002D62B9" w:rsidP="001B1A50">
            <w:pPr>
              <w:spacing w:after="0"/>
              <w:ind w:firstLine="0"/>
              <w:jc w:val="center"/>
              <w:rPr>
                <w:color w:val="000000"/>
                <w:sz w:val="20"/>
                <w:lang w:eastAsia="lv-LV"/>
              </w:rPr>
            </w:pPr>
            <w:r w:rsidRPr="001946E0">
              <w:rPr>
                <w:color w:val="000000"/>
                <w:sz w:val="20"/>
                <w:lang w:eastAsia="lv-LV"/>
              </w:rPr>
              <w:t>B.9</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-3,5</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-2,1</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-1,4</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-0,8</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-0,3</w:t>
            </w:r>
          </w:p>
        </w:tc>
      </w:tr>
      <w:tr w:rsidR="002D62B9" w:rsidRPr="001946E0" w:rsidTr="00D01375">
        <w:trPr>
          <w:trHeight w:val="258"/>
        </w:trPr>
        <w:tc>
          <w:tcPr>
            <w:tcW w:w="3845" w:type="dxa"/>
            <w:shd w:val="clear" w:color="auto" w:fill="auto"/>
            <w:noWrap/>
            <w:vAlign w:val="bottom"/>
            <w:hideMark/>
          </w:tcPr>
          <w:p w:rsidR="002D62B9" w:rsidRPr="001946E0" w:rsidRDefault="002D62B9" w:rsidP="001B1A50">
            <w:pPr>
              <w:spacing w:after="0"/>
              <w:ind w:firstLine="0"/>
              <w:jc w:val="left"/>
              <w:rPr>
                <w:color w:val="000000"/>
                <w:sz w:val="20"/>
                <w:lang w:eastAsia="lv-LV"/>
              </w:rPr>
            </w:pPr>
            <w:r w:rsidRPr="001946E0">
              <w:rPr>
                <w:color w:val="000000"/>
                <w:sz w:val="20"/>
                <w:lang w:eastAsia="lv-LV"/>
              </w:rPr>
              <w:t xml:space="preserve">3. Procentu izdevumi  </w:t>
            </w:r>
          </w:p>
        </w:tc>
        <w:tc>
          <w:tcPr>
            <w:tcW w:w="768" w:type="dxa"/>
            <w:shd w:val="clear" w:color="auto" w:fill="auto"/>
            <w:noWrap/>
            <w:vAlign w:val="bottom"/>
            <w:hideMark/>
          </w:tcPr>
          <w:p w:rsidR="002D62B9" w:rsidRPr="001946E0" w:rsidRDefault="002D62B9" w:rsidP="001B1A50">
            <w:pPr>
              <w:spacing w:after="0"/>
              <w:ind w:firstLine="0"/>
              <w:jc w:val="center"/>
              <w:rPr>
                <w:color w:val="000000"/>
                <w:sz w:val="20"/>
                <w:lang w:eastAsia="lv-LV"/>
              </w:rPr>
            </w:pPr>
            <w:r w:rsidRPr="001946E0">
              <w:rPr>
                <w:color w:val="000000"/>
                <w:sz w:val="20"/>
                <w:lang w:eastAsia="lv-LV"/>
              </w:rPr>
              <w:t>D.41</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1,5</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1,7</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1,8</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2,1</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2,1</w:t>
            </w:r>
          </w:p>
        </w:tc>
      </w:tr>
      <w:tr w:rsidR="002D62B9" w:rsidRPr="001946E0" w:rsidTr="00D01375">
        <w:trPr>
          <w:trHeight w:val="258"/>
        </w:trPr>
        <w:tc>
          <w:tcPr>
            <w:tcW w:w="3845" w:type="dxa"/>
            <w:shd w:val="clear" w:color="auto" w:fill="auto"/>
            <w:noWrap/>
            <w:vAlign w:val="bottom"/>
            <w:hideMark/>
          </w:tcPr>
          <w:p w:rsidR="002D62B9" w:rsidRPr="001946E0" w:rsidRDefault="002D62B9" w:rsidP="001B1A50">
            <w:pPr>
              <w:spacing w:after="0"/>
              <w:ind w:firstLine="0"/>
              <w:jc w:val="left"/>
              <w:rPr>
                <w:color w:val="000000"/>
                <w:sz w:val="20"/>
                <w:lang w:eastAsia="lv-LV"/>
              </w:rPr>
            </w:pPr>
            <w:r w:rsidRPr="001946E0">
              <w:rPr>
                <w:color w:val="000000"/>
                <w:sz w:val="20"/>
                <w:lang w:eastAsia="lv-LV"/>
              </w:rPr>
              <w:t>4. Vienreizēji un citi īslaicīgi pasākumi</w:t>
            </w:r>
          </w:p>
        </w:tc>
        <w:tc>
          <w:tcPr>
            <w:tcW w:w="768" w:type="dxa"/>
            <w:shd w:val="clear" w:color="auto" w:fill="auto"/>
            <w:noWrap/>
            <w:vAlign w:val="bottom"/>
            <w:hideMark/>
          </w:tcPr>
          <w:p w:rsidR="002D62B9" w:rsidRPr="001946E0" w:rsidRDefault="002D62B9" w:rsidP="001B1A50">
            <w:pPr>
              <w:spacing w:after="0"/>
              <w:ind w:firstLine="0"/>
              <w:jc w:val="left"/>
              <w:rPr>
                <w:color w:val="000000"/>
                <w:sz w:val="20"/>
                <w:lang w:eastAsia="lv-LV"/>
              </w:rPr>
            </w:pPr>
            <w:r w:rsidRPr="001946E0">
              <w:rPr>
                <w:color w:val="000000"/>
                <w:sz w:val="20"/>
                <w:lang w:eastAsia="lv-LV"/>
              </w:rPr>
              <w:t> </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-0,2</w:t>
            </w:r>
          </w:p>
        </w:tc>
        <w:tc>
          <w:tcPr>
            <w:tcW w:w="710" w:type="dxa"/>
            <w:shd w:val="clear" w:color="auto" w:fill="auto"/>
            <w:noWrap/>
            <w:vAlign w:val="bottom"/>
            <w:hideMark/>
          </w:tcPr>
          <w:p w:rsidR="002D62B9" w:rsidRPr="001946E0" w:rsidRDefault="002D62B9" w:rsidP="001B1A50">
            <w:pPr>
              <w:spacing w:after="0"/>
              <w:ind w:firstLine="0"/>
              <w:jc w:val="left"/>
              <w:rPr>
                <w:color w:val="000000"/>
                <w:sz w:val="20"/>
                <w:lang w:eastAsia="lv-LV"/>
              </w:rPr>
            </w:pPr>
            <w:r w:rsidRPr="001946E0">
              <w:rPr>
                <w:color w:val="000000"/>
                <w:sz w:val="20"/>
                <w:lang w:eastAsia="lv-LV"/>
              </w:rPr>
              <w:t> </w:t>
            </w:r>
          </w:p>
        </w:tc>
        <w:tc>
          <w:tcPr>
            <w:tcW w:w="710" w:type="dxa"/>
            <w:shd w:val="clear" w:color="auto" w:fill="auto"/>
            <w:noWrap/>
            <w:vAlign w:val="bottom"/>
            <w:hideMark/>
          </w:tcPr>
          <w:p w:rsidR="002D62B9" w:rsidRPr="001946E0" w:rsidRDefault="002D62B9" w:rsidP="001B1A50">
            <w:pPr>
              <w:spacing w:after="0"/>
              <w:ind w:firstLine="0"/>
              <w:jc w:val="left"/>
              <w:rPr>
                <w:color w:val="000000"/>
                <w:sz w:val="20"/>
                <w:lang w:eastAsia="lv-LV"/>
              </w:rPr>
            </w:pPr>
            <w:r w:rsidRPr="001946E0">
              <w:rPr>
                <w:color w:val="000000"/>
                <w:sz w:val="20"/>
                <w:lang w:eastAsia="lv-LV"/>
              </w:rPr>
              <w:t> </w:t>
            </w:r>
          </w:p>
        </w:tc>
        <w:tc>
          <w:tcPr>
            <w:tcW w:w="710" w:type="dxa"/>
            <w:shd w:val="clear" w:color="auto" w:fill="auto"/>
            <w:noWrap/>
            <w:vAlign w:val="bottom"/>
            <w:hideMark/>
          </w:tcPr>
          <w:p w:rsidR="002D62B9" w:rsidRPr="001946E0" w:rsidRDefault="002D62B9" w:rsidP="001B1A50">
            <w:pPr>
              <w:spacing w:after="0"/>
              <w:ind w:firstLine="0"/>
              <w:jc w:val="left"/>
              <w:rPr>
                <w:color w:val="000000"/>
                <w:sz w:val="20"/>
                <w:lang w:eastAsia="lv-LV"/>
              </w:rPr>
            </w:pPr>
            <w:r w:rsidRPr="001946E0">
              <w:rPr>
                <w:color w:val="000000"/>
                <w:sz w:val="20"/>
                <w:lang w:eastAsia="lv-LV"/>
              </w:rPr>
              <w:t> </w:t>
            </w:r>
          </w:p>
        </w:tc>
        <w:tc>
          <w:tcPr>
            <w:tcW w:w="710" w:type="dxa"/>
            <w:shd w:val="clear" w:color="auto" w:fill="auto"/>
            <w:noWrap/>
            <w:vAlign w:val="bottom"/>
            <w:hideMark/>
          </w:tcPr>
          <w:p w:rsidR="002D62B9" w:rsidRPr="001946E0" w:rsidRDefault="002D62B9" w:rsidP="001B1A50">
            <w:pPr>
              <w:spacing w:after="0"/>
              <w:ind w:firstLine="0"/>
              <w:jc w:val="left"/>
              <w:rPr>
                <w:color w:val="000000"/>
                <w:sz w:val="20"/>
                <w:lang w:eastAsia="lv-LV"/>
              </w:rPr>
            </w:pPr>
            <w:r w:rsidRPr="001946E0">
              <w:rPr>
                <w:color w:val="000000"/>
                <w:sz w:val="20"/>
                <w:lang w:eastAsia="lv-LV"/>
              </w:rPr>
              <w:t> </w:t>
            </w:r>
          </w:p>
        </w:tc>
      </w:tr>
      <w:tr w:rsidR="002D62B9" w:rsidRPr="001946E0" w:rsidTr="00D01375">
        <w:trPr>
          <w:trHeight w:val="258"/>
        </w:trPr>
        <w:tc>
          <w:tcPr>
            <w:tcW w:w="3845" w:type="dxa"/>
            <w:shd w:val="clear" w:color="auto" w:fill="auto"/>
            <w:noWrap/>
            <w:vAlign w:val="bottom"/>
            <w:hideMark/>
          </w:tcPr>
          <w:p w:rsidR="002D62B9" w:rsidRPr="001946E0" w:rsidRDefault="002D62B9" w:rsidP="001B1A50">
            <w:pPr>
              <w:spacing w:after="0"/>
              <w:ind w:firstLine="0"/>
              <w:jc w:val="left"/>
              <w:rPr>
                <w:color w:val="000000"/>
                <w:sz w:val="20"/>
                <w:lang w:eastAsia="lv-LV"/>
              </w:rPr>
            </w:pPr>
            <w:r w:rsidRPr="001946E0">
              <w:rPr>
                <w:color w:val="000000"/>
                <w:sz w:val="20"/>
                <w:lang w:eastAsia="lv-LV"/>
              </w:rPr>
              <w:t>5. Potenciālā IKP pieaugums (%)</w:t>
            </w:r>
          </w:p>
        </w:tc>
        <w:tc>
          <w:tcPr>
            <w:tcW w:w="768" w:type="dxa"/>
            <w:shd w:val="clear" w:color="auto" w:fill="auto"/>
            <w:noWrap/>
            <w:vAlign w:val="bottom"/>
            <w:hideMark/>
          </w:tcPr>
          <w:p w:rsidR="002D62B9" w:rsidRPr="001946E0" w:rsidRDefault="002D62B9" w:rsidP="001B1A50">
            <w:pPr>
              <w:spacing w:after="0"/>
              <w:ind w:firstLine="0"/>
              <w:jc w:val="left"/>
              <w:rPr>
                <w:color w:val="000000"/>
                <w:sz w:val="20"/>
                <w:lang w:eastAsia="lv-LV"/>
              </w:rPr>
            </w:pPr>
            <w:r w:rsidRPr="001946E0">
              <w:rPr>
                <w:color w:val="000000"/>
                <w:sz w:val="20"/>
                <w:lang w:eastAsia="lv-LV"/>
              </w:rPr>
              <w:t> </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-1,0</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1,4</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2,8</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3,6</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3,9</w:t>
            </w:r>
          </w:p>
        </w:tc>
      </w:tr>
      <w:tr w:rsidR="002D62B9" w:rsidRPr="001946E0" w:rsidTr="00D01375">
        <w:trPr>
          <w:trHeight w:val="258"/>
        </w:trPr>
        <w:tc>
          <w:tcPr>
            <w:tcW w:w="3845" w:type="dxa"/>
            <w:shd w:val="clear" w:color="auto" w:fill="auto"/>
            <w:noWrap/>
            <w:vAlign w:val="bottom"/>
            <w:hideMark/>
          </w:tcPr>
          <w:p w:rsidR="002D62B9" w:rsidRPr="001946E0" w:rsidRDefault="002D62B9" w:rsidP="001B1A50">
            <w:pPr>
              <w:spacing w:after="0"/>
              <w:ind w:firstLineChars="100" w:firstLine="200"/>
              <w:jc w:val="left"/>
              <w:rPr>
                <w:color w:val="000000"/>
                <w:sz w:val="20"/>
                <w:lang w:eastAsia="lv-LV"/>
              </w:rPr>
            </w:pPr>
            <w:r w:rsidRPr="001946E0">
              <w:rPr>
                <w:color w:val="000000"/>
                <w:sz w:val="20"/>
                <w:lang w:eastAsia="lv-LV"/>
              </w:rPr>
              <w:t>ieguldījums:</w:t>
            </w:r>
          </w:p>
        </w:tc>
        <w:tc>
          <w:tcPr>
            <w:tcW w:w="768" w:type="dxa"/>
            <w:shd w:val="clear" w:color="auto" w:fill="auto"/>
            <w:noWrap/>
            <w:vAlign w:val="bottom"/>
            <w:hideMark/>
          </w:tcPr>
          <w:p w:rsidR="002D62B9" w:rsidRPr="001946E0" w:rsidRDefault="002D62B9" w:rsidP="001B1A50">
            <w:pPr>
              <w:spacing w:after="0"/>
              <w:ind w:firstLine="0"/>
              <w:jc w:val="left"/>
              <w:rPr>
                <w:color w:val="000000"/>
                <w:sz w:val="20"/>
                <w:lang w:eastAsia="lv-LV"/>
              </w:rPr>
            </w:pPr>
            <w:r w:rsidRPr="001946E0">
              <w:rPr>
                <w:color w:val="000000"/>
                <w:sz w:val="20"/>
                <w:lang w:eastAsia="lv-LV"/>
              </w:rPr>
              <w:t> </w:t>
            </w:r>
          </w:p>
        </w:tc>
        <w:tc>
          <w:tcPr>
            <w:tcW w:w="710" w:type="dxa"/>
            <w:shd w:val="clear" w:color="auto" w:fill="auto"/>
            <w:noWrap/>
            <w:vAlign w:val="bottom"/>
            <w:hideMark/>
          </w:tcPr>
          <w:p w:rsidR="002D62B9" w:rsidRPr="001946E0" w:rsidRDefault="002D62B9" w:rsidP="001B1A50">
            <w:pPr>
              <w:spacing w:after="0"/>
              <w:ind w:firstLine="0"/>
              <w:jc w:val="left"/>
              <w:rPr>
                <w:color w:val="000000"/>
                <w:sz w:val="20"/>
                <w:lang w:eastAsia="lv-LV"/>
              </w:rPr>
            </w:pPr>
            <w:r w:rsidRPr="001946E0">
              <w:rPr>
                <w:color w:val="000000"/>
                <w:sz w:val="20"/>
                <w:lang w:eastAsia="lv-LV"/>
              </w:rPr>
              <w:t> </w:t>
            </w:r>
          </w:p>
        </w:tc>
        <w:tc>
          <w:tcPr>
            <w:tcW w:w="710" w:type="dxa"/>
            <w:shd w:val="clear" w:color="auto" w:fill="auto"/>
            <w:noWrap/>
            <w:vAlign w:val="bottom"/>
            <w:hideMark/>
          </w:tcPr>
          <w:p w:rsidR="002D62B9" w:rsidRPr="001946E0" w:rsidRDefault="002D62B9" w:rsidP="001B1A50">
            <w:pPr>
              <w:spacing w:after="0"/>
              <w:ind w:firstLine="0"/>
              <w:jc w:val="left"/>
              <w:rPr>
                <w:color w:val="000000"/>
                <w:sz w:val="20"/>
                <w:lang w:eastAsia="lv-LV"/>
              </w:rPr>
            </w:pPr>
            <w:r w:rsidRPr="001946E0">
              <w:rPr>
                <w:color w:val="000000"/>
                <w:sz w:val="20"/>
                <w:lang w:eastAsia="lv-LV"/>
              </w:rPr>
              <w:t> </w:t>
            </w:r>
          </w:p>
        </w:tc>
        <w:tc>
          <w:tcPr>
            <w:tcW w:w="710" w:type="dxa"/>
            <w:shd w:val="clear" w:color="auto" w:fill="auto"/>
            <w:noWrap/>
            <w:vAlign w:val="bottom"/>
            <w:hideMark/>
          </w:tcPr>
          <w:p w:rsidR="002D62B9" w:rsidRPr="001946E0" w:rsidRDefault="002D62B9" w:rsidP="001B1A50">
            <w:pPr>
              <w:spacing w:after="0"/>
              <w:ind w:firstLine="0"/>
              <w:jc w:val="left"/>
              <w:rPr>
                <w:color w:val="000000"/>
                <w:sz w:val="20"/>
                <w:lang w:eastAsia="lv-LV"/>
              </w:rPr>
            </w:pPr>
            <w:r w:rsidRPr="001946E0">
              <w:rPr>
                <w:color w:val="000000"/>
                <w:sz w:val="20"/>
                <w:lang w:eastAsia="lv-LV"/>
              </w:rPr>
              <w:t> </w:t>
            </w:r>
          </w:p>
        </w:tc>
        <w:tc>
          <w:tcPr>
            <w:tcW w:w="710" w:type="dxa"/>
            <w:shd w:val="clear" w:color="auto" w:fill="auto"/>
            <w:noWrap/>
            <w:vAlign w:val="bottom"/>
            <w:hideMark/>
          </w:tcPr>
          <w:p w:rsidR="002D62B9" w:rsidRPr="001946E0" w:rsidRDefault="002D62B9" w:rsidP="001B1A50">
            <w:pPr>
              <w:spacing w:after="0"/>
              <w:ind w:firstLine="0"/>
              <w:jc w:val="left"/>
              <w:rPr>
                <w:color w:val="000000"/>
                <w:sz w:val="20"/>
                <w:lang w:eastAsia="lv-LV"/>
              </w:rPr>
            </w:pPr>
            <w:r w:rsidRPr="001946E0">
              <w:rPr>
                <w:color w:val="000000"/>
                <w:sz w:val="20"/>
                <w:lang w:eastAsia="lv-LV"/>
              </w:rPr>
              <w:t> </w:t>
            </w:r>
          </w:p>
        </w:tc>
        <w:tc>
          <w:tcPr>
            <w:tcW w:w="710" w:type="dxa"/>
            <w:shd w:val="clear" w:color="auto" w:fill="auto"/>
            <w:noWrap/>
            <w:vAlign w:val="bottom"/>
            <w:hideMark/>
          </w:tcPr>
          <w:p w:rsidR="002D62B9" w:rsidRPr="001946E0" w:rsidRDefault="002D62B9" w:rsidP="001B1A50">
            <w:pPr>
              <w:spacing w:after="0"/>
              <w:ind w:firstLine="0"/>
              <w:jc w:val="left"/>
              <w:rPr>
                <w:color w:val="000000"/>
                <w:sz w:val="20"/>
                <w:lang w:eastAsia="lv-LV"/>
              </w:rPr>
            </w:pPr>
            <w:r w:rsidRPr="001946E0">
              <w:rPr>
                <w:color w:val="000000"/>
                <w:sz w:val="20"/>
                <w:lang w:eastAsia="lv-LV"/>
              </w:rPr>
              <w:t> </w:t>
            </w:r>
          </w:p>
        </w:tc>
      </w:tr>
      <w:tr w:rsidR="002D62B9" w:rsidRPr="001946E0" w:rsidTr="00D01375">
        <w:trPr>
          <w:trHeight w:val="258"/>
        </w:trPr>
        <w:tc>
          <w:tcPr>
            <w:tcW w:w="3845" w:type="dxa"/>
            <w:shd w:val="clear" w:color="auto" w:fill="auto"/>
            <w:noWrap/>
            <w:vAlign w:val="bottom"/>
            <w:hideMark/>
          </w:tcPr>
          <w:p w:rsidR="002D62B9" w:rsidRPr="001946E0" w:rsidRDefault="002D62B9" w:rsidP="001B1A50">
            <w:pPr>
              <w:spacing w:after="0"/>
              <w:ind w:firstLineChars="200" w:firstLine="400"/>
              <w:jc w:val="left"/>
              <w:rPr>
                <w:color w:val="000000"/>
                <w:sz w:val="20"/>
                <w:lang w:eastAsia="lv-LV"/>
              </w:rPr>
            </w:pPr>
            <w:r w:rsidRPr="001946E0">
              <w:rPr>
                <w:color w:val="000000"/>
                <w:sz w:val="20"/>
                <w:lang w:eastAsia="lv-LV"/>
              </w:rPr>
              <w:t xml:space="preserve"> - nodarbinātības</w:t>
            </w:r>
          </w:p>
        </w:tc>
        <w:tc>
          <w:tcPr>
            <w:tcW w:w="768" w:type="dxa"/>
            <w:shd w:val="clear" w:color="auto" w:fill="auto"/>
            <w:noWrap/>
            <w:vAlign w:val="bottom"/>
            <w:hideMark/>
          </w:tcPr>
          <w:p w:rsidR="002D62B9" w:rsidRPr="001946E0" w:rsidRDefault="002D62B9" w:rsidP="001B1A50">
            <w:pPr>
              <w:spacing w:after="0"/>
              <w:ind w:firstLine="0"/>
              <w:jc w:val="left"/>
              <w:rPr>
                <w:color w:val="000000"/>
                <w:sz w:val="20"/>
                <w:lang w:eastAsia="lv-LV"/>
              </w:rPr>
            </w:pPr>
            <w:r w:rsidRPr="001946E0">
              <w:rPr>
                <w:color w:val="000000"/>
                <w:sz w:val="20"/>
                <w:lang w:eastAsia="lv-LV"/>
              </w:rPr>
              <w:t> </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-1,0</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-0,1</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0,4</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0,6</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0,6</w:t>
            </w:r>
          </w:p>
        </w:tc>
      </w:tr>
      <w:tr w:rsidR="002D62B9" w:rsidRPr="001946E0" w:rsidTr="00D01375">
        <w:trPr>
          <w:trHeight w:val="258"/>
        </w:trPr>
        <w:tc>
          <w:tcPr>
            <w:tcW w:w="3845" w:type="dxa"/>
            <w:shd w:val="clear" w:color="auto" w:fill="auto"/>
            <w:noWrap/>
            <w:vAlign w:val="bottom"/>
            <w:hideMark/>
          </w:tcPr>
          <w:p w:rsidR="002D62B9" w:rsidRPr="001946E0" w:rsidRDefault="002D62B9" w:rsidP="001B1A50">
            <w:pPr>
              <w:spacing w:after="0"/>
              <w:ind w:firstLineChars="200" w:firstLine="400"/>
              <w:jc w:val="left"/>
              <w:rPr>
                <w:color w:val="000000"/>
                <w:sz w:val="20"/>
                <w:lang w:eastAsia="lv-LV"/>
              </w:rPr>
            </w:pPr>
            <w:r w:rsidRPr="001946E0">
              <w:rPr>
                <w:color w:val="000000"/>
                <w:sz w:val="20"/>
                <w:lang w:eastAsia="lv-LV"/>
              </w:rPr>
              <w:t xml:space="preserve"> - kapitāla</w:t>
            </w:r>
          </w:p>
        </w:tc>
        <w:tc>
          <w:tcPr>
            <w:tcW w:w="768" w:type="dxa"/>
            <w:shd w:val="clear" w:color="auto" w:fill="auto"/>
            <w:noWrap/>
            <w:vAlign w:val="bottom"/>
            <w:hideMark/>
          </w:tcPr>
          <w:p w:rsidR="002D62B9" w:rsidRPr="001946E0" w:rsidRDefault="002D62B9" w:rsidP="001B1A50">
            <w:pPr>
              <w:spacing w:after="0"/>
              <w:ind w:firstLine="0"/>
              <w:jc w:val="left"/>
              <w:rPr>
                <w:color w:val="000000"/>
                <w:sz w:val="20"/>
                <w:lang w:eastAsia="lv-LV"/>
              </w:rPr>
            </w:pPr>
            <w:r w:rsidRPr="001946E0">
              <w:rPr>
                <w:color w:val="000000"/>
                <w:sz w:val="20"/>
                <w:lang w:eastAsia="lv-LV"/>
              </w:rPr>
              <w:t> </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0,2</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0,7</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0,8</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1,0</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1,1</w:t>
            </w:r>
          </w:p>
        </w:tc>
      </w:tr>
      <w:tr w:rsidR="002D62B9" w:rsidRPr="001946E0" w:rsidTr="00D01375">
        <w:trPr>
          <w:trHeight w:val="258"/>
        </w:trPr>
        <w:tc>
          <w:tcPr>
            <w:tcW w:w="3845" w:type="dxa"/>
            <w:shd w:val="clear" w:color="auto" w:fill="auto"/>
            <w:noWrap/>
            <w:vAlign w:val="bottom"/>
            <w:hideMark/>
          </w:tcPr>
          <w:p w:rsidR="002D62B9" w:rsidRPr="001946E0" w:rsidRDefault="002D62B9" w:rsidP="001B1A50">
            <w:pPr>
              <w:spacing w:after="0"/>
              <w:ind w:firstLineChars="200" w:firstLine="400"/>
              <w:jc w:val="left"/>
              <w:rPr>
                <w:color w:val="000000"/>
                <w:sz w:val="20"/>
                <w:lang w:eastAsia="lv-LV"/>
              </w:rPr>
            </w:pPr>
            <w:r w:rsidRPr="001946E0">
              <w:rPr>
                <w:color w:val="000000"/>
                <w:sz w:val="20"/>
                <w:lang w:eastAsia="lv-LV"/>
              </w:rPr>
              <w:t xml:space="preserve"> - kopējās ražošanas faktoru produktivitātes </w:t>
            </w:r>
          </w:p>
        </w:tc>
        <w:tc>
          <w:tcPr>
            <w:tcW w:w="768" w:type="dxa"/>
            <w:shd w:val="clear" w:color="auto" w:fill="auto"/>
            <w:noWrap/>
            <w:vAlign w:val="bottom"/>
            <w:hideMark/>
          </w:tcPr>
          <w:p w:rsidR="002D62B9" w:rsidRPr="001946E0" w:rsidRDefault="002D62B9" w:rsidP="001B1A50">
            <w:pPr>
              <w:spacing w:after="0"/>
              <w:ind w:firstLine="0"/>
              <w:jc w:val="left"/>
              <w:rPr>
                <w:color w:val="000000"/>
                <w:sz w:val="20"/>
                <w:lang w:eastAsia="lv-LV"/>
              </w:rPr>
            </w:pPr>
            <w:r w:rsidRPr="001946E0">
              <w:rPr>
                <w:color w:val="000000"/>
                <w:sz w:val="20"/>
                <w:lang w:eastAsia="lv-LV"/>
              </w:rPr>
              <w:t> </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-0,2</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0,8</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1,6</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2,0</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2,2</w:t>
            </w:r>
          </w:p>
        </w:tc>
      </w:tr>
      <w:tr w:rsidR="002D62B9" w:rsidRPr="001946E0" w:rsidTr="00D01375">
        <w:trPr>
          <w:trHeight w:val="516"/>
        </w:trPr>
        <w:tc>
          <w:tcPr>
            <w:tcW w:w="3845" w:type="dxa"/>
            <w:shd w:val="clear" w:color="auto" w:fill="auto"/>
            <w:vAlign w:val="bottom"/>
            <w:hideMark/>
          </w:tcPr>
          <w:p w:rsidR="002D62B9" w:rsidRPr="001946E0" w:rsidRDefault="002D62B9" w:rsidP="001B1A50">
            <w:pPr>
              <w:spacing w:after="0"/>
              <w:ind w:firstLine="0"/>
              <w:jc w:val="left"/>
              <w:rPr>
                <w:color w:val="000000"/>
                <w:sz w:val="20"/>
                <w:lang w:eastAsia="lv-LV"/>
              </w:rPr>
            </w:pPr>
            <w:r w:rsidRPr="001946E0">
              <w:rPr>
                <w:color w:val="000000"/>
                <w:sz w:val="20"/>
                <w:lang w:eastAsia="lv-LV"/>
              </w:rPr>
              <w:t xml:space="preserve">6. Starpība starp faktisko un potenciālo IKP </w:t>
            </w:r>
            <w:r w:rsidRPr="001946E0">
              <w:rPr>
                <w:color w:val="000000"/>
                <w:sz w:val="20"/>
                <w:lang w:eastAsia="lv-LV"/>
              </w:rPr>
              <w:br/>
              <w:t>(% no potenciālā IKP)</w:t>
            </w:r>
          </w:p>
        </w:tc>
        <w:tc>
          <w:tcPr>
            <w:tcW w:w="768" w:type="dxa"/>
            <w:shd w:val="clear" w:color="auto" w:fill="auto"/>
            <w:noWrap/>
            <w:vAlign w:val="center"/>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 </w:t>
            </w:r>
          </w:p>
        </w:tc>
        <w:tc>
          <w:tcPr>
            <w:tcW w:w="710" w:type="dxa"/>
            <w:shd w:val="clear" w:color="auto" w:fill="auto"/>
            <w:noWrap/>
            <w:vAlign w:val="center"/>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-0,7</w:t>
            </w:r>
          </w:p>
        </w:tc>
        <w:tc>
          <w:tcPr>
            <w:tcW w:w="710" w:type="dxa"/>
            <w:shd w:val="clear" w:color="auto" w:fill="auto"/>
            <w:noWrap/>
            <w:vAlign w:val="center"/>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-0,2</w:t>
            </w:r>
          </w:p>
        </w:tc>
        <w:tc>
          <w:tcPr>
            <w:tcW w:w="710" w:type="dxa"/>
            <w:shd w:val="clear" w:color="auto" w:fill="auto"/>
            <w:noWrap/>
            <w:vAlign w:val="center"/>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0,7</w:t>
            </w:r>
          </w:p>
        </w:tc>
        <w:tc>
          <w:tcPr>
            <w:tcW w:w="710" w:type="dxa"/>
            <w:shd w:val="clear" w:color="auto" w:fill="auto"/>
            <w:noWrap/>
            <w:vAlign w:val="center"/>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1,1</w:t>
            </w:r>
          </w:p>
        </w:tc>
        <w:tc>
          <w:tcPr>
            <w:tcW w:w="710" w:type="dxa"/>
            <w:shd w:val="clear" w:color="auto" w:fill="auto"/>
            <w:noWrap/>
            <w:vAlign w:val="center"/>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1,1</w:t>
            </w:r>
          </w:p>
        </w:tc>
      </w:tr>
      <w:tr w:rsidR="002D62B9" w:rsidRPr="001946E0" w:rsidTr="00D01375">
        <w:trPr>
          <w:trHeight w:val="258"/>
        </w:trPr>
        <w:tc>
          <w:tcPr>
            <w:tcW w:w="3845" w:type="dxa"/>
            <w:shd w:val="clear" w:color="auto" w:fill="auto"/>
            <w:noWrap/>
            <w:vAlign w:val="bottom"/>
            <w:hideMark/>
          </w:tcPr>
          <w:p w:rsidR="002D62B9" w:rsidRPr="001946E0" w:rsidRDefault="002D62B9" w:rsidP="001B1A50">
            <w:pPr>
              <w:spacing w:after="0"/>
              <w:ind w:firstLine="0"/>
              <w:jc w:val="left"/>
              <w:rPr>
                <w:color w:val="000000"/>
                <w:sz w:val="20"/>
                <w:lang w:eastAsia="lv-LV"/>
              </w:rPr>
            </w:pPr>
            <w:r w:rsidRPr="001946E0">
              <w:rPr>
                <w:color w:val="000000"/>
                <w:sz w:val="20"/>
                <w:lang w:eastAsia="lv-LV"/>
              </w:rPr>
              <w:t>7. Budžeta bilances cikliskā komponente</w:t>
            </w:r>
          </w:p>
        </w:tc>
        <w:tc>
          <w:tcPr>
            <w:tcW w:w="768" w:type="dxa"/>
            <w:shd w:val="clear" w:color="auto" w:fill="auto"/>
            <w:noWrap/>
            <w:vAlign w:val="bottom"/>
            <w:hideMark/>
          </w:tcPr>
          <w:p w:rsidR="002D62B9" w:rsidRPr="001946E0" w:rsidRDefault="002D62B9" w:rsidP="001B1A50">
            <w:pPr>
              <w:spacing w:after="0"/>
              <w:ind w:firstLine="0"/>
              <w:jc w:val="left"/>
              <w:rPr>
                <w:color w:val="000000"/>
                <w:sz w:val="20"/>
                <w:lang w:eastAsia="lv-LV"/>
              </w:rPr>
            </w:pPr>
            <w:r w:rsidRPr="001946E0">
              <w:rPr>
                <w:color w:val="000000"/>
                <w:sz w:val="20"/>
                <w:lang w:eastAsia="lv-LV"/>
              </w:rPr>
              <w:t> </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-0,2</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0,0</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0,2</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0,3</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0,3</w:t>
            </w:r>
          </w:p>
        </w:tc>
      </w:tr>
      <w:tr w:rsidR="002D62B9" w:rsidRPr="001946E0" w:rsidTr="00D01375">
        <w:trPr>
          <w:trHeight w:val="258"/>
        </w:trPr>
        <w:tc>
          <w:tcPr>
            <w:tcW w:w="3845" w:type="dxa"/>
            <w:shd w:val="clear" w:color="auto" w:fill="auto"/>
            <w:noWrap/>
            <w:vAlign w:val="bottom"/>
            <w:hideMark/>
          </w:tcPr>
          <w:p w:rsidR="002D62B9" w:rsidRPr="001946E0" w:rsidRDefault="002D62B9" w:rsidP="001B1A50">
            <w:pPr>
              <w:spacing w:after="0"/>
              <w:ind w:firstLine="0"/>
              <w:jc w:val="left"/>
              <w:rPr>
                <w:color w:val="000000"/>
                <w:sz w:val="20"/>
                <w:lang w:eastAsia="lv-LV"/>
              </w:rPr>
            </w:pPr>
            <w:r w:rsidRPr="001946E0">
              <w:rPr>
                <w:color w:val="000000"/>
                <w:sz w:val="20"/>
                <w:lang w:eastAsia="lv-LV"/>
              </w:rPr>
              <w:t>8. Cikliski koriģētā bilance (2-7)</w:t>
            </w:r>
          </w:p>
        </w:tc>
        <w:tc>
          <w:tcPr>
            <w:tcW w:w="768" w:type="dxa"/>
            <w:shd w:val="clear" w:color="auto" w:fill="auto"/>
            <w:noWrap/>
            <w:vAlign w:val="bottom"/>
            <w:hideMark/>
          </w:tcPr>
          <w:p w:rsidR="002D62B9" w:rsidRPr="001946E0" w:rsidRDefault="002D62B9" w:rsidP="001B1A50">
            <w:pPr>
              <w:spacing w:after="0"/>
              <w:ind w:firstLine="0"/>
              <w:jc w:val="left"/>
              <w:rPr>
                <w:color w:val="000000"/>
                <w:sz w:val="20"/>
                <w:lang w:eastAsia="lv-LV"/>
              </w:rPr>
            </w:pPr>
            <w:r w:rsidRPr="001946E0">
              <w:rPr>
                <w:color w:val="000000"/>
                <w:sz w:val="20"/>
                <w:lang w:eastAsia="lv-LV"/>
              </w:rPr>
              <w:t> </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-3,3</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-2,1</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-1,6</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-1,1</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-0,6</w:t>
            </w:r>
          </w:p>
        </w:tc>
      </w:tr>
      <w:tr w:rsidR="002D62B9" w:rsidRPr="001946E0" w:rsidTr="00D01375">
        <w:trPr>
          <w:trHeight w:val="258"/>
        </w:trPr>
        <w:tc>
          <w:tcPr>
            <w:tcW w:w="3845" w:type="dxa"/>
            <w:shd w:val="clear" w:color="auto" w:fill="auto"/>
            <w:noWrap/>
            <w:vAlign w:val="bottom"/>
            <w:hideMark/>
          </w:tcPr>
          <w:p w:rsidR="002D62B9" w:rsidRPr="001946E0" w:rsidRDefault="002D62B9" w:rsidP="001B1A50">
            <w:pPr>
              <w:spacing w:after="0"/>
              <w:ind w:firstLine="0"/>
              <w:jc w:val="left"/>
              <w:rPr>
                <w:color w:val="000000"/>
                <w:sz w:val="20"/>
                <w:lang w:eastAsia="lv-LV"/>
              </w:rPr>
            </w:pPr>
            <w:r w:rsidRPr="001946E0">
              <w:rPr>
                <w:color w:val="000000"/>
                <w:sz w:val="20"/>
                <w:lang w:eastAsia="lv-LV"/>
              </w:rPr>
              <w:t>9. Cikliski koriģētā primārā bilance (8+3)</w:t>
            </w:r>
          </w:p>
        </w:tc>
        <w:tc>
          <w:tcPr>
            <w:tcW w:w="768" w:type="dxa"/>
            <w:shd w:val="clear" w:color="auto" w:fill="auto"/>
            <w:noWrap/>
            <w:vAlign w:val="bottom"/>
            <w:hideMark/>
          </w:tcPr>
          <w:p w:rsidR="002D62B9" w:rsidRPr="001946E0" w:rsidRDefault="002D62B9" w:rsidP="001B1A50">
            <w:pPr>
              <w:spacing w:after="0"/>
              <w:ind w:firstLine="0"/>
              <w:jc w:val="left"/>
              <w:rPr>
                <w:color w:val="000000"/>
                <w:sz w:val="20"/>
                <w:lang w:eastAsia="lv-LV"/>
              </w:rPr>
            </w:pPr>
            <w:r w:rsidRPr="001946E0">
              <w:rPr>
                <w:color w:val="000000"/>
                <w:sz w:val="20"/>
                <w:lang w:eastAsia="lv-LV"/>
              </w:rPr>
              <w:t> </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-1,8</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-0,4</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0,3</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1,1</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1,5</w:t>
            </w:r>
          </w:p>
        </w:tc>
      </w:tr>
      <w:tr w:rsidR="002D62B9" w:rsidRPr="001946E0" w:rsidTr="00D01375">
        <w:trPr>
          <w:trHeight w:val="270"/>
        </w:trPr>
        <w:tc>
          <w:tcPr>
            <w:tcW w:w="3845" w:type="dxa"/>
            <w:shd w:val="clear" w:color="auto" w:fill="auto"/>
            <w:noWrap/>
            <w:vAlign w:val="bottom"/>
            <w:hideMark/>
          </w:tcPr>
          <w:p w:rsidR="002D62B9" w:rsidRPr="001946E0" w:rsidRDefault="002D62B9" w:rsidP="001B1A50">
            <w:pPr>
              <w:spacing w:after="0"/>
              <w:ind w:firstLine="0"/>
              <w:jc w:val="left"/>
              <w:rPr>
                <w:color w:val="000000"/>
                <w:sz w:val="20"/>
                <w:lang w:eastAsia="lv-LV"/>
              </w:rPr>
            </w:pPr>
            <w:r w:rsidRPr="001946E0">
              <w:rPr>
                <w:color w:val="000000"/>
                <w:sz w:val="20"/>
                <w:lang w:eastAsia="lv-LV"/>
              </w:rPr>
              <w:t>10. Strukturālā bilance (8-4)</w:t>
            </w:r>
          </w:p>
        </w:tc>
        <w:tc>
          <w:tcPr>
            <w:tcW w:w="768" w:type="dxa"/>
            <w:shd w:val="clear" w:color="auto" w:fill="auto"/>
            <w:noWrap/>
            <w:vAlign w:val="bottom"/>
            <w:hideMark/>
          </w:tcPr>
          <w:p w:rsidR="002D62B9" w:rsidRPr="001946E0" w:rsidRDefault="002D62B9" w:rsidP="001B1A50">
            <w:pPr>
              <w:spacing w:after="0"/>
              <w:ind w:firstLine="0"/>
              <w:jc w:val="left"/>
              <w:rPr>
                <w:color w:val="000000"/>
                <w:sz w:val="20"/>
                <w:lang w:eastAsia="lv-LV"/>
              </w:rPr>
            </w:pPr>
            <w:r w:rsidRPr="001946E0">
              <w:rPr>
                <w:color w:val="000000"/>
                <w:sz w:val="20"/>
                <w:lang w:eastAsia="lv-LV"/>
              </w:rPr>
              <w:t> </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-3,1</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-2,1</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-1,6</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-1,1</w:t>
            </w:r>
          </w:p>
        </w:tc>
        <w:tc>
          <w:tcPr>
            <w:tcW w:w="710" w:type="dxa"/>
            <w:shd w:val="clear" w:color="auto" w:fill="auto"/>
            <w:noWrap/>
            <w:vAlign w:val="bottom"/>
            <w:hideMark/>
          </w:tcPr>
          <w:p w:rsidR="002D62B9" w:rsidRPr="001946E0" w:rsidRDefault="002D62B9" w:rsidP="001B1A50">
            <w:pPr>
              <w:spacing w:after="0"/>
              <w:ind w:firstLine="0"/>
              <w:jc w:val="right"/>
              <w:rPr>
                <w:color w:val="000000"/>
                <w:sz w:val="20"/>
                <w:lang w:eastAsia="lv-LV"/>
              </w:rPr>
            </w:pPr>
            <w:r w:rsidRPr="001946E0">
              <w:rPr>
                <w:color w:val="000000"/>
                <w:sz w:val="20"/>
                <w:lang w:eastAsia="lv-LV"/>
              </w:rPr>
              <w:t>-0,6</w:t>
            </w:r>
          </w:p>
        </w:tc>
      </w:tr>
    </w:tbl>
    <w:p w:rsidR="002D62B9" w:rsidRPr="001946E0" w:rsidRDefault="002D62B9" w:rsidP="002D62B9">
      <w:pPr>
        <w:spacing w:after="0"/>
        <w:ind w:firstLine="0"/>
        <w:rPr>
          <w:b/>
          <w:color w:val="000000"/>
          <w:szCs w:val="24"/>
        </w:rPr>
      </w:pPr>
    </w:p>
    <w:p w:rsidR="002D62B9" w:rsidRPr="001946E0" w:rsidRDefault="002D62B9" w:rsidP="002D62B9">
      <w:pPr>
        <w:pStyle w:val="T"/>
        <w:ind w:left="0"/>
        <w:rPr>
          <w:rFonts w:ascii="Times New Roman" w:hAnsi="Times New Roman"/>
          <w:color w:val="000000"/>
          <w:szCs w:val="24"/>
        </w:rPr>
      </w:pPr>
      <w:r w:rsidRPr="001946E0">
        <w:rPr>
          <w:rFonts w:ascii="Times New Roman" w:hAnsi="Times New Roman"/>
          <w:color w:val="000000"/>
          <w:szCs w:val="24"/>
        </w:rPr>
        <w:t>6. tabula. Salīdzinājums ar 2011.gada Konverģences programmas prognozēm</w:t>
      </w:r>
    </w:p>
    <w:tbl>
      <w:tblPr>
        <w:tblW w:w="91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8"/>
        <w:gridCol w:w="675"/>
        <w:gridCol w:w="911"/>
        <w:gridCol w:w="911"/>
        <w:gridCol w:w="911"/>
        <w:gridCol w:w="911"/>
        <w:gridCol w:w="911"/>
      </w:tblGrid>
      <w:tr w:rsidR="002D62B9" w:rsidRPr="001946E0" w:rsidTr="00D01375">
        <w:trPr>
          <w:cantSplit/>
        </w:trPr>
        <w:tc>
          <w:tcPr>
            <w:tcW w:w="3888" w:type="dxa"/>
          </w:tcPr>
          <w:p w:rsidR="002D62B9" w:rsidRPr="001946E0" w:rsidRDefault="002D62B9" w:rsidP="001B1A50">
            <w:pPr>
              <w:pStyle w:val="tabteksts"/>
              <w:rPr>
                <w:color w:val="000000"/>
              </w:rPr>
            </w:pPr>
          </w:p>
        </w:tc>
        <w:tc>
          <w:tcPr>
            <w:tcW w:w="675" w:type="dxa"/>
          </w:tcPr>
          <w:p w:rsidR="002D62B9" w:rsidRPr="001946E0" w:rsidRDefault="002D62B9" w:rsidP="001B1A50">
            <w:pPr>
              <w:pStyle w:val="tabteksts"/>
              <w:rPr>
                <w:color w:val="000000"/>
              </w:rPr>
            </w:pPr>
            <w:r w:rsidRPr="001946E0">
              <w:rPr>
                <w:color w:val="000000"/>
              </w:rPr>
              <w:t>EKS kods</w:t>
            </w:r>
          </w:p>
        </w:tc>
        <w:tc>
          <w:tcPr>
            <w:tcW w:w="911" w:type="dxa"/>
            <w:vAlign w:val="center"/>
          </w:tcPr>
          <w:p w:rsidR="002D62B9" w:rsidRPr="001946E0" w:rsidRDefault="002D62B9" w:rsidP="001B1A50">
            <w:pPr>
              <w:pStyle w:val="tabteksts"/>
              <w:jc w:val="center"/>
              <w:rPr>
                <w:b/>
                <w:color w:val="000000"/>
              </w:rPr>
            </w:pPr>
            <w:r w:rsidRPr="001946E0">
              <w:rPr>
                <w:b/>
                <w:color w:val="000000"/>
              </w:rPr>
              <w:t>2011</w:t>
            </w:r>
          </w:p>
        </w:tc>
        <w:tc>
          <w:tcPr>
            <w:tcW w:w="911" w:type="dxa"/>
            <w:vAlign w:val="center"/>
          </w:tcPr>
          <w:p w:rsidR="002D62B9" w:rsidRPr="001946E0" w:rsidRDefault="002D62B9" w:rsidP="001B1A50">
            <w:pPr>
              <w:pStyle w:val="tabteksts"/>
              <w:jc w:val="center"/>
              <w:rPr>
                <w:b/>
                <w:color w:val="000000"/>
              </w:rPr>
            </w:pPr>
            <w:r w:rsidRPr="001946E0">
              <w:rPr>
                <w:b/>
                <w:color w:val="000000"/>
              </w:rPr>
              <w:t>2012</w:t>
            </w:r>
          </w:p>
        </w:tc>
        <w:tc>
          <w:tcPr>
            <w:tcW w:w="911" w:type="dxa"/>
            <w:vAlign w:val="center"/>
          </w:tcPr>
          <w:p w:rsidR="002D62B9" w:rsidRPr="001946E0" w:rsidRDefault="002D62B9" w:rsidP="001B1A50">
            <w:pPr>
              <w:pStyle w:val="tabteksts"/>
              <w:jc w:val="center"/>
              <w:rPr>
                <w:b/>
                <w:color w:val="000000"/>
              </w:rPr>
            </w:pPr>
            <w:r w:rsidRPr="001946E0">
              <w:rPr>
                <w:b/>
                <w:color w:val="000000"/>
              </w:rPr>
              <w:t>2013</w:t>
            </w:r>
          </w:p>
        </w:tc>
        <w:tc>
          <w:tcPr>
            <w:tcW w:w="911" w:type="dxa"/>
            <w:vAlign w:val="center"/>
          </w:tcPr>
          <w:p w:rsidR="002D62B9" w:rsidRPr="001946E0" w:rsidRDefault="002D62B9" w:rsidP="001B1A50">
            <w:pPr>
              <w:pStyle w:val="tabteksts"/>
              <w:jc w:val="center"/>
              <w:rPr>
                <w:b/>
                <w:color w:val="000000"/>
              </w:rPr>
            </w:pPr>
            <w:r w:rsidRPr="001946E0">
              <w:rPr>
                <w:b/>
                <w:color w:val="000000"/>
              </w:rPr>
              <w:t>2014</w:t>
            </w:r>
          </w:p>
        </w:tc>
        <w:tc>
          <w:tcPr>
            <w:tcW w:w="911" w:type="dxa"/>
            <w:vAlign w:val="center"/>
          </w:tcPr>
          <w:p w:rsidR="002D62B9" w:rsidRPr="001946E0" w:rsidRDefault="002D62B9" w:rsidP="001B1A50">
            <w:pPr>
              <w:pStyle w:val="tabteksts"/>
              <w:jc w:val="center"/>
              <w:rPr>
                <w:b/>
                <w:color w:val="000000"/>
              </w:rPr>
            </w:pPr>
            <w:r w:rsidRPr="001946E0">
              <w:rPr>
                <w:b/>
                <w:color w:val="000000"/>
              </w:rPr>
              <w:t>2015</w:t>
            </w:r>
          </w:p>
        </w:tc>
      </w:tr>
      <w:tr w:rsidR="002D62B9" w:rsidRPr="001946E0" w:rsidTr="00D01375">
        <w:trPr>
          <w:cantSplit/>
        </w:trPr>
        <w:tc>
          <w:tcPr>
            <w:tcW w:w="3888" w:type="dxa"/>
          </w:tcPr>
          <w:p w:rsidR="002D62B9" w:rsidRPr="001946E0" w:rsidRDefault="002D62B9" w:rsidP="001B1A50">
            <w:pPr>
              <w:pStyle w:val="tabteksts"/>
              <w:rPr>
                <w:snapToGrid w:val="0"/>
                <w:color w:val="000000"/>
              </w:rPr>
            </w:pPr>
            <w:r w:rsidRPr="001946E0">
              <w:rPr>
                <w:b/>
                <w:color w:val="000000"/>
              </w:rPr>
              <w:t>IKP pieaugums (%)</w:t>
            </w:r>
          </w:p>
        </w:tc>
        <w:tc>
          <w:tcPr>
            <w:tcW w:w="675" w:type="dxa"/>
          </w:tcPr>
          <w:p w:rsidR="002D62B9" w:rsidRPr="001946E0" w:rsidRDefault="002D62B9" w:rsidP="001B1A50">
            <w:pPr>
              <w:pStyle w:val="tabteksts"/>
              <w:rPr>
                <w:color w:val="000000"/>
              </w:rPr>
            </w:pPr>
            <w:r w:rsidRPr="001946E0">
              <w:rPr>
                <w:color w:val="000000"/>
              </w:rPr>
              <w:t>B1g</w:t>
            </w:r>
          </w:p>
        </w:tc>
        <w:tc>
          <w:tcPr>
            <w:tcW w:w="911" w:type="dxa"/>
            <w:vAlign w:val="bottom"/>
          </w:tcPr>
          <w:p w:rsidR="002D62B9" w:rsidRPr="001946E0" w:rsidRDefault="002D62B9" w:rsidP="001B1A50">
            <w:pPr>
              <w:pStyle w:val="tabteksts"/>
              <w:rPr>
                <w:color w:val="000000"/>
              </w:rPr>
            </w:pPr>
          </w:p>
        </w:tc>
        <w:tc>
          <w:tcPr>
            <w:tcW w:w="911" w:type="dxa"/>
            <w:vAlign w:val="bottom"/>
          </w:tcPr>
          <w:p w:rsidR="002D62B9" w:rsidRPr="001946E0" w:rsidRDefault="002D62B9" w:rsidP="001B1A50">
            <w:pPr>
              <w:pStyle w:val="tabteksts"/>
              <w:rPr>
                <w:color w:val="000000"/>
              </w:rPr>
            </w:pPr>
          </w:p>
        </w:tc>
        <w:tc>
          <w:tcPr>
            <w:tcW w:w="911" w:type="dxa"/>
            <w:vAlign w:val="bottom"/>
          </w:tcPr>
          <w:p w:rsidR="002D62B9" w:rsidRPr="001946E0" w:rsidRDefault="002D62B9" w:rsidP="001B1A50">
            <w:pPr>
              <w:pStyle w:val="tabteksts"/>
              <w:rPr>
                <w:color w:val="000000"/>
              </w:rPr>
            </w:pPr>
          </w:p>
        </w:tc>
        <w:tc>
          <w:tcPr>
            <w:tcW w:w="911" w:type="dxa"/>
            <w:vAlign w:val="bottom"/>
          </w:tcPr>
          <w:p w:rsidR="002D62B9" w:rsidRPr="001946E0" w:rsidRDefault="002D62B9" w:rsidP="001B1A50">
            <w:pPr>
              <w:pStyle w:val="tabteksts"/>
              <w:rPr>
                <w:rFonts w:eastAsia="Arial Unicode MS"/>
                <w:color w:val="000000"/>
              </w:rPr>
            </w:pPr>
          </w:p>
        </w:tc>
        <w:tc>
          <w:tcPr>
            <w:tcW w:w="911" w:type="dxa"/>
            <w:vAlign w:val="bottom"/>
          </w:tcPr>
          <w:p w:rsidR="002D62B9" w:rsidRPr="001946E0" w:rsidRDefault="002D62B9" w:rsidP="001B1A50">
            <w:pPr>
              <w:pStyle w:val="tabteksts"/>
              <w:rPr>
                <w:color w:val="000000"/>
              </w:rPr>
            </w:pPr>
          </w:p>
        </w:tc>
      </w:tr>
      <w:tr w:rsidR="002D62B9" w:rsidRPr="001946E0" w:rsidTr="00D01375">
        <w:trPr>
          <w:cantSplit/>
        </w:trPr>
        <w:tc>
          <w:tcPr>
            <w:tcW w:w="3888" w:type="dxa"/>
          </w:tcPr>
          <w:p w:rsidR="002D62B9" w:rsidRPr="001946E0" w:rsidRDefault="002D62B9" w:rsidP="001B1A50">
            <w:pPr>
              <w:pStyle w:val="tabteksts"/>
              <w:jc w:val="center"/>
              <w:rPr>
                <w:color w:val="000000"/>
              </w:rPr>
            </w:pPr>
            <w:r w:rsidRPr="001946E0">
              <w:rPr>
                <w:color w:val="000000"/>
              </w:rPr>
              <w:t>2011. gads</w:t>
            </w:r>
          </w:p>
        </w:tc>
        <w:tc>
          <w:tcPr>
            <w:tcW w:w="675" w:type="dxa"/>
          </w:tcPr>
          <w:p w:rsidR="002D62B9" w:rsidRPr="001946E0" w:rsidRDefault="002D62B9" w:rsidP="001B1A50">
            <w:pPr>
              <w:pStyle w:val="tabteksts"/>
              <w:jc w:val="center"/>
              <w:rPr>
                <w:color w:val="000000"/>
              </w:rPr>
            </w:pPr>
          </w:p>
        </w:tc>
        <w:tc>
          <w:tcPr>
            <w:tcW w:w="911" w:type="dxa"/>
            <w:vAlign w:val="center"/>
          </w:tcPr>
          <w:p w:rsidR="002D62B9" w:rsidRPr="001946E0" w:rsidRDefault="002D62B9" w:rsidP="001B1A50">
            <w:pPr>
              <w:spacing w:after="0"/>
              <w:ind w:firstLine="0"/>
              <w:jc w:val="center"/>
              <w:rPr>
                <w:color w:val="000000"/>
                <w:sz w:val="20"/>
              </w:rPr>
            </w:pPr>
            <w:r w:rsidRPr="001946E0">
              <w:rPr>
                <w:color w:val="000000"/>
                <w:sz w:val="20"/>
              </w:rPr>
              <w:t>3,3</w:t>
            </w:r>
          </w:p>
        </w:tc>
        <w:tc>
          <w:tcPr>
            <w:tcW w:w="911" w:type="dxa"/>
            <w:vAlign w:val="center"/>
          </w:tcPr>
          <w:p w:rsidR="002D62B9" w:rsidRPr="001946E0" w:rsidRDefault="002D62B9" w:rsidP="001B1A50">
            <w:pPr>
              <w:spacing w:after="0"/>
              <w:ind w:firstLine="0"/>
              <w:jc w:val="center"/>
              <w:rPr>
                <w:color w:val="000000"/>
                <w:sz w:val="20"/>
              </w:rPr>
            </w:pPr>
            <w:r w:rsidRPr="001946E0">
              <w:rPr>
                <w:color w:val="000000"/>
                <w:sz w:val="20"/>
              </w:rPr>
              <w:t>4,0</w:t>
            </w:r>
          </w:p>
        </w:tc>
        <w:tc>
          <w:tcPr>
            <w:tcW w:w="911" w:type="dxa"/>
            <w:vAlign w:val="center"/>
          </w:tcPr>
          <w:p w:rsidR="002D62B9" w:rsidRPr="001946E0" w:rsidRDefault="002D62B9" w:rsidP="001B1A50">
            <w:pPr>
              <w:spacing w:after="0"/>
              <w:ind w:firstLine="0"/>
              <w:jc w:val="center"/>
              <w:rPr>
                <w:color w:val="000000"/>
                <w:sz w:val="20"/>
              </w:rPr>
            </w:pPr>
            <w:r w:rsidRPr="001946E0">
              <w:rPr>
                <w:color w:val="000000"/>
                <w:sz w:val="20"/>
              </w:rPr>
              <w:t>4,0</w:t>
            </w:r>
          </w:p>
        </w:tc>
        <w:tc>
          <w:tcPr>
            <w:tcW w:w="911" w:type="dxa"/>
            <w:vAlign w:val="center"/>
          </w:tcPr>
          <w:p w:rsidR="002D62B9" w:rsidRPr="001946E0" w:rsidRDefault="002D62B9" w:rsidP="001B1A50">
            <w:pPr>
              <w:spacing w:after="0"/>
              <w:ind w:firstLine="0"/>
              <w:jc w:val="center"/>
              <w:rPr>
                <w:color w:val="000000"/>
                <w:sz w:val="20"/>
              </w:rPr>
            </w:pPr>
            <w:r w:rsidRPr="001946E0">
              <w:rPr>
                <w:color w:val="000000"/>
                <w:sz w:val="20"/>
              </w:rPr>
              <w:t>4,0</w:t>
            </w:r>
          </w:p>
        </w:tc>
        <w:tc>
          <w:tcPr>
            <w:tcW w:w="911" w:type="dxa"/>
            <w:vAlign w:val="bottom"/>
          </w:tcPr>
          <w:p w:rsidR="002D62B9" w:rsidRPr="001946E0" w:rsidRDefault="002D62B9" w:rsidP="001B1A50">
            <w:pPr>
              <w:spacing w:after="0"/>
              <w:ind w:firstLine="0"/>
              <w:jc w:val="center"/>
              <w:rPr>
                <w:rFonts w:eastAsia="Arial Unicode MS"/>
                <w:color w:val="000000"/>
              </w:rPr>
            </w:pPr>
            <w:r w:rsidRPr="001946E0">
              <w:rPr>
                <w:color w:val="000000"/>
                <w:sz w:val="20"/>
              </w:rPr>
              <w:t>-</w:t>
            </w:r>
          </w:p>
        </w:tc>
      </w:tr>
      <w:tr w:rsidR="002D62B9" w:rsidRPr="001946E0" w:rsidTr="00D01375">
        <w:trPr>
          <w:cantSplit/>
        </w:trPr>
        <w:tc>
          <w:tcPr>
            <w:tcW w:w="3888" w:type="dxa"/>
          </w:tcPr>
          <w:p w:rsidR="002D62B9" w:rsidRPr="001946E0" w:rsidRDefault="002D62B9" w:rsidP="001B1A50">
            <w:pPr>
              <w:pStyle w:val="tabteksts"/>
              <w:jc w:val="center"/>
              <w:rPr>
                <w:color w:val="000000"/>
              </w:rPr>
            </w:pPr>
            <w:r w:rsidRPr="001946E0">
              <w:rPr>
                <w:color w:val="000000"/>
              </w:rPr>
              <w:t>2012. gads</w:t>
            </w:r>
          </w:p>
        </w:tc>
        <w:tc>
          <w:tcPr>
            <w:tcW w:w="675" w:type="dxa"/>
          </w:tcPr>
          <w:p w:rsidR="002D62B9" w:rsidRPr="001946E0" w:rsidRDefault="002D62B9" w:rsidP="001B1A50">
            <w:pPr>
              <w:pStyle w:val="tabteksts"/>
              <w:jc w:val="center"/>
              <w:rPr>
                <w:color w:val="000000"/>
              </w:rPr>
            </w:pPr>
          </w:p>
        </w:tc>
        <w:tc>
          <w:tcPr>
            <w:tcW w:w="911" w:type="dxa"/>
            <w:vAlign w:val="bottom"/>
          </w:tcPr>
          <w:p w:rsidR="002D62B9" w:rsidRPr="001946E0" w:rsidRDefault="002D62B9" w:rsidP="001B1A50">
            <w:pPr>
              <w:spacing w:after="0"/>
              <w:ind w:firstLine="0"/>
              <w:jc w:val="center"/>
              <w:rPr>
                <w:color w:val="000000"/>
                <w:sz w:val="20"/>
              </w:rPr>
            </w:pPr>
            <w:r w:rsidRPr="001946E0">
              <w:rPr>
                <w:color w:val="000000"/>
                <w:sz w:val="20"/>
              </w:rPr>
              <w:t>5,5</w:t>
            </w:r>
          </w:p>
        </w:tc>
        <w:tc>
          <w:tcPr>
            <w:tcW w:w="911" w:type="dxa"/>
            <w:vAlign w:val="bottom"/>
          </w:tcPr>
          <w:p w:rsidR="002D62B9" w:rsidRPr="001946E0" w:rsidRDefault="002D62B9" w:rsidP="001B1A50">
            <w:pPr>
              <w:spacing w:after="0"/>
              <w:ind w:firstLine="0"/>
              <w:jc w:val="center"/>
              <w:rPr>
                <w:color w:val="000000"/>
                <w:sz w:val="20"/>
              </w:rPr>
            </w:pPr>
            <w:r w:rsidRPr="001946E0">
              <w:rPr>
                <w:color w:val="000000"/>
                <w:sz w:val="20"/>
              </w:rPr>
              <w:t>2,0</w:t>
            </w:r>
          </w:p>
        </w:tc>
        <w:tc>
          <w:tcPr>
            <w:tcW w:w="911" w:type="dxa"/>
            <w:vAlign w:val="bottom"/>
          </w:tcPr>
          <w:p w:rsidR="002D62B9" w:rsidRPr="001946E0" w:rsidRDefault="002D62B9" w:rsidP="001B1A50">
            <w:pPr>
              <w:spacing w:after="0"/>
              <w:ind w:firstLine="0"/>
              <w:jc w:val="center"/>
              <w:rPr>
                <w:color w:val="000000"/>
                <w:sz w:val="20"/>
              </w:rPr>
            </w:pPr>
            <w:r w:rsidRPr="001946E0">
              <w:rPr>
                <w:color w:val="000000"/>
                <w:sz w:val="20"/>
              </w:rPr>
              <w:t>3,7</w:t>
            </w:r>
          </w:p>
        </w:tc>
        <w:tc>
          <w:tcPr>
            <w:tcW w:w="911" w:type="dxa"/>
            <w:vAlign w:val="bottom"/>
          </w:tcPr>
          <w:p w:rsidR="002D62B9" w:rsidRPr="001946E0" w:rsidRDefault="002D62B9" w:rsidP="001B1A50">
            <w:pPr>
              <w:spacing w:after="0"/>
              <w:ind w:firstLine="0"/>
              <w:jc w:val="center"/>
              <w:rPr>
                <w:color w:val="000000"/>
                <w:sz w:val="20"/>
              </w:rPr>
            </w:pPr>
            <w:r w:rsidRPr="001946E0">
              <w:rPr>
                <w:color w:val="000000"/>
                <w:sz w:val="20"/>
              </w:rPr>
              <w:t>4,0</w:t>
            </w:r>
          </w:p>
        </w:tc>
        <w:tc>
          <w:tcPr>
            <w:tcW w:w="911" w:type="dxa"/>
            <w:vAlign w:val="bottom"/>
          </w:tcPr>
          <w:p w:rsidR="002D62B9" w:rsidRPr="001946E0" w:rsidRDefault="002D62B9" w:rsidP="001B1A50">
            <w:pPr>
              <w:spacing w:after="0"/>
              <w:ind w:firstLine="0"/>
              <w:jc w:val="center"/>
              <w:rPr>
                <w:color w:val="000000"/>
                <w:sz w:val="20"/>
              </w:rPr>
            </w:pPr>
            <w:r w:rsidRPr="001946E0">
              <w:rPr>
                <w:color w:val="000000"/>
                <w:sz w:val="20"/>
              </w:rPr>
              <w:t>4,0</w:t>
            </w:r>
          </w:p>
        </w:tc>
      </w:tr>
      <w:tr w:rsidR="002D62B9" w:rsidRPr="001946E0" w:rsidTr="00D01375">
        <w:trPr>
          <w:cantSplit/>
        </w:trPr>
        <w:tc>
          <w:tcPr>
            <w:tcW w:w="3888" w:type="dxa"/>
          </w:tcPr>
          <w:p w:rsidR="002D62B9" w:rsidRPr="001946E0" w:rsidRDefault="002D62B9" w:rsidP="001B1A50">
            <w:pPr>
              <w:pStyle w:val="tabteksts"/>
              <w:jc w:val="center"/>
              <w:rPr>
                <w:snapToGrid w:val="0"/>
                <w:color w:val="000000"/>
              </w:rPr>
            </w:pPr>
            <w:r w:rsidRPr="001946E0">
              <w:rPr>
                <w:snapToGrid w:val="0"/>
                <w:color w:val="000000"/>
              </w:rPr>
              <w:t>Izmaiņas</w:t>
            </w:r>
          </w:p>
        </w:tc>
        <w:tc>
          <w:tcPr>
            <w:tcW w:w="675" w:type="dxa"/>
          </w:tcPr>
          <w:p w:rsidR="002D62B9" w:rsidRPr="001946E0" w:rsidRDefault="002D62B9" w:rsidP="001B1A50">
            <w:pPr>
              <w:pStyle w:val="tabteksts"/>
              <w:jc w:val="center"/>
              <w:rPr>
                <w:color w:val="000000"/>
              </w:rPr>
            </w:pPr>
          </w:p>
        </w:tc>
        <w:tc>
          <w:tcPr>
            <w:tcW w:w="911" w:type="dxa"/>
            <w:vAlign w:val="bottom"/>
          </w:tcPr>
          <w:p w:rsidR="002D62B9" w:rsidRPr="001946E0" w:rsidRDefault="002D62B9" w:rsidP="001B1A50">
            <w:pPr>
              <w:spacing w:after="0"/>
              <w:ind w:firstLine="0"/>
              <w:jc w:val="center"/>
              <w:rPr>
                <w:color w:val="000000"/>
                <w:sz w:val="20"/>
              </w:rPr>
            </w:pPr>
            <w:r w:rsidRPr="001946E0">
              <w:rPr>
                <w:color w:val="000000"/>
                <w:sz w:val="20"/>
              </w:rPr>
              <w:t>2,2</w:t>
            </w:r>
          </w:p>
        </w:tc>
        <w:tc>
          <w:tcPr>
            <w:tcW w:w="911" w:type="dxa"/>
            <w:vAlign w:val="bottom"/>
          </w:tcPr>
          <w:p w:rsidR="002D62B9" w:rsidRPr="001946E0" w:rsidRDefault="002D62B9" w:rsidP="001B1A50">
            <w:pPr>
              <w:spacing w:after="0"/>
              <w:ind w:firstLine="0"/>
              <w:jc w:val="center"/>
              <w:rPr>
                <w:color w:val="000000"/>
                <w:sz w:val="20"/>
              </w:rPr>
            </w:pPr>
            <w:r w:rsidRPr="001946E0">
              <w:rPr>
                <w:color w:val="000000"/>
                <w:sz w:val="20"/>
              </w:rPr>
              <w:t>-2,0</w:t>
            </w:r>
          </w:p>
        </w:tc>
        <w:tc>
          <w:tcPr>
            <w:tcW w:w="911" w:type="dxa"/>
            <w:vAlign w:val="bottom"/>
          </w:tcPr>
          <w:p w:rsidR="002D62B9" w:rsidRPr="001946E0" w:rsidRDefault="002D62B9" w:rsidP="001B1A50">
            <w:pPr>
              <w:spacing w:after="0"/>
              <w:ind w:firstLine="0"/>
              <w:jc w:val="center"/>
              <w:rPr>
                <w:color w:val="000000"/>
                <w:sz w:val="20"/>
              </w:rPr>
            </w:pPr>
            <w:r w:rsidRPr="001946E0">
              <w:rPr>
                <w:color w:val="000000"/>
                <w:sz w:val="20"/>
              </w:rPr>
              <w:t>-0,3</w:t>
            </w:r>
          </w:p>
        </w:tc>
        <w:tc>
          <w:tcPr>
            <w:tcW w:w="911" w:type="dxa"/>
            <w:vAlign w:val="bottom"/>
          </w:tcPr>
          <w:p w:rsidR="002D62B9" w:rsidRPr="001946E0" w:rsidRDefault="002D62B9" w:rsidP="001B1A50">
            <w:pPr>
              <w:spacing w:after="0"/>
              <w:ind w:firstLine="0"/>
              <w:jc w:val="center"/>
              <w:rPr>
                <w:color w:val="000000"/>
                <w:sz w:val="20"/>
              </w:rPr>
            </w:pPr>
            <w:r w:rsidRPr="001946E0">
              <w:rPr>
                <w:color w:val="000000"/>
                <w:sz w:val="20"/>
              </w:rPr>
              <w:t>0,0</w:t>
            </w:r>
          </w:p>
        </w:tc>
        <w:tc>
          <w:tcPr>
            <w:tcW w:w="911" w:type="dxa"/>
            <w:vAlign w:val="bottom"/>
          </w:tcPr>
          <w:p w:rsidR="002D62B9" w:rsidRPr="001946E0" w:rsidRDefault="002D62B9" w:rsidP="001B1A50">
            <w:pPr>
              <w:spacing w:after="0"/>
              <w:ind w:firstLine="0"/>
              <w:jc w:val="center"/>
              <w:rPr>
                <w:color w:val="000000"/>
                <w:sz w:val="20"/>
              </w:rPr>
            </w:pPr>
            <w:r w:rsidRPr="001946E0">
              <w:rPr>
                <w:color w:val="000000"/>
                <w:sz w:val="20"/>
              </w:rPr>
              <w:t>-</w:t>
            </w:r>
          </w:p>
        </w:tc>
      </w:tr>
      <w:tr w:rsidR="002D62B9" w:rsidRPr="001946E0" w:rsidTr="00D01375">
        <w:trPr>
          <w:cantSplit/>
        </w:trPr>
        <w:tc>
          <w:tcPr>
            <w:tcW w:w="3888" w:type="dxa"/>
          </w:tcPr>
          <w:p w:rsidR="002D62B9" w:rsidRPr="001946E0" w:rsidRDefault="002D62B9" w:rsidP="001B1A50">
            <w:pPr>
              <w:pStyle w:val="tabteksts"/>
              <w:rPr>
                <w:snapToGrid w:val="0"/>
                <w:color w:val="000000"/>
              </w:rPr>
            </w:pPr>
            <w:r w:rsidRPr="001946E0">
              <w:rPr>
                <w:b/>
                <w:color w:val="000000"/>
              </w:rPr>
              <w:t>Faktiskā budžeta bilance (% no IKP)</w:t>
            </w:r>
          </w:p>
        </w:tc>
        <w:tc>
          <w:tcPr>
            <w:tcW w:w="675" w:type="dxa"/>
          </w:tcPr>
          <w:p w:rsidR="002D62B9" w:rsidRPr="001946E0" w:rsidRDefault="002D62B9" w:rsidP="001B1A50">
            <w:pPr>
              <w:pStyle w:val="tabteksts"/>
              <w:rPr>
                <w:color w:val="000000"/>
              </w:rPr>
            </w:pPr>
            <w:r w:rsidRPr="001946E0">
              <w:rPr>
                <w:color w:val="000000"/>
              </w:rPr>
              <w:t>B.9</w:t>
            </w:r>
          </w:p>
        </w:tc>
        <w:tc>
          <w:tcPr>
            <w:tcW w:w="911" w:type="dxa"/>
            <w:vAlign w:val="bottom"/>
          </w:tcPr>
          <w:p w:rsidR="002D62B9" w:rsidRPr="001946E0" w:rsidRDefault="002D62B9" w:rsidP="001B1A50">
            <w:pPr>
              <w:pStyle w:val="tabteksts"/>
              <w:tabs>
                <w:tab w:val="decimal" w:pos="330"/>
              </w:tabs>
              <w:jc w:val="center"/>
              <w:rPr>
                <w:color w:val="000000"/>
              </w:rPr>
            </w:pPr>
          </w:p>
        </w:tc>
        <w:tc>
          <w:tcPr>
            <w:tcW w:w="911" w:type="dxa"/>
            <w:vAlign w:val="bottom"/>
          </w:tcPr>
          <w:p w:rsidR="002D62B9" w:rsidRPr="001946E0" w:rsidRDefault="002D62B9" w:rsidP="001B1A50">
            <w:pPr>
              <w:pStyle w:val="tabteksts"/>
              <w:tabs>
                <w:tab w:val="decimal" w:pos="330"/>
              </w:tabs>
              <w:jc w:val="center"/>
              <w:rPr>
                <w:color w:val="000000"/>
              </w:rPr>
            </w:pPr>
          </w:p>
        </w:tc>
        <w:tc>
          <w:tcPr>
            <w:tcW w:w="911" w:type="dxa"/>
            <w:vAlign w:val="bottom"/>
          </w:tcPr>
          <w:p w:rsidR="002D62B9" w:rsidRPr="001946E0" w:rsidRDefault="002D62B9" w:rsidP="001B1A50">
            <w:pPr>
              <w:pStyle w:val="tabteksts"/>
              <w:tabs>
                <w:tab w:val="decimal" w:pos="330"/>
              </w:tabs>
              <w:jc w:val="center"/>
              <w:rPr>
                <w:color w:val="000000"/>
              </w:rPr>
            </w:pPr>
          </w:p>
        </w:tc>
        <w:tc>
          <w:tcPr>
            <w:tcW w:w="911" w:type="dxa"/>
            <w:vAlign w:val="bottom"/>
          </w:tcPr>
          <w:p w:rsidR="002D62B9" w:rsidRPr="001946E0" w:rsidRDefault="002D62B9" w:rsidP="001B1A50">
            <w:pPr>
              <w:pStyle w:val="tabteksts"/>
              <w:tabs>
                <w:tab w:val="decimal" w:pos="330"/>
              </w:tabs>
              <w:jc w:val="center"/>
              <w:rPr>
                <w:rFonts w:eastAsia="Arial Unicode MS"/>
                <w:color w:val="000000"/>
              </w:rPr>
            </w:pPr>
          </w:p>
        </w:tc>
        <w:tc>
          <w:tcPr>
            <w:tcW w:w="911" w:type="dxa"/>
            <w:vAlign w:val="bottom"/>
          </w:tcPr>
          <w:p w:rsidR="002D62B9" w:rsidRPr="001946E0" w:rsidRDefault="002D62B9" w:rsidP="001B1A50">
            <w:pPr>
              <w:pStyle w:val="tabteksts"/>
              <w:tabs>
                <w:tab w:val="decimal" w:pos="330"/>
              </w:tabs>
              <w:jc w:val="center"/>
              <w:rPr>
                <w:color w:val="000000"/>
              </w:rPr>
            </w:pPr>
          </w:p>
        </w:tc>
      </w:tr>
      <w:tr w:rsidR="002D62B9" w:rsidRPr="001946E0" w:rsidTr="00D01375">
        <w:trPr>
          <w:cantSplit/>
        </w:trPr>
        <w:tc>
          <w:tcPr>
            <w:tcW w:w="3888" w:type="dxa"/>
          </w:tcPr>
          <w:p w:rsidR="002D62B9" w:rsidRPr="001946E0" w:rsidRDefault="002D62B9" w:rsidP="001B1A50">
            <w:pPr>
              <w:pStyle w:val="tabteksts"/>
              <w:rPr>
                <w:color w:val="000000"/>
              </w:rPr>
            </w:pPr>
            <w:r w:rsidRPr="001946E0">
              <w:rPr>
                <w:color w:val="000000"/>
              </w:rPr>
              <w:t>2011. gads</w:t>
            </w:r>
          </w:p>
        </w:tc>
        <w:tc>
          <w:tcPr>
            <w:tcW w:w="675" w:type="dxa"/>
          </w:tcPr>
          <w:p w:rsidR="002D62B9" w:rsidRPr="001946E0" w:rsidRDefault="002D62B9" w:rsidP="001B1A50">
            <w:pPr>
              <w:pStyle w:val="tabteksts"/>
              <w:rPr>
                <w:color w:val="000000"/>
              </w:rPr>
            </w:pPr>
          </w:p>
        </w:tc>
        <w:tc>
          <w:tcPr>
            <w:tcW w:w="911" w:type="dxa"/>
          </w:tcPr>
          <w:p w:rsidR="002D62B9" w:rsidRPr="001946E0" w:rsidRDefault="002D62B9" w:rsidP="001B1A50">
            <w:pPr>
              <w:pStyle w:val="tabteksts"/>
              <w:jc w:val="center"/>
              <w:rPr>
                <w:color w:val="000000"/>
              </w:rPr>
            </w:pPr>
            <w:r w:rsidRPr="001946E0">
              <w:rPr>
                <w:color w:val="000000"/>
              </w:rPr>
              <w:t>-4,5</w:t>
            </w:r>
          </w:p>
        </w:tc>
        <w:tc>
          <w:tcPr>
            <w:tcW w:w="911" w:type="dxa"/>
          </w:tcPr>
          <w:p w:rsidR="002D62B9" w:rsidRPr="001946E0" w:rsidRDefault="002D62B9" w:rsidP="001B1A50">
            <w:pPr>
              <w:pStyle w:val="tabteksts"/>
              <w:jc w:val="center"/>
              <w:rPr>
                <w:color w:val="000000"/>
              </w:rPr>
            </w:pPr>
            <w:r w:rsidRPr="001946E0">
              <w:rPr>
                <w:color w:val="000000"/>
              </w:rPr>
              <w:t>-2,5</w:t>
            </w:r>
          </w:p>
        </w:tc>
        <w:tc>
          <w:tcPr>
            <w:tcW w:w="911" w:type="dxa"/>
          </w:tcPr>
          <w:p w:rsidR="002D62B9" w:rsidRPr="001946E0" w:rsidRDefault="002D62B9" w:rsidP="001B1A50">
            <w:pPr>
              <w:pStyle w:val="tabteksts"/>
              <w:jc w:val="center"/>
              <w:rPr>
                <w:color w:val="000000"/>
              </w:rPr>
            </w:pPr>
            <w:r w:rsidRPr="001946E0">
              <w:rPr>
                <w:color w:val="000000"/>
              </w:rPr>
              <w:t>-1,9</w:t>
            </w:r>
          </w:p>
        </w:tc>
        <w:tc>
          <w:tcPr>
            <w:tcW w:w="911" w:type="dxa"/>
            <w:vAlign w:val="bottom"/>
          </w:tcPr>
          <w:p w:rsidR="002D62B9" w:rsidRPr="001946E0" w:rsidRDefault="002D62B9" w:rsidP="001B1A50">
            <w:pPr>
              <w:pStyle w:val="tabteksts"/>
              <w:jc w:val="center"/>
              <w:rPr>
                <w:rFonts w:eastAsia="Arial Unicode MS"/>
                <w:color w:val="000000"/>
              </w:rPr>
            </w:pPr>
            <w:r w:rsidRPr="001946E0">
              <w:rPr>
                <w:rFonts w:eastAsia="Arial Unicode MS"/>
                <w:color w:val="000000"/>
              </w:rPr>
              <w:t>-1,1</w:t>
            </w:r>
          </w:p>
        </w:tc>
        <w:tc>
          <w:tcPr>
            <w:tcW w:w="911" w:type="dxa"/>
            <w:vAlign w:val="bottom"/>
          </w:tcPr>
          <w:p w:rsidR="002D62B9" w:rsidRPr="001946E0" w:rsidRDefault="002D62B9" w:rsidP="001B1A50">
            <w:pPr>
              <w:pStyle w:val="tabteksts"/>
              <w:jc w:val="center"/>
              <w:rPr>
                <w:rFonts w:eastAsia="Arial Unicode MS"/>
                <w:color w:val="000000"/>
              </w:rPr>
            </w:pPr>
            <w:r w:rsidRPr="001946E0">
              <w:rPr>
                <w:rFonts w:eastAsia="Arial Unicode MS"/>
                <w:color w:val="000000"/>
              </w:rPr>
              <w:t>-</w:t>
            </w:r>
          </w:p>
        </w:tc>
      </w:tr>
      <w:tr w:rsidR="002D62B9" w:rsidRPr="001946E0" w:rsidTr="00D01375">
        <w:trPr>
          <w:cantSplit/>
        </w:trPr>
        <w:tc>
          <w:tcPr>
            <w:tcW w:w="3888" w:type="dxa"/>
          </w:tcPr>
          <w:p w:rsidR="002D62B9" w:rsidRPr="001946E0" w:rsidRDefault="002D62B9" w:rsidP="001B1A50">
            <w:pPr>
              <w:pStyle w:val="tabteksts"/>
              <w:rPr>
                <w:color w:val="000000"/>
              </w:rPr>
            </w:pPr>
            <w:r w:rsidRPr="001946E0">
              <w:rPr>
                <w:color w:val="000000"/>
              </w:rPr>
              <w:t>2012. gads</w:t>
            </w:r>
          </w:p>
        </w:tc>
        <w:tc>
          <w:tcPr>
            <w:tcW w:w="675" w:type="dxa"/>
          </w:tcPr>
          <w:p w:rsidR="002D62B9" w:rsidRPr="001946E0" w:rsidRDefault="002D62B9" w:rsidP="001B1A50">
            <w:pPr>
              <w:pStyle w:val="tabteksts"/>
              <w:rPr>
                <w:color w:val="000000"/>
              </w:rPr>
            </w:pPr>
          </w:p>
        </w:tc>
        <w:tc>
          <w:tcPr>
            <w:tcW w:w="911" w:type="dxa"/>
            <w:vAlign w:val="bottom"/>
          </w:tcPr>
          <w:p w:rsidR="002D62B9" w:rsidRPr="001946E0" w:rsidRDefault="002D62B9" w:rsidP="001B1A50">
            <w:pPr>
              <w:pStyle w:val="tabteksts"/>
              <w:jc w:val="center"/>
              <w:rPr>
                <w:rFonts w:eastAsia="Arial Unicode MS"/>
                <w:color w:val="000000"/>
              </w:rPr>
            </w:pPr>
            <w:r w:rsidRPr="001946E0">
              <w:rPr>
                <w:rFonts w:eastAsia="Arial Unicode MS"/>
                <w:color w:val="000000"/>
              </w:rPr>
              <w:t>-3,5</w:t>
            </w:r>
          </w:p>
        </w:tc>
        <w:tc>
          <w:tcPr>
            <w:tcW w:w="911" w:type="dxa"/>
            <w:vAlign w:val="bottom"/>
          </w:tcPr>
          <w:p w:rsidR="002D62B9" w:rsidRPr="001946E0" w:rsidRDefault="002D62B9" w:rsidP="001B1A50">
            <w:pPr>
              <w:pStyle w:val="tabteksts"/>
              <w:jc w:val="center"/>
              <w:rPr>
                <w:rFonts w:eastAsia="Arial Unicode MS"/>
                <w:color w:val="000000"/>
              </w:rPr>
            </w:pPr>
            <w:r w:rsidRPr="001946E0">
              <w:rPr>
                <w:rFonts w:eastAsia="Arial Unicode MS"/>
                <w:color w:val="000000"/>
              </w:rPr>
              <w:t>-2,1</w:t>
            </w:r>
          </w:p>
        </w:tc>
        <w:tc>
          <w:tcPr>
            <w:tcW w:w="911" w:type="dxa"/>
            <w:vAlign w:val="bottom"/>
          </w:tcPr>
          <w:p w:rsidR="002D62B9" w:rsidRPr="001946E0" w:rsidRDefault="002D62B9" w:rsidP="001B1A50">
            <w:pPr>
              <w:pStyle w:val="tabteksts"/>
              <w:jc w:val="center"/>
              <w:rPr>
                <w:rFonts w:eastAsia="Arial Unicode MS"/>
                <w:color w:val="000000"/>
              </w:rPr>
            </w:pPr>
            <w:r w:rsidRPr="001946E0">
              <w:rPr>
                <w:rFonts w:eastAsia="Arial Unicode MS"/>
                <w:color w:val="000000"/>
              </w:rPr>
              <w:t>-1,4</w:t>
            </w:r>
          </w:p>
        </w:tc>
        <w:tc>
          <w:tcPr>
            <w:tcW w:w="911" w:type="dxa"/>
            <w:vAlign w:val="bottom"/>
          </w:tcPr>
          <w:p w:rsidR="002D62B9" w:rsidRPr="001946E0" w:rsidRDefault="002D62B9" w:rsidP="001B1A50">
            <w:pPr>
              <w:pStyle w:val="tabteksts"/>
              <w:jc w:val="center"/>
              <w:rPr>
                <w:rFonts w:eastAsia="Arial Unicode MS"/>
                <w:color w:val="000000"/>
              </w:rPr>
            </w:pPr>
            <w:r w:rsidRPr="001946E0">
              <w:rPr>
                <w:rFonts w:eastAsia="Arial Unicode MS"/>
                <w:color w:val="000000"/>
              </w:rPr>
              <w:t>-0,8</w:t>
            </w:r>
          </w:p>
        </w:tc>
        <w:tc>
          <w:tcPr>
            <w:tcW w:w="911" w:type="dxa"/>
            <w:vAlign w:val="bottom"/>
          </w:tcPr>
          <w:p w:rsidR="002D62B9" w:rsidRPr="001946E0" w:rsidRDefault="002D62B9" w:rsidP="001B1A50">
            <w:pPr>
              <w:pStyle w:val="tabteksts"/>
              <w:jc w:val="center"/>
              <w:rPr>
                <w:rFonts w:eastAsia="Arial Unicode MS"/>
                <w:color w:val="000000"/>
              </w:rPr>
            </w:pPr>
            <w:r w:rsidRPr="001946E0">
              <w:rPr>
                <w:rFonts w:eastAsia="Arial Unicode MS"/>
                <w:color w:val="000000"/>
              </w:rPr>
              <w:t>0,3</w:t>
            </w:r>
          </w:p>
        </w:tc>
      </w:tr>
      <w:tr w:rsidR="002D62B9" w:rsidRPr="001946E0" w:rsidTr="00D01375">
        <w:trPr>
          <w:cantSplit/>
        </w:trPr>
        <w:tc>
          <w:tcPr>
            <w:tcW w:w="3888" w:type="dxa"/>
          </w:tcPr>
          <w:p w:rsidR="002D62B9" w:rsidRPr="001946E0" w:rsidRDefault="002D62B9" w:rsidP="001B1A50">
            <w:pPr>
              <w:pStyle w:val="tabteksts"/>
              <w:rPr>
                <w:snapToGrid w:val="0"/>
                <w:color w:val="000000"/>
              </w:rPr>
            </w:pPr>
            <w:r w:rsidRPr="001946E0">
              <w:rPr>
                <w:snapToGrid w:val="0"/>
                <w:color w:val="000000"/>
              </w:rPr>
              <w:t>Izmaiņas</w:t>
            </w:r>
          </w:p>
        </w:tc>
        <w:tc>
          <w:tcPr>
            <w:tcW w:w="675" w:type="dxa"/>
          </w:tcPr>
          <w:p w:rsidR="002D62B9" w:rsidRPr="001946E0" w:rsidRDefault="002D62B9" w:rsidP="001B1A50">
            <w:pPr>
              <w:pStyle w:val="tabteksts"/>
              <w:rPr>
                <w:color w:val="000000"/>
              </w:rPr>
            </w:pPr>
          </w:p>
        </w:tc>
        <w:tc>
          <w:tcPr>
            <w:tcW w:w="911" w:type="dxa"/>
            <w:vAlign w:val="bottom"/>
          </w:tcPr>
          <w:p w:rsidR="002D62B9" w:rsidRPr="001946E0" w:rsidRDefault="002D62B9" w:rsidP="001B1A50">
            <w:pPr>
              <w:pStyle w:val="tabteksts"/>
              <w:jc w:val="center"/>
              <w:rPr>
                <w:rFonts w:eastAsia="Arial Unicode MS"/>
                <w:color w:val="000000"/>
              </w:rPr>
            </w:pPr>
            <w:r w:rsidRPr="001946E0">
              <w:rPr>
                <w:rFonts w:eastAsia="Arial Unicode MS"/>
                <w:color w:val="000000"/>
              </w:rPr>
              <w:t>1,0</w:t>
            </w:r>
          </w:p>
        </w:tc>
        <w:tc>
          <w:tcPr>
            <w:tcW w:w="911" w:type="dxa"/>
            <w:vAlign w:val="bottom"/>
          </w:tcPr>
          <w:p w:rsidR="002D62B9" w:rsidRPr="001946E0" w:rsidRDefault="002D62B9" w:rsidP="001B1A50">
            <w:pPr>
              <w:pStyle w:val="tabteksts"/>
              <w:jc w:val="center"/>
              <w:rPr>
                <w:rFonts w:eastAsia="Arial Unicode MS"/>
                <w:color w:val="000000"/>
              </w:rPr>
            </w:pPr>
            <w:r w:rsidRPr="001946E0">
              <w:rPr>
                <w:rFonts w:eastAsia="Arial Unicode MS"/>
                <w:color w:val="000000"/>
              </w:rPr>
              <w:t>0,4</w:t>
            </w:r>
          </w:p>
        </w:tc>
        <w:tc>
          <w:tcPr>
            <w:tcW w:w="911" w:type="dxa"/>
            <w:vAlign w:val="bottom"/>
          </w:tcPr>
          <w:p w:rsidR="002D62B9" w:rsidRPr="001946E0" w:rsidRDefault="002D62B9" w:rsidP="001B1A50">
            <w:pPr>
              <w:pStyle w:val="tabteksts"/>
              <w:jc w:val="center"/>
              <w:rPr>
                <w:rFonts w:eastAsia="Arial Unicode MS"/>
                <w:color w:val="000000"/>
              </w:rPr>
            </w:pPr>
            <w:r w:rsidRPr="001946E0">
              <w:rPr>
                <w:rFonts w:eastAsia="Arial Unicode MS"/>
                <w:color w:val="000000"/>
              </w:rPr>
              <w:t>0,5</w:t>
            </w:r>
          </w:p>
        </w:tc>
        <w:tc>
          <w:tcPr>
            <w:tcW w:w="911" w:type="dxa"/>
            <w:vAlign w:val="bottom"/>
          </w:tcPr>
          <w:p w:rsidR="002D62B9" w:rsidRPr="001946E0" w:rsidRDefault="002D62B9" w:rsidP="001B1A50">
            <w:pPr>
              <w:pStyle w:val="tabteksts"/>
              <w:jc w:val="center"/>
              <w:rPr>
                <w:rFonts w:eastAsia="Arial Unicode MS"/>
                <w:color w:val="000000"/>
              </w:rPr>
            </w:pPr>
            <w:r w:rsidRPr="001946E0">
              <w:rPr>
                <w:rFonts w:eastAsia="Arial Unicode MS"/>
                <w:color w:val="000000"/>
              </w:rPr>
              <w:t>0,3</w:t>
            </w:r>
          </w:p>
        </w:tc>
        <w:tc>
          <w:tcPr>
            <w:tcW w:w="911" w:type="dxa"/>
            <w:vAlign w:val="bottom"/>
          </w:tcPr>
          <w:p w:rsidR="002D62B9" w:rsidRPr="001946E0" w:rsidRDefault="002D62B9" w:rsidP="001B1A50">
            <w:pPr>
              <w:pStyle w:val="tabteksts"/>
              <w:jc w:val="center"/>
              <w:rPr>
                <w:rFonts w:eastAsia="Arial Unicode MS"/>
                <w:color w:val="000000"/>
              </w:rPr>
            </w:pPr>
            <w:r w:rsidRPr="001946E0">
              <w:rPr>
                <w:rFonts w:eastAsia="Arial Unicode MS"/>
                <w:color w:val="000000"/>
              </w:rPr>
              <w:t>-</w:t>
            </w:r>
          </w:p>
        </w:tc>
      </w:tr>
      <w:tr w:rsidR="002D62B9" w:rsidRPr="001946E0" w:rsidTr="00D01375">
        <w:trPr>
          <w:cantSplit/>
        </w:trPr>
        <w:tc>
          <w:tcPr>
            <w:tcW w:w="3888" w:type="dxa"/>
          </w:tcPr>
          <w:p w:rsidR="002D62B9" w:rsidRPr="001946E0" w:rsidRDefault="002D62B9" w:rsidP="001B1A50">
            <w:pPr>
              <w:pStyle w:val="tabteksts"/>
              <w:rPr>
                <w:snapToGrid w:val="0"/>
                <w:color w:val="000000"/>
              </w:rPr>
            </w:pPr>
            <w:r w:rsidRPr="001946E0">
              <w:rPr>
                <w:b/>
                <w:color w:val="000000"/>
              </w:rPr>
              <w:t>Vispārējās valdības kopējais parāds (% no IKP)</w:t>
            </w:r>
          </w:p>
        </w:tc>
        <w:tc>
          <w:tcPr>
            <w:tcW w:w="675" w:type="dxa"/>
          </w:tcPr>
          <w:p w:rsidR="002D62B9" w:rsidRPr="001946E0" w:rsidRDefault="002D62B9" w:rsidP="001B1A50">
            <w:pPr>
              <w:pStyle w:val="tabteksts"/>
              <w:rPr>
                <w:color w:val="000000"/>
              </w:rPr>
            </w:pPr>
          </w:p>
        </w:tc>
        <w:tc>
          <w:tcPr>
            <w:tcW w:w="911" w:type="dxa"/>
            <w:vAlign w:val="bottom"/>
          </w:tcPr>
          <w:p w:rsidR="002D62B9" w:rsidRPr="001946E0" w:rsidRDefault="002D62B9" w:rsidP="001B1A50">
            <w:pPr>
              <w:pStyle w:val="tabteksts"/>
              <w:tabs>
                <w:tab w:val="decimal" w:pos="330"/>
              </w:tabs>
              <w:jc w:val="center"/>
              <w:rPr>
                <w:color w:val="000000"/>
              </w:rPr>
            </w:pPr>
          </w:p>
        </w:tc>
        <w:tc>
          <w:tcPr>
            <w:tcW w:w="911" w:type="dxa"/>
            <w:vAlign w:val="bottom"/>
          </w:tcPr>
          <w:p w:rsidR="002D62B9" w:rsidRPr="001946E0" w:rsidRDefault="002D62B9" w:rsidP="001B1A50">
            <w:pPr>
              <w:pStyle w:val="tabteksts"/>
              <w:tabs>
                <w:tab w:val="decimal" w:pos="330"/>
              </w:tabs>
              <w:jc w:val="center"/>
              <w:rPr>
                <w:color w:val="000000"/>
              </w:rPr>
            </w:pPr>
          </w:p>
        </w:tc>
        <w:tc>
          <w:tcPr>
            <w:tcW w:w="911" w:type="dxa"/>
            <w:vAlign w:val="bottom"/>
          </w:tcPr>
          <w:p w:rsidR="002D62B9" w:rsidRPr="001946E0" w:rsidRDefault="002D62B9" w:rsidP="001B1A50">
            <w:pPr>
              <w:pStyle w:val="tabteksts"/>
              <w:tabs>
                <w:tab w:val="decimal" w:pos="330"/>
              </w:tabs>
              <w:jc w:val="center"/>
              <w:rPr>
                <w:color w:val="000000"/>
              </w:rPr>
            </w:pPr>
          </w:p>
        </w:tc>
        <w:tc>
          <w:tcPr>
            <w:tcW w:w="911" w:type="dxa"/>
            <w:vAlign w:val="bottom"/>
          </w:tcPr>
          <w:p w:rsidR="002D62B9" w:rsidRPr="001946E0" w:rsidRDefault="002D62B9" w:rsidP="001B1A50">
            <w:pPr>
              <w:pStyle w:val="tabteksts"/>
              <w:tabs>
                <w:tab w:val="decimal" w:pos="330"/>
              </w:tabs>
              <w:jc w:val="center"/>
              <w:rPr>
                <w:rFonts w:eastAsia="Arial Unicode MS"/>
                <w:color w:val="000000"/>
              </w:rPr>
            </w:pPr>
          </w:p>
        </w:tc>
        <w:tc>
          <w:tcPr>
            <w:tcW w:w="911" w:type="dxa"/>
            <w:vAlign w:val="bottom"/>
          </w:tcPr>
          <w:p w:rsidR="002D62B9" w:rsidRPr="001946E0" w:rsidRDefault="002D62B9" w:rsidP="001B1A50">
            <w:pPr>
              <w:pStyle w:val="tabteksts"/>
              <w:tabs>
                <w:tab w:val="decimal" w:pos="330"/>
              </w:tabs>
              <w:jc w:val="center"/>
              <w:rPr>
                <w:color w:val="000000"/>
              </w:rPr>
            </w:pPr>
          </w:p>
        </w:tc>
      </w:tr>
      <w:tr w:rsidR="002D62B9" w:rsidRPr="001946E0" w:rsidTr="00D01375">
        <w:trPr>
          <w:cantSplit/>
        </w:trPr>
        <w:tc>
          <w:tcPr>
            <w:tcW w:w="3888" w:type="dxa"/>
          </w:tcPr>
          <w:p w:rsidR="002D62B9" w:rsidRPr="001946E0" w:rsidRDefault="002D62B9" w:rsidP="001B1A50">
            <w:pPr>
              <w:pStyle w:val="tabteksts"/>
              <w:rPr>
                <w:color w:val="000000"/>
              </w:rPr>
            </w:pPr>
            <w:r w:rsidRPr="001946E0">
              <w:rPr>
                <w:color w:val="000000"/>
              </w:rPr>
              <w:t>2011. gads</w:t>
            </w:r>
          </w:p>
        </w:tc>
        <w:tc>
          <w:tcPr>
            <w:tcW w:w="675" w:type="dxa"/>
          </w:tcPr>
          <w:p w:rsidR="002D62B9" w:rsidRPr="001946E0" w:rsidRDefault="002D62B9" w:rsidP="001B1A50">
            <w:pPr>
              <w:pStyle w:val="tabteksts"/>
              <w:rPr>
                <w:color w:val="000000"/>
              </w:rPr>
            </w:pPr>
          </w:p>
        </w:tc>
        <w:tc>
          <w:tcPr>
            <w:tcW w:w="911" w:type="dxa"/>
          </w:tcPr>
          <w:p w:rsidR="002D62B9" w:rsidRPr="001946E0" w:rsidRDefault="002D62B9" w:rsidP="001B1A50">
            <w:pPr>
              <w:pStyle w:val="tabteksts"/>
              <w:jc w:val="center"/>
              <w:rPr>
                <w:color w:val="000000"/>
              </w:rPr>
            </w:pPr>
            <w:r w:rsidRPr="001946E0">
              <w:rPr>
                <w:color w:val="000000"/>
              </w:rPr>
              <w:t>48,3</w:t>
            </w:r>
          </w:p>
        </w:tc>
        <w:tc>
          <w:tcPr>
            <w:tcW w:w="911" w:type="dxa"/>
          </w:tcPr>
          <w:p w:rsidR="002D62B9" w:rsidRPr="001946E0" w:rsidRDefault="002D62B9" w:rsidP="001B1A50">
            <w:pPr>
              <w:pStyle w:val="tabteksts"/>
              <w:jc w:val="center"/>
              <w:rPr>
                <w:color w:val="000000"/>
              </w:rPr>
            </w:pPr>
            <w:r w:rsidRPr="001946E0">
              <w:rPr>
                <w:color w:val="000000"/>
              </w:rPr>
              <w:t>48,1</w:t>
            </w:r>
          </w:p>
        </w:tc>
        <w:tc>
          <w:tcPr>
            <w:tcW w:w="911" w:type="dxa"/>
          </w:tcPr>
          <w:p w:rsidR="002D62B9" w:rsidRPr="001946E0" w:rsidRDefault="002D62B9" w:rsidP="001B1A50">
            <w:pPr>
              <w:pStyle w:val="tabteksts"/>
              <w:jc w:val="center"/>
              <w:rPr>
                <w:color w:val="000000"/>
              </w:rPr>
            </w:pPr>
            <w:r w:rsidRPr="001946E0">
              <w:rPr>
                <w:color w:val="000000"/>
              </w:rPr>
              <w:t>49,9</w:t>
            </w:r>
          </w:p>
        </w:tc>
        <w:tc>
          <w:tcPr>
            <w:tcW w:w="911" w:type="dxa"/>
          </w:tcPr>
          <w:p w:rsidR="002D62B9" w:rsidRPr="001946E0" w:rsidRDefault="002D62B9" w:rsidP="001B1A50">
            <w:pPr>
              <w:pStyle w:val="tabteksts"/>
              <w:jc w:val="center"/>
              <w:rPr>
                <w:color w:val="000000"/>
              </w:rPr>
            </w:pPr>
            <w:r w:rsidRPr="001946E0">
              <w:rPr>
                <w:color w:val="000000"/>
              </w:rPr>
              <w:t>51,9</w:t>
            </w:r>
          </w:p>
        </w:tc>
        <w:tc>
          <w:tcPr>
            <w:tcW w:w="911" w:type="dxa"/>
            <w:vAlign w:val="center"/>
          </w:tcPr>
          <w:p w:rsidR="002D62B9" w:rsidRPr="001946E0" w:rsidRDefault="002D62B9" w:rsidP="001B1A50">
            <w:pPr>
              <w:pStyle w:val="tabteksts"/>
              <w:tabs>
                <w:tab w:val="decimal" w:pos="330"/>
              </w:tabs>
              <w:jc w:val="center"/>
              <w:rPr>
                <w:color w:val="000000"/>
              </w:rPr>
            </w:pPr>
            <w:r w:rsidRPr="001946E0">
              <w:rPr>
                <w:color w:val="000000"/>
              </w:rPr>
              <w:t>-</w:t>
            </w:r>
          </w:p>
        </w:tc>
      </w:tr>
      <w:tr w:rsidR="002D62B9" w:rsidRPr="001946E0" w:rsidTr="00D01375">
        <w:trPr>
          <w:cantSplit/>
          <w:trHeight w:val="70"/>
        </w:trPr>
        <w:tc>
          <w:tcPr>
            <w:tcW w:w="3888" w:type="dxa"/>
          </w:tcPr>
          <w:p w:rsidR="002D62B9" w:rsidRPr="001946E0" w:rsidRDefault="002D62B9" w:rsidP="001B1A50">
            <w:pPr>
              <w:pStyle w:val="tabteksts"/>
              <w:rPr>
                <w:color w:val="000000"/>
              </w:rPr>
            </w:pPr>
            <w:r w:rsidRPr="001946E0">
              <w:rPr>
                <w:color w:val="000000"/>
              </w:rPr>
              <w:t>2012. gads</w:t>
            </w:r>
          </w:p>
        </w:tc>
        <w:tc>
          <w:tcPr>
            <w:tcW w:w="675" w:type="dxa"/>
          </w:tcPr>
          <w:p w:rsidR="002D62B9" w:rsidRPr="001946E0" w:rsidRDefault="002D62B9" w:rsidP="001B1A50">
            <w:pPr>
              <w:pStyle w:val="tabteksts"/>
              <w:rPr>
                <w:color w:val="000000"/>
              </w:rPr>
            </w:pPr>
          </w:p>
        </w:tc>
        <w:tc>
          <w:tcPr>
            <w:tcW w:w="911" w:type="dxa"/>
            <w:vAlign w:val="center"/>
          </w:tcPr>
          <w:p w:rsidR="002D62B9" w:rsidRPr="001946E0" w:rsidRDefault="002D62B9" w:rsidP="001B1A50">
            <w:pPr>
              <w:pStyle w:val="tabteksts"/>
              <w:jc w:val="center"/>
              <w:rPr>
                <w:color w:val="000000"/>
              </w:rPr>
            </w:pPr>
            <w:r w:rsidRPr="001946E0">
              <w:rPr>
                <w:color w:val="000000"/>
              </w:rPr>
              <w:t>42,6</w:t>
            </w:r>
          </w:p>
        </w:tc>
        <w:tc>
          <w:tcPr>
            <w:tcW w:w="911" w:type="dxa"/>
            <w:vAlign w:val="center"/>
          </w:tcPr>
          <w:p w:rsidR="002D62B9" w:rsidRPr="001946E0" w:rsidRDefault="002D62B9" w:rsidP="001B1A50">
            <w:pPr>
              <w:pStyle w:val="tabteksts"/>
              <w:jc w:val="center"/>
              <w:rPr>
                <w:color w:val="000000"/>
              </w:rPr>
            </w:pPr>
            <w:r w:rsidRPr="001946E0">
              <w:rPr>
                <w:color w:val="000000"/>
              </w:rPr>
              <w:t>44,5</w:t>
            </w:r>
          </w:p>
        </w:tc>
        <w:tc>
          <w:tcPr>
            <w:tcW w:w="911" w:type="dxa"/>
            <w:vAlign w:val="center"/>
          </w:tcPr>
          <w:p w:rsidR="002D62B9" w:rsidRPr="001946E0" w:rsidRDefault="002D62B9" w:rsidP="001B1A50">
            <w:pPr>
              <w:pStyle w:val="tabteksts"/>
              <w:jc w:val="center"/>
              <w:rPr>
                <w:color w:val="000000"/>
              </w:rPr>
            </w:pPr>
            <w:r w:rsidRPr="001946E0">
              <w:rPr>
                <w:color w:val="000000"/>
              </w:rPr>
              <w:t>45,8</w:t>
            </w:r>
          </w:p>
        </w:tc>
        <w:tc>
          <w:tcPr>
            <w:tcW w:w="911" w:type="dxa"/>
            <w:vAlign w:val="center"/>
          </w:tcPr>
          <w:p w:rsidR="002D62B9" w:rsidRPr="001946E0" w:rsidRDefault="002D62B9" w:rsidP="001B1A50">
            <w:pPr>
              <w:pStyle w:val="tabteksts"/>
              <w:jc w:val="center"/>
              <w:rPr>
                <w:color w:val="000000"/>
              </w:rPr>
            </w:pPr>
            <w:r w:rsidRPr="001946E0">
              <w:rPr>
                <w:color w:val="000000"/>
              </w:rPr>
              <w:t>46,7</w:t>
            </w:r>
          </w:p>
        </w:tc>
        <w:tc>
          <w:tcPr>
            <w:tcW w:w="911" w:type="dxa"/>
            <w:vAlign w:val="center"/>
          </w:tcPr>
          <w:p w:rsidR="002D62B9" w:rsidRPr="001946E0" w:rsidRDefault="002D62B9" w:rsidP="001B1A50">
            <w:pPr>
              <w:pStyle w:val="tabteksts"/>
              <w:jc w:val="center"/>
              <w:rPr>
                <w:color w:val="000000"/>
              </w:rPr>
            </w:pPr>
            <w:r w:rsidRPr="001946E0">
              <w:rPr>
                <w:color w:val="000000"/>
              </w:rPr>
              <w:t>38,9</w:t>
            </w:r>
          </w:p>
        </w:tc>
      </w:tr>
      <w:tr w:rsidR="002D62B9" w:rsidRPr="001946E0" w:rsidTr="00D01375">
        <w:trPr>
          <w:cantSplit/>
        </w:trPr>
        <w:tc>
          <w:tcPr>
            <w:tcW w:w="3888" w:type="dxa"/>
          </w:tcPr>
          <w:p w:rsidR="002D62B9" w:rsidRPr="001946E0" w:rsidRDefault="002D62B9" w:rsidP="001B1A50">
            <w:pPr>
              <w:pStyle w:val="tabteksts"/>
              <w:rPr>
                <w:snapToGrid w:val="0"/>
                <w:color w:val="000000"/>
              </w:rPr>
            </w:pPr>
            <w:r w:rsidRPr="001946E0">
              <w:rPr>
                <w:snapToGrid w:val="0"/>
                <w:color w:val="000000"/>
              </w:rPr>
              <w:t>Izmaiņas</w:t>
            </w:r>
          </w:p>
        </w:tc>
        <w:tc>
          <w:tcPr>
            <w:tcW w:w="675" w:type="dxa"/>
          </w:tcPr>
          <w:p w:rsidR="002D62B9" w:rsidRPr="001946E0" w:rsidRDefault="002D62B9" w:rsidP="001B1A50">
            <w:pPr>
              <w:pStyle w:val="tabteksts"/>
              <w:rPr>
                <w:color w:val="000000"/>
              </w:rPr>
            </w:pPr>
          </w:p>
        </w:tc>
        <w:tc>
          <w:tcPr>
            <w:tcW w:w="911" w:type="dxa"/>
            <w:vAlign w:val="bottom"/>
          </w:tcPr>
          <w:p w:rsidR="002D62B9" w:rsidRPr="001946E0" w:rsidRDefault="002D62B9" w:rsidP="001B1A50">
            <w:pPr>
              <w:pStyle w:val="tabteksts"/>
              <w:tabs>
                <w:tab w:val="decimal" w:pos="330"/>
              </w:tabs>
              <w:rPr>
                <w:color w:val="000000"/>
              </w:rPr>
            </w:pPr>
            <w:r w:rsidRPr="001946E0">
              <w:rPr>
                <w:color w:val="000000"/>
              </w:rPr>
              <w:t>-5,7</w:t>
            </w:r>
          </w:p>
        </w:tc>
        <w:tc>
          <w:tcPr>
            <w:tcW w:w="911" w:type="dxa"/>
            <w:vAlign w:val="bottom"/>
          </w:tcPr>
          <w:p w:rsidR="002D62B9" w:rsidRPr="001946E0" w:rsidRDefault="002D62B9" w:rsidP="001B1A50">
            <w:pPr>
              <w:pStyle w:val="tabteksts"/>
              <w:tabs>
                <w:tab w:val="decimal" w:pos="330"/>
              </w:tabs>
              <w:rPr>
                <w:color w:val="000000"/>
              </w:rPr>
            </w:pPr>
            <w:r w:rsidRPr="001946E0">
              <w:rPr>
                <w:color w:val="000000"/>
              </w:rPr>
              <w:t>-3,6</w:t>
            </w:r>
          </w:p>
        </w:tc>
        <w:tc>
          <w:tcPr>
            <w:tcW w:w="911" w:type="dxa"/>
            <w:vAlign w:val="bottom"/>
          </w:tcPr>
          <w:p w:rsidR="002D62B9" w:rsidRPr="001946E0" w:rsidRDefault="002D62B9" w:rsidP="001B1A50">
            <w:pPr>
              <w:pStyle w:val="tabteksts"/>
              <w:tabs>
                <w:tab w:val="decimal" w:pos="330"/>
              </w:tabs>
              <w:rPr>
                <w:color w:val="000000"/>
              </w:rPr>
            </w:pPr>
            <w:r w:rsidRPr="001946E0">
              <w:rPr>
                <w:color w:val="000000"/>
              </w:rPr>
              <w:t>-4,1</w:t>
            </w:r>
          </w:p>
        </w:tc>
        <w:tc>
          <w:tcPr>
            <w:tcW w:w="911" w:type="dxa"/>
            <w:vAlign w:val="bottom"/>
          </w:tcPr>
          <w:p w:rsidR="002D62B9" w:rsidRPr="001946E0" w:rsidRDefault="002D62B9" w:rsidP="001B1A50">
            <w:pPr>
              <w:pStyle w:val="tabteksts"/>
              <w:tabs>
                <w:tab w:val="decimal" w:pos="330"/>
              </w:tabs>
              <w:rPr>
                <w:color w:val="000000"/>
              </w:rPr>
            </w:pPr>
            <w:r w:rsidRPr="001946E0">
              <w:rPr>
                <w:color w:val="000000"/>
              </w:rPr>
              <w:t>-5,2</w:t>
            </w:r>
          </w:p>
        </w:tc>
        <w:tc>
          <w:tcPr>
            <w:tcW w:w="911" w:type="dxa"/>
            <w:vAlign w:val="bottom"/>
          </w:tcPr>
          <w:p w:rsidR="002D62B9" w:rsidRPr="001946E0" w:rsidRDefault="002D62B9" w:rsidP="001B1A50">
            <w:pPr>
              <w:pStyle w:val="tabteksts"/>
              <w:tabs>
                <w:tab w:val="decimal" w:pos="330"/>
              </w:tabs>
              <w:jc w:val="center"/>
              <w:rPr>
                <w:color w:val="000000"/>
              </w:rPr>
            </w:pPr>
            <w:r w:rsidRPr="001946E0">
              <w:rPr>
                <w:color w:val="000000"/>
              </w:rPr>
              <w:t>-</w:t>
            </w:r>
          </w:p>
        </w:tc>
      </w:tr>
    </w:tbl>
    <w:p w:rsidR="002D62B9" w:rsidRPr="001946E0" w:rsidRDefault="002D62B9" w:rsidP="002D62B9">
      <w:pPr>
        <w:spacing w:after="0"/>
        <w:ind w:firstLine="0"/>
        <w:rPr>
          <w:b/>
          <w:color w:val="000000"/>
          <w:szCs w:val="24"/>
        </w:rPr>
      </w:pPr>
    </w:p>
    <w:p w:rsidR="002D62B9" w:rsidRPr="001946E0" w:rsidRDefault="002D62B9" w:rsidP="002D62B9">
      <w:pPr>
        <w:spacing w:after="0"/>
        <w:ind w:firstLine="0"/>
        <w:rPr>
          <w:b/>
          <w:color w:val="000000"/>
          <w:szCs w:val="24"/>
        </w:rPr>
      </w:pPr>
    </w:p>
    <w:p w:rsidR="002D62B9" w:rsidRPr="00203D1A" w:rsidRDefault="00203D1A" w:rsidP="002D62B9">
      <w:pPr>
        <w:spacing w:after="0"/>
        <w:ind w:firstLine="0"/>
        <w:rPr>
          <w:b/>
          <w:color w:val="000000"/>
          <w:szCs w:val="24"/>
        </w:rPr>
      </w:pPr>
      <w:r>
        <w:rPr>
          <w:b/>
          <w:color w:val="000000"/>
          <w:szCs w:val="24"/>
        </w:rPr>
        <w:br w:type="page"/>
      </w:r>
      <w:r w:rsidR="002D62B9" w:rsidRPr="00203D1A">
        <w:rPr>
          <w:b/>
          <w:color w:val="000000"/>
          <w:szCs w:val="24"/>
        </w:rPr>
        <w:t>7. tabula. Valsts finanšu ilgtspēja</w:t>
      </w:r>
    </w:p>
    <w:p w:rsidR="002D62B9" w:rsidRPr="001946E0" w:rsidRDefault="002D62B9" w:rsidP="002D62B9">
      <w:pPr>
        <w:ind w:firstLine="0"/>
        <w:rPr>
          <w:b/>
          <w:color w:val="000000"/>
          <w:szCs w:val="24"/>
        </w:rPr>
      </w:pPr>
      <w:r w:rsidRPr="001946E0">
        <w:rPr>
          <w:b/>
          <w:color w:val="000000"/>
          <w:szCs w:val="24"/>
        </w:rPr>
        <w:t>(Eiropas Komisijas 2009. gada Novecošanās ziņojuma dati)</w:t>
      </w:r>
    </w:p>
    <w:tbl>
      <w:tblP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40"/>
        <w:gridCol w:w="754"/>
        <w:gridCol w:w="754"/>
        <w:gridCol w:w="754"/>
        <w:gridCol w:w="754"/>
        <w:gridCol w:w="754"/>
        <w:gridCol w:w="754"/>
      </w:tblGrid>
      <w:tr w:rsidR="002D62B9" w:rsidRPr="001946E0" w:rsidTr="00D01375">
        <w:trPr>
          <w:tblHeader/>
        </w:trPr>
        <w:tc>
          <w:tcPr>
            <w:tcW w:w="3840" w:type="dxa"/>
            <w:vAlign w:val="bottom"/>
          </w:tcPr>
          <w:p w:rsidR="002D62B9" w:rsidRPr="001946E0" w:rsidRDefault="002D62B9" w:rsidP="001B1A50">
            <w:pPr>
              <w:pStyle w:val="tabteksts"/>
              <w:rPr>
                <w:color w:val="000000"/>
              </w:rPr>
            </w:pPr>
            <w:r w:rsidRPr="001946E0">
              <w:rPr>
                <w:color w:val="000000"/>
              </w:rPr>
              <w:t>% no IKP</w:t>
            </w:r>
          </w:p>
        </w:tc>
        <w:tc>
          <w:tcPr>
            <w:tcW w:w="754" w:type="dxa"/>
            <w:vAlign w:val="bottom"/>
          </w:tcPr>
          <w:p w:rsidR="002D62B9" w:rsidRPr="001946E0" w:rsidRDefault="002D62B9" w:rsidP="001B1A50">
            <w:pPr>
              <w:pStyle w:val="tabteksts"/>
              <w:jc w:val="center"/>
              <w:rPr>
                <w:b/>
                <w:color w:val="000000"/>
              </w:rPr>
            </w:pPr>
            <w:r w:rsidRPr="001946E0">
              <w:rPr>
                <w:b/>
                <w:color w:val="000000"/>
              </w:rPr>
              <w:t>2010</w:t>
            </w:r>
          </w:p>
        </w:tc>
        <w:tc>
          <w:tcPr>
            <w:tcW w:w="754" w:type="dxa"/>
            <w:vAlign w:val="bottom"/>
          </w:tcPr>
          <w:p w:rsidR="002D62B9" w:rsidRPr="001946E0" w:rsidRDefault="002D62B9" w:rsidP="001B1A50">
            <w:pPr>
              <w:pStyle w:val="tabteksts"/>
              <w:jc w:val="center"/>
              <w:rPr>
                <w:b/>
                <w:color w:val="000000"/>
              </w:rPr>
            </w:pPr>
            <w:r w:rsidRPr="001946E0">
              <w:rPr>
                <w:b/>
                <w:color w:val="000000"/>
              </w:rPr>
              <w:t>2020</w:t>
            </w:r>
          </w:p>
        </w:tc>
        <w:tc>
          <w:tcPr>
            <w:tcW w:w="754" w:type="dxa"/>
            <w:vAlign w:val="bottom"/>
          </w:tcPr>
          <w:p w:rsidR="002D62B9" w:rsidRPr="001946E0" w:rsidRDefault="002D62B9" w:rsidP="001B1A50">
            <w:pPr>
              <w:pStyle w:val="tabteksts"/>
              <w:jc w:val="center"/>
              <w:rPr>
                <w:b/>
                <w:color w:val="000000"/>
              </w:rPr>
            </w:pPr>
            <w:r w:rsidRPr="001946E0">
              <w:rPr>
                <w:b/>
                <w:color w:val="000000"/>
              </w:rPr>
              <w:t>2030</w:t>
            </w:r>
          </w:p>
        </w:tc>
        <w:tc>
          <w:tcPr>
            <w:tcW w:w="754" w:type="dxa"/>
            <w:vAlign w:val="bottom"/>
          </w:tcPr>
          <w:p w:rsidR="002D62B9" w:rsidRPr="001946E0" w:rsidRDefault="002D62B9" w:rsidP="001B1A50">
            <w:pPr>
              <w:pStyle w:val="tabteksts"/>
              <w:jc w:val="center"/>
              <w:rPr>
                <w:b/>
                <w:color w:val="000000"/>
              </w:rPr>
            </w:pPr>
            <w:r w:rsidRPr="001946E0">
              <w:rPr>
                <w:b/>
                <w:color w:val="000000"/>
              </w:rPr>
              <w:t>2040</w:t>
            </w:r>
          </w:p>
        </w:tc>
        <w:tc>
          <w:tcPr>
            <w:tcW w:w="754" w:type="dxa"/>
          </w:tcPr>
          <w:p w:rsidR="002D62B9" w:rsidRPr="001946E0" w:rsidRDefault="002D62B9" w:rsidP="001B1A50">
            <w:pPr>
              <w:pStyle w:val="tabteksts"/>
              <w:jc w:val="center"/>
              <w:rPr>
                <w:b/>
                <w:color w:val="000000"/>
              </w:rPr>
            </w:pPr>
            <w:r w:rsidRPr="001946E0">
              <w:rPr>
                <w:b/>
                <w:color w:val="000000"/>
              </w:rPr>
              <w:t>2050</w:t>
            </w:r>
          </w:p>
        </w:tc>
        <w:tc>
          <w:tcPr>
            <w:tcW w:w="754" w:type="dxa"/>
            <w:vAlign w:val="bottom"/>
          </w:tcPr>
          <w:p w:rsidR="002D62B9" w:rsidRPr="001946E0" w:rsidRDefault="002D62B9" w:rsidP="001B1A50">
            <w:pPr>
              <w:pStyle w:val="tabteksts"/>
              <w:jc w:val="center"/>
              <w:rPr>
                <w:b/>
                <w:color w:val="000000"/>
              </w:rPr>
            </w:pPr>
            <w:r w:rsidRPr="001946E0">
              <w:rPr>
                <w:b/>
                <w:color w:val="000000"/>
              </w:rPr>
              <w:t>2060</w:t>
            </w:r>
          </w:p>
        </w:tc>
      </w:tr>
      <w:tr w:rsidR="002D62B9" w:rsidRPr="001946E0" w:rsidTr="00D01375">
        <w:tc>
          <w:tcPr>
            <w:tcW w:w="3840" w:type="dxa"/>
            <w:vAlign w:val="bottom"/>
          </w:tcPr>
          <w:p w:rsidR="002D62B9" w:rsidRPr="001946E0" w:rsidRDefault="002D62B9" w:rsidP="001B1A50">
            <w:pPr>
              <w:pStyle w:val="tabteksts"/>
              <w:rPr>
                <w:color w:val="000000"/>
              </w:rPr>
            </w:pPr>
            <w:r w:rsidRPr="001946E0">
              <w:rPr>
                <w:color w:val="000000"/>
              </w:rPr>
              <w:t>Kopējie izdevumi</w:t>
            </w: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r>
      <w:tr w:rsidR="002D62B9" w:rsidRPr="001946E0" w:rsidTr="00D01375">
        <w:tc>
          <w:tcPr>
            <w:tcW w:w="3840" w:type="dxa"/>
            <w:vAlign w:val="bottom"/>
          </w:tcPr>
          <w:p w:rsidR="002D62B9" w:rsidRPr="001946E0" w:rsidRDefault="002D62B9" w:rsidP="001B1A50">
            <w:pPr>
              <w:pStyle w:val="tabteksts"/>
              <w:rPr>
                <w:noProof/>
                <w:color w:val="000000"/>
              </w:rPr>
            </w:pPr>
            <w:r w:rsidRPr="001946E0">
              <w:rPr>
                <w:noProof/>
                <w:color w:val="000000"/>
              </w:rPr>
              <w:t>t.sk. ar vecumu saistītie izdevumi</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19,2</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16,5</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15,4</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14,9</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15,4</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15,4</w:t>
            </w:r>
          </w:p>
        </w:tc>
      </w:tr>
      <w:tr w:rsidR="002D62B9" w:rsidRPr="001946E0" w:rsidTr="00D01375">
        <w:tc>
          <w:tcPr>
            <w:tcW w:w="3840" w:type="dxa"/>
            <w:vAlign w:val="bottom"/>
          </w:tcPr>
          <w:p w:rsidR="002D62B9" w:rsidRPr="001946E0" w:rsidRDefault="002D62B9" w:rsidP="001B1A50">
            <w:pPr>
              <w:pStyle w:val="tabteksts"/>
              <w:rPr>
                <w:noProof/>
                <w:color w:val="000000"/>
              </w:rPr>
            </w:pPr>
            <w:r w:rsidRPr="001946E0">
              <w:rPr>
                <w:noProof/>
                <w:color w:val="000000"/>
              </w:rPr>
              <w:t>Pensiju izdevumi</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9,7</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7,3</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6,5</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6,3</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6,4</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5,9</w:t>
            </w:r>
          </w:p>
        </w:tc>
      </w:tr>
      <w:tr w:rsidR="002D62B9" w:rsidRPr="001946E0" w:rsidTr="00D01375">
        <w:tc>
          <w:tcPr>
            <w:tcW w:w="3840" w:type="dxa"/>
            <w:vAlign w:val="bottom"/>
          </w:tcPr>
          <w:p w:rsidR="002D62B9" w:rsidRPr="001946E0" w:rsidRDefault="002D62B9" w:rsidP="001B1A50">
            <w:pPr>
              <w:pStyle w:val="tabteksts"/>
              <w:rPr>
                <w:noProof/>
                <w:color w:val="000000"/>
              </w:rPr>
            </w:pPr>
            <w:r w:rsidRPr="001946E0">
              <w:rPr>
                <w:noProof/>
                <w:color w:val="000000"/>
              </w:rPr>
              <w:t>Sociālās apdrošināšanas pensijas</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9,7</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7,3</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6,5</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6,3</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6,4</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5,9</w:t>
            </w:r>
          </w:p>
        </w:tc>
      </w:tr>
      <w:tr w:rsidR="002D62B9" w:rsidRPr="001946E0" w:rsidTr="00D01375">
        <w:tc>
          <w:tcPr>
            <w:tcW w:w="3840" w:type="dxa"/>
            <w:vAlign w:val="bottom"/>
          </w:tcPr>
          <w:p w:rsidR="002D62B9" w:rsidRPr="001946E0" w:rsidRDefault="002D62B9" w:rsidP="001B1A50">
            <w:pPr>
              <w:pStyle w:val="tabteksts"/>
              <w:rPr>
                <w:noProof/>
                <w:color w:val="000000"/>
              </w:rPr>
            </w:pPr>
            <w:r w:rsidRPr="001946E0">
              <w:rPr>
                <w:noProof/>
                <w:color w:val="000000"/>
              </w:rPr>
              <w:t>Vecuma un priekšlaicīgās pensijas</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8,7</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6,5</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5,9</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5,8</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5,9</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5,5</w:t>
            </w:r>
          </w:p>
        </w:tc>
      </w:tr>
      <w:tr w:rsidR="002D62B9" w:rsidRPr="001946E0" w:rsidTr="00D01375">
        <w:tc>
          <w:tcPr>
            <w:tcW w:w="3840" w:type="dxa"/>
            <w:vAlign w:val="bottom"/>
          </w:tcPr>
          <w:p w:rsidR="002D62B9" w:rsidRPr="001946E0" w:rsidRDefault="002D62B9" w:rsidP="001B1A50">
            <w:pPr>
              <w:pStyle w:val="tabteksts"/>
              <w:rPr>
                <w:noProof/>
                <w:color w:val="000000"/>
              </w:rPr>
            </w:pPr>
            <w:r w:rsidRPr="001946E0">
              <w:rPr>
                <w:noProof/>
                <w:color w:val="000000"/>
              </w:rPr>
              <w:t>Citas pensijas (invaliditātes, apgādnieka zaudējuma)</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1,0</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0,7</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0,5</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0,5</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0,4</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0,4</w:t>
            </w:r>
          </w:p>
        </w:tc>
      </w:tr>
      <w:tr w:rsidR="002D62B9" w:rsidRPr="001946E0" w:rsidTr="00D01375">
        <w:tc>
          <w:tcPr>
            <w:tcW w:w="3840" w:type="dxa"/>
            <w:vAlign w:val="bottom"/>
          </w:tcPr>
          <w:p w:rsidR="002D62B9" w:rsidRPr="001946E0" w:rsidRDefault="002D62B9" w:rsidP="001B1A50">
            <w:pPr>
              <w:pStyle w:val="tabteksts"/>
              <w:rPr>
                <w:noProof/>
                <w:color w:val="000000"/>
              </w:rPr>
            </w:pPr>
            <w:r w:rsidRPr="001946E0">
              <w:rPr>
                <w:noProof/>
                <w:color w:val="000000"/>
              </w:rPr>
              <w:t>Arodpensijas (ja vispārējā valdībā)</w:t>
            </w: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r>
      <w:tr w:rsidR="002D62B9" w:rsidRPr="001946E0" w:rsidTr="00D01375">
        <w:tc>
          <w:tcPr>
            <w:tcW w:w="3840" w:type="dxa"/>
            <w:vAlign w:val="bottom"/>
          </w:tcPr>
          <w:p w:rsidR="002D62B9" w:rsidRPr="001946E0" w:rsidRDefault="002D62B9" w:rsidP="001B1A50">
            <w:pPr>
              <w:pStyle w:val="tabteksts"/>
              <w:rPr>
                <w:noProof/>
                <w:color w:val="000000"/>
              </w:rPr>
            </w:pPr>
            <w:r w:rsidRPr="001946E0">
              <w:rPr>
                <w:noProof/>
                <w:color w:val="000000"/>
              </w:rPr>
              <w:t>Veselības aprūpe</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3,7</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3,8</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4,0</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4,1</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4,2</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4,3</w:t>
            </w:r>
          </w:p>
        </w:tc>
      </w:tr>
      <w:tr w:rsidR="002D62B9" w:rsidRPr="001946E0" w:rsidTr="00D01375">
        <w:tc>
          <w:tcPr>
            <w:tcW w:w="3840" w:type="dxa"/>
            <w:vAlign w:val="bottom"/>
          </w:tcPr>
          <w:p w:rsidR="002D62B9" w:rsidRPr="001946E0" w:rsidRDefault="002D62B9" w:rsidP="001B1A50">
            <w:pPr>
              <w:pStyle w:val="tabteksts"/>
              <w:rPr>
                <w:noProof/>
                <w:color w:val="000000"/>
              </w:rPr>
            </w:pPr>
            <w:r w:rsidRPr="001946E0">
              <w:rPr>
                <w:noProof/>
                <w:color w:val="000000"/>
              </w:rPr>
              <w:t>Ilglaicīgā aprūpe</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0,7</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0,7</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0,7</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0,8</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0,9</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1,0</w:t>
            </w:r>
          </w:p>
        </w:tc>
      </w:tr>
      <w:tr w:rsidR="002D62B9" w:rsidRPr="001946E0" w:rsidTr="00D01375">
        <w:tc>
          <w:tcPr>
            <w:tcW w:w="3840" w:type="dxa"/>
            <w:vAlign w:val="bottom"/>
          </w:tcPr>
          <w:p w:rsidR="002D62B9" w:rsidRPr="001946E0" w:rsidRDefault="002D62B9" w:rsidP="001B1A50">
            <w:pPr>
              <w:pStyle w:val="tabteksts"/>
              <w:rPr>
                <w:noProof/>
                <w:color w:val="000000"/>
              </w:rPr>
            </w:pPr>
            <w:r w:rsidRPr="001946E0">
              <w:rPr>
                <w:noProof/>
                <w:color w:val="000000"/>
              </w:rPr>
              <w:t>Izglītības izdevumi</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4,4</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4,0</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3,7</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3,3</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3,5</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3,8</w:t>
            </w:r>
          </w:p>
        </w:tc>
      </w:tr>
      <w:tr w:rsidR="002D62B9" w:rsidRPr="001946E0" w:rsidTr="00D01375">
        <w:tc>
          <w:tcPr>
            <w:tcW w:w="3840" w:type="dxa"/>
            <w:vAlign w:val="bottom"/>
          </w:tcPr>
          <w:p w:rsidR="002D62B9" w:rsidRPr="001946E0" w:rsidRDefault="002D62B9" w:rsidP="001B1A50">
            <w:pPr>
              <w:pStyle w:val="tabteksts"/>
              <w:rPr>
                <w:noProof/>
                <w:color w:val="000000"/>
              </w:rPr>
            </w:pPr>
            <w:r w:rsidRPr="001946E0">
              <w:rPr>
                <w:noProof/>
                <w:color w:val="000000"/>
              </w:rPr>
              <w:t>Citi ar vecumu saistītie izdevumi</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0,7</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0,7</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0,5</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0,4</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0,4</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0,4</w:t>
            </w:r>
          </w:p>
        </w:tc>
      </w:tr>
      <w:tr w:rsidR="002D62B9" w:rsidRPr="001946E0" w:rsidTr="00D01375">
        <w:tc>
          <w:tcPr>
            <w:tcW w:w="3840" w:type="dxa"/>
            <w:vAlign w:val="bottom"/>
          </w:tcPr>
          <w:p w:rsidR="002D62B9" w:rsidRPr="001946E0" w:rsidRDefault="002D62B9" w:rsidP="001B1A50">
            <w:pPr>
              <w:pStyle w:val="tabteksts"/>
              <w:rPr>
                <w:noProof/>
                <w:color w:val="000000"/>
              </w:rPr>
            </w:pPr>
            <w:r w:rsidRPr="001946E0">
              <w:rPr>
                <w:noProof/>
                <w:color w:val="000000"/>
              </w:rPr>
              <w:t>Procentu izdevumi</w:t>
            </w: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r>
      <w:tr w:rsidR="002D62B9" w:rsidRPr="001946E0" w:rsidTr="00D01375">
        <w:tc>
          <w:tcPr>
            <w:tcW w:w="3840" w:type="dxa"/>
            <w:vAlign w:val="bottom"/>
          </w:tcPr>
          <w:p w:rsidR="002D62B9" w:rsidRPr="001946E0" w:rsidRDefault="002D62B9" w:rsidP="001B1A50">
            <w:pPr>
              <w:pStyle w:val="tabteksts"/>
              <w:rPr>
                <w:noProof/>
                <w:color w:val="000000"/>
              </w:rPr>
            </w:pPr>
            <w:r w:rsidRPr="001946E0">
              <w:rPr>
                <w:noProof/>
                <w:color w:val="000000"/>
              </w:rPr>
              <w:t>Kopējie ieņēmumi</w:t>
            </w: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r>
      <w:tr w:rsidR="002D62B9" w:rsidRPr="001946E0" w:rsidTr="00D01375">
        <w:tc>
          <w:tcPr>
            <w:tcW w:w="3840" w:type="dxa"/>
            <w:vAlign w:val="bottom"/>
          </w:tcPr>
          <w:p w:rsidR="002D62B9" w:rsidRPr="001946E0" w:rsidRDefault="002D62B9" w:rsidP="001B1A50">
            <w:pPr>
              <w:pStyle w:val="tabteksts"/>
              <w:rPr>
                <w:noProof/>
                <w:color w:val="000000"/>
              </w:rPr>
            </w:pPr>
            <w:r w:rsidRPr="001946E0">
              <w:rPr>
                <w:noProof/>
                <w:color w:val="000000"/>
              </w:rPr>
              <w:t>t.sk.: īpašuma ieņēmumi</w:t>
            </w: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r>
      <w:tr w:rsidR="002D62B9" w:rsidRPr="001946E0" w:rsidTr="00D01375">
        <w:tc>
          <w:tcPr>
            <w:tcW w:w="3840" w:type="dxa"/>
            <w:vAlign w:val="bottom"/>
          </w:tcPr>
          <w:p w:rsidR="002D62B9" w:rsidRPr="001946E0" w:rsidRDefault="002D62B9" w:rsidP="001B1A50">
            <w:pPr>
              <w:pStyle w:val="tabteksts"/>
              <w:rPr>
                <w:noProof/>
                <w:color w:val="000000"/>
              </w:rPr>
            </w:pPr>
            <w:r w:rsidRPr="001946E0">
              <w:rPr>
                <w:noProof/>
                <w:color w:val="000000"/>
              </w:rPr>
              <w:t>t.sk.: pensiju iemaksas</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6,9</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8,9</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8,8</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9,1</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9,0</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8,8</w:t>
            </w:r>
          </w:p>
        </w:tc>
      </w:tr>
      <w:tr w:rsidR="002D62B9" w:rsidRPr="001946E0" w:rsidTr="00D01375">
        <w:tc>
          <w:tcPr>
            <w:tcW w:w="3840" w:type="dxa"/>
            <w:vAlign w:val="bottom"/>
          </w:tcPr>
          <w:p w:rsidR="002D62B9" w:rsidRPr="001946E0" w:rsidRDefault="002D62B9" w:rsidP="001B1A50">
            <w:pPr>
              <w:pStyle w:val="tabteksts"/>
              <w:rPr>
                <w:noProof/>
                <w:color w:val="000000"/>
              </w:rPr>
            </w:pPr>
            <w:r w:rsidRPr="001946E0">
              <w:rPr>
                <w:noProof/>
                <w:color w:val="000000"/>
              </w:rPr>
              <w:t>Pensiju rezerves fondu aktīvi</w:t>
            </w: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r>
      <w:tr w:rsidR="002D62B9" w:rsidRPr="001946E0" w:rsidTr="00D01375">
        <w:tc>
          <w:tcPr>
            <w:tcW w:w="3840" w:type="dxa"/>
            <w:vAlign w:val="bottom"/>
          </w:tcPr>
          <w:p w:rsidR="002D62B9" w:rsidRPr="001946E0" w:rsidRDefault="002D62B9" w:rsidP="001B1A50">
            <w:pPr>
              <w:pStyle w:val="tabteksts"/>
              <w:rPr>
                <w:noProof/>
                <w:color w:val="000000"/>
              </w:rPr>
            </w:pPr>
            <w:r w:rsidRPr="001946E0">
              <w:rPr>
                <w:noProof/>
                <w:color w:val="000000"/>
              </w:rPr>
              <w:t>t.sk. konsolidētie valsts pensiju fondu aktīvi (ne valdības saistības)</w:t>
            </w: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c>
          <w:tcPr>
            <w:tcW w:w="754" w:type="dxa"/>
            <w:vAlign w:val="bottom"/>
          </w:tcPr>
          <w:p w:rsidR="002D62B9" w:rsidRPr="001946E0" w:rsidRDefault="002D62B9" w:rsidP="001B1A50">
            <w:pPr>
              <w:pStyle w:val="tabteksts"/>
              <w:tabs>
                <w:tab w:val="decimal" w:pos="436"/>
              </w:tabs>
              <w:rPr>
                <w:color w:val="000000"/>
              </w:rPr>
            </w:pPr>
          </w:p>
        </w:tc>
      </w:tr>
      <w:tr w:rsidR="002D62B9" w:rsidRPr="001946E0" w:rsidTr="00D01375">
        <w:tc>
          <w:tcPr>
            <w:tcW w:w="3840" w:type="dxa"/>
            <w:vAlign w:val="bottom"/>
          </w:tcPr>
          <w:p w:rsidR="002D62B9" w:rsidRPr="001946E0" w:rsidRDefault="002D62B9" w:rsidP="001B1A50">
            <w:pPr>
              <w:pStyle w:val="tabteksts"/>
              <w:rPr>
                <w:noProof/>
                <w:color w:val="000000"/>
              </w:rPr>
            </w:pPr>
            <w:r w:rsidRPr="001946E0">
              <w:rPr>
                <w:noProof/>
                <w:color w:val="000000"/>
              </w:rPr>
              <w:t>Pensiju iemaksas valsts fondēto pensiju shēmā</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0,5</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1,6</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1,7</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1,8</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1,7</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1,7</w:t>
            </w:r>
          </w:p>
        </w:tc>
      </w:tr>
      <w:tr w:rsidR="002D62B9" w:rsidRPr="001946E0" w:rsidTr="00D01375">
        <w:tc>
          <w:tcPr>
            <w:tcW w:w="3840" w:type="dxa"/>
            <w:vAlign w:val="bottom"/>
          </w:tcPr>
          <w:p w:rsidR="002D62B9" w:rsidRPr="001946E0" w:rsidRDefault="002D62B9" w:rsidP="001B1A50">
            <w:pPr>
              <w:pStyle w:val="tabteksts"/>
              <w:rPr>
                <w:noProof/>
                <w:color w:val="000000"/>
              </w:rPr>
            </w:pPr>
            <w:r w:rsidRPr="001946E0">
              <w:rPr>
                <w:noProof/>
                <w:color w:val="000000"/>
              </w:rPr>
              <w:t>Pensiju izdevumi no valsts fondēto pensiju shēmas</w:t>
            </w:r>
          </w:p>
        </w:tc>
        <w:tc>
          <w:tcPr>
            <w:tcW w:w="754" w:type="dxa"/>
            <w:vAlign w:val="bottom"/>
          </w:tcPr>
          <w:p w:rsidR="002D62B9" w:rsidRPr="001946E0" w:rsidRDefault="002D62B9" w:rsidP="001B1A50">
            <w:pPr>
              <w:pStyle w:val="tabteksts"/>
              <w:tabs>
                <w:tab w:val="decimal" w:pos="423"/>
              </w:tabs>
              <w:rPr>
                <w:color w:val="000000"/>
              </w:rPr>
            </w:pPr>
            <w:r w:rsidRPr="001946E0">
              <w:rPr>
                <w:color w:val="000000"/>
              </w:rPr>
              <w:t>0,0</w:t>
            </w:r>
          </w:p>
        </w:tc>
        <w:tc>
          <w:tcPr>
            <w:tcW w:w="754" w:type="dxa"/>
            <w:vAlign w:val="bottom"/>
          </w:tcPr>
          <w:p w:rsidR="002D62B9" w:rsidRPr="001946E0" w:rsidRDefault="002D62B9" w:rsidP="001B1A50">
            <w:pPr>
              <w:pStyle w:val="tabteksts"/>
              <w:tabs>
                <w:tab w:val="decimal" w:pos="423"/>
              </w:tabs>
              <w:rPr>
                <w:color w:val="000000"/>
              </w:rPr>
            </w:pPr>
            <w:r w:rsidRPr="001946E0">
              <w:rPr>
                <w:color w:val="000000"/>
              </w:rPr>
              <w:t>0,1</w:t>
            </w:r>
          </w:p>
        </w:tc>
        <w:tc>
          <w:tcPr>
            <w:tcW w:w="754" w:type="dxa"/>
            <w:vAlign w:val="bottom"/>
          </w:tcPr>
          <w:p w:rsidR="002D62B9" w:rsidRPr="001946E0" w:rsidRDefault="002D62B9" w:rsidP="001B1A50">
            <w:pPr>
              <w:pStyle w:val="tabteksts"/>
              <w:tabs>
                <w:tab w:val="decimal" w:pos="423"/>
              </w:tabs>
              <w:rPr>
                <w:color w:val="000000"/>
              </w:rPr>
            </w:pPr>
            <w:r w:rsidRPr="001946E0">
              <w:rPr>
                <w:color w:val="000000"/>
              </w:rPr>
              <w:t>0,3</w:t>
            </w:r>
          </w:p>
        </w:tc>
        <w:tc>
          <w:tcPr>
            <w:tcW w:w="754" w:type="dxa"/>
            <w:vAlign w:val="bottom"/>
          </w:tcPr>
          <w:p w:rsidR="002D62B9" w:rsidRPr="001946E0" w:rsidRDefault="002D62B9" w:rsidP="001B1A50">
            <w:pPr>
              <w:pStyle w:val="tabteksts"/>
              <w:tabs>
                <w:tab w:val="decimal" w:pos="423"/>
              </w:tabs>
              <w:rPr>
                <w:color w:val="000000"/>
              </w:rPr>
            </w:pPr>
            <w:r w:rsidRPr="001946E0">
              <w:rPr>
                <w:color w:val="000000"/>
              </w:rPr>
              <w:t>0,9</w:t>
            </w:r>
          </w:p>
        </w:tc>
        <w:tc>
          <w:tcPr>
            <w:tcW w:w="754" w:type="dxa"/>
            <w:vAlign w:val="bottom"/>
          </w:tcPr>
          <w:p w:rsidR="002D62B9" w:rsidRPr="001946E0" w:rsidRDefault="002D62B9" w:rsidP="001B1A50">
            <w:pPr>
              <w:pStyle w:val="tabteksts"/>
              <w:tabs>
                <w:tab w:val="decimal" w:pos="423"/>
              </w:tabs>
              <w:rPr>
                <w:color w:val="000000"/>
              </w:rPr>
            </w:pPr>
            <w:r w:rsidRPr="001946E0">
              <w:rPr>
                <w:color w:val="000000"/>
              </w:rPr>
              <w:t>1,9</w:t>
            </w:r>
          </w:p>
        </w:tc>
        <w:tc>
          <w:tcPr>
            <w:tcW w:w="754" w:type="dxa"/>
            <w:vAlign w:val="bottom"/>
          </w:tcPr>
          <w:p w:rsidR="002D62B9" w:rsidRPr="001946E0" w:rsidRDefault="002D62B9" w:rsidP="001B1A50">
            <w:pPr>
              <w:pStyle w:val="tabteksts"/>
              <w:tabs>
                <w:tab w:val="decimal" w:pos="423"/>
              </w:tabs>
              <w:rPr>
                <w:color w:val="000000"/>
              </w:rPr>
            </w:pPr>
            <w:r w:rsidRPr="001946E0">
              <w:rPr>
                <w:color w:val="000000"/>
              </w:rPr>
              <w:t>2,9</w:t>
            </w:r>
          </w:p>
        </w:tc>
      </w:tr>
      <w:tr w:rsidR="002D62B9" w:rsidRPr="001946E0" w:rsidTr="00D01375">
        <w:tc>
          <w:tcPr>
            <w:tcW w:w="3840" w:type="dxa"/>
            <w:vAlign w:val="bottom"/>
          </w:tcPr>
          <w:p w:rsidR="002D62B9" w:rsidRPr="001946E0" w:rsidRDefault="002D62B9" w:rsidP="001B1A50">
            <w:pPr>
              <w:pStyle w:val="tabteksts"/>
              <w:rPr>
                <w:noProof/>
                <w:color w:val="000000"/>
              </w:rPr>
            </w:pPr>
            <w:r w:rsidRPr="001946E0">
              <w:rPr>
                <w:noProof/>
                <w:color w:val="000000"/>
              </w:rPr>
              <w:t>Darba produktivitātes pieaugums (stundā)</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5,4</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1,9</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2,3</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2,3</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1,9</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1,5</w:t>
            </w:r>
          </w:p>
        </w:tc>
      </w:tr>
      <w:tr w:rsidR="002D62B9" w:rsidRPr="001946E0" w:rsidTr="00D01375">
        <w:tc>
          <w:tcPr>
            <w:tcW w:w="3840" w:type="dxa"/>
            <w:vAlign w:val="bottom"/>
          </w:tcPr>
          <w:p w:rsidR="002D62B9" w:rsidRPr="001946E0" w:rsidRDefault="002D62B9" w:rsidP="001B1A50">
            <w:pPr>
              <w:pStyle w:val="tabteksts"/>
              <w:rPr>
                <w:color w:val="000000"/>
              </w:rPr>
            </w:pPr>
            <w:r w:rsidRPr="001946E0">
              <w:rPr>
                <w:color w:val="000000"/>
              </w:rPr>
              <w:t>IKP pieaugums, salīdzināmās cenās</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-0,3</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1,9</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1,9</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1,3</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0,3</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0,6</w:t>
            </w:r>
          </w:p>
        </w:tc>
      </w:tr>
      <w:tr w:rsidR="002D62B9" w:rsidRPr="001946E0" w:rsidTr="00D01375">
        <w:tc>
          <w:tcPr>
            <w:tcW w:w="3840" w:type="dxa"/>
            <w:vAlign w:val="bottom"/>
          </w:tcPr>
          <w:p w:rsidR="002D62B9" w:rsidRPr="001946E0" w:rsidRDefault="002D62B9" w:rsidP="001B1A50">
            <w:pPr>
              <w:pStyle w:val="tabteksts"/>
              <w:rPr>
                <w:color w:val="000000"/>
              </w:rPr>
            </w:pPr>
            <w:r w:rsidRPr="001946E0">
              <w:rPr>
                <w:color w:val="000000"/>
              </w:rPr>
              <w:t>Līdzdalības līmenis, vīrieši (20-64)</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83,2</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85,5</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85,2</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84,6</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82,8</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85,3</w:t>
            </w:r>
          </w:p>
        </w:tc>
      </w:tr>
      <w:tr w:rsidR="002D62B9" w:rsidRPr="001946E0" w:rsidTr="00D01375">
        <w:tc>
          <w:tcPr>
            <w:tcW w:w="3840" w:type="dxa"/>
            <w:vAlign w:val="bottom"/>
          </w:tcPr>
          <w:p w:rsidR="002D62B9" w:rsidRPr="001946E0" w:rsidRDefault="002D62B9" w:rsidP="001B1A50">
            <w:pPr>
              <w:pStyle w:val="tabteksts"/>
              <w:rPr>
                <w:color w:val="000000"/>
              </w:rPr>
            </w:pPr>
            <w:r w:rsidRPr="001946E0">
              <w:rPr>
                <w:color w:val="000000"/>
              </w:rPr>
              <w:t>Līdzdalības līmenis, sievietes (20-64)</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76,7</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79,4</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79,6</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79,2</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78,1</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80,9</w:t>
            </w:r>
          </w:p>
        </w:tc>
      </w:tr>
      <w:tr w:rsidR="002D62B9" w:rsidRPr="001946E0" w:rsidTr="00D01375">
        <w:tc>
          <w:tcPr>
            <w:tcW w:w="3840" w:type="dxa"/>
            <w:vAlign w:val="bottom"/>
          </w:tcPr>
          <w:p w:rsidR="002D62B9" w:rsidRPr="001946E0" w:rsidRDefault="002D62B9" w:rsidP="001B1A50">
            <w:pPr>
              <w:pStyle w:val="tabteksts"/>
              <w:rPr>
                <w:color w:val="000000"/>
              </w:rPr>
            </w:pPr>
            <w:r w:rsidRPr="001946E0">
              <w:rPr>
                <w:color w:val="000000"/>
              </w:rPr>
              <w:t>Līdzdalības līmenis, kopā (20-64)</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79,9</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82,4</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82,4</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81,9</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80,4</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83,1</w:t>
            </w:r>
          </w:p>
        </w:tc>
      </w:tr>
      <w:tr w:rsidR="002D62B9" w:rsidRPr="001946E0" w:rsidTr="00D01375">
        <w:tc>
          <w:tcPr>
            <w:tcW w:w="3840" w:type="dxa"/>
            <w:vAlign w:val="bottom"/>
          </w:tcPr>
          <w:p w:rsidR="002D62B9" w:rsidRPr="001946E0" w:rsidRDefault="002D62B9" w:rsidP="001B1A50">
            <w:pPr>
              <w:pStyle w:val="tabteksts"/>
              <w:rPr>
                <w:color w:val="000000"/>
              </w:rPr>
            </w:pPr>
            <w:r w:rsidRPr="001946E0">
              <w:rPr>
                <w:color w:val="000000"/>
              </w:rPr>
              <w:t>Bezdarba līmenis (20-64)</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18,4</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18,0</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8,6</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7,5</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7,2</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7,1</w:t>
            </w:r>
          </w:p>
        </w:tc>
      </w:tr>
      <w:tr w:rsidR="002D62B9" w:rsidRPr="001946E0" w:rsidTr="00D01375">
        <w:tc>
          <w:tcPr>
            <w:tcW w:w="3840" w:type="dxa"/>
            <w:vAlign w:val="bottom"/>
          </w:tcPr>
          <w:p w:rsidR="002D62B9" w:rsidRPr="001946E0" w:rsidRDefault="002D62B9" w:rsidP="001B1A50">
            <w:pPr>
              <w:pStyle w:val="tabteksts"/>
              <w:rPr>
                <w:color w:val="000000"/>
              </w:rPr>
            </w:pPr>
            <w:r w:rsidRPr="001946E0">
              <w:rPr>
                <w:color w:val="000000"/>
              </w:rPr>
              <w:t>Iedzīvotāji vecāki par 65 gadiem no kopējā iedzīvotāju skaita</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17,3</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19,2</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23,2</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26,8</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31,2</w:t>
            </w:r>
          </w:p>
        </w:tc>
        <w:tc>
          <w:tcPr>
            <w:tcW w:w="754" w:type="dxa"/>
            <w:vAlign w:val="bottom"/>
          </w:tcPr>
          <w:p w:rsidR="002D62B9" w:rsidRPr="001946E0" w:rsidRDefault="002D62B9" w:rsidP="001B1A50">
            <w:pPr>
              <w:pStyle w:val="tabteksts"/>
              <w:tabs>
                <w:tab w:val="decimal" w:pos="436"/>
              </w:tabs>
              <w:rPr>
                <w:color w:val="000000"/>
              </w:rPr>
            </w:pPr>
            <w:r w:rsidRPr="001946E0">
              <w:rPr>
                <w:color w:val="000000"/>
              </w:rPr>
              <w:t>35,6</w:t>
            </w:r>
          </w:p>
        </w:tc>
      </w:tr>
    </w:tbl>
    <w:p w:rsidR="002D62B9" w:rsidRPr="001946E0" w:rsidRDefault="002D62B9" w:rsidP="002D62B9">
      <w:pPr>
        <w:spacing w:before="60"/>
        <w:ind w:firstLine="0"/>
        <w:rPr>
          <w:color w:val="000000"/>
          <w:sz w:val="20"/>
        </w:rPr>
      </w:pPr>
      <w:r w:rsidRPr="001946E0">
        <w:rPr>
          <w:color w:val="000000"/>
          <w:sz w:val="20"/>
        </w:rPr>
        <w:t>Datu avots: EPC AWG</w:t>
      </w:r>
    </w:p>
    <w:p w:rsidR="002D62B9" w:rsidRPr="001946E0" w:rsidRDefault="002D62B9" w:rsidP="002D62B9">
      <w:pPr>
        <w:spacing w:before="60"/>
        <w:ind w:firstLine="0"/>
        <w:rPr>
          <w:color w:val="000000"/>
          <w:sz w:val="20"/>
        </w:rPr>
      </w:pPr>
    </w:p>
    <w:tbl>
      <w:tblPr>
        <w:tblW w:w="6320" w:type="dxa"/>
        <w:tblInd w:w="93" w:type="dxa"/>
        <w:tblLook w:val="04A0" w:firstRow="1" w:lastRow="0" w:firstColumn="1" w:lastColumn="0" w:noHBand="0" w:noVBand="1"/>
      </w:tblPr>
      <w:tblGrid>
        <w:gridCol w:w="5260"/>
        <w:gridCol w:w="1060"/>
      </w:tblGrid>
      <w:tr w:rsidR="002D62B9" w:rsidRPr="001946E0" w:rsidTr="00C70940">
        <w:trPr>
          <w:trHeight w:val="315"/>
        </w:trPr>
        <w:tc>
          <w:tcPr>
            <w:tcW w:w="6320" w:type="dxa"/>
            <w:gridSpan w:val="2"/>
            <w:tcBorders>
              <w:top w:val="nil"/>
              <w:left w:val="nil"/>
              <w:bottom w:val="nil"/>
              <w:right w:val="nil"/>
            </w:tcBorders>
            <w:shd w:val="clear" w:color="auto" w:fill="auto"/>
            <w:vAlign w:val="center"/>
            <w:hideMark/>
          </w:tcPr>
          <w:p w:rsidR="002D62B9" w:rsidRPr="001946E0" w:rsidRDefault="002D62B9" w:rsidP="00D83AC8">
            <w:pPr>
              <w:spacing w:after="0"/>
              <w:ind w:firstLine="0"/>
              <w:rPr>
                <w:b/>
                <w:bCs/>
                <w:color w:val="000000"/>
                <w:szCs w:val="24"/>
                <w:lang w:eastAsia="lv-LV"/>
              </w:rPr>
            </w:pPr>
            <w:r w:rsidRPr="001946E0">
              <w:rPr>
                <w:b/>
                <w:bCs/>
                <w:color w:val="000000"/>
                <w:szCs w:val="24"/>
                <w:lang w:eastAsia="lv-LV"/>
              </w:rPr>
              <w:t>7a.tabula Netiešās saistības</w:t>
            </w:r>
          </w:p>
        </w:tc>
      </w:tr>
      <w:tr w:rsidR="002D62B9" w:rsidRPr="00203D1A" w:rsidTr="00D83AC8">
        <w:trPr>
          <w:trHeight w:val="230"/>
        </w:trPr>
        <w:tc>
          <w:tcPr>
            <w:tcW w:w="5260" w:type="dxa"/>
            <w:vMerge w:val="restart"/>
            <w:tcBorders>
              <w:top w:val="single" w:sz="8" w:space="0" w:color="auto"/>
              <w:left w:val="single" w:sz="8" w:space="0" w:color="auto"/>
              <w:bottom w:val="single" w:sz="8" w:space="0" w:color="000000"/>
              <w:right w:val="nil"/>
            </w:tcBorders>
            <w:shd w:val="clear" w:color="auto" w:fill="auto"/>
            <w:vAlign w:val="center"/>
            <w:hideMark/>
          </w:tcPr>
          <w:p w:rsidR="002D62B9" w:rsidRPr="00203D1A" w:rsidRDefault="00C70940" w:rsidP="001B1A50">
            <w:pPr>
              <w:spacing w:after="0"/>
              <w:ind w:firstLine="0"/>
              <w:jc w:val="left"/>
              <w:rPr>
                <w:color w:val="000000"/>
                <w:sz w:val="20"/>
                <w:szCs w:val="24"/>
                <w:lang w:eastAsia="lv-LV"/>
              </w:rPr>
            </w:pPr>
            <w:r w:rsidRPr="00203D1A">
              <w:rPr>
                <w:color w:val="000000"/>
                <w:sz w:val="20"/>
                <w:szCs w:val="24"/>
                <w:lang w:eastAsia="lv-LV"/>
              </w:rPr>
              <w:t>Milj. latu</w:t>
            </w:r>
          </w:p>
        </w:tc>
        <w:tc>
          <w:tcPr>
            <w:tcW w:w="106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2D62B9" w:rsidRPr="00203D1A" w:rsidRDefault="002D62B9" w:rsidP="001B1A50">
            <w:pPr>
              <w:spacing w:after="0"/>
              <w:ind w:firstLine="0"/>
              <w:jc w:val="center"/>
              <w:rPr>
                <w:b/>
                <w:bCs/>
                <w:color w:val="000000"/>
                <w:sz w:val="20"/>
                <w:szCs w:val="24"/>
                <w:lang w:eastAsia="lv-LV"/>
              </w:rPr>
            </w:pPr>
            <w:r w:rsidRPr="00203D1A">
              <w:rPr>
                <w:b/>
                <w:bCs/>
                <w:color w:val="000000"/>
                <w:sz w:val="20"/>
                <w:szCs w:val="24"/>
                <w:lang w:eastAsia="lv-LV"/>
              </w:rPr>
              <w:t>2011</w:t>
            </w:r>
          </w:p>
        </w:tc>
      </w:tr>
      <w:tr w:rsidR="002D62B9" w:rsidRPr="00203D1A" w:rsidTr="00D83AC8">
        <w:trPr>
          <w:trHeight w:val="230"/>
        </w:trPr>
        <w:tc>
          <w:tcPr>
            <w:tcW w:w="5260" w:type="dxa"/>
            <w:vMerge/>
            <w:tcBorders>
              <w:top w:val="single" w:sz="8" w:space="0" w:color="auto"/>
              <w:left w:val="single" w:sz="8" w:space="0" w:color="auto"/>
              <w:bottom w:val="single" w:sz="8" w:space="0" w:color="000000"/>
              <w:right w:val="nil"/>
            </w:tcBorders>
            <w:vAlign w:val="center"/>
            <w:hideMark/>
          </w:tcPr>
          <w:p w:rsidR="002D62B9" w:rsidRPr="00203D1A" w:rsidRDefault="002D62B9" w:rsidP="001B1A50">
            <w:pPr>
              <w:spacing w:after="0"/>
              <w:ind w:firstLine="0"/>
              <w:jc w:val="left"/>
              <w:rPr>
                <w:color w:val="000000"/>
                <w:sz w:val="20"/>
                <w:szCs w:val="24"/>
                <w:lang w:eastAsia="lv-LV"/>
              </w:rPr>
            </w:pPr>
          </w:p>
        </w:tc>
        <w:tc>
          <w:tcPr>
            <w:tcW w:w="1060" w:type="dxa"/>
            <w:vMerge/>
            <w:tcBorders>
              <w:top w:val="single" w:sz="8" w:space="0" w:color="auto"/>
              <w:left w:val="single" w:sz="4" w:space="0" w:color="auto"/>
              <w:bottom w:val="single" w:sz="8" w:space="0" w:color="000000"/>
              <w:right w:val="single" w:sz="8" w:space="0" w:color="auto"/>
            </w:tcBorders>
            <w:vAlign w:val="center"/>
            <w:hideMark/>
          </w:tcPr>
          <w:p w:rsidR="002D62B9" w:rsidRPr="00203D1A" w:rsidRDefault="002D62B9" w:rsidP="001B1A50">
            <w:pPr>
              <w:spacing w:after="0"/>
              <w:ind w:firstLine="0"/>
              <w:jc w:val="left"/>
              <w:rPr>
                <w:b/>
                <w:bCs/>
                <w:color w:val="000000"/>
                <w:sz w:val="20"/>
                <w:szCs w:val="24"/>
                <w:lang w:eastAsia="lv-LV"/>
              </w:rPr>
            </w:pPr>
          </w:p>
        </w:tc>
      </w:tr>
      <w:tr w:rsidR="002D62B9" w:rsidRPr="00203D1A" w:rsidTr="00C70940">
        <w:trPr>
          <w:trHeight w:val="330"/>
        </w:trPr>
        <w:tc>
          <w:tcPr>
            <w:tcW w:w="5260" w:type="dxa"/>
            <w:tcBorders>
              <w:top w:val="nil"/>
              <w:left w:val="single" w:sz="8" w:space="0" w:color="auto"/>
              <w:bottom w:val="single" w:sz="8" w:space="0" w:color="auto"/>
              <w:right w:val="nil"/>
            </w:tcBorders>
            <w:shd w:val="clear" w:color="auto" w:fill="auto"/>
            <w:vAlign w:val="center"/>
            <w:hideMark/>
          </w:tcPr>
          <w:p w:rsidR="00C70940" w:rsidRPr="00203D1A" w:rsidRDefault="00C70940" w:rsidP="00C70940">
            <w:pPr>
              <w:spacing w:after="0"/>
              <w:ind w:firstLine="0"/>
              <w:jc w:val="left"/>
              <w:rPr>
                <w:b/>
                <w:bCs/>
                <w:color w:val="000000"/>
                <w:sz w:val="20"/>
                <w:szCs w:val="24"/>
                <w:lang w:eastAsia="lv-LV"/>
              </w:rPr>
            </w:pPr>
            <w:r w:rsidRPr="00203D1A">
              <w:rPr>
                <w:b/>
                <w:bCs/>
                <w:color w:val="000000"/>
                <w:sz w:val="20"/>
                <w:szCs w:val="24"/>
                <w:lang w:eastAsia="lv-LV"/>
              </w:rPr>
              <w:t xml:space="preserve">Valsts un pašvaldību garantijas </w:t>
            </w:r>
          </w:p>
          <w:p w:rsidR="002D62B9" w:rsidRPr="00203D1A" w:rsidRDefault="00C70940" w:rsidP="00C70940">
            <w:pPr>
              <w:spacing w:after="0"/>
              <w:ind w:firstLine="0"/>
              <w:jc w:val="left"/>
              <w:rPr>
                <w:b/>
                <w:bCs/>
                <w:color w:val="000000"/>
                <w:sz w:val="20"/>
                <w:szCs w:val="24"/>
                <w:lang w:eastAsia="lv-LV"/>
              </w:rPr>
            </w:pPr>
            <w:r w:rsidRPr="00203D1A">
              <w:rPr>
                <w:b/>
                <w:bCs/>
                <w:color w:val="000000"/>
                <w:sz w:val="20"/>
                <w:szCs w:val="24"/>
                <w:lang w:eastAsia="lv-LV"/>
              </w:rPr>
              <w:t>(Public guarantees )</w:t>
            </w:r>
          </w:p>
        </w:tc>
        <w:tc>
          <w:tcPr>
            <w:tcW w:w="1060" w:type="dxa"/>
            <w:tcBorders>
              <w:top w:val="nil"/>
              <w:left w:val="single" w:sz="4" w:space="0" w:color="auto"/>
              <w:bottom w:val="single" w:sz="8" w:space="0" w:color="auto"/>
              <w:right w:val="single" w:sz="8" w:space="0" w:color="auto"/>
            </w:tcBorders>
            <w:shd w:val="clear" w:color="auto" w:fill="auto"/>
            <w:vAlign w:val="center"/>
            <w:hideMark/>
          </w:tcPr>
          <w:p w:rsidR="002D62B9" w:rsidRPr="00203D1A" w:rsidRDefault="002D62B9" w:rsidP="001B1A50">
            <w:pPr>
              <w:spacing w:after="0"/>
              <w:ind w:firstLine="0"/>
              <w:jc w:val="center"/>
              <w:rPr>
                <w:b/>
                <w:bCs/>
                <w:color w:val="000000"/>
                <w:sz w:val="20"/>
                <w:szCs w:val="24"/>
                <w:lang w:eastAsia="lv-LV"/>
              </w:rPr>
            </w:pPr>
            <w:r w:rsidRPr="00203D1A">
              <w:rPr>
                <w:b/>
                <w:bCs/>
                <w:color w:val="000000"/>
                <w:sz w:val="20"/>
                <w:szCs w:val="24"/>
                <w:lang w:eastAsia="lv-LV"/>
              </w:rPr>
              <w:t>338</w:t>
            </w:r>
            <w:r w:rsidR="00C740F1">
              <w:rPr>
                <w:b/>
                <w:bCs/>
                <w:color w:val="000000"/>
                <w:sz w:val="20"/>
                <w:szCs w:val="24"/>
                <w:lang w:eastAsia="lv-LV"/>
              </w:rPr>
              <w:t>,</w:t>
            </w:r>
            <w:r w:rsidRPr="00203D1A">
              <w:rPr>
                <w:b/>
                <w:bCs/>
                <w:color w:val="000000"/>
                <w:sz w:val="20"/>
                <w:szCs w:val="24"/>
                <w:lang w:eastAsia="lv-LV"/>
              </w:rPr>
              <w:t>8</w:t>
            </w:r>
          </w:p>
        </w:tc>
      </w:tr>
      <w:tr w:rsidR="002D62B9" w:rsidRPr="00203D1A" w:rsidTr="00D83AC8">
        <w:trPr>
          <w:trHeight w:val="461"/>
        </w:trPr>
        <w:tc>
          <w:tcPr>
            <w:tcW w:w="5260" w:type="dxa"/>
            <w:tcBorders>
              <w:top w:val="nil"/>
              <w:left w:val="single" w:sz="8" w:space="0" w:color="auto"/>
              <w:bottom w:val="single" w:sz="8" w:space="0" w:color="auto"/>
              <w:right w:val="nil"/>
            </w:tcBorders>
            <w:shd w:val="clear" w:color="auto" w:fill="auto"/>
            <w:vAlign w:val="center"/>
            <w:hideMark/>
          </w:tcPr>
          <w:p w:rsidR="00C70940" w:rsidRPr="00203D1A" w:rsidRDefault="00C70940" w:rsidP="00C70940">
            <w:pPr>
              <w:spacing w:after="0"/>
              <w:ind w:firstLine="0"/>
              <w:jc w:val="left"/>
              <w:rPr>
                <w:i/>
                <w:iCs/>
                <w:color w:val="000000"/>
                <w:sz w:val="20"/>
                <w:szCs w:val="24"/>
                <w:lang w:eastAsia="lv-LV"/>
              </w:rPr>
            </w:pPr>
            <w:r w:rsidRPr="00203D1A">
              <w:rPr>
                <w:i/>
                <w:iCs/>
                <w:color w:val="000000"/>
                <w:sz w:val="20"/>
                <w:szCs w:val="24"/>
                <w:lang w:eastAsia="lv-LV"/>
              </w:rPr>
              <w:t xml:space="preserve">No kurām saistītas ar finanšu sektoru </w:t>
            </w:r>
          </w:p>
          <w:p w:rsidR="002D62B9" w:rsidRPr="00203D1A" w:rsidRDefault="00C70940" w:rsidP="00C70940">
            <w:pPr>
              <w:spacing w:after="0"/>
              <w:ind w:firstLine="0"/>
              <w:jc w:val="left"/>
              <w:rPr>
                <w:i/>
                <w:iCs/>
                <w:color w:val="000000"/>
                <w:sz w:val="20"/>
                <w:szCs w:val="24"/>
                <w:lang w:eastAsia="lv-LV"/>
              </w:rPr>
            </w:pPr>
            <w:r w:rsidRPr="00203D1A">
              <w:rPr>
                <w:i/>
                <w:iCs/>
                <w:color w:val="000000"/>
                <w:sz w:val="20"/>
                <w:szCs w:val="24"/>
                <w:lang w:eastAsia="lv-LV"/>
              </w:rPr>
              <w:t>(Of which: linked to the financial sector)</w:t>
            </w:r>
          </w:p>
        </w:tc>
        <w:tc>
          <w:tcPr>
            <w:tcW w:w="1060" w:type="dxa"/>
            <w:tcBorders>
              <w:top w:val="nil"/>
              <w:left w:val="single" w:sz="4" w:space="0" w:color="auto"/>
              <w:bottom w:val="single" w:sz="8" w:space="0" w:color="auto"/>
              <w:right w:val="single" w:sz="8" w:space="0" w:color="auto"/>
            </w:tcBorders>
            <w:shd w:val="clear" w:color="auto" w:fill="auto"/>
            <w:vAlign w:val="center"/>
            <w:hideMark/>
          </w:tcPr>
          <w:p w:rsidR="002D62B9" w:rsidRPr="00203D1A" w:rsidRDefault="002D62B9" w:rsidP="001B1A50">
            <w:pPr>
              <w:spacing w:after="0"/>
              <w:ind w:firstLine="0"/>
              <w:jc w:val="center"/>
              <w:rPr>
                <w:b/>
                <w:bCs/>
                <w:color w:val="000000"/>
                <w:sz w:val="20"/>
                <w:szCs w:val="24"/>
                <w:lang w:eastAsia="lv-LV"/>
              </w:rPr>
            </w:pPr>
            <w:r w:rsidRPr="00203D1A">
              <w:rPr>
                <w:b/>
                <w:bCs/>
                <w:color w:val="000000"/>
                <w:sz w:val="20"/>
                <w:szCs w:val="24"/>
                <w:lang w:eastAsia="lv-LV"/>
              </w:rPr>
              <w:t>67</w:t>
            </w:r>
            <w:r w:rsidR="00C740F1">
              <w:rPr>
                <w:b/>
                <w:bCs/>
                <w:color w:val="000000"/>
                <w:sz w:val="20"/>
                <w:szCs w:val="24"/>
                <w:lang w:eastAsia="lv-LV"/>
              </w:rPr>
              <w:t>,</w:t>
            </w:r>
            <w:r w:rsidRPr="00203D1A">
              <w:rPr>
                <w:b/>
                <w:bCs/>
                <w:color w:val="000000"/>
                <w:sz w:val="20"/>
                <w:szCs w:val="24"/>
                <w:lang w:eastAsia="lv-LV"/>
              </w:rPr>
              <w:t>2</w:t>
            </w:r>
          </w:p>
        </w:tc>
      </w:tr>
      <w:tr w:rsidR="002D62B9" w:rsidRPr="00203D1A" w:rsidTr="00C70940">
        <w:trPr>
          <w:trHeight w:val="330"/>
        </w:trPr>
        <w:tc>
          <w:tcPr>
            <w:tcW w:w="5260" w:type="dxa"/>
            <w:tcBorders>
              <w:top w:val="nil"/>
              <w:left w:val="nil"/>
              <w:bottom w:val="nil"/>
              <w:right w:val="nil"/>
            </w:tcBorders>
            <w:shd w:val="clear" w:color="auto" w:fill="auto"/>
            <w:vAlign w:val="center"/>
            <w:hideMark/>
          </w:tcPr>
          <w:p w:rsidR="002D62B9" w:rsidRPr="00203D1A" w:rsidRDefault="002D62B9" w:rsidP="001B1A50">
            <w:pPr>
              <w:spacing w:after="0"/>
              <w:ind w:firstLine="0"/>
              <w:jc w:val="left"/>
              <w:rPr>
                <w:i/>
                <w:iCs/>
                <w:color w:val="000000"/>
                <w:sz w:val="20"/>
                <w:szCs w:val="24"/>
                <w:lang w:eastAsia="lv-LV"/>
              </w:rPr>
            </w:pPr>
          </w:p>
        </w:tc>
        <w:tc>
          <w:tcPr>
            <w:tcW w:w="1060" w:type="dxa"/>
            <w:tcBorders>
              <w:top w:val="nil"/>
              <w:left w:val="nil"/>
              <w:bottom w:val="nil"/>
              <w:right w:val="nil"/>
            </w:tcBorders>
            <w:shd w:val="clear" w:color="auto" w:fill="auto"/>
            <w:vAlign w:val="center"/>
            <w:hideMark/>
          </w:tcPr>
          <w:p w:rsidR="002D62B9" w:rsidRPr="00203D1A" w:rsidRDefault="002D62B9" w:rsidP="001B1A50">
            <w:pPr>
              <w:spacing w:after="0"/>
              <w:ind w:firstLine="0"/>
              <w:jc w:val="center"/>
              <w:rPr>
                <w:b/>
                <w:bCs/>
                <w:color w:val="000000"/>
                <w:sz w:val="20"/>
                <w:szCs w:val="24"/>
                <w:lang w:eastAsia="lv-LV"/>
              </w:rPr>
            </w:pPr>
          </w:p>
        </w:tc>
      </w:tr>
      <w:tr w:rsidR="002D62B9" w:rsidRPr="00203D1A" w:rsidTr="00C70940">
        <w:trPr>
          <w:trHeight w:val="300"/>
        </w:trPr>
        <w:tc>
          <w:tcPr>
            <w:tcW w:w="5260" w:type="dxa"/>
            <w:vMerge w:val="restart"/>
            <w:tcBorders>
              <w:top w:val="single" w:sz="8" w:space="0" w:color="auto"/>
              <w:left w:val="single" w:sz="8" w:space="0" w:color="auto"/>
              <w:bottom w:val="single" w:sz="8" w:space="0" w:color="000000"/>
              <w:right w:val="nil"/>
            </w:tcBorders>
            <w:shd w:val="clear" w:color="auto" w:fill="auto"/>
            <w:vAlign w:val="center"/>
            <w:hideMark/>
          </w:tcPr>
          <w:p w:rsidR="002D62B9" w:rsidRPr="00203D1A" w:rsidRDefault="00C70940" w:rsidP="00D83AC8">
            <w:pPr>
              <w:spacing w:after="0"/>
              <w:ind w:firstLine="0"/>
              <w:jc w:val="left"/>
              <w:rPr>
                <w:color w:val="000000"/>
                <w:sz w:val="20"/>
                <w:szCs w:val="24"/>
                <w:lang w:eastAsia="lv-LV"/>
              </w:rPr>
            </w:pPr>
            <w:r w:rsidRPr="00203D1A">
              <w:rPr>
                <w:color w:val="000000"/>
                <w:sz w:val="20"/>
                <w:szCs w:val="24"/>
                <w:lang w:eastAsia="lv-LV"/>
              </w:rPr>
              <w:t>% no IKP</w:t>
            </w:r>
          </w:p>
        </w:tc>
        <w:tc>
          <w:tcPr>
            <w:tcW w:w="106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2D62B9" w:rsidRPr="00203D1A" w:rsidRDefault="002D62B9" w:rsidP="00D83AC8">
            <w:pPr>
              <w:spacing w:after="0"/>
              <w:ind w:firstLine="0"/>
              <w:jc w:val="center"/>
              <w:rPr>
                <w:b/>
                <w:bCs/>
                <w:color w:val="000000"/>
                <w:sz w:val="20"/>
                <w:szCs w:val="24"/>
                <w:lang w:eastAsia="lv-LV"/>
              </w:rPr>
            </w:pPr>
            <w:r w:rsidRPr="00203D1A">
              <w:rPr>
                <w:b/>
                <w:bCs/>
                <w:color w:val="000000"/>
                <w:sz w:val="20"/>
                <w:szCs w:val="24"/>
                <w:lang w:eastAsia="lv-LV"/>
              </w:rPr>
              <w:t>2011</w:t>
            </w:r>
          </w:p>
        </w:tc>
      </w:tr>
      <w:tr w:rsidR="002D62B9" w:rsidRPr="00203D1A" w:rsidTr="00D83AC8">
        <w:trPr>
          <w:trHeight w:val="230"/>
        </w:trPr>
        <w:tc>
          <w:tcPr>
            <w:tcW w:w="5260" w:type="dxa"/>
            <w:vMerge/>
            <w:tcBorders>
              <w:top w:val="single" w:sz="8" w:space="0" w:color="auto"/>
              <w:left w:val="single" w:sz="8" w:space="0" w:color="auto"/>
              <w:bottom w:val="single" w:sz="8" w:space="0" w:color="000000"/>
              <w:right w:val="nil"/>
            </w:tcBorders>
            <w:vAlign w:val="center"/>
            <w:hideMark/>
          </w:tcPr>
          <w:p w:rsidR="002D62B9" w:rsidRPr="00203D1A" w:rsidRDefault="002D62B9" w:rsidP="001B1A50">
            <w:pPr>
              <w:spacing w:after="0"/>
              <w:ind w:firstLine="0"/>
              <w:jc w:val="left"/>
              <w:rPr>
                <w:color w:val="000000"/>
                <w:sz w:val="20"/>
                <w:szCs w:val="24"/>
                <w:lang w:eastAsia="lv-LV"/>
              </w:rPr>
            </w:pPr>
          </w:p>
        </w:tc>
        <w:tc>
          <w:tcPr>
            <w:tcW w:w="1060" w:type="dxa"/>
            <w:vMerge/>
            <w:tcBorders>
              <w:top w:val="single" w:sz="8" w:space="0" w:color="auto"/>
              <w:left w:val="single" w:sz="4" w:space="0" w:color="auto"/>
              <w:bottom w:val="single" w:sz="8" w:space="0" w:color="000000"/>
              <w:right w:val="single" w:sz="8" w:space="0" w:color="auto"/>
            </w:tcBorders>
            <w:vAlign w:val="center"/>
            <w:hideMark/>
          </w:tcPr>
          <w:p w:rsidR="002D62B9" w:rsidRPr="00203D1A" w:rsidRDefault="002D62B9" w:rsidP="001B1A50">
            <w:pPr>
              <w:spacing w:after="0"/>
              <w:ind w:firstLine="0"/>
              <w:jc w:val="left"/>
              <w:rPr>
                <w:b/>
                <w:bCs/>
                <w:color w:val="000000"/>
                <w:sz w:val="20"/>
                <w:szCs w:val="24"/>
                <w:lang w:eastAsia="lv-LV"/>
              </w:rPr>
            </w:pPr>
          </w:p>
        </w:tc>
      </w:tr>
      <w:tr w:rsidR="002D62B9" w:rsidRPr="00203D1A" w:rsidTr="00C70940">
        <w:trPr>
          <w:trHeight w:val="330"/>
        </w:trPr>
        <w:tc>
          <w:tcPr>
            <w:tcW w:w="5260" w:type="dxa"/>
            <w:tcBorders>
              <w:top w:val="nil"/>
              <w:left w:val="single" w:sz="8" w:space="0" w:color="auto"/>
              <w:bottom w:val="single" w:sz="8" w:space="0" w:color="auto"/>
              <w:right w:val="nil"/>
            </w:tcBorders>
            <w:shd w:val="clear" w:color="auto" w:fill="auto"/>
            <w:vAlign w:val="center"/>
            <w:hideMark/>
          </w:tcPr>
          <w:p w:rsidR="00C70940" w:rsidRPr="00203D1A" w:rsidRDefault="00C70940" w:rsidP="00C70940">
            <w:pPr>
              <w:spacing w:after="0"/>
              <w:ind w:firstLine="0"/>
              <w:jc w:val="left"/>
              <w:rPr>
                <w:b/>
                <w:bCs/>
                <w:color w:val="000000"/>
                <w:sz w:val="20"/>
                <w:szCs w:val="24"/>
                <w:lang w:eastAsia="lv-LV"/>
              </w:rPr>
            </w:pPr>
            <w:r w:rsidRPr="00203D1A">
              <w:rPr>
                <w:b/>
                <w:bCs/>
                <w:color w:val="000000"/>
                <w:sz w:val="20"/>
                <w:szCs w:val="24"/>
                <w:lang w:eastAsia="lv-LV"/>
              </w:rPr>
              <w:t>Valsts un pašvaldību garantijas</w:t>
            </w:r>
            <w:r w:rsidR="002D62B9" w:rsidRPr="00203D1A">
              <w:rPr>
                <w:b/>
                <w:bCs/>
                <w:color w:val="000000"/>
                <w:sz w:val="20"/>
                <w:szCs w:val="24"/>
                <w:lang w:eastAsia="lv-LV"/>
              </w:rPr>
              <w:t xml:space="preserve"> </w:t>
            </w:r>
          </w:p>
          <w:p w:rsidR="002D62B9" w:rsidRPr="00203D1A" w:rsidRDefault="00C70940" w:rsidP="00C70940">
            <w:pPr>
              <w:spacing w:after="0"/>
              <w:ind w:firstLine="0"/>
              <w:jc w:val="left"/>
              <w:rPr>
                <w:b/>
                <w:bCs/>
                <w:color w:val="000000"/>
                <w:sz w:val="20"/>
                <w:szCs w:val="24"/>
                <w:lang w:eastAsia="lv-LV"/>
              </w:rPr>
            </w:pPr>
            <w:r w:rsidRPr="00203D1A">
              <w:rPr>
                <w:b/>
                <w:bCs/>
                <w:color w:val="000000"/>
                <w:sz w:val="20"/>
                <w:szCs w:val="24"/>
                <w:lang w:eastAsia="lv-LV"/>
              </w:rPr>
              <w:t>(Public guarantees )</w:t>
            </w:r>
          </w:p>
        </w:tc>
        <w:tc>
          <w:tcPr>
            <w:tcW w:w="1060" w:type="dxa"/>
            <w:tcBorders>
              <w:top w:val="nil"/>
              <w:left w:val="single" w:sz="4" w:space="0" w:color="auto"/>
              <w:bottom w:val="single" w:sz="8" w:space="0" w:color="auto"/>
              <w:right w:val="single" w:sz="8" w:space="0" w:color="auto"/>
            </w:tcBorders>
            <w:shd w:val="clear" w:color="auto" w:fill="auto"/>
            <w:vAlign w:val="center"/>
            <w:hideMark/>
          </w:tcPr>
          <w:p w:rsidR="002D62B9" w:rsidRPr="00203D1A" w:rsidRDefault="002D62B9" w:rsidP="001B1A50">
            <w:pPr>
              <w:spacing w:after="0"/>
              <w:ind w:firstLine="0"/>
              <w:jc w:val="center"/>
              <w:rPr>
                <w:b/>
                <w:bCs/>
                <w:color w:val="000000"/>
                <w:sz w:val="20"/>
                <w:szCs w:val="24"/>
                <w:lang w:eastAsia="lv-LV"/>
              </w:rPr>
            </w:pPr>
            <w:r w:rsidRPr="00203D1A">
              <w:rPr>
                <w:b/>
                <w:bCs/>
                <w:color w:val="000000"/>
                <w:sz w:val="20"/>
                <w:szCs w:val="24"/>
                <w:lang w:eastAsia="lv-LV"/>
              </w:rPr>
              <w:t>2</w:t>
            </w:r>
            <w:r w:rsidR="00C740F1">
              <w:rPr>
                <w:b/>
                <w:bCs/>
                <w:color w:val="000000"/>
                <w:sz w:val="20"/>
                <w:szCs w:val="24"/>
                <w:lang w:eastAsia="lv-LV"/>
              </w:rPr>
              <w:t>,</w:t>
            </w:r>
            <w:r w:rsidRPr="00203D1A">
              <w:rPr>
                <w:b/>
                <w:bCs/>
                <w:color w:val="000000"/>
                <w:sz w:val="20"/>
                <w:szCs w:val="24"/>
                <w:lang w:eastAsia="lv-LV"/>
              </w:rPr>
              <w:t>4%</w:t>
            </w:r>
          </w:p>
        </w:tc>
      </w:tr>
      <w:tr w:rsidR="002D62B9" w:rsidRPr="00203D1A" w:rsidTr="00C70940">
        <w:trPr>
          <w:trHeight w:val="645"/>
        </w:trPr>
        <w:tc>
          <w:tcPr>
            <w:tcW w:w="5260" w:type="dxa"/>
            <w:tcBorders>
              <w:top w:val="nil"/>
              <w:left w:val="single" w:sz="8" w:space="0" w:color="auto"/>
              <w:bottom w:val="single" w:sz="8" w:space="0" w:color="auto"/>
              <w:right w:val="nil"/>
            </w:tcBorders>
            <w:shd w:val="clear" w:color="auto" w:fill="auto"/>
            <w:vAlign w:val="center"/>
            <w:hideMark/>
          </w:tcPr>
          <w:p w:rsidR="00C70940" w:rsidRPr="00203D1A" w:rsidRDefault="00C70940" w:rsidP="001B1A50">
            <w:pPr>
              <w:spacing w:after="0"/>
              <w:ind w:firstLine="0"/>
              <w:jc w:val="left"/>
              <w:rPr>
                <w:i/>
                <w:iCs/>
                <w:color w:val="000000"/>
                <w:sz w:val="20"/>
                <w:szCs w:val="24"/>
                <w:lang w:eastAsia="lv-LV"/>
              </w:rPr>
            </w:pPr>
            <w:r w:rsidRPr="00203D1A">
              <w:rPr>
                <w:i/>
                <w:iCs/>
                <w:color w:val="000000"/>
                <w:sz w:val="20"/>
                <w:szCs w:val="24"/>
                <w:lang w:eastAsia="lv-LV"/>
              </w:rPr>
              <w:t xml:space="preserve">No kurām saistītas ar finanšu sektoru </w:t>
            </w:r>
          </w:p>
          <w:p w:rsidR="002D62B9" w:rsidRPr="00203D1A" w:rsidRDefault="00C70940" w:rsidP="001B1A50">
            <w:pPr>
              <w:spacing w:after="0"/>
              <w:ind w:firstLine="0"/>
              <w:jc w:val="left"/>
              <w:rPr>
                <w:i/>
                <w:iCs/>
                <w:color w:val="000000"/>
                <w:sz w:val="20"/>
                <w:szCs w:val="24"/>
                <w:lang w:eastAsia="lv-LV"/>
              </w:rPr>
            </w:pPr>
            <w:r w:rsidRPr="00203D1A">
              <w:rPr>
                <w:i/>
                <w:iCs/>
                <w:color w:val="000000"/>
                <w:sz w:val="20"/>
                <w:szCs w:val="24"/>
                <w:lang w:eastAsia="lv-LV"/>
              </w:rPr>
              <w:t>(</w:t>
            </w:r>
            <w:r w:rsidR="002D62B9" w:rsidRPr="00203D1A">
              <w:rPr>
                <w:i/>
                <w:iCs/>
                <w:color w:val="000000"/>
                <w:sz w:val="20"/>
                <w:szCs w:val="24"/>
                <w:lang w:eastAsia="lv-LV"/>
              </w:rPr>
              <w:t>Of which: linked to the financial sector</w:t>
            </w:r>
            <w:r w:rsidRPr="00203D1A">
              <w:rPr>
                <w:i/>
                <w:iCs/>
                <w:color w:val="000000"/>
                <w:sz w:val="20"/>
                <w:szCs w:val="24"/>
                <w:lang w:eastAsia="lv-LV"/>
              </w:rPr>
              <w:t>)</w:t>
            </w:r>
          </w:p>
        </w:tc>
        <w:tc>
          <w:tcPr>
            <w:tcW w:w="1060" w:type="dxa"/>
            <w:tcBorders>
              <w:top w:val="nil"/>
              <w:left w:val="single" w:sz="4" w:space="0" w:color="auto"/>
              <w:bottom w:val="single" w:sz="8" w:space="0" w:color="auto"/>
              <w:right w:val="single" w:sz="8" w:space="0" w:color="auto"/>
            </w:tcBorders>
            <w:shd w:val="clear" w:color="auto" w:fill="auto"/>
            <w:vAlign w:val="center"/>
            <w:hideMark/>
          </w:tcPr>
          <w:p w:rsidR="002D62B9" w:rsidRPr="00203D1A" w:rsidRDefault="002D62B9" w:rsidP="001B1A50">
            <w:pPr>
              <w:spacing w:after="0"/>
              <w:ind w:firstLine="0"/>
              <w:jc w:val="center"/>
              <w:rPr>
                <w:b/>
                <w:bCs/>
                <w:color w:val="000000"/>
                <w:sz w:val="20"/>
                <w:szCs w:val="24"/>
                <w:lang w:eastAsia="lv-LV"/>
              </w:rPr>
            </w:pPr>
            <w:r w:rsidRPr="00203D1A">
              <w:rPr>
                <w:b/>
                <w:bCs/>
                <w:color w:val="000000"/>
                <w:sz w:val="20"/>
                <w:szCs w:val="24"/>
                <w:lang w:eastAsia="lv-LV"/>
              </w:rPr>
              <w:t>0</w:t>
            </w:r>
            <w:r w:rsidR="00C740F1">
              <w:rPr>
                <w:b/>
                <w:bCs/>
                <w:color w:val="000000"/>
                <w:sz w:val="20"/>
                <w:szCs w:val="24"/>
                <w:lang w:eastAsia="lv-LV"/>
              </w:rPr>
              <w:t>,</w:t>
            </w:r>
            <w:r w:rsidRPr="00203D1A">
              <w:rPr>
                <w:b/>
                <w:bCs/>
                <w:color w:val="000000"/>
                <w:sz w:val="20"/>
                <w:szCs w:val="24"/>
                <w:lang w:eastAsia="lv-LV"/>
              </w:rPr>
              <w:t>5%</w:t>
            </w:r>
          </w:p>
        </w:tc>
      </w:tr>
      <w:tr w:rsidR="002D62B9" w:rsidRPr="00203D1A" w:rsidTr="00C70940">
        <w:trPr>
          <w:trHeight w:val="315"/>
        </w:trPr>
        <w:tc>
          <w:tcPr>
            <w:tcW w:w="5260" w:type="dxa"/>
            <w:tcBorders>
              <w:top w:val="nil"/>
              <w:left w:val="nil"/>
              <w:bottom w:val="nil"/>
              <w:right w:val="nil"/>
            </w:tcBorders>
            <w:shd w:val="clear" w:color="auto" w:fill="auto"/>
            <w:noWrap/>
            <w:vAlign w:val="bottom"/>
            <w:hideMark/>
          </w:tcPr>
          <w:p w:rsidR="002D62B9" w:rsidRPr="00203D1A" w:rsidRDefault="002D62B9" w:rsidP="001B1A50">
            <w:pPr>
              <w:spacing w:after="0"/>
              <w:ind w:firstLine="0"/>
              <w:jc w:val="left"/>
              <w:rPr>
                <w:rFonts w:ascii="Arial" w:hAnsi="Arial" w:cs="Arial"/>
                <w:color w:val="000000"/>
                <w:sz w:val="20"/>
                <w:szCs w:val="24"/>
                <w:lang w:eastAsia="lv-LV"/>
              </w:rPr>
            </w:pPr>
          </w:p>
        </w:tc>
        <w:tc>
          <w:tcPr>
            <w:tcW w:w="1060" w:type="dxa"/>
            <w:tcBorders>
              <w:top w:val="nil"/>
              <w:left w:val="nil"/>
              <w:bottom w:val="nil"/>
              <w:right w:val="nil"/>
            </w:tcBorders>
            <w:shd w:val="clear" w:color="auto" w:fill="auto"/>
            <w:noWrap/>
            <w:vAlign w:val="bottom"/>
            <w:hideMark/>
          </w:tcPr>
          <w:p w:rsidR="002D62B9" w:rsidRPr="00203D1A" w:rsidRDefault="002D62B9" w:rsidP="001B1A50">
            <w:pPr>
              <w:spacing w:after="0"/>
              <w:ind w:firstLine="0"/>
              <w:jc w:val="left"/>
              <w:rPr>
                <w:rFonts w:ascii="Arial" w:hAnsi="Arial" w:cs="Arial"/>
                <w:color w:val="000000"/>
                <w:sz w:val="20"/>
                <w:szCs w:val="24"/>
                <w:lang w:eastAsia="lv-LV"/>
              </w:rPr>
            </w:pPr>
          </w:p>
        </w:tc>
      </w:tr>
      <w:tr w:rsidR="002D62B9" w:rsidRPr="00203D1A" w:rsidTr="00C70940">
        <w:trPr>
          <w:trHeight w:val="330"/>
        </w:trPr>
        <w:tc>
          <w:tcPr>
            <w:tcW w:w="5260" w:type="dxa"/>
            <w:tcBorders>
              <w:top w:val="single" w:sz="8" w:space="0" w:color="auto"/>
              <w:left w:val="single" w:sz="8" w:space="0" w:color="auto"/>
              <w:bottom w:val="single" w:sz="8" w:space="0" w:color="auto"/>
              <w:right w:val="nil"/>
            </w:tcBorders>
            <w:shd w:val="clear" w:color="auto" w:fill="auto"/>
            <w:vAlign w:val="center"/>
            <w:hideMark/>
          </w:tcPr>
          <w:p w:rsidR="002D62B9" w:rsidRPr="00203D1A" w:rsidRDefault="00C70940" w:rsidP="001B1A50">
            <w:pPr>
              <w:spacing w:after="0"/>
              <w:ind w:firstLine="0"/>
              <w:jc w:val="left"/>
              <w:rPr>
                <w:b/>
                <w:bCs/>
                <w:color w:val="000000"/>
                <w:sz w:val="20"/>
                <w:szCs w:val="24"/>
                <w:lang w:eastAsia="lv-LV"/>
              </w:rPr>
            </w:pPr>
            <w:r w:rsidRPr="00203D1A">
              <w:rPr>
                <w:b/>
                <w:bCs/>
                <w:color w:val="000000"/>
                <w:sz w:val="20"/>
                <w:szCs w:val="24"/>
                <w:lang w:eastAsia="lv-LV"/>
              </w:rPr>
              <w:t>IKP</w:t>
            </w:r>
          </w:p>
        </w:tc>
        <w:tc>
          <w:tcPr>
            <w:tcW w:w="106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2D62B9" w:rsidRPr="00203D1A" w:rsidRDefault="002D62B9" w:rsidP="001B1A50">
            <w:pPr>
              <w:spacing w:after="0"/>
              <w:ind w:firstLine="0"/>
              <w:jc w:val="center"/>
              <w:rPr>
                <w:b/>
                <w:bCs/>
                <w:color w:val="000000"/>
                <w:sz w:val="20"/>
                <w:szCs w:val="24"/>
                <w:lang w:eastAsia="lv-LV"/>
              </w:rPr>
            </w:pPr>
            <w:r w:rsidRPr="00203D1A">
              <w:rPr>
                <w:b/>
                <w:bCs/>
                <w:color w:val="000000"/>
                <w:sz w:val="20"/>
                <w:szCs w:val="24"/>
                <w:lang w:eastAsia="lv-LV"/>
              </w:rPr>
              <w:t>14 161</w:t>
            </w:r>
            <w:r w:rsidR="00C740F1">
              <w:rPr>
                <w:b/>
                <w:bCs/>
                <w:color w:val="000000"/>
                <w:sz w:val="20"/>
                <w:szCs w:val="24"/>
                <w:lang w:eastAsia="lv-LV"/>
              </w:rPr>
              <w:t>,</w:t>
            </w:r>
            <w:r w:rsidRPr="00203D1A">
              <w:rPr>
                <w:b/>
                <w:bCs/>
                <w:color w:val="000000"/>
                <w:sz w:val="20"/>
                <w:szCs w:val="24"/>
                <w:lang w:eastAsia="lv-LV"/>
              </w:rPr>
              <w:t>0</w:t>
            </w:r>
          </w:p>
        </w:tc>
      </w:tr>
    </w:tbl>
    <w:p w:rsidR="002D62B9" w:rsidRPr="001946E0" w:rsidRDefault="002D62B9" w:rsidP="002D62B9">
      <w:pPr>
        <w:pStyle w:val="T"/>
        <w:ind w:left="0"/>
        <w:rPr>
          <w:rFonts w:ascii="Times New Roman" w:hAnsi="Times New Roman"/>
          <w:color w:val="000000"/>
          <w:szCs w:val="24"/>
        </w:rPr>
      </w:pPr>
      <w:r w:rsidRPr="001946E0">
        <w:rPr>
          <w:rFonts w:ascii="Times New Roman" w:hAnsi="Times New Roman"/>
          <w:color w:val="000000"/>
          <w:szCs w:val="24"/>
        </w:rPr>
        <w:t>8. tabula. Ārējās vides pamata pieņēmumi</w:t>
      </w:r>
      <w:r w:rsidRPr="001946E0">
        <w:rPr>
          <w:rStyle w:val="FootnoteReference"/>
          <w:rFonts w:ascii="Times New Roman" w:hAnsi="Times New Roman"/>
          <w:color w:val="000000"/>
          <w:sz w:val="24"/>
          <w:szCs w:val="24"/>
        </w:rPr>
        <w:footnoteReference w:id="15"/>
      </w:r>
    </w:p>
    <w:p w:rsidR="002D62B9" w:rsidRPr="001946E0" w:rsidRDefault="002D62B9" w:rsidP="002D62B9">
      <w:pPr>
        <w:pStyle w:val="T"/>
        <w:rPr>
          <w:rFonts w:ascii="Times New Roman" w:hAnsi="Times New Roman"/>
          <w:b w:val="0"/>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4"/>
        <w:gridCol w:w="964"/>
        <w:gridCol w:w="964"/>
        <w:gridCol w:w="893"/>
        <w:gridCol w:w="1035"/>
        <w:gridCol w:w="1091"/>
      </w:tblGrid>
      <w:tr w:rsidR="002D62B9" w:rsidRPr="001946E0" w:rsidTr="00D01375">
        <w:trPr>
          <w:jc w:val="center"/>
        </w:trPr>
        <w:tc>
          <w:tcPr>
            <w:tcW w:w="4284" w:type="dxa"/>
            <w:vAlign w:val="center"/>
          </w:tcPr>
          <w:p w:rsidR="002D62B9" w:rsidRPr="001946E0" w:rsidRDefault="002D62B9" w:rsidP="00D01375">
            <w:pPr>
              <w:spacing w:after="0"/>
              <w:ind w:firstLine="0"/>
              <w:jc w:val="left"/>
              <w:rPr>
                <w:color w:val="000000"/>
                <w:sz w:val="20"/>
              </w:rPr>
            </w:pPr>
          </w:p>
        </w:tc>
        <w:tc>
          <w:tcPr>
            <w:tcW w:w="964" w:type="dxa"/>
          </w:tcPr>
          <w:p w:rsidR="002D62B9" w:rsidRPr="001946E0" w:rsidRDefault="002D62B9" w:rsidP="001B1A50">
            <w:pPr>
              <w:spacing w:after="0"/>
              <w:ind w:firstLine="0"/>
              <w:jc w:val="center"/>
              <w:rPr>
                <w:b/>
                <w:color w:val="000000"/>
                <w:sz w:val="20"/>
              </w:rPr>
            </w:pPr>
            <w:r w:rsidRPr="001946E0">
              <w:rPr>
                <w:b/>
                <w:color w:val="000000"/>
                <w:sz w:val="20"/>
              </w:rPr>
              <w:t>2011</w:t>
            </w:r>
          </w:p>
        </w:tc>
        <w:tc>
          <w:tcPr>
            <w:tcW w:w="964" w:type="dxa"/>
          </w:tcPr>
          <w:p w:rsidR="002D62B9" w:rsidRPr="001946E0" w:rsidRDefault="002D62B9" w:rsidP="001B1A50">
            <w:pPr>
              <w:spacing w:after="0"/>
              <w:ind w:firstLine="0"/>
              <w:jc w:val="center"/>
              <w:rPr>
                <w:b/>
                <w:color w:val="000000"/>
                <w:sz w:val="20"/>
              </w:rPr>
            </w:pPr>
            <w:r w:rsidRPr="001946E0">
              <w:rPr>
                <w:b/>
                <w:color w:val="000000"/>
                <w:sz w:val="20"/>
              </w:rPr>
              <w:t>2012</w:t>
            </w:r>
          </w:p>
        </w:tc>
        <w:tc>
          <w:tcPr>
            <w:tcW w:w="893" w:type="dxa"/>
          </w:tcPr>
          <w:p w:rsidR="002D62B9" w:rsidRPr="001946E0" w:rsidRDefault="002D62B9" w:rsidP="001B1A50">
            <w:pPr>
              <w:spacing w:after="0"/>
              <w:ind w:firstLine="0"/>
              <w:jc w:val="center"/>
              <w:rPr>
                <w:b/>
                <w:color w:val="000000"/>
                <w:sz w:val="20"/>
              </w:rPr>
            </w:pPr>
            <w:r w:rsidRPr="001946E0">
              <w:rPr>
                <w:b/>
                <w:color w:val="000000"/>
                <w:sz w:val="20"/>
              </w:rPr>
              <w:t>2013</w:t>
            </w:r>
          </w:p>
        </w:tc>
        <w:tc>
          <w:tcPr>
            <w:tcW w:w="1035" w:type="dxa"/>
          </w:tcPr>
          <w:p w:rsidR="002D62B9" w:rsidRPr="001946E0" w:rsidRDefault="002D62B9" w:rsidP="001B1A50">
            <w:pPr>
              <w:spacing w:after="0"/>
              <w:ind w:firstLine="0"/>
              <w:jc w:val="center"/>
              <w:rPr>
                <w:b/>
                <w:color w:val="000000"/>
                <w:sz w:val="20"/>
              </w:rPr>
            </w:pPr>
            <w:r w:rsidRPr="001946E0">
              <w:rPr>
                <w:b/>
                <w:color w:val="000000"/>
                <w:sz w:val="20"/>
              </w:rPr>
              <w:t>2014</w:t>
            </w:r>
          </w:p>
        </w:tc>
        <w:tc>
          <w:tcPr>
            <w:tcW w:w="1091" w:type="dxa"/>
          </w:tcPr>
          <w:p w:rsidR="002D62B9" w:rsidRPr="001946E0" w:rsidRDefault="002D62B9" w:rsidP="001B1A50">
            <w:pPr>
              <w:spacing w:after="0"/>
              <w:ind w:firstLine="0"/>
              <w:jc w:val="center"/>
              <w:rPr>
                <w:b/>
                <w:color w:val="000000"/>
                <w:sz w:val="20"/>
              </w:rPr>
            </w:pPr>
            <w:r w:rsidRPr="001946E0">
              <w:rPr>
                <w:b/>
                <w:color w:val="000000"/>
                <w:sz w:val="20"/>
              </w:rPr>
              <w:t>2015</w:t>
            </w:r>
          </w:p>
        </w:tc>
      </w:tr>
      <w:tr w:rsidR="002D62B9" w:rsidRPr="001946E0" w:rsidTr="00D01375">
        <w:trPr>
          <w:jc w:val="center"/>
        </w:trPr>
        <w:tc>
          <w:tcPr>
            <w:tcW w:w="4284" w:type="dxa"/>
            <w:vAlign w:val="center"/>
          </w:tcPr>
          <w:p w:rsidR="002D62B9" w:rsidRPr="001946E0" w:rsidRDefault="002D62B9" w:rsidP="00D01375">
            <w:pPr>
              <w:spacing w:after="0"/>
              <w:ind w:firstLine="0"/>
              <w:jc w:val="left"/>
              <w:rPr>
                <w:color w:val="000000"/>
                <w:sz w:val="20"/>
              </w:rPr>
            </w:pPr>
            <w:r w:rsidRPr="001946E0">
              <w:rPr>
                <w:color w:val="000000"/>
                <w:sz w:val="20"/>
              </w:rPr>
              <w:t>Īstermiņa procentu likme eirozonā (gada vidējā)</w:t>
            </w:r>
          </w:p>
        </w:tc>
        <w:tc>
          <w:tcPr>
            <w:tcW w:w="964"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1,4</w:t>
            </w:r>
          </w:p>
        </w:tc>
        <w:tc>
          <w:tcPr>
            <w:tcW w:w="964"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0,8</w:t>
            </w:r>
          </w:p>
        </w:tc>
        <w:tc>
          <w:tcPr>
            <w:tcW w:w="893"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0,9</w:t>
            </w:r>
          </w:p>
        </w:tc>
        <w:tc>
          <w:tcPr>
            <w:tcW w:w="1035"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0,9</w:t>
            </w:r>
          </w:p>
        </w:tc>
        <w:tc>
          <w:tcPr>
            <w:tcW w:w="1091"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0,9</w:t>
            </w:r>
          </w:p>
        </w:tc>
      </w:tr>
      <w:tr w:rsidR="002D62B9" w:rsidRPr="001946E0" w:rsidTr="00D01375">
        <w:trPr>
          <w:jc w:val="center"/>
        </w:trPr>
        <w:tc>
          <w:tcPr>
            <w:tcW w:w="4284" w:type="dxa"/>
            <w:vAlign w:val="center"/>
          </w:tcPr>
          <w:p w:rsidR="002D62B9" w:rsidRPr="001946E0" w:rsidRDefault="002D62B9" w:rsidP="00D01375">
            <w:pPr>
              <w:spacing w:after="0"/>
              <w:ind w:firstLine="0"/>
              <w:jc w:val="left"/>
              <w:rPr>
                <w:color w:val="000000"/>
                <w:sz w:val="20"/>
              </w:rPr>
            </w:pPr>
            <w:r w:rsidRPr="001946E0">
              <w:rPr>
                <w:color w:val="000000"/>
                <w:sz w:val="20"/>
              </w:rPr>
              <w:t>Ilgtermiņa procentu likme eirozonā (gada vidējā)</w:t>
            </w:r>
          </w:p>
        </w:tc>
        <w:tc>
          <w:tcPr>
            <w:tcW w:w="964"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2,6</w:t>
            </w:r>
          </w:p>
        </w:tc>
        <w:tc>
          <w:tcPr>
            <w:tcW w:w="964"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1,9</w:t>
            </w:r>
          </w:p>
        </w:tc>
        <w:tc>
          <w:tcPr>
            <w:tcW w:w="893"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2,2</w:t>
            </w:r>
          </w:p>
        </w:tc>
        <w:tc>
          <w:tcPr>
            <w:tcW w:w="1035"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2,2</w:t>
            </w:r>
          </w:p>
        </w:tc>
        <w:tc>
          <w:tcPr>
            <w:tcW w:w="1091"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2,2</w:t>
            </w:r>
          </w:p>
        </w:tc>
      </w:tr>
      <w:tr w:rsidR="002D62B9" w:rsidRPr="001946E0" w:rsidTr="00D01375">
        <w:trPr>
          <w:jc w:val="center"/>
        </w:trPr>
        <w:tc>
          <w:tcPr>
            <w:tcW w:w="4284" w:type="dxa"/>
            <w:vAlign w:val="center"/>
          </w:tcPr>
          <w:p w:rsidR="002D62B9" w:rsidRPr="001946E0" w:rsidRDefault="002D62B9" w:rsidP="00D01375">
            <w:pPr>
              <w:spacing w:after="0"/>
              <w:ind w:firstLine="0"/>
              <w:jc w:val="left"/>
              <w:rPr>
                <w:color w:val="000000"/>
                <w:sz w:val="20"/>
              </w:rPr>
            </w:pPr>
            <w:r w:rsidRPr="001946E0">
              <w:rPr>
                <w:color w:val="000000"/>
                <w:sz w:val="20"/>
              </w:rPr>
              <w:t>USD/EUR kurss (gada vidējais)</w:t>
            </w:r>
          </w:p>
        </w:tc>
        <w:tc>
          <w:tcPr>
            <w:tcW w:w="964"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1,4</w:t>
            </w:r>
          </w:p>
        </w:tc>
        <w:tc>
          <w:tcPr>
            <w:tcW w:w="964"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1,3</w:t>
            </w:r>
          </w:p>
        </w:tc>
        <w:tc>
          <w:tcPr>
            <w:tcW w:w="893"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1,3</w:t>
            </w:r>
          </w:p>
        </w:tc>
        <w:tc>
          <w:tcPr>
            <w:tcW w:w="1035"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1,3</w:t>
            </w:r>
          </w:p>
        </w:tc>
        <w:tc>
          <w:tcPr>
            <w:tcW w:w="1091"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1,3</w:t>
            </w:r>
          </w:p>
        </w:tc>
      </w:tr>
      <w:tr w:rsidR="002D62B9" w:rsidRPr="001946E0" w:rsidTr="00D01375">
        <w:trPr>
          <w:jc w:val="center"/>
        </w:trPr>
        <w:tc>
          <w:tcPr>
            <w:tcW w:w="4284" w:type="dxa"/>
            <w:vAlign w:val="center"/>
          </w:tcPr>
          <w:p w:rsidR="002D62B9" w:rsidRPr="001946E0" w:rsidRDefault="002D62B9" w:rsidP="00D01375">
            <w:pPr>
              <w:spacing w:after="0"/>
              <w:ind w:firstLine="0"/>
              <w:jc w:val="left"/>
              <w:rPr>
                <w:color w:val="000000"/>
                <w:sz w:val="20"/>
              </w:rPr>
            </w:pPr>
            <w:r w:rsidRPr="001946E0">
              <w:rPr>
                <w:color w:val="000000"/>
                <w:sz w:val="20"/>
              </w:rPr>
              <w:t>Nominālais efektīvais maiņas kurss</w:t>
            </w:r>
          </w:p>
        </w:tc>
        <w:tc>
          <w:tcPr>
            <w:tcW w:w="964"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1,2</w:t>
            </w:r>
          </w:p>
        </w:tc>
        <w:tc>
          <w:tcPr>
            <w:tcW w:w="964"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-3,9</w:t>
            </w:r>
          </w:p>
        </w:tc>
        <w:tc>
          <w:tcPr>
            <w:tcW w:w="893"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0,2</w:t>
            </w:r>
          </w:p>
        </w:tc>
        <w:tc>
          <w:tcPr>
            <w:tcW w:w="1035"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0,2</w:t>
            </w:r>
          </w:p>
        </w:tc>
        <w:tc>
          <w:tcPr>
            <w:tcW w:w="1091"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0,2</w:t>
            </w:r>
          </w:p>
        </w:tc>
      </w:tr>
      <w:tr w:rsidR="002D62B9" w:rsidRPr="001946E0" w:rsidTr="00D01375">
        <w:trPr>
          <w:jc w:val="center"/>
        </w:trPr>
        <w:tc>
          <w:tcPr>
            <w:tcW w:w="4284" w:type="dxa"/>
            <w:vAlign w:val="center"/>
          </w:tcPr>
          <w:p w:rsidR="002D62B9" w:rsidRPr="001946E0" w:rsidRDefault="002D62B9" w:rsidP="00D01375">
            <w:pPr>
              <w:spacing w:after="0"/>
              <w:ind w:firstLine="0"/>
              <w:jc w:val="left"/>
              <w:rPr>
                <w:color w:val="000000"/>
                <w:sz w:val="20"/>
              </w:rPr>
            </w:pPr>
            <w:r w:rsidRPr="001946E0">
              <w:rPr>
                <w:color w:val="000000"/>
                <w:sz w:val="20"/>
              </w:rPr>
              <w:t>Pasaules IKP, izņemot ES, pieaugums</w:t>
            </w:r>
          </w:p>
        </w:tc>
        <w:tc>
          <w:tcPr>
            <w:tcW w:w="964"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4,2</w:t>
            </w:r>
          </w:p>
        </w:tc>
        <w:tc>
          <w:tcPr>
            <w:tcW w:w="964"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4,2</w:t>
            </w:r>
          </w:p>
        </w:tc>
        <w:tc>
          <w:tcPr>
            <w:tcW w:w="893"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4,3</w:t>
            </w:r>
          </w:p>
        </w:tc>
        <w:tc>
          <w:tcPr>
            <w:tcW w:w="1035"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4,3</w:t>
            </w:r>
          </w:p>
        </w:tc>
        <w:tc>
          <w:tcPr>
            <w:tcW w:w="1091"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4,3</w:t>
            </w:r>
          </w:p>
        </w:tc>
      </w:tr>
      <w:tr w:rsidR="002D62B9" w:rsidRPr="001946E0" w:rsidTr="00D01375">
        <w:trPr>
          <w:trHeight w:val="189"/>
          <w:jc w:val="center"/>
        </w:trPr>
        <w:tc>
          <w:tcPr>
            <w:tcW w:w="4284" w:type="dxa"/>
            <w:vAlign w:val="center"/>
          </w:tcPr>
          <w:p w:rsidR="002D62B9" w:rsidRPr="001946E0" w:rsidRDefault="002D62B9" w:rsidP="00D01375">
            <w:pPr>
              <w:spacing w:after="0"/>
              <w:ind w:firstLine="0"/>
              <w:jc w:val="left"/>
              <w:rPr>
                <w:color w:val="000000"/>
                <w:sz w:val="20"/>
              </w:rPr>
            </w:pPr>
            <w:r w:rsidRPr="001946E0">
              <w:rPr>
                <w:color w:val="000000"/>
                <w:sz w:val="20"/>
              </w:rPr>
              <w:t>ES IKP pieaugums</w:t>
            </w:r>
          </w:p>
        </w:tc>
        <w:tc>
          <w:tcPr>
            <w:tcW w:w="964" w:type="dxa"/>
            <w:vAlign w:val="center"/>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1,5</w:t>
            </w:r>
          </w:p>
        </w:tc>
        <w:tc>
          <w:tcPr>
            <w:tcW w:w="964" w:type="dxa"/>
            <w:vAlign w:val="center"/>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0,1</w:t>
            </w:r>
          </w:p>
        </w:tc>
        <w:tc>
          <w:tcPr>
            <w:tcW w:w="893" w:type="dxa"/>
            <w:vAlign w:val="center"/>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1,4</w:t>
            </w:r>
          </w:p>
        </w:tc>
        <w:tc>
          <w:tcPr>
            <w:tcW w:w="1035" w:type="dxa"/>
            <w:vAlign w:val="center"/>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1,4</w:t>
            </w:r>
          </w:p>
        </w:tc>
        <w:tc>
          <w:tcPr>
            <w:tcW w:w="1091" w:type="dxa"/>
            <w:vAlign w:val="center"/>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1,4</w:t>
            </w:r>
          </w:p>
        </w:tc>
      </w:tr>
      <w:tr w:rsidR="002D62B9" w:rsidRPr="001946E0" w:rsidTr="00D01375">
        <w:trPr>
          <w:jc w:val="center"/>
        </w:trPr>
        <w:tc>
          <w:tcPr>
            <w:tcW w:w="4284" w:type="dxa"/>
            <w:vAlign w:val="center"/>
          </w:tcPr>
          <w:p w:rsidR="002D62B9" w:rsidRPr="001946E0" w:rsidRDefault="002D62B9" w:rsidP="00D01375">
            <w:pPr>
              <w:spacing w:after="0"/>
              <w:ind w:firstLine="0"/>
              <w:jc w:val="left"/>
              <w:rPr>
                <w:color w:val="000000"/>
                <w:sz w:val="20"/>
              </w:rPr>
            </w:pPr>
            <w:r w:rsidRPr="001946E0">
              <w:rPr>
                <w:color w:val="000000"/>
                <w:sz w:val="20"/>
              </w:rPr>
              <w:t>Pasaules eksports, izņemot ES</w:t>
            </w:r>
          </w:p>
        </w:tc>
        <w:tc>
          <w:tcPr>
            <w:tcW w:w="964"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8,5</w:t>
            </w:r>
          </w:p>
        </w:tc>
        <w:tc>
          <w:tcPr>
            <w:tcW w:w="964"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4,9</w:t>
            </w:r>
          </w:p>
        </w:tc>
        <w:tc>
          <w:tcPr>
            <w:tcW w:w="893"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6,0</w:t>
            </w:r>
          </w:p>
        </w:tc>
        <w:tc>
          <w:tcPr>
            <w:tcW w:w="1035"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6,0</w:t>
            </w:r>
          </w:p>
        </w:tc>
        <w:tc>
          <w:tcPr>
            <w:tcW w:w="1091"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6,0</w:t>
            </w:r>
          </w:p>
        </w:tc>
      </w:tr>
      <w:tr w:rsidR="002D62B9" w:rsidRPr="001946E0" w:rsidTr="00D01375">
        <w:trPr>
          <w:jc w:val="center"/>
        </w:trPr>
        <w:tc>
          <w:tcPr>
            <w:tcW w:w="4284" w:type="dxa"/>
            <w:vAlign w:val="center"/>
          </w:tcPr>
          <w:p w:rsidR="002D62B9" w:rsidRPr="001946E0" w:rsidRDefault="002D62B9" w:rsidP="00D01375">
            <w:pPr>
              <w:spacing w:after="0"/>
              <w:ind w:firstLine="0"/>
              <w:jc w:val="left"/>
              <w:rPr>
                <w:color w:val="000000"/>
                <w:sz w:val="20"/>
              </w:rPr>
            </w:pPr>
            <w:r w:rsidRPr="001946E0">
              <w:rPr>
                <w:color w:val="000000"/>
                <w:sz w:val="20"/>
              </w:rPr>
              <w:t>Pasaules imports, izņemot ES</w:t>
            </w:r>
          </w:p>
        </w:tc>
        <w:tc>
          <w:tcPr>
            <w:tcW w:w="964"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7,5</w:t>
            </w:r>
          </w:p>
        </w:tc>
        <w:tc>
          <w:tcPr>
            <w:tcW w:w="964"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5,6</w:t>
            </w:r>
          </w:p>
        </w:tc>
        <w:tc>
          <w:tcPr>
            <w:tcW w:w="893"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6,2</w:t>
            </w:r>
          </w:p>
        </w:tc>
        <w:tc>
          <w:tcPr>
            <w:tcW w:w="1035"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6,2</w:t>
            </w:r>
          </w:p>
        </w:tc>
        <w:tc>
          <w:tcPr>
            <w:tcW w:w="1091"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6,2</w:t>
            </w:r>
          </w:p>
        </w:tc>
      </w:tr>
      <w:tr w:rsidR="002D62B9" w:rsidRPr="001946E0" w:rsidTr="00D01375">
        <w:trPr>
          <w:jc w:val="center"/>
        </w:trPr>
        <w:tc>
          <w:tcPr>
            <w:tcW w:w="4284" w:type="dxa"/>
            <w:vAlign w:val="center"/>
          </w:tcPr>
          <w:p w:rsidR="002D62B9" w:rsidRPr="001946E0" w:rsidRDefault="002D62B9" w:rsidP="00D01375">
            <w:pPr>
              <w:spacing w:after="0"/>
              <w:ind w:firstLine="0"/>
              <w:jc w:val="left"/>
              <w:rPr>
                <w:color w:val="000000"/>
                <w:sz w:val="20"/>
              </w:rPr>
            </w:pPr>
            <w:r w:rsidRPr="001946E0">
              <w:rPr>
                <w:color w:val="000000"/>
                <w:sz w:val="20"/>
              </w:rPr>
              <w:t>Naftas cena (</w:t>
            </w:r>
            <w:r w:rsidRPr="001946E0">
              <w:rPr>
                <w:noProof/>
                <w:color w:val="000000"/>
                <w:sz w:val="20"/>
              </w:rPr>
              <w:t>Brent</w:t>
            </w:r>
            <w:r w:rsidRPr="001946E0">
              <w:rPr>
                <w:color w:val="000000"/>
                <w:sz w:val="20"/>
              </w:rPr>
              <w:t>, USD par barelu)</w:t>
            </w:r>
          </w:p>
        </w:tc>
        <w:tc>
          <w:tcPr>
            <w:tcW w:w="964"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111,5</w:t>
            </w:r>
          </w:p>
        </w:tc>
        <w:tc>
          <w:tcPr>
            <w:tcW w:w="964"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119,9</w:t>
            </w:r>
          </w:p>
        </w:tc>
        <w:tc>
          <w:tcPr>
            <w:tcW w:w="893"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113,5</w:t>
            </w:r>
          </w:p>
        </w:tc>
        <w:tc>
          <w:tcPr>
            <w:tcW w:w="1035"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113,5</w:t>
            </w:r>
          </w:p>
        </w:tc>
        <w:tc>
          <w:tcPr>
            <w:tcW w:w="1091" w:type="dxa"/>
          </w:tcPr>
          <w:p w:rsidR="002D62B9" w:rsidRPr="001946E0" w:rsidRDefault="002D62B9" w:rsidP="00D01375">
            <w:pPr>
              <w:tabs>
                <w:tab w:val="decimal" w:pos="428"/>
              </w:tabs>
              <w:spacing w:after="0" w:line="360" w:lineRule="auto"/>
              <w:ind w:firstLine="0"/>
              <w:jc w:val="left"/>
              <w:rPr>
                <w:color w:val="000000"/>
                <w:sz w:val="20"/>
              </w:rPr>
            </w:pPr>
            <w:r w:rsidRPr="001946E0">
              <w:rPr>
                <w:color w:val="000000"/>
                <w:sz w:val="20"/>
              </w:rPr>
              <w:t>113,5</w:t>
            </w:r>
          </w:p>
        </w:tc>
      </w:tr>
    </w:tbl>
    <w:p w:rsidR="002D62B9" w:rsidRPr="001946E0" w:rsidRDefault="002D62B9" w:rsidP="002D62B9">
      <w:pPr>
        <w:rPr>
          <w:color w:val="000000"/>
        </w:rPr>
      </w:pPr>
    </w:p>
    <w:p w:rsidR="002D62B9" w:rsidRPr="001946E0" w:rsidRDefault="002D62B9" w:rsidP="002D62B9">
      <w:pPr>
        <w:rPr>
          <w:color w:val="000000"/>
        </w:rPr>
      </w:pPr>
    </w:p>
    <w:p w:rsidR="002D62B9" w:rsidRPr="001946E0" w:rsidRDefault="002D62B9" w:rsidP="002D62B9">
      <w:pPr>
        <w:pStyle w:val="T"/>
        <w:ind w:left="0"/>
        <w:rPr>
          <w:rFonts w:ascii="Times New Roman" w:hAnsi="Times New Roman"/>
          <w:color w:val="000000"/>
          <w:szCs w:val="24"/>
        </w:rPr>
      </w:pPr>
    </w:p>
    <w:p w:rsidR="002D62B9" w:rsidRPr="001946E0" w:rsidRDefault="002D62B9" w:rsidP="002D62B9">
      <w:pPr>
        <w:ind w:firstLine="0"/>
        <w:rPr>
          <w:color w:val="000000"/>
        </w:rPr>
      </w:pPr>
    </w:p>
    <w:p w:rsidR="002D62B9" w:rsidRPr="001946E0" w:rsidRDefault="002D62B9" w:rsidP="002D62B9">
      <w:pPr>
        <w:rPr>
          <w:color w:val="000000"/>
        </w:rPr>
      </w:pPr>
    </w:p>
    <w:p w:rsidR="002D62B9" w:rsidRPr="001946E0" w:rsidRDefault="002D62B9" w:rsidP="002D62B9">
      <w:pPr>
        <w:rPr>
          <w:color w:val="000000"/>
        </w:rPr>
      </w:pPr>
    </w:p>
    <w:p w:rsidR="00D72A55" w:rsidRDefault="002D62B9" w:rsidP="00D83AC8">
      <w:pPr>
        <w:tabs>
          <w:tab w:val="left" w:pos="6804"/>
        </w:tabs>
        <w:ind w:firstLine="0"/>
        <w:rPr>
          <w:szCs w:val="26"/>
        </w:rPr>
      </w:pPr>
      <w:r w:rsidRPr="001946E0">
        <w:rPr>
          <w:color w:val="000000"/>
          <w:szCs w:val="24"/>
        </w:rPr>
        <w:t xml:space="preserve">Finanšu ministrs </w:t>
      </w:r>
      <w:r w:rsidRPr="001946E0">
        <w:rPr>
          <w:color w:val="000000"/>
          <w:szCs w:val="24"/>
        </w:rPr>
        <w:tab/>
      </w:r>
      <w:r w:rsidRPr="001946E0">
        <w:rPr>
          <w:color w:val="000000"/>
          <w:szCs w:val="24"/>
        </w:rPr>
        <w:tab/>
      </w:r>
      <w:r w:rsidR="00D83AC8">
        <w:rPr>
          <w:color w:val="000000"/>
          <w:szCs w:val="24"/>
        </w:rPr>
        <w:tab/>
      </w:r>
      <w:r w:rsidRPr="001946E0">
        <w:rPr>
          <w:color w:val="000000"/>
          <w:szCs w:val="24"/>
        </w:rPr>
        <w:t>A.Vilks</w:t>
      </w:r>
    </w:p>
    <w:p w:rsidR="00D83AC8" w:rsidRDefault="00D83AC8" w:rsidP="00D83AC8">
      <w:pPr>
        <w:tabs>
          <w:tab w:val="left" w:pos="6804"/>
        </w:tabs>
        <w:ind w:firstLine="0"/>
        <w:rPr>
          <w:szCs w:val="26"/>
        </w:rPr>
      </w:pPr>
    </w:p>
    <w:p w:rsidR="00D83AC8" w:rsidRDefault="00D83AC8" w:rsidP="00D83AC8">
      <w:pPr>
        <w:tabs>
          <w:tab w:val="left" w:pos="6804"/>
        </w:tabs>
        <w:ind w:firstLine="0"/>
        <w:rPr>
          <w:szCs w:val="26"/>
        </w:rPr>
      </w:pPr>
    </w:p>
    <w:p w:rsidR="00D83AC8" w:rsidRDefault="00D83AC8" w:rsidP="00D83AC8">
      <w:pPr>
        <w:tabs>
          <w:tab w:val="left" w:pos="6804"/>
        </w:tabs>
        <w:ind w:firstLine="0"/>
        <w:rPr>
          <w:szCs w:val="26"/>
        </w:rPr>
      </w:pPr>
    </w:p>
    <w:p w:rsidR="00D83AC8" w:rsidRDefault="00D83AC8" w:rsidP="00D83AC8">
      <w:pPr>
        <w:tabs>
          <w:tab w:val="left" w:pos="6804"/>
        </w:tabs>
        <w:ind w:firstLine="0"/>
        <w:rPr>
          <w:szCs w:val="26"/>
        </w:rPr>
      </w:pPr>
    </w:p>
    <w:p w:rsidR="00D83AC8" w:rsidRDefault="00D83AC8" w:rsidP="00D83AC8">
      <w:pPr>
        <w:tabs>
          <w:tab w:val="left" w:pos="6804"/>
        </w:tabs>
        <w:ind w:firstLine="0"/>
        <w:rPr>
          <w:szCs w:val="26"/>
        </w:rPr>
      </w:pPr>
    </w:p>
    <w:p w:rsidR="00D83AC8" w:rsidRDefault="00D83AC8" w:rsidP="00D83AC8">
      <w:pPr>
        <w:tabs>
          <w:tab w:val="left" w:pos="6804"/>
        </w:tabs>
        <w:ind w:firstLine="0"/>
        <w:rPr>
          <w:szCs w:val="26"/>
        </w:rPr>
      </w:pPr>
    </w:p>
    <w:p w:rsidR="00D83AC8" w:rsidRDefault="00D83AC8" w:rsidP="00D83AC8">
      <w:pPr>
        <w:tabs>
          <w:tab w:val="left" w:pos="6804"/>
        </w:tabs>
        <w:ind w:firstLine="0"/>
        <w:rPr>
          <w:szCs w:val="26"/>
        </w:rPr>
      </w:pPr>
    </w:p>
    <w:p w:rsidR="00D83AC8" w:rsidRDefault="00D83AC8" w:rsidP="0015337F">
      <w:pPr>
        <w:tabs>
          <w:tab w:val="left" w:pos="6804"/>
        </w:tabs>
        <w:spacing w:after="0"/>
        <w:ind w:firstLine="0"/>
        <w:rPr>
          <w:szCs w:val="26"/>
        </w:rPr>
      </w:pPr>
    </w:p>
    <w:p w:rsidR="0015337F" w:rsidRPr="004A6F50" w:rsidRDefault="004A6F50" w:rsidP="0015337F">
      <w:pPr>
        <w:pStyle w:val="Header"/>
        <w:spacing w:after="0"/>
        <w:ind w:firstLine="0"/>
        <w:rPr>
          <w:sz w:val="20"/>
          <w:lang w:val="lv-LV"/>
        </w:rPr>
      </w:pPr>
      <w:r>
        <w:rPr>
          <w:sz w:val="20"/>
        </w:rPr>
        <w:t>2</w:t>
      </w:r>
      <w:r>
        <w:rPr>
          <w:sz w:val="20"/>
          <w:lang w:val="lv-LV"/>
        </w:rPr>
        <w:t>5</w:t>
      </w:r>
      <w:r>
        <w:rPr>
          <w:sz w:val="20"/>
        </w:rPr>
        <w:t xml:space="preserve">.04.2012. </w:t>
      </w:r>
      <w:r>
        <w:rPr>
          <w:sz w:val="20"/>
          <w:lang w:val="lv-LV"/>
        </w:rPr>
        <w:t>11</w:t>
      </w:r>
      <w:r>
        <w:rPr>
          <w:sz w:val="20"/>
        </w:rPr>
        <w:t>:2</w:t>
      </w:r>
      <w:r>
        <w:rPr>
          <w:sz w:val="20"/>
          <w:lang w:val="lv-LV"/>
        </w:rPr>
        <w:t>6</w:t>
      </w:r>
    </w:p>
    <w:p w:rsidR="0015337F" w:rsidRPr="0015337F" w:rsidRDefault="0015337F" w:rsidP="0015337F">
      <w:pPr>
        <w:pStyle w:val="Header"/>
        <w:spacing w:after="0"/>
        <w:ind w:firstLine="0"/>
        <w:rPr>
          <w:sz w:val="20"/>
        </w:rPr>
      </w:pPr>
      <w:r w:rsidRPr="0015337F">
        <w:rPr>
          <w:sz w:val="20"/>
          <w:lang w:val="de-DE"/>
        </w:rPr>
        <w:t>29 </w:t>
      </w:r>
      <w:r w:rsidR="005D4FB8">
        <w:rPr>
          <w:sz w:val="20"/>
          <w:lang w:val="de-DE"/>
        </w:rPr>
        <w:t>296</w:t>
      </w:r>
    </w:p>
    <w:p w:rsidR="0015337F" w:rsidRPr="0015337F" w:rsidRDefault="0015337F" w:rsidP="0015337F">
      <w:pPr>
        <w:spacing w:after="0"/>
        <w:ind w:firstLine="0"/>
        <w:rPr>
          <w:color w:val="000000"/>
          <w:sz w:val="20"/>
        </w:rPr>
      </w:pPr>
      <w:r w:rsidRPr="0015337F">
        <w:rPr>
          <w:sz w:val="20"/>
        </w:rPr>
        <w:t>Anda Apse</w:t>
      </w:r>
      <w:r w:rsidRPr="0015337F">
        <w:rPr>
          <w:color w:val="000000"/>
          <w:sz w:val="20"/>
        </w:rPr>
        <w:t xml:space="preserve"> </w:t>
      </w:r>
    </w:p>
    <w:p w:rsidR="0015337F" w:rsidRPr="0015337F" w:rsidRDefault="0015337F" w:rsidP="0015337F">
      <w:pPr>
        <w:spacing w:after="0"/>
        <w:ind w:firstLine="0"/>
        <w:rPr>
          <w:color w:val="000000"/>
          <w:sz w:val="20"/>
        </w:rPr>
      </w:pPr>
      <w:r w:rsidRPr="0015337F">
        <w:rPr>
          <w:color w:val="000000"/>
          <w:sz w:val="20"/>
        </w:rPr>
        <w:t xml:space="preserve">67083887, </w:t>
      </w:r>
      <w:hyperlink r:id="rId37" w:history="1">
        <w:r w:rsidRPr="0015337F">
          <w:rPr>
            <w:rStyle w:val="Hyperlink"/>
            <w:sz w:val="20"/>
          </w:rPr>
          <w:t>Anda.Apse@fm.gov.lv</w:t>
        </w:r>
      </w:hyperlink>
    </w:p>
    <w:sectPr w:rsidR="0015337F" w:rsidRPr="0015337F" w:rsidSect="00D9397F">
      <w:pgSz w:w="11906" w:h="16838"/>
      <w:pgMar w:top="1418" w:right="1134" w:bottom="1134" w:left="1701" w:header="709" w:footer="2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D67" w:rsidRDefault="00E36D67" w:rsidP="000F6956">
      <w:pPr>
        <w:spacing w:after="0"/>
      </w:pPr>
      <w:r>
        <w:separator/>
      </w:r>
    </w:p>
  </w:endnote>
  <w:endnote w:type="continuationSeparator" w:id="0">
    <w:p w:rsidR="00E36D67" w:rsidRDefault="00E36D67" w:rsidP="000F6956">
      <w:pPr>
        <w:spacing w:after="0"/>
      </w:pPr>
      <w:r>
        <w:continuationSeparator/>
      </w:r>
    </w:p>
  </w:endnote>
  <w:endnote w:type="continuationNotice" w:id="1">
    <w:p w:rsidR="00E36D67" w:rsidRDefault="00E36D6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nsolas">
    <w:panose1 w:val="020B0609020204030204"/>
    <w:charset w:val="BA"/>
    <w:family w:val="modern"/>
    <w:pitch w:val="fixed"/>
    <w:sig w:usb0="E10002FF" w:usb1="4000FCFF" w:usb2="00000009" w:usb3="00000000" w:csb0="0000019F" w:csb1="00000000"/>
  </w:font>
  <w:font w:name="EUAlbertina-Bold-Identity-H">
    <w:altName w:val="MS Mincho"/>
    <w:panose1 w:val="00000000000000000000"/>
    <w:charset w:val="80"/>
    <w:family w:val="auto"/>
    <w:notTrueType/>
    <w:pitch w:val="default"/>
    <w:sig w:usb0="00000001" w:usb1="08070000" w:usb2="00000010" w:usb3="00000000" w:csb0="00020000" w:csb1="00000000"/>
  </w:font>
  <w:font w:name="TimesNewRomanWGL">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BF3" w:rsidRPr="00F242E9" w:rsidRDefault="00EF1E01" w:rsidP="00FF3965">
    <w:pPr>
      <w:pStyle w:val="Footer"/>
      <w:ind w:firstLine="0"/>
      <w:rPr>
        <w:sz w:val="20"/>
        <w:lang w:val="lv-LV"/>
      </w:rPr>
    </w:pPr>
    <w:r>
      <w:rPr>
        <w:sz w:val="20"/>
        <w:lang w:val="lv-LV"/>
      </w:rPr>
      <w:t>FMInfo_250412_Konv</w:t>
    </w:r>
    <w:r w:rsidR="00C30BF3" w:rsidRPr="00F242E9">
      <w:rPr>
        <w:sz w:val="20"/>
      </w:rPr>
      <w:t>; Latvijas Konverģences programma 2012</w:t>
    </w:r>
    <w:r w:rsidR="00C30BF3">
      <w:rPr>
        <w:sz w:val="20"/>
        <w:lang w:val="lv-LV"/>
      </w:rPr>
      <w:t>.</w:t>
    </w:r>
    <w:r w:rsidR="00C30BF3" w:rsidRPr="00F242E9">
      <w:rPr>
        <w:sz w:val="20"/>
      </w:rPr>
      <w:t xml:space="preserve"> </w:t>
    </w:r>
    <w:r w:rsidR="00C30BF3">
      <w:rPr>
        <w:sz w:val="20"/>
      </w:rPr>
      <w:t>–</w:t>
    </w:r>
    <w:r w:rsidR="00C30BF3" w:rsidRPr="00F242E9">
      <w:rPr>
        <w:sz w:val="20"/>
      </w:rPr>
      <w:t xml:space="preserve"> 2015</w:t>
    </w:r>
    <w:r w:rsidR="00C30BF3">
      <w:rPr>
        <w:sz w:val="20"/>
        <w:lang w:val="lv-LV"/>
      </w:rPr>
      <w:t>. gadam</w:t>
    </w:r>
  </w:p>
  <w:p w:rsidR="00C30BF3" w:rsidRPr="00FF3965" w:rsidRDefault="00C30BF3" w:rsidP="00FF39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E01" w:rsidRPr="00F242E9" w:rsidRDefault="00EF1E01" w:rsidP="00EF1E01">
    <w:pPr>
      <w:pStyle w:val="Footer"/>
      <w:ind w:firstLine="0"/>
      <w:rPr>
        <w:sz w:val="20"/>
        <w:lang w:val="lv-LV"/>
      </w:rPr>
    </w:pPr>
    <w:r>
      <w:rPr>
        <w:sz w:val="20"/>
        <w:lang w:val="lv-LV"/>
      </w:rPr>
      <w:t>FMInfo_250412_Konv</w:t>
    </w:r>
    <w:r w:rsidRPr="00F242E9">
      <w:rPr>
        <w:sz w:val="20"/>
      </w:rPr>
      <w:t>; Latvijas Konverģences programma 2012</w:t>
    </w:r>
    <w:r>
      <w:rPr>
        <w:sz w:val="20"/>
        <w:lang w:val="lv-LV"/>
      </w:rPr>
      <w:t>.</w:t>
    </w:r>
    <w:r w:rsidRPr="00F242E9">
      <w:rPr>
        <w:sz w:val="20"/>
      </w:rPr>
      <w:t xml:space="preserve"> </w:t>
    </w:r>
    <w:r>
      <w:rPr>
        <w:sz w:val="20"/>
      </w:rPr>
      <w:t>–</w:t>
    </w:r>
    <w:r w:rsidRPr="00F242E9">
      <w:rPr>
        <w:sz w:val="20"/>
      </w:rPr>
      <w:t xml:space="preserve"> 2015</w:t>
    </w:r>
    <w:r>
      <w:rPr>
        <w:sz w:val="20"/>
        <w:lang w:val="lv-LV"/>
      </w:rPr>
      <w:t>. gadam</w:t>
    </w:r>
  </w:p>
  <w:p w:rsidR="00C30BF3" w:rsidRPr="004655B4" w:rsidRDefault="00C30BF3" w:rsidP="00FF3965">
    <w:pPr>
      <w:pStyle w:val="Footer"/>
      <w:ind w:firstLine="0"/>
      <w:rPr>
        <w:szCs w:val="24"/>
      </w:rPr>
    </w:pPr>
  </w:p>
  <w:p w:rsidR="00C30BF3" w:rsidRDefault="00C30B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D67" w:rsidRDefault="00E36D67" w:rsidP="000F6956">
      <w:pPr>
        <w:spacing w:after="0"/>
      </w:pPr>
      <w:r>
        <w:separator/>
      </w:r>
    </w:p>
  </w:footnote>
  <w:footnote w:type="continuationSeparator" w:id="0">
    <w:p w:rsidR="00E36D67" w:rsidRDefault="00E36D67" w:rsidP="000F6956">
      <w:pPr>
        <w:spacing w:after="0"/>
      </w:pPr>
      <w:r>
        <w:continuationSeparator/>
      </w:r>
    </w:p>
  </w:footnote>
  <w:footnote w:type="continuationNotice" w:id="1">
    <w:p w:rsidR="00E36D67" w:rsidRDefault="00E36D67">
      <w:pPr>
        <w:spacing w:after="0"/>
      </w:pPr>
    </w:p>
  </w:footnote>
  <w:footnote w:id="2">
    <w:p w:rsidR="00C30BF3" w:rsidRPr="006D6C1C" w:rsidRDefault="00C30BF3" w:rsidP="0088146B">
      <w:pPr>
        <w:pStyle w:val="FootnoteText"/>
        <w:ind w:left="0" w:firstLine="709"/>
      </w:pPr>
      <w:r w:rsidRPr="006D6C1C">
        <w:rPr>
          <w:rStyle w:val="FootnoteReference"/>
          <w:rFonts w:ascii="Times New Roman" w:hAnsi="Times New Roman"/>
        </w:rPr>
        <w:footnoteRef/>
      </w:r>
      <w:r w:rsidRPr="006D6C1C">
        <w:t xml:space="preserve"> Datu avots: 2012. gada aprīļa vispārējās valdības budžeta deficīta un parāda notifikācija, FM prognozes.</w:t>
      </w:r>
    </w:p>
  </w:footnote>
  <w:footnote w:id="3">
    <w:p w:rsidR="00C30BF3" w:rsidRDefault="00C30BF3" w:rsidP="0088146B">
      <w:pPr>
        <w:pStyle w:val="FootnoteText"/>
      </w:pPr>
      <w:r>
        <w:rPr>
          <w:rStyle w:val="FootnoteReference"/>
        </w:rPr>
        <w:footnoteRef/>
      </w:r>
      <w:r>
        <w:t xml:space="preserve"> Datu avots: 2012. gada aprīļa </w:t>
      </w:r>
      <w:r w:rsidRPr="00A637F5">
        <w:t xml:space="preserve">vispārējās valdības budžeta </w:t>
      </w:r>
      <w:r>
        <w:t>deficīta un parāda notifikācija, FM prognozes.</w:t>
      </w:r>
    </w:p>
  </w:footnote>
  <w:footnote w:id="4">
    <w:p w:rsidR="00C30BF3" w:rsidRDefault="00C30BF3" w:rsidP="0088146B">
      <w:pPr>
        <w:pStyle w:val="FootnoteText"/>
      </w:pPr>
      <w:r>
        <w:rPr>
          <w:rStyle w:val="FootnoteReference"/>
        </w:rPr>
        <w:footnoteRef/>
      </w:r>
      <w:r>
        <w:t xml:space="preserve"> Datu avots: 2012. gada aprīļa </w:t>
      </w:r>
      <w:r w:rsidRPr="00A637F5">
        <w:t xml:space="preserve">vispārējās valdības budžeta </w:t>
      </w:r>
      <w:r>
        <w:t>deficīta un parāda notifikācija, FM prognozes.</w:t>
      </w:r>
    </w:p>
  </w:footnote>
  <w:footnote w:id="5">
    <w:p w:rsidR="00C30BF3" w:rsidRPr="00091EEC" w:rsidRDefault="00C30BF3" w:rsidP="008206BE">
      <w:pPr>
        <w:pStyle w:val="FootnoteText"/>
        <w:ind w:left="284" w:hanging="284"/>
        <w:jc w:val="both"/>
      </w:pPr>
      <w:r>
        <w:rPr>
          <w:rStyle w:val="FootnoteReference"/>
        </w:rPr>
        <w:footnoteRef/>
      </w:r>
      <w:r w:rsidRPr="00091EEC">
        <w:rPr>
          <w:rStyle w:val="FootnoteReference"/>
        </w:rPr>
        <w:t xml:space="preserve"> </w:t>
      </w:r>
      <w:r>
        <w:t xml:space="preserve">     </w:t>
      </w:r>
      <w:r w:rsidRPr="00091EEC">
        <w:t>Aprēķinos ņemts vērā:</w:t>
      </w:r>
    </w:p>
    <w:p w:rsidR="00C30BF3" w:rsidRPr="009A61A2" w:rsidRDefault="00C30BF3" w:rsidP="008206BE">
      <w:pPr>
        <w:pStyle w:val="FootnoteText"/>
        <w:numPr>
          <w:ilvl w:val="0"/>
          <w:numId w:val="29"/>
        </w:numPr>
        <w:jc w:val="both"/>
      </w:pPr>
      <w:r w:rsidRPr="009A61A2">
        <w:t>Budžeta bilances cikliskās komponentes aprēķinā izmantota budžeta jutība 0,28</w:t>
      </w:r>
      <w:r>
        <w:t>.</w:t>
      </w:r>
      <w:r w:rsidRPr="009A61A2">
        <w:t xml:space="preserve"> (Datu avots: </w:t>
      </w:r>
      <w:r w:rsidRPr="009A61A2">
        <w:rPr>
          <w:noProof/>
          <w:szCs w:val="24"/>
          <w:lang w:val="en-GB"/>
        </w:rPr>
        <w:t>New and updated budgetary elasticity and sensitivity parameters for all EU Member States, REP/54284, 20.09.2005</w:t>
      </w:r>
      <w:r>
        <w:rPr>
          <w:noProof/>
          <w:szCs w:val="24"/>
          <w:lang w:val="en-GB"/>
        </w:rPr>
        <w:t>)</w:t>
      </w:r>
      <w:r w:rsidRPr="009A61A2">
        <w:rPr>
          <w:noProof/>
          <w:szCs w:val="24"/>
          <w:lang w:val="en-GB"/>
        </w:rPr>
        <w:t>;</w:t>
      </w:r>
    </w:p>
    <w:p w:rsidR="00C30BF3" w:rsidRPr="00091EEC" w:rsidRDefault="00C30BF3" w:rsidP="008206BE">
      <w:pPr>
        <w:pStyle w:val="FootnoteText"/>
        <w:numPr>
          <w:ilvl w:val="0"/>
          <w:numId w:val="29"/>
        </w:numPr>
        <w:jc w:val="both"/>
      </w:pPr>
      <w:r w:rsidRPr="002B770B">
        <w:rPr>
          <w:noProof/>
        </w:rPr>
        <w:t>One-off</w:t>
      </w:r>
      <w:r>
        <w:t xml:space="preserve"> pasākumi: 2009.-2011. gadā valdības ieguldījumi AS Parex banka (2009. gadā 113,5 milj. latu, 2010. gadā 219,0 milj. latu, 2011. gadā 27,4 milj. latu). </w:t>
      </w:r>
    </w:p>
  </w:footnote>
  <w:footnote w:id="6">
    <w:p w:rsidR="00C30BF3" w:rsidRDefault="00C30BF3" w:rsidP="008D3540">
      <w:pPr>
        <w:pStyle w:val="FootnoteText"/>
      </w:pPr>
      <w:r>
        <w:rPr>
          <w:rStyle w:val="FootnoteReference"/>
        </w:rPr>
        <w:footnoteRef/>
      </w:r>
      <w:r>
        <w:t xml:space="preserve"> Ieskaitot iemaksas valsts fondēto pensiju shēmā</w:t>
      </w:r>
    </w:p>
  </w:footnote>
  <w:footnote w:id="7">
    <w:p w:rsidR="00C30BF3" w:rsidRDefault="00C30BF3" w:rsidP="008D3540">
      <w:pPr>
        <w:pStyle w:val="FootnoteText"/>
      </w:pPr>
      <w:r>
        <w:rPr>
          <w:rStyle w:val="FootnoteReference"/>
        </w:rPr>
        <w:footnoteRef/>
      </w:r>
      <w:r>
        <w:t xml:space="preserve"> Neskaitot iemaksas valsts fondēto pensiju shēmā.</w:t>
      </w:r>
    </w:p>
  </w:footnote>
  <w:footnote w:id="8">
    <w:p w:rsidR="00C30BF3" w:rsidRDefault="00C30BF3" w:rsidP="008D3540">
      <w:pPr>
        <w:pStyle w:val="FootnoteText"/>
      </w:pPr>
      <w:r>
        <w:rPr>
          <w:rStyle w:val="FootnoteReference"/>
        </w:rPr>
        <w:footnoteRef/>
      </w:r>
      <w:r>
        <w:t xml:space="preserve"> </w:t>
      </w:r>
      <w:r w:rsidRPr="00DD3671">
        <w:t>Saskaņā ar Izložu un uzraudzības inspekcijas datiem par 201</w:t>
      </w:r>
      <w:r>
        <w:t>1</w:t>
      </w:r>
      <w:r w:rsidRPr="00DD3671">
        <w:t>.</w:t>
      </w:r>
      <w:r>
        <w:t> </w:t>
      </w:r>
      <w:r w:rsidRPr="00DD3671">
        <w:t>gadu.</w:t>
      </w:r>
    </w:p>
  </w:footnote>
  <w:footnote w:id="9">
    <w:p w:rsidR="00C30BF3" w:rsidRDefault="00C30BF3" w:rsidP="000634FF">
      <w:pPr>
        <w:pStyle w:val="FootnoteText"/>
      </w:pPr>
      <w:r>
        <w:rPr>
          <w:rStyle w:val="FootnoteReference"/>
        </w:rPr>
        <w:footnoteRef/>
      </w:r>
      <w:r>
        <w:t xml:space="preserve"> Bērnu un pensijas vecuma iedzīvotāju attiecība pret darbspējas vecuma (15-64) iedzīvotājiem.</w:t>
      </w:r>
    </w:p>
  </w:footnote>
  <w:footnote w:id="10">
    <w:p w:rsidR="00C30BF3" w:rsidRDefault="00C30BF3" w:rsidP="000634FF">
      <w:pPr>
        <w:pStyle w:val="FootnoteText"/>
      </w:pPr>
      <w:r>
        <w:rPr>
          <w:rStyle w:val="FootnoteReference"/>
        </w:rPr>
        <w:footnoteRef/>
      </w:r>
      <w:r>
        <w:t xml:space="preserve"> Pensijas un bezdarbnieku pabalsta saņēmēju attiecība pret nodarbinātajiem.</w:t>
      </w:r>
    </w:p>
  </w:footnote>
  <w:footnote w:id="11">
    <w:p w:rsidR="00C30BF3" w:rsidRDefault="00C30BF3" w:rsidP="000634FF">
      <w:pPr>
        <w:pStyle w:val="FootnoteText"/>
      </w:pPr>
      <w:r>
        <w:rPr>
          <w:rStyle w:val="FootnoteReference"/>
        </w:rPr>
        <w:footnoteRef/>
      </w:r>
      <w:r>
        <w:t xml:space="preserve"> Nodarbināto skaita attiecība pret kopējo iedzīvotāju skaitu konkrētā vecuma kohortā.</w:t>
      </w:r>
    </w:p>
  </w:footnote>
  <w:footnote w:id="12">
    <w:p w:rsidR="00C30BF3" w:rsidRDefault="00C30BF3" w:rsidP="000634FF">
      <w:pPr>
        <w:pStyle w:val="FootnoteText"/>
        <w:ind w:left="142" w:hanging="142"/>
      </w:pPr>
      <w:r>
        <w:rPr>
          <w:rStyle w:val="FootnoteReference"/>
        </w:rPr>
        <w:footnoteRef/>
      </w:r>
      <w:r>
        <w:t xml:space="preserve"> EPC AWG – Eiropas Savienības Padomes Ekonomikas politikas komitejas Sabiedrības novecošanās un valsts finanšu ilgtspējas darba grupa.</w:t>
      </w:r>
    </w:p>
  </w:footnote>
  <w:footnote w:id="13">
    <w:p w:rsidR="00C30BF3" w:rsidRDefault="00C30BF3" w:rsidP="000634FF">
      <w:pPr>
        <w:pStyle w:val="FootnoteText"/>
      </w:pPr>
      <w:r>
        <w:rPr>
          <w:rStyle w:val="FootnoteReference"/>
        </w:rPr>
        <w:footnoteRef/>
      </w:r>
      <w:r>
        <w:t xml:space="preserve"> EC Assessment of the 2011 national reform programme and convergence programme for Latvia, SEC(2011) 722 final.</w:t>
      </w:r>
    </w:p>
  </w:footnote>
  <w:footnote w:id="14">
    <w:p w:rsidR="00C30BF3" w:rsidRDefault="00C30BF3" w:rsidP="000634FF">
      <w:pPr>
        <w:pStyle w:val="FootnoteText"/>
      </w:pPr>
      <w:r>
        <w:rPr>
          <w:rStyle w:val="FootnoteReference"/>
        </w:rPr>
        <w:footnoteRef/>
      </w:r>
      <w:r>
        <w:t xml:space="preserve"> EC </w:t>
      </w:r>
      <w:r>
        <w:rPr>
          <w:noProof/>
        </w:rPr>
        <w:t>2009 Sustainability Report.</w:t>
      </w:r>
    </w:p>
  </w:footnote>
  <w:footnote w:id="15">
    <w:p w:rsidR="00C30BF3" w:rsidRDefault="00C30BF3" w:rsidP="002D62B9">
      <w:pPr>
        <w:pStyle w:val="FootnoteText"/>
      </w:pPr>
      <w:r>
        <w:rPr>
          <w:rStyle w:val="FootnoteReference"/>
        </w:rPr>
        <w:footnoteRef/>
      </w:r>
      <w:r>
        <w:t xml:space="preserve"> Tehniski pieņēmumi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BF3" w:rsidRDefault="00C30BF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rsidR="00C30BF3" w:rsidRDefault="00C30B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BF3" w:rsidRDefault="00C30BF3">
    <w:pPr>
      <w:pStyle w:val="Header"/>
      <w:jc w:val="center"/>
    </w:pPr>
    <w:r>
      <w:fldChar w:fldCharType="begin"/>
    </w:r>
    <w:r>
      <w:instrText xml:space="preserve"> PAGE   \* MERGEFORMAT </w:instrText>
    </w:r>
    <w:r>
      <w:fldChar w:fldCharType="separate"/>
    </w:r>
    <w:r w:rsidR="00BD6F38">
      <w:rPr>
        <w:noProof/>
      </w:rPr>
      <w:t>79</w:t>
    </w:r>
    <w:r>
      <w:rPr>
        <w:noProof/>
      </w:rPr>
      <w:fldChar w:fldCharType="end"/>
    </w:r>
  </w:p>
  <w:p w:rsidR="00C30BF3" w:rsidRDefault="00C30BF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BF3" w:rsidRDefault="00C30BF3" w:rsidP="000F6956">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E2663"/>
    <w:multiLevelType w:val="hybridMultilevel"/>
    <w:tmpl w:val="DA72DA0E"/>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A8F4AA2"/>
    <w:multiLevelType w:val="hybridMultilevel"/>
    <w:tmpl w:val="B55C31E8"/>
    <w:lvl w:ilvl="0" w:tplc="AAEA8012">
      <w:start w:val="1"/>
      <w:numFmt w:val="bullet"/>
      <w:lvlText w:val="-"/>
      <w:lvlJc w:val="left"/>
      <w:pPr>
        <w:ind w:left="2520" w:hanging="360"/>
      </w:pPr>
      <w:rPr>
        <w:rFonts w:ascii="Calibri" w:eastAsia="Calibri" w:hAnsi="Calibri" w:cs="Calibri" w:hint="default"/>
      </w:rPr>
    </w:lvl>
    <w:lvl w:ilvl="1" w:tplc="04260003" w:tentative="1">
      <w:start w:val="1"/>
      <w:numFmt w:val="bullet"/>
      <w:lvlText w:val="o"/>
      <w:lvlJc w:val="left"/>
      <w:pPr>
        <w:ind w:left="3240" w:hanging="360"/>
      </w:pPr>
      <w:rPr>
        <w:rFonts w:ascii="Courier New" w:hAnsi="Courier New" w:cs="Courier New" w:hint="default"/>
      </w:rPr>
    </w:lvl>
    <w:lvl w:ilvl="2" w:tplc="04260005" w:tentative="1">
      <w:start w:val="1"/>
      <w:numFmt w:val="bullet"/>
      <w:lvlText w:val=""/>
      <w:lvlJc w:val="left"/>
      <w:pPr>
        <w:ind w:left="3960" w:hanging="360"/>
      </w:pPr>
      <w:rPr>
        <w:rFonts w:ascii="Wingdings" w:hAnsi="Wingdings" w:hint="default"/>
      </w:rPr>
    </w:lvl>
    <w:lvl w:ilvl="3" w:tplc="04260001" w:tentative="1">
      <w:start w:val="1"/>
      <w:numFmt w:val="bullet"/>
      <w:lvlText w:val=""/>
      <w:lvlJc w:val="left"/>
      <w:pPr>
        <w:ind w:left="4680" w:hanging="360"/>
      </w:pPr>
      <w:rPr>
        <w:rFonts w:ascii="Symbol" w:hAnsi="Symbol" w:hint="default"/>
      </w:rPr>
    </w:lvl>
    <w:lvl w:ilvl="4" w:tplc="04260003" w:tentative="1">
      <w:start w:val="1"/>
      <w:numFmt w:val="bullet"/>
      <w:lvlText w:val="o"/>
      <w:lvlJc w:val="left"/>
      <w:pPr>
        <w:ind w:left="5400" w:hanging="360"/>
      </w:pPr>
      <w:rPr>
        <w:rFonts w:ascii="Courier New" w:hAnsi="Courier New" w:cs="Courier New" w:hint="default"/>
      </w:rPr>
    </w:lvl>
    <w:lvl w:ilvl="5" w:tplc="04260005" w:tentative="1">
      <w:start w:val="1"/>
      <w:numFmt w:val="bullet"/>
      <w:lvlText w:val=""/>
      <w:lvlJc w:val="left"/>
      <w:pPr>
        <w:ind w:left="6120" w:hanging="360"/>
      </w:pPr>
      <w:rPr>
        <w:rFonts w:ascii="Wingdings" w:hAnsi="Wingdings" w:hint="default"/>
      </w:rPr>
    </w:lvl>
    <w:lvl w:ilvl="6" w:tplc="04260001" w:tentative="1">
      <w:start w:val="1"/>
      <w:numFmt w:val="bullet"/>
      <w:lvlText w:val=""/>
      <w:lvlJc w:val="left"/>
      <w:pPr>
        <w:ind w:left="6840" w:hanging="360"/>
      </w:pPr>
      <w:rPr>
        <w:rFonts w:ascii="Symbol" w:hAnsi="Symbol" w:hint="default"/>
      </w:rPr>
    </w:lvl>
    <w:lvl w:ilvl="7" w:tplc="04260003" w:tentative="1">
      <w:start w:val="1"/>
      <w:numFmt w:val="bullet"/>
      <w:lvlText w:val="o"/>
      <w:lvlJc w:val="left"/>
      <w:pPr>
        <w:ind w:left="7560" w:hanging="360"/>
      </w:pPr>
      <w:rPr>
        <w:rFonts w:ascii="Courier New" w:hAnsi="Courier New" w:cs="Courier New" w:hint="default"/>
      </w:rPr>
    </w:lvl>
    <w:lvl w:ilvl="8" w:tplc="04260005" w:tentative="1">
      <w:start w:val="1"/>
      <w:numFmt w:val="bullet"/>
      <w:lvlText w:val=""/>
      <w:lvlJc w:val="left"/>
      <w:pPr>
        <w:ind w:left="8280" w:hanging="360"/>
      </w:pPr>
      <w:rPr>
        <w:rFonts w:ascii="Wingdings" w:hAnsi="Wingdings" w:hint="default"/>
      </w:rPr>
    </w:lvl>
  </w:abstractNum>
  <w:abstractNum w:abstractNumId="2">
    <w:nsid w:val="0B822A9F"/>
    <w:multiLevelType w:val="hybridMultilevel"/>
    <w:tmpl w:val="BA4EE42E"/>
    <w:lvl w:ilvl="0" w:tplc="04260001">
      <w:start w:val="1"/>
      <w:numFmt w:val="bullet"/>
      <w:lvlText w:val=""/>
      <w:lvlJc w:val="left"/>
      <w:pPr>
        <w:ind w:left="1571" w:hanging="360"/>
      </w:pPr>
      <w:rPr>
        <w:rFonts w:ascii="Symbol" w:hAnsi="Symbol"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3">
    <w:nsid w:val="0E62742B"/>
    <w:multiLevelType w:val="hybridMultilevel"/>
    <w:tmpl w:val="D80E215C"/>
    <w:lvl w:ilvl="0" w:tplc="E2FA3DD0">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12592506"/>
    <w:multiLevelType w:val="hybridMultilevel"/>
    <w:tmpl w:val="5B32204C"/>
    <w:lvl w:ilvl="0" w:tplc="DFB01162">
      <w:start w:val="1"/>
      <w:numFmt w:val="bullet"/>
      <w:lvlText w:val="–"/>
      <w:lvlJc w:val="left"/>
      <w:pPr>
        <w:ind w:left="1287" w:hanging="360"/>
      </w:pPr>
      <w:rPr>
        <w:rFonts w:ascii="Times New Roman" w:hAnsi="Times New Roman" w:cs="Times New Roman" w:hint="default"/>
      </w:rPr>
    </w:lvl>
    <w:lvl w:ilvl="1" w:tplc="DFB01162">
      <w:start w:val="1"/>
      <w:numFmt w:val="bullet"/>
      <w:lvlText w:val="–"/>
      <w:lvlJc w:val="left"/>
      <w:pPr>
        <w:ind w:left="2007" w:hanging="360"/>
      </w:pPr>
      <w:rPr>
        <w:rFonts w:ascii="Times New Roman" w:hAnsi="Times New Roman" w:cs="Times New Roman" w:hint="default"/>
      </w:rPr>
    </w:lvl>
    <w:lvl w:ilvl="2" w:tplc="DFB01162">
      <w:start w:val="1"/>
      <w:numFmt w:val="bullet"/>
      <w:lvlText w:val="–"/>
      <w:lvlJc w:val="left"/>
      <w:pPr>
        <w:ind w:left="2727" w:hanging="360"/>
      </w:pPr>
      <w:rPr>
        <w:rFonts w:ascii="Times New Roman" w:hAnsi="Times New Roman" w:cs="Times New Roman" w:hint="default"/>
        <w:i w:val="0"/>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5">
    <w:nsid w:val="13D62519"/>
    <w:multiLevelType w:val="hybridMultilevel"/>
    <w:tmpl w:val="A7B2F120"/>
    <w:lvl w:ilvl="0" w:tplc="662077D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nsid w:val="14105CA9"/>
    <w:multiLevelType w:val="hybridMultilevel"/>
    <w:tmpl w:val="D89EE4A2"/>
    <w:lvl w:ilvl="0" w:tplc="BD841C0E">
      <w:start w:val="1"/>
      <w:numFmt w:val="decimal"/>
      <w:pStyle w:val="ParagraphNumbering"/>
      <w:lvlText w:val="%1.     "/>
      <w:lvlJc w:val="left"/>
      <w:pPr>
        <w:tabs>
          <w:tab w:val="num" w:pos="720"/>
        </w:tabs>
        <w:ind w:left="0" w:firstLine="0"/>
      </w:pPr>
      <w:rPr>
        <w:rFonts w:hint="default"/>
        <w:b/>
        <w:strike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BD48F7"/>
    <w:multiLevelType w:val="hybridMultilevel"/>
    <w:tmpl w:val="C92C2CFA"/>
    <w:lvl w:ilvl="0" w:tplc="D896ADF4">
      <w:start w:val="1"/>
      <w:numFmt w:val="bullet"/>
      <w:lvlText w:val="•"/>
      <w:lvlJc w:val="left"/>
      <w:pPr>
        <w:tabs>
          <w:tab w:val="num" w:pos="720"/>
        </w:tabs>
        <w:ind w:left="720" w:hanging="360"/>
      </w:pPr>
      <w:rPr>
        <w:rFonts w:ascii="Times New Roman" w:hAnsi="Times New Roman" w:hint="default"/>
      </w:rPr>
    </w:lvl>
    <w:lvl w:ilvl="1" w:tplc="0E3EC784" w:tentative="1">
      <w:start w:val="1"/>
      <w:numFmt w:val="bullet"/>
      <w:lvlText w:val="•"/>
      <w:lvlJc w:val="left"/>
      <w:pPr>
        <w:tabs>
          <w:tab w:val="num" w:pos="1440"/>
        </w:tabs>
        <w:ind w:left="1440" w:hanging="360"/>
      </w:pPr>
      <w:rPr>
        <w:rFonts w:ascii="Times New Roman" w:hAnsi="Times New Roman" w:hint="default"/>
      </w:rPr>
    </w:lvl>
    <w:lvl w:ilvl="2" w:tplc="854A05DE" w:tentative="1">
      <w:start w:val="1"/>
      <w:numFmt w:val="bullet"/>
      <w:lvlText w:val="•"/>
      <w:lvlJc w:val="left"/>
      <w:pPr>
        <w:tabs>
          <w:tab w:val="num" w:pos="2160"/>
        </w:tabs>
        <w:ind w:left="2160" w:hanging="360"/>
      </w:pPr>
      <w:rPr>
        <w:rFonts w:ascii="Times New Roman" w:hAnsi="Times New Roman" w:hint="default"/>
      </w:rPr>
    </w:lvl>
    <w:lvl w:ilvl="3" w:tplc="66C28258" w:tentative="1">
      <w:start w:val="1"/>
      <w:numFmt w:val="bullet"/>
      <w:lvlText w:val="•"/>
      <w:lvlJc w:val="left"/>
      <w:pPr>
        <w:tabs>
          <w:tab w:val="num" w:pos="2880"/>
        </w:tabs>
        <w:ind w:left="2880" w:hanging="360"/>
      </w:pPr>
      <w:rPr>
        <w:rFonts w:ascii="Times New Roman" w:hAnsi="Times New Roman" w:hint="default"/>
      </w:rPr>
    </w:lvl>
    <w:lvl w:ilvl="4" w:tplc="F5684A1A" w:tentative="1">
      <w:start w:val="1"/>
      <w:numFmt w:val="bullet"/>
      <w:lvlText w:val="•"/>
      <w:lvlJc w:val="left"/>
      <w:pPr>
        <w:tabs>
          <w:tab w:val="num" w:pos="3600"/>
        </w:tabs>
        <w:ind w:left="3600" w:hanging="360"/>
      </w:pPr>
      <w:rPr>
        <w:rFonts w:ascii="Times New Roman" w:hAnsi="Times New Roman" w:hint="default"/>
      </w:rPr>
    </w:lvl>
    <w:lvl w:ilvl="5" w:tplc="1A4062FC" w:tentative="1">
      <w:start w:val="1"/>
      <w:numFmt w:val="bullet"/>
      <w:lvlText w:val="•"/>
      <w:lvlJc w:val="left"/>
      <w:pPr>
        <w:tabs>
          <w:tab w:val="num" w:pos="4320"/>
        </w:tabs>
        <w:ind w:left="4320" w:hanging="360"/>
      </w:pPr>
      <w:rPr>
        <w:rFonts w:ascii="Times New Roman" w:hAnsi="Times New Roman" w:hint="default"/>
      </w:rPr>
    </w:lvl>
    <w:lvl w:ilvl="6" w:tplc="CD860A74" w:tentative="1">
      <w:start w:val="1"/>
      <w:numFmt w:val="bullet"/>
      <w:lvlText w:val="•"/>
      <w:lvlJc w:val="left"/>
      <w:pPr>
        <w:tabs>
          <w:tab w:val="num" w:pos="5040"/>
        </w:tabs>
        <w:ind w:left="5040" w:hanging="360"/>
      </w:pPr>
      <w:rPr>
        <w:rFonts w:ascii="Times New Roman" w:hAnsi="Times New Roman" w:hint="default"/>
      </w:rPr>
    </w:lvl>
    <w:lvl w:ilvl="7" w:tplc="7B6C811C" w:tentative="1">
      <w:start w:val="1"/>
      <w:numFmt w:val="bullet"/>
      <w:lvlText w:val="•"/>
      <w:lvlJc w:val="left"/>
      <w:pPr>
        <w:tabs>
          <w:tab w:val="num" w:pos="5760"/>
        </w:tabs>
        <w:ind w:left="5760" w:hanging="360"/>
      </w:pPr>
      <w:rPr>
        <w:rFonts w:ascii="Times New Roman" w:hAnsi="Times New Roman" w:hint="default"/>
      </w:rPr>
    </w:lvl>
    <w:lvl w:ilvl="8" w:tplc="8D268790" w:tentative="1">
      <w:start w:val="1"/>
      <w:numFmt w:val="bullet"/>
      <w:lvlText w:val="•"/>
      <w:lvlJc w:val="left"/>
      <w:pPr>
        <w:tabs>
          <w:tab w:val="num" w:pos="6480"/>
        </w:tabs>
        <w:ind w:left="6480" w:hanging="360"/>
      </w:pPr>
      <w:rPr>
        <w:rFonts w:ascii="Times New Roman" w:hAnsi="Times New Roman" w:hint="default"/>
      </w:rPr>
    </w:lvl>
  </w:abstractNum>
  <w:abstractNum w:abstractNumId="8">
    <w:nsid w:val="17CE70BE"/>
    <w:multiLevelType w:val="hybridMultilevel"/>
    <w:tmpl w:val="0CD0D5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18147CC4"/>
    <w:multiLevelType w:val="hybridMultilevel"/>
    <w:tmpl w:val="D1844A60"/>
    <w:lvl w:ilvl="0" w:tplc="AAEA8012">
      <w:start w:val="1"/>
      <w:numFmt w:val="bullet"/>
      <w:lvlText w:val="-"/>
      <w:lvlJc w:val="left"/>
      <w:pPr>
        <w:ind w:left="720" w:hanging="360"/>
      </w:pPr>
      <w:rPr>
        <w:rFonts w:ascii="Calibri" w:eastAsia="Calibr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186211A3"/>
    <w:multiLevelType w:val="hybridMultilevel"/>
    <w:tmpl w:val="8042D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574A9C"/>
    <w:multiLevelType w:val="hybridMultilevel"/>
    <w:tmpl w:val="F9D8875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2">
    <w:nsid w:val="1AE33042"/>
    <w:multiLevelType w:val="hybridMultilevel"/>
    <w:tmpl w:val="064004FA"/>
    <w:lvl w:ilvl="0" w:tplc="04260005">
      <w:start w:val="1"/>
      <w:numFmt w:val="bullet"/>
      <w:lvlText w:val=""/>
      <w:lvlJc w:val="left"/>
      <w:pPr>
        <w:ind w:left="1429" w:hanging="360"/>
      </w:pPr>
      <w:rPr>
        <w:rFonts w:ascii="Wingdings" w:hAnsi="Wingding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3">
    <w:nsid w:val="23A07A3E"/>
    <w:multiLevelType w:val="hybridMultilevel"/>
    <w:tmpl w:val="C5A49E22"/>
    <w:lvl w:ilvl="0" w:tplc="04260017">
      <w:start w:val="1"/>
      <w:numFmt w:val="lowerLetter"/>
      <w:lvlText w:val="%1)"/>
      <w:lvlJc w:val="left"/>
      <w:pPr>
        <w:ind w:left="862" w:hanging="360"/>
      </w:pPr>
    </w:lvl>
    <w:lvl w:ilvl="1" w:tplc="04260019" w:tentative="1">
      <w:start w:val="1"/>
      <w:numFmt w:val="lowerLetter"/>
      <w:lvlText w:val="%2."/>
      <w:lvlJc w:val="left"/>
      <w:pPr>
        <w:ind w:left="1582" w:hanging="360"/>
      </w:pPr>
    </w:lvl>
    <w:lvl w:ilvl="2" w:tplc="0426001B" w:tentative="1">
      <w:start w:val="1"/>
      <w:numFmt w:val="lowerRoman"/>
      <w:lvlText w:val="%3."/>
      <w:lvlJc w:val="right"/>
      <w:pPr>
        <w:ind w:left="2302" w:hanging="180"/>
      </w:pPr>
    </w:lvl>
    <w:lvl w:ilvl="3" w:tplc="0426000F" w:tentative="1">
      <w:start w:val="1"/>
      <w:numFmt w:val="decimal"/>
      <w:lvlText w:val="%4."/>
      <w:lvlJc w:val="left"/>
      <w:pPr>
        <w:ind w:left="3022" w:hanging="360"/>
      </w:pPr>
    </w:lvl>
    <w:lvl w:ilvl="4" w:tplc="04260019" w:tentative="1">
      <w:start w:val="1"/>
      <w:numFmt w:val="lowerLetter"/>
      <w:lvlText w:val="%5."/>
      <w:lvlJc w:val="left"/>
      <w:pPr>
        <w:ind w:left="3742" w:hanging="360"/>
      </w:pPr>
    </w:lvl>
    <w:lvl w:ilvl="5" w:tplc="0426001B" w:tentative="1">
      <w:start w:val="1"/>
      <w:numFmt w:val="lowerRoman"/>
      <w:lvlText w:val="%6."/>
      <w:lvlJc w:val="right"/>
      <w:pPr>
        <w:ind w:left="4462" w:hanging="180"/>
      </w:pPr>
    </w:lvl>
    <w:lvl w:ilvl="6" w:tplc="0426000F" w:tentative="1">
      <w:start w:val="1"/>
      <w:numFmt w:val="decimal"/>
      <w:lvlText w:val="%7."/>
      <w:lvlJc w:val="left"/>
      <w:pPr>
        <w:ind w:left="5182" w:hanging="360"/>
      </w:pPr>
    </w:lvl>
    <w:lvl w:ilvl="7" w:tplc="04260019" w:tentative="1">
      <w:start w:val="1"/>
      <w:numFmt w:val="lowerLetter"/>
      <w:lvlText w:val="%8."/>
      <w:lvlJc w:val="left"/>
      <w:pPr>
        <w:ind w:left="5902" w:hanging="360"/>
      </w:pPr>
    </w:lvl>
    <w:lvl w:ilvl="8" w:tplc="0426001B" w:tentative="1">
      <w:start w:val="1"/>
      <w:numFmt w:val="lowerRoman"/>
      <w:lvlText w:val="%9."/>
      <w:lvlJc w:val="right"/>
      <w:pPr>
        <w:ind w:left="6622" w:hanging="180"/>
      </w:pPr>
    </w:lvl>
  </w:abstractNum>
  <w:abstractNum w:abstractNumId="14">
    <w:nsid w:val="23BB64FA"/>
    <w:multiLevelType w:val="hybridMultilevel"/>
    <w:tmpl w:val="2CB222C0"/>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5">
    <w:nsid w:val="2A5530D3"/>
    <w:multiLevelType w:val="hybridMultilevel"/>
    <w:tmpl w:val="D550F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C950AD"/>
    <w:multiLevelType w:val="hybridMultilevel"/>
    <w:tmpl w:val="36DC11A6"/>
    <w:lvl w:ilvl="0" w:tplc="86644614">
      <w:start w:val="1"/>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2E1E653C"/>
    <w:multiLevelType w:val="hybridMultilevel"/>
    <w:tmpl w:val="149ABF1A"/>
    <w:lvl w:ilvl="0" w:tplc="83280578">
      <w:start w:val="1"/>
      <w:numFmt w:val="bullet"/>
      <w:lvlText w:val="•"/>
      <w:lvlJc w:val="left"/>
      <w:pPr>
        <w:tabs>
          <w:tab w:val="num" w:pos="720"/>
        </w:tabs>
        <w:ind w:left="720" w:hanging="360"/>
      </w:pPr>
      <w:rPr>
        <w:rFonts w:ascii="Times New Roman" w:hAnsi="Times New Roman" w:hint="default"/>
      </w:rPr>
    </w:lvl>
    <w:lvl w:ilvl="1" w:tplc="04260001">
      <w:start w:val="1"/>
      <w:numFmt w:val="bullet"/>
      <w:lvlText w:val=""/>
      <w:lvlJc w:val="left"/>
      <w:pPr>
        <w:tabs>
          <w:tab w:val="num" w:pos="1440"/>
        </w:tabs>
        <w:ind w:left="1440" w:hanging="360"/>
      </w:pPr>
      <w:rPr>
        <w:rFonts w:ascii="Symbol" w:hAnsi="Symbol" w:hint="default"/>
      </w:rPr>
    </w:lvl>
    <w:lvl w:ilvl="2" w:tplc="9B9C582A" w:tentative="1">
      <w:start w:val="1"/>
      <w:numFmt w:val="bullet"/>
      <w:lvlText w:val="•"/>
      <w:lvlJc w:val="left"/>
      <w:pPr>
        <w:tabs>
          <w:tab w:val="num" w:pos="2160"/>
        </w:tabs>
        <w:ind w:left="2160" w:hanging="360"/>
      </w:pPr>
      <w:rPr>
        <w:rFonts w:ascii="Times New Roman" w:hAnsi="Times New Roman" w:hint="default"/>
      </w:rPr>
    </w:lvl>
    <w:lvl w:ilvl="3" w:tplc="A304688A" w:tentative="1">
      <w:start w:val="1"/>
      <w:numFmt w:val="bullet"/>
      <w:lvlText w:val="•"/>
      <w:lvlJc w:val="left"/>
      <w:pPr>
        <w:tabs>
          <w:tab w:val="num" w:pos="2880"/>
        </w:tabs>
        <w:ind w:left="2880" w:hanging="360"/>
      </w:pPr>
      <w:rPr>
        <w:rFonts w:ascii="Times New Roman" w:hAnsi="Times New Roman" w:hint="default"/>
      </w:rPr>
    </w:lvl>
    <w:lvl w:ilvl="4" w:tplc="04940362" w:tentative="1">
      <w:start w:val="1"/>
      <w:numFmt w:val="bullet"/>
      <w:lvlText w:val="•"/>
      <w:lvlJc w:val="left"/>
      <w:pPr>
        <w:tabs>
          <w:tab w:val="num" w:pos="3600"/>
        </w:tabs>
        <w:ind w:left="3600" w:hanging="360"/>
      </w:pPr>
      <w:rPr>
        <w:rFonts w:ascii="Times New Roman" w:hAnsi="Times New Roman" w:hint="default"/>
      </w:rPr>
    </w:lvl>
    <w:lvl w:ilvl="5" w:tplc="291C95C4" w:tentative="1">
      <w:start w:val="1"/>
      <w:numFmt w:val="bullet"/>
      <w:lvlText w:val="•"/>
      <w:lvlJc w:val="left"/>
      <w:pPr>
        <w:tabs>
          <w:tab w:val="num" w:pos="4320"/>
        </w:tabs>
        <w:ind w:left="4320" w:hanging="360"/>
      </w:pPr>
      <w:rPr>
        <w:rFonts w:ascii="Times New Roman" w:hAnsi="Times New Roman" w:hint="default"/>
      </w:rPr>
    </w:lvl>
    <w:lvl w:ilvl="6" w:tplc="F0F44B60" w:tentative="1">
      <w:start w:val="1"/>
      <w:numFmt w:val="bullet"/>
      <w:lvlText w:val="•"/>
      <w:lvlJc w:val="left"/>
      <w:pPr>
        <w:tabs>
          <w:tab w:val="num" w:pos="5040"/>
        </w:tabs>
        <w:ind w:left="5040" w:hanging="360"/>
      </w:pPr>
      <w:rPr>
        <w:rFonts w:ascii="Times New Roman" w:hAnsi="Times New Roman" w:hint="default"/>
      </w:rPr>
    </w:lvl>
    <w:lvl w:ilvl="7" w:tplc="3850CD66" w:tentative="1">
      <w:start w:val="1"/>
      <w:numFmt w:val="bullet"/>
      <w:lvlText w:val="•"/>
      <w:lvlJc w:val="left"/>
      <w:pPr>
        <w:tabs>
          <w:tab w:val="num" w:pos="5760"/>
        </w:tabs>
        <w:ind w:left="5760" w:hanging="360"/>
      </w:pPr>
      <w:rPr>
        <w:rFonts w:ascii="Times New Roman" w:hAnsi="Times New Roman" w:hint="default"/>
      </w:rPr>
    </w:lvl>
    <w:lvl w:ilvl="8" w:tplc="4E6E32E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3D11A78"/>
    <w:multiLevelType w:val="hybridMultilevel"/>
    <w:tmpl w:val="64708EF8"/>
    <w:lvl w:ilvl="0" w:tplc="0426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DE0D47"/>
    <w:multiLevelType w:val="hybridMultilevel"/>
    <w:tmpl w:val="FB8CD632"/>
    <w:lvl w:ilvl="0" w:tplc="C9E27D36">
      <w:start w:val="1"/>
      <w:numFmt w:val="bullet"/>
      <w:lvlText w:val="–"/>
      <w:lvlJc w:val="left"/>
      <w:pPr>
        <w:tabs>
          <w:tab w:val="num" w:pos="720"/>
        </w:tabs>
        <w:ind w:left="720" w:hanging="360"/>
      </w:pPr>
      <w:rPr>
        <w:rFonts w:ascii="Times New Roman" w:hAnsi="Times New Roman" w:cs="Times New Roman" w:hint="default"/>
      </w:rPr>
    </w:lvl>
    <w:lvl w:ilvl="1" w:tplc="1C70464C">
      <w:start w:val="1"/>
      <w:numFmt w:val="bullet"/>
      <w:lvlText w:val="–"/>
      <w:lvlJc w:val="left"/>
      <w:pPr>
        <w:tabs>
          <w:tab w:val="num" w:pos="1440"/>
        </w:tabs>
        <w:ind w:left="1440" w:hanging="360"/>
      </w:pPr>
      <w:rPr>
        <w:rFonts w:ascii="Times New Roman" w:hAnsi="Times New Roman" w:cs="Times New Roman" w:hint="default"/>
      </w:rPr>
    </w:lvl>
    <w:lvl w:ilvl="2" w:tplc="3A589DFC">
      <w:start w:val="1"/>
      <w:numFmt w:val="decimal"/>
      <w:lvlText w:val="%3."/>
      <w:lvlJc w:val="left"/>
      <w:pPr>
        <w:tabs>
          <w:tab w:val="num" w:pos="2160"/>
        </w:tabs>
        <w:ind w:left="2160" w:hanging="360"/>
      </w:pPr>
    </w:lvl>
    <w:lvl w:ilvl="3" w:tplc="7298A7B4">
      <w:start w:val="1"/>
      <w:numFmt w:val="decimal"/>
      <w:lvlText w:val="%4."/>
      <w:lvlJc w:val="left"/>
      <w:pPr>
        <w:tabs>
          <w:tab w:val="num" w:pos="2880"/>
        </w:tabs>
        <w:ind w:left="2880" w:hanging="360"/>
      </w:pPr>
    </w:lvl>
    <w:lvl w:ilvl="4" w:tplc="27682CFC">
      <w:start w:val="1"/>
      <w:numFmt w:val="decimal"/>
      <w:lvlText w:val="%5."/>
      <w:lvlJc w:val="left"/>
      <w:pPr>
        <w:tabs>
          <w:tab w:val="num" w:pos="3600"/>
        </w:tabs>
        <w:ind w:left="3600" w:hanging="360"/>
      </w:pPr>
    </w:lvl>
    <w:lvl w:ilvl="5" w:tplc="1042368A">
      <w:start w:val="1"/>
      <w:numFmt w:val="decimal"/>
      <w:lvlText w:val="%6."/>
      <w:lvlJc w:val="left"/>
      <w:pPr>
        <w:tabs>
          <w:tab w:val="num" w:pos="4320"/>
        </w:tabs>
        <w:ind w:left="4320" w:hanging="360"/>
      </w:pPr>
    </w:lvl>
    <w:lvl w:ilvl="6" w:tplc="978A111E">
      <w:start w:val="1"/>
      <w:numFmt w:val="decimal"/>
      <w:lvlText w:val="%7."/>
      <w:lvlJc w:val="left"/>
      <w:pPr>
        <w:tabs>
          <w:tab w:val="num" w:pos="5040"/>
        </w:tabs>
        <w:ind w:left="5040" w:hanging="360"/>
      </w:pPr>
    </w:lvl>
    <w:lvl w:ilvl="7" w:tplc="23B67E38">
      <w:start w:val="1"/>
      <w:numFmt w:val="decimal"/>
      <w:lvlText w:val="%8."/>
      <w:lvlJc w:val="left"/>
      <w:pPr>
        <w:tabs>
          <w:tab w:val="num" w:pos="5760"/>
        </w:tabs>
        <w:ind w:left="5760" w:hanging="360"/>
      </w:pPr>
    </w:lvl>
    <w:lvl w:ilvl="8" w:tplc="BCCEE5A8">
      <w:start w:val="1"/>
      <w:numFmt w:val="decimal"/>
      <w:lvlText w:val="%9."/>
      <w:lvlJc w:val="left"/>
      <w:pPr>
        <w:tabs>
          <w:tab w:val="num" w:pos="6480"/>
        </w:tabs>
        <w:ind w:left="6480" w:hanging="360"/>
      </w:pPr>
    </w:lvl>
  </w:abstractNum>
  <w:abstractNum w:abstractNumId="20">
    <w:nsid w:val="34A55D84"/>
    <w:multiLevelType w:val="hybridMultilevel"/>
    <w:tmpl w:val="A954696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3D082256"/>
    <w:multiLevelType w:val="hybridMultilevel"/>
    <w:tmpl w:val="D66EFCB6"/>
    <w:lvl w:ilvl="0" w:tplc="83280578">
      <w:start w:val="1"/>
      <w:numFmt w:val="bullet"/>
      <w:lvlText w:val="•"/>
      <w:lvlJc w:val="left"/>
      <w:pPr>
        <w:tabs>
          <w:tab w:val="num" w:pos="720"/>
        </w:tabs>
        <w:ind w:left="720" w:hanging="360"/>
      </w:pPr>
      <w:rPr>
        <w:rFonts w:ascii="Times New Roman" w:hAnsi="Times New Roman" w:hint="default"/>
      </w:rPr>
    </w:lvl>
    <w:lvl w:ilvl="1" w:tplc="2CDECCBA">
      <w:start w:val="2534"/>
      <w:numFmt w:val="bullet"/>
      <w:lvlText w:val="–"/>
      <w:lvlJc w:val="left"/>
      <w:pPr>
        <w:tabs>
          <w:tab w:val="num" w:pos="1440"/>
        </w:tabs>
        <w:ind w:left="1440" w:hanging="360"/>
      </w:pPr>
      <w:rPr>
        <w:rFonts w:ascii="Times New Roman" w:hAnsi="Times New Roman" w:hint="default"/>
      </w:rPr>
    </w:lvl>
    <w:lvl w:ilvl="2" w:tplc="9B9C582A" w:tentative="1">
      <w:start w:val="1"/>
      <w:numFmt w:val="bullet"/>
      <w:lvlText w:val="•"/>
      <w:lvlJc w:val="left"/>
      <w:pPr>
        <w:tabs>
          <w:tab w:val="num" w:pos="2160"/>
        </w:tabs>
        <w:ind w:left="2160" w:hanging="360"/>
      </w:pPr>
      <w:rPr>
        <w:rFonts w:ascii="Times New Roman" w:hAnsi="Times New Roman" w:hint="default"/>
      </w:rPr>
    </w:lvl>
    <w:lvl w:ilvl="3" w:tplc="A304688A" w:tentative="1">
      <w:start w:val="1"/>
      <w:numFmt w:val="bullet"/>
      <w:lvlText w:val="•"/>
      <w:lvlJc w:val="left"/>
      <w:pPr>
        <w:tabs>
          <w:tab w:val="num" w:pos="2880"/>
        </w:tabs>
        <w:ind w:left="2880" w:hanging="360"/>
      </w:pPr>
      <w:rPr>
        <w:rFonts w:ascii="Times New Roman" w:hAnsi="Times New Roman" w:hint="default"/>
      </w:rPr>
    </w:lvl>
    <w:lvl w:ilvl="4" w:tplc="04940362" w:tentative="1">
      <w:start w:val="1"/>
      <w:numFmt w:val="bullet"/>
      <w:lvlText w:val="•"/>
      <w:lvlJc w:val="left"/>
      <w:pPr>
        <w:tabs>
          <w:tab w:val="num" w:pos="3600"/>
        </w:tabs>
        <w:ind w:left="3600" w:hanging="360"/>
      </w:pPr>
      <w:rPr>
        <w:rFonts w:ascii="Times New Roman" w:hAnsi="Times New Roman" w:hint="default"/>
      </w:rPr>
    </w:lvl>
    <w:lvl w:ilvl="5" w:tplc="291C95C4" w:tentative="1">
      <w:start w:val="1"/>
      <w:numFmt w:val="bullet"/>
      <w:lvlText w:val="•"/>
      <w:lvlJc w:val="left"/>
      <w:pPr>
        <w:tabs>
          <w:tab w:val="num" w:pos="4320"/>
        </w:tabs>
        <w:ind w:left="4320" w:hanging="360"/>
      </w:pPr>
      <w:rPr>
        <w:rFonts w:ascii="Times New Roman" w:hAnsi="Times New Roman" w:hint="default"/>
      </w:rPr>
    </w:lvl>
    <w:lvl w:ilvl="6" w:tplc="F0F44B60" w:tentative="1">
      <w:start w:val="1"/>
      <w:numFmt w:val="bullet"/>
      <w:lvlText w:val="•"/>
      <w:lvlJc w:val="left"/>
      <w:pPr>
        <w:tabs>
          <w:tab w:val="num" w:pos="5040"/>
        </w:tabs>
        <w:ind w:left="5040" w:hanging="360"/>
      </w:pPr>
      <w:rPr>
        <w:rFonts w:ascii="Times New Roman" w:hAnsi="Times New Roman" w:hint="default"/>
      </w:rPr>
    </w:lvl>
    <w:lvl w:ilvl="7" w:tplc="3850CD66" w:tentative="1">
      <w:start w:val="1"/>
      <w:numFmt w:val="bullet"/>
      <w:lvlText w:val="•"/>
      <w:lvlJc w:val="left"/>
      <w:pPr>
        <w:tabs>
          <w:tab w:val="num" w:pos="5760"/>
        </w:tabs>
        <w:ind w:left="5760" w:hanging="360"/>
      </w:pPr>
      <w:rPr>
        <w:rFonts w:ascii="Times New Roman" w:hAnsi="Times New Roman" w:hint="default"/>
      </w:rPr>
    </w:lvl>
    <w:lvl w:ilvl="8" w:tplc="4E6E32E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08A32D6"/>
    <w:multiLevelType w:val="hybridMultilevel"/>
    <w:tmpl w:val="D55491C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3">
    <w:nsid w:val="4627034B"/>
    <w:multiLevelType w:val="hybridMultilevel"/>
    <w:tmpl w:val="2AC4FC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47D2021D"/>
    <w:multiLevelType w:val="hybridMultilevel"/>
    <w:tmpl w:val="80CC9DF2"/>
    <w:lvl w:ilvl="0" w:tplc="04260001">
      <w:start w:val="1"/>
      <w:numFmt w:val="bullet"/>
      <w:lvlText w:val=""/>
      <w:lvlJc w:val="left"/>
      <w:pPr>
        <w:ind w:left="1080" w:hanging="360"/>
      </w:pPr>
      <w:rPr>
        <w:rFonts w:ascii="Symbol" w:hAnsi="Symbol" w:hint="default"/>
      </w:rPr>
    </w:lvl>
    <w:lvl w:ilvl="1" w:tplc="04260001">
      <w:start w:val="1"/>
      <w:numFmt w:val="bullet"/>
      <w:lvlText w:val=""/>
      <w:lvlJc w:val="left"/>
      <w:pPr>
        <w:ind w:left="1800" w:hanging="360"/>
      </w:pPr>
      <w:rPr>
        <w:rFonts w:ascii="Symbol" w:hAnsi="Symbol" w:hint="default"/>
      </w:rPr>
    </w:lvl>
    <w:lvl w:ilvl="2" w:tplc="04260005">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5">
    <w:nsid w:val="49FF0976"/>
    <w:multiLevelType w:val="hybridMultilevel"/>
    <w:tmpl w:val="4094E49E"/>
    <w:lvl w:ilvl="0" w:tplc="400EC816">
      <w:start w:val="1"/>
      <w:numFmt w:val="bullet"/>
      <w:lvlText w:val="•"/>
      <w:lvlJc w:val="left"/>
      <w:pPr>
        <w:tabs>
          <w:tab w:val="num" w:pos="720"/>
        </w:tabs>
        <w:ind w:left="720" w:hanging="360"/>
      </w:pPr>
      <w:rPr>
        <w:rFonts w:ascii="Times New Roman" w:hAnsi="Times New Roman" w:hint="default"/>
      </w:rPr>
    </w:lvl>
    <w:lvl w:ilvl="1" w:tplc="9FE6E6B4" w:tentative="1">
      <w:start w:val="1"/>
      <w:numFmt w:val="bullet"/>
      <w:lvlText w:val="•"/>
      <w:lvlJc w:val="left"/>
      <w:pPr>
        <w:tabs>
          <w:tab w:val="num" w:pos="1440"/>
        </w:tabs>
        <w:ind w:left="1440" w:hanging="360"/>
      </w:pPr>
      <w:rPr>
        <w:rFonts w:ascii="Times New Roman" w:hAnsi="Times New Roman" w:hint="default"/>
      </w:rPr>
    </w:lvl>
    <w:lvl w:ilvl="2" w:tplc="2124B1A4" w:tentative="1">
      <w:start w:val="1"/>
      <w:numFmt w:val="bullet"/>
      <w:lvlText w:val="•"/>
      <w:lvlJc w:val="left"/>
      <w:pPr>
        <w:tabs>
          <w:tab w:val="num" w:pos="2160"/>
        </w:tabs>
        <w:ind w:left="2160" w:hanging="360"/>
      </w:pPr>
      <w:rPr>
        <w:rFonts w:ascii="Times New Roman" w:hAnsi="Times New Roman" w:hint="default"/>
      </w:rPr>
    </w:lvl>
    <w:lvl w:ilvl="3" w:tplc="7DD838E6" w:tentative="1">
      <w:start w:val="1"/>
      <w:numFmt w:val="bullet"/>
      <w:lvlText w:val="•"/>
      <w:lvlJc w:val="left"/>
      <w:pPr>
        <w:tabs>
          <w:tab w:val="num" w:pos="2880"/>
        </w:tabs>
        <w:ind w:left="2880" w:hanging="360"/>
      </w:pPr>
      <w:rPr>
        <w:rFonts w:ascii="Times New Roman" w:hAnsi="Times New Roman" w:hint="default"/>
      </w:rPr>
    </w:lvl>
    <w:lvl w:ilvl="4" w:tplc="366061D0" w:tentative="1">
      <w:start w:val="1"/>
      <w:numFmt w:val="bullet"/>
      <w:lvlText w:val="•"/>
      <w:lvlJc w:val="left"/>
      <w:pPr>
        <w:tabs>
          <w:tab w:val="num" w:pos="3600"/>
        </w:tabs>
        <w:ind w:left="3600" w:hanging="360"/>
      </w:pPr>
      <w:rPr>
        <w:rFonts w:ascii="Times New Roman" w:hAnsi="Times New Roman" w:hint="default"/>
      </w:rPr>
    </w:lvl>
    <w:lvl w:ilvl="5" w:tplc="FC0C1EAC" w:tentative="1">
      <w:start w:val="1"/>
      <w:numFmt w:val="bullet"/>
      <w:lvlText w:val="•"/>
      <w:lvlJc w:val="left"/>
      <w:pPr>
        <w:tabs>
          <w:tab w:val="num" w:pos="4320"/>
        </w:tabs>
        <w:ind w:left="4320" w:hanging="360"/>
      </w:pPr>
      <w:rPr>
        <w:rFonts w:ascii="Times New Roman" w:hAnsi="Times New Roman" w:hint="default"/>
      </w:rPr>
    </w:lvl>
    <w:lvl w:ilvl="6" w:tplc="EFC06218" w:tentative="1">
      <w:start w:val="1"/>
      <w:numFmt w:val="bullet"/>
      <w:lvlText w:val="•"/>
      <w:lvlJc w:val="left"/>
      <w:pPr>
        <w:tabs>
          <w:tab w:val="num" w:pos="5040"/>
        </w:tabs>
        <w:ind w:left="5040" w:hanging="360"/>
      </w:pPr>
      <w:rPr>
        <w:rFonts w:ascii="Times New Roman" w:hAnsi="Times New Roman" w:hint="default"/>
      </w:rPr>
    </w:lvl>
    <w:lvl w:ilvl="7" w:tplc="C896CBA4" w:tentative="1">
      <w:start w:val="1"/>
      <w:numFmt w:val="bullet"/>
      <w:lvlText w:val="•"/>
      <w:lvlJc w:val="left"/>
      <w:pPr>
        <w:tabs>
          <w:tab w:val="num" w:pos="5760"/>
        </w:tabs>
        <w:ind w:left="5760" w:hanging="360"/>
      </w:pPr>
      <w:rPr>
        <w:rFonts w:ascii="Times New Roman" w:hAnsi="Times New Roman" w:hint="default"/>
      </w:rPr>
    </w:lvl>
    <w:lvl w:ilvl="8" w:tplc="10CA587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B5011F3"/>
    <w:multiLevelType w:val="hybridMultilevel"/>
    <w:tmpl w:val="5EDCA33C"/>
    <w:lvl w:ilvl="0" w:tplc="CE02BA02">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4B9D7858"/>
    <w:multiLevelType w:val="hybridMultilevel"/>
    <w:tmpl w:val="187A7458"/>
    <w:lvl w:ilvl="0" w:tplc="83280578">
      <w:start w:val="1"/>
      <w:numFmt w:val="bullet"/>
      <w:lvlText w:val="•"/>
      <w:lvlJc w:val="left"/>
      <w:pPr>
        <w:tabs>
          <w:tab w:val="num" w:pos="720"/>
        </w:tabs>
        <w:ind w:left="720" w:hanging="360"/>
      </w:pPr>
      <w:rPr>
        <w:rFonts w:ascii="Times New Roman" w:hAnsi="Times New Roman" w:hint="default"/>
      </w:rPr>
    </w:lvl>
    <w:lvl w:ilvl="1" w:tplc="04260005">
      <w:start w:val="1"/>
      <w:numFmt w:val="bullet"/>
      <w:lvlText w:val=""/>
      <w:lvlJc w:val="left"/>
      <w:pPr>
        <w:tabs>
          <w:tab w:val="num" w:pos="1440"/>
        </w:tabs>
        <w:ind w:left="1440" w:hanging="360"/>
      </w:pPr>
      <w:rPr>
        <w:rFonts w:ascii="Wingdings" w:hAnsi="Wingdings" w:hint="default"/>
      </w:rPr>
    </w:lvl>
    <w:lvl w:ilvl="2" w:tplc="9B9C582A" w:tentative="1">
      <w:start w:val="1"/>
      <w:numFmt w:val="bullet"/>
      <w:lvlText w:val="•"/>
      <w:lvlJc w:val="left"/>
      <w:pPr>
        <w:tabs>
          <w:tab w:val="num" w:pos="2160"/>
        </w:tabs>
        <w:ind w:left="2160" w:hanging="360"/>
      </w:pPr>
      <w:rPr>
        <w:rFonts w:ascii="Times New Roman" w:hAnsi="Times New Roman" w:hint="default"/>
      </w:rPr>
    </w:lvl>
    <w:lvl w:ilvl="3" w:tplc="A304688A" w:tentative="1">
      <w:start w:val="1"/>
      <w:numFmt w:val="bullet"/>
      <w:lvlText w:val="•"/>
      <w:lvlJc w:val="left"/>
      <w:pPr>
        <w:tabs>
          <w:tab w:val="num" w:pos="2880"/>
        </w:tabs>
        <w:ind w:left="2880" w:hanging="360"/>
      </w:pPr>
      <w:rPr>
        <w:rFonts w:ascii="Times New Roman" w:hAnsi="Times New Roman" w:hint="default"/>
      </w:rPr>
    </w:lvl>
    <w:lvl w:ilvl="4" w:tplc="04940362" w:tentative="1">
      <w:start w:val="1"/>
      <w:numFmt w:val="bullet"/>
      <w:lvlText w:val="•"/>
      <w:lvlJc w:val="left"/>
      <w:pPr>
        <w:tabs>
          <w:tab w:val="num" w:pos="3600"/>
        </w:tabs>
        <w:ind w:left="3600" w:hanging="360"/>
      </w:pPr>
      <w:rPr>
        <w:rFonts w:ascii="Times New Roman" w:hAnsi="Times New Roman" w:hint="default"/>
      </w:rPr>
    </w:lvl>
    <w:lvl w:ilvl="5" w:tplc="291C95C4" w:tentative="1">
      <w:start w:val="1"/>
      <w:numFmt w:val="bullet"/>
      <w:lvlText w:val="•"/>
      <w:lvlJc w:val="left"/>
      <w:pPr>
        <w:tabs>
          <w:tab w:val="num" w:pos="4320"/>
        </w:tabs>
        <w:ind w:left="4320" w:hanging="360"/>
      </w:pPr>
      <w:rPr>
        <w:rFonts w:ascii="Times New Roman" w:hAnsi="Times New Roman" w:hint="default"/>
      </w:rPr>
    </w:lvl>
    <w:lvl w:ilvl="6" w:tplc="F0F44B60" w:tentative="1">
      <w:start w:val="1"/>
      <w:numFmt w:val="bullet"/>
      <w:lvlText w:val="•"/>
      <w:lvlJc w:val="left"/>
      <w:pPr>
        <w:tabs>
          <w:tab w:val="num" w:pos="5040"/>
        </w:tabs>
        <w:ind w:left="5040" w:hanging="360"/>
      </w:pPr>
      <w:rPr>
        <w:rFonts w:ascii="Times New Roman" w:hAnsi="Times New Roman" w:hint="default"/>
      </w:rPr>
    </w:lvl>
    <w:lvl w:ilvl="7" w:tplc="3850CD66" w:tentative="1">
      <w:start w:val="1"/>
      <w:numFmt w:val="bullet"/>
      <w:lvlText w:val="•"/>
      <w:lvlJc w:val="left"/>
      <w:pPr>
        <w:tabs>
          <w:tab w:val="num" w:pos="5760"/>
        </w:tabs>
        <w:ind w:left="5760" w:hanging="360"/>
      </w:pPr>
      <w:rPr>
        <w:rFonts w:ascii="Times New Roman" w:hAnsi="Times New Roman" w:hint="default"/>
      </w:rPr>
    </w:lvl>
    <w:lvl w:ilvl="8" w:tplc="4E6E32EE"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1520714"/>
    <w:multiLevelType w:val="hybridMultilevel"/>
    <w:tmpl w:val="8B34B550"/>
    <w:lvl w:ilvl="0" w:tplc="04260001">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29">
    <w:nsid w:val="53C736B6"/>
    <w:multiLevelType w:val="hybridMultilevel"/>
    <w:tmpl w:val="551444C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nsid w:val="547B462F"/>
    <w:multiLevelType w:val="hybridMultilevel"/>
    <w:tmpl w:val="E592BE88"/>
    <w:lvl w:ilvl="0" w:tplc="04260005">
      <w:start w:val="1"/>
      <w:numFmt w:val="bullet"/>
      <w:lvlText w:val=""/>
      <w:lvlJc w:val="left"/>
      <w:pPr>
        <w:ind w:left="1429" w:hanging="360"/>
      </w:pPr>
      <w:rPr>
        <w:rFonts w:ascii="Wingdings" w:hAnsi="Wingding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1">
    <w:nsid w:val="56153CAE"/>
    <w:multiLevelType w:val="hybridMultilevel"/>
    <w:tmpl w:val="5BD8C37A"/>
    <w:lvl w:ilvl="0" w:tplc="0426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7F5FF2"/>
    <w:multiLevelType w:val="hybridMultilevel"/>
    <w:tmpl w:val="1F183336"/>
    <w:lvl w:ilvl="0" w:tplc="04260011">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nsid w:val="5E175E9A"/>
    <w:multiLevelType w:val="hybridMultilevel"/>
    <w:tmpl w:val="2C8E9608"/>
    <w:lvl w:ilvl="0" w:tplc="04260005">
      <w:start w:val="1"/>
      <w:numFmt w:val="bullet"/>
      <w:lvlText w:val=""/>
      <w:lvlJc w:val="left"/>
      <w:pPr>
        <w:ind w:left="1429" w:hanging="360"/>
      </w:pPr>
      <w:rPr>
        <w:rFonts w:ascii="Wingdings" w:hAnsi="Wingding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4">
    <w:nsid w:val="60777B12"/>
    <w:multiLevelType w:val="hybridMultilevel"/>
    <w:tmpl w:val="8D8E0AE0"/>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5">
    <w:nsid w:val="61D315BD"/>
    <w:multiLevelType w:val="hybridMultilevel"/>
    <w:tmpl w:val="44D4D124"/>
    <w:lvl w:ilvl="0" w:tplc="EC10B09E">
      <w:start w:val="1"/>
      <w:numFmt w:val="bullet"/>
      <w:lvlText w:val="•"/>
      <w:lvlJc w:val="left"/>
      <w:pPr>
        <w:tabs>
          <w:tab w:val="num" w:pos="720"/>
        </w:tabs>
        <w:ind w:left="720" w:hanging="360"/>
      </w:pPr>
      <w:rPr>
        <w:rFonts w:ascii="Times New Roman" w:hAnsi="Times New Roman" w:hint="default"/>
      </w:rPr>
    </w:lvl>
    <w:lvl w:ilvl="1" w:tplc="17F43E50" w:tentative="1">
      <w:start w:val="1"/>
      <w:numFmt w:val="bullet"/>
      <w:lvlText w:val="•"/>
      <w:lvlJc w:val="left"/>
      <w:pPr>
        <w:tabs>
          <w:tab w:val="num" w:pos="1440"/>
        </w:tabs>
        <w:ind w:left="1440" w:hanging="360"/>
      </w:pPr>
      <w:rPr>
        <w:rFonts w:ascii="Times New Roman" w:hAnsi="Times New Roman" w:hint="default"/>
      </w:rPr>
    </w:lvl>
    <w:lvl w:ilvl="2" w:tplc="E34A167A" w:tentative="1">
      <w:start w:val="1"/>
      <w:numFmt w:val="bullet"/>
      <w:lvlText w:val="•"/>
      <w:lvlJc w:val="left"/>
      <w:pPr>
        <w:tabs>
          <w:tab w:val="num" w:pos="2160"/>
        </w:tabs>
        <w:ind w:left="2160" w:hanging="360"/>
      </w:pPr>
      <w:rPr>
        <w:rFonts w:ascii="Times New Roman" w:hAnsi="Times New Roman" w:hint="default"/>
      </w:rPr>
    </w:lvl>
    <w:lvl w:ilvl="3" w:tplc="B1626D26" w:tentative="1">
      <w:start w:val="1"/>
      <w:numFmt w:val="bullet"/>
      <w:lvlText w:val="•"/>
      <w:lvlJc w:val="left"/>
      <w:pPr>
        <w:tabs>
          <w:tab w:val="num" w:pos="2880"/>
        </w:tabs>
        <w:ind w:left="2880" w:hanging="360"/>
      </w:pPr>
      <w:rPr>
        <w:rFonts w:ascii="Times New Roman" w:hAnsi="Times New Roman" w:hint="default"/>
      </w:rPr>
    </w:lvl>
    <w:lvl w:ilvl="4" w:tplc="CF98A6FA" w:tentative="1">
      <w:start w:val="1"/>
      <w:numFmt w:val="bullet"/>
      <w:lvlText w:val="•"/>
      <w:lvlJc w:val="left"/>
      <w:pPr>
        <w:tabs>
          <w:tab w:val="num" w:pos="3600"/>
        </w:tabs>
        <w:ind w:left="3600" w:hanging="360"/>
      </w:pPr>
      <w:rPr>
        <w:rFonts w:ascii="Times New Roman" w:hAnsi="Times New Roman" w:hint="default"/>
      </w:rPr>
    </w:lvl>
    <w:lvl w:ilvl="5" w:tplc="3210F272" w:tentative="1">
      <w:start w:val="1"/>
      <w:numFmt w:val="bullet"/>
      <w:lvlText w:val="•"/>
      <w:lvlJc w:val="left"/>
      <w:pPr>
        <w:tabs>
          <w:tab w:val="num" w:pos="4320"/>
        </w:tabs>
        <w:ind w:left="4320" w:hanging="360"/>
      </w:pPr>
      <w:rPr>
        <w:rFonts w:ascii="Times New Roman" w:hAnsi="Times New Roman" w:hint="default"/>
      </w:rPr>
    </w:lvl>
    <w:lvl w:ilvl="6" w:tplc="982E8074" w:tentative="1">
      <w:start w:val="1"/>
      <w:numFmt w:val="bullet"/>
      <w:lvlText w:val="•"/>
      <w:lvlJc w:val="left"/>
      <w:pPr>
        <w:tabs>
          <w:tab w:val="num" w:pos="5040"/>
        </w:tabs>
        <w:ind w:left="5040" w:hanging="360"/>
      </w:pPr>
      <w:rPr>
        <w:rFonts w:ascii="Times New Roman" w:hAnsi="Times New Roman" w:hint="default"/>
      </w:rPr>
    </w:lvl>
    <w:lvl w:ilvl="7" w:tplc="8AAA0D40" w:tentative="1">
      <w:start w:val="1"/>
      <w:numFmt w:val="bullet"/>
      <w:lvlText w:val="•"/>
      <w:lvlJc w:val="left"/>
      <w:pPr>
        <w:tabs>
          <w:tab w:val="num" w:pos="5760"/>
        </w:tabs>
        <w:ind w:left="5760" w:hanging="360"/>
      </w:pPr>
      <w:rPr>
        <w:rFonts w:ascii="Times New Roman" w:hAnsi="Times New Roman" w:hint="default"/>
      </w:rPr>
    </w:lvl>
    <w:lvl w:ilvl="8" w:tplc="D1183B8E"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9C74DD8"/>
    <w:multiLevelType w:val="hybridMultilevel"/>
    <w:tmpl w:val="05F86C1E"/>
    <w:lvl w:ilvl="0" w:tplc="04260005">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7">
    <w:nsid w:val="6A6F7C32"/>
    <w:multiLevelType w:val="hybridMultilevel"/>
    <w:tmpl w:val="FD86A58E"/>
    <w:lvl w:ilvl="0" w:tplc="B086B3BC">
      <w:start w:val="1"/>
      <w:numFmt w:val="bullet"/>
      <w:lvlText w:val=""/>
      <w:lvlJc w:val="left"/>
      <w:pPr>
        <w:ind w:left="1440" w:hanging="360"/>
      </w:pPr>
      <w:rPr>
        <w:rFonts w:ascii="Symbol" w:hAnsi="Symbol" w:hint="default"/>
      </w:rPr>
    </w:lvl>
    <w:lvl w:ilvl="1" w:tplc="B086B3BC">
      <w:start w:val="1"/>
      <w:numFmt w:val="bullet"/>
      <w:lvlText w:val=""/>
      <w:lvlJc w:val="left"/>
      <w:pPr>
        <w:ind w:left="1440" w:hanging="360"/>
      </w:pPr>
      <w:rPr>
        <w:rFonts w:ascii="Symbol" w:hAnsi="Symbol"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8">
    <w:nsid w:val="6CB3664A"/>
    <w:multiLevelType w:val="hybridMultilevel"/>
    <w:tmpl w:val="D166BBB8"/>
    <w:lvl w:ilvl="0" w:tplc="04260005">
      <w:start w:val="1"/>
      <w:numFmt w:val="bullet"/>
      <w:lvlText w:val=""/>
      <w:lvlJc w:val="left"/>
      <w:pPr>
        <w:ind w:left="1287" w:hanging="360"/>
      </w:pPr>
      <w:rPr>
        <w:rFonts w:ascii="Wingdings" w:hAnsi="Wingdings"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9">
    <w:nsid w:val="73526B35"/>
    <w:multiLevelType w:val="hybridMultilevel"/>
    <w:tmpl w:val="904887F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nsid w:val="79D949FC"/>
    <w:multiLevelType w:val="hybridMultilevel"/>
    <w:tmpl w:val="03C6FE66"/>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41">
    <w:nsid w:val="7C1878DD"/>
    <w:multiLevelType w:val="hybridMultilevel"/>
    <w:tmpl w:val="A0A8D956"/>
    <w:lvl w:ilvl="0" w:tplc="3CCE137C">
      <w:start w:val="1"/>
      <w:numFmt w:val="bullet"/>
      <w:lvlText w:val=""/>
      <w:lvlJc w:val="left"/>
      <w:pPr>
        <w:ind w:left="1451" w:hanging="360"/>
      </w:pPr>
      <w:rPr>
        <w:rFonts w:ascii="Wingdings" w:hAnsi="Wingdings" w:hint="default"/>
        <w:i w:val="0"/>
      </w:rPr>
    </w:lvl>
    <w:lvl w:ilvl="1" w:tplc="04260003" w:tentative="1">
      <w:start w:val="1"/>
      <w:numFmt w:val="bullet"/>
      <w:lvlText w:val="o"/>
      <w:lvlJc w:val="left"/>
      <w:pPr>
        <w:ind w:left="2171" w:hanging="360"/>
      </w:pPr>
      <w:rPr>
        <w:rFonts w:ascii="Courier New" w:hAnsi="Courier New" w:cs="Courier New" w:hint="default"/>
      </w:rPr>
    </w:lvl>
    <w:lvl w:ilvl="2" w:tplc="04260005" w:tentative="1">
      <w:start w:val="1"/>
      <w:numFmt w:val="bullet"/>
      <w:lvlText w:val=""/>
      <w:lvlJc w:val="left"/>
      <w:pPr>
        <w:ind w:left="2891" w:hanging="360"/>
      </w:pPr>
      <w:rPr>
        <w:rFonts w:ascii="Wingdings" w:hAnsi="Wingdings" w:hint="default"/>
      </w:rPr>
    </w:lvl>
    <w:lvl w:ilvl="3" w:tplc="04260001" w:tentative="1">
      <w:start w:val="1"/>
      <w:numFmt w:val="bullet"/>
      <w:lvlText w:val=""/>
      <w:lvlJc w:val="left"/>
      <w:pPr>
        <w:ind w:left="3611" w:hanging="360"/>
      </w:pPr>
      <w:rPr>
        <w:rFonts w:ascii="Symbol" w:hAnsi="Symbol" w:hint="default"/>
      </w:rPr>
    </w:lvl>
    <w:lvl w:ilvl="4" w:tplc="04260003" w:tentative="1">
      <w:start w:val="1"/>
      <w:numFmt w:val="bullet"/>
      <w:lvlText w:val="o"/>
      <w:lvlJc w:val="left"/>
      <w:pPr>
        <w:ind w:left="4331" w:hanging="360"/>
      </w:pPr>
      <w:rPr>
        <w:rFonts w:ascii="Courier New" w:hAnsi="Courier New" w:cs="Courier New" w:hint="default"/>
      </w:rPr>
    </w:lvl>
    <w:lvl w:ilvl="5" w:tplc="04260005" w:tentative="1">
      <w:start w:val="1"/>
      <w:numFmt w:val="bullet"/>
      <w:lvlText w:val=""/>
      <w:lvlJc w:val="left"/>
      <w:pPr>
        <w:ind w:left="5051" w:hanging="360"/>
      </w:pPr>
      <w:rPr>
        <w:rFonts w:ascii="Wingdings" w:hAnsi="Wingdings" w:hint="default"/>
      </w:rPr>
    </w:lvl>
    <w:lvl w:ilvl="6" w:tplc="04260001" w:tentative="1">
      <w:start w:val="1"/>
      <w:numFmt w:val="bullet"/>
      <w:lvlText w:val=""/>
      <w:lvlJc w:val="left"/>
      <w:pPr>
        <w:ind w:left="5771" w:hanging="360"/>
      </w:pPr>
      <w:rPr>
        <w:rFonts w:ascii="Symbol" w:hAnsi="Symbol" w:hint="default"/>
      </w:rPr>
    </w:lvl>
    <w:lvl w:ilvl="7" w:tplc="04260003" w:tentative="1">
      <w:start w:val="1"/>
      <w:numFmt w:val="bullet"/>
      <w:lvlText w:val="o"/>
      <w:lvlJc w:val="left"/>
      <w:pPr>
        <w:ind w:left="6491" w:hanging="360"/>
      </w:pPr>
      <w:rPr>
        <w:rFonts w:ascii="Courier New" w:hAnsi="Courier New" w:cs="Courier New" w:hint="default"/>
      </w:rPr>
    </w:lvl>
    <w:lvl w:ilvl="8" w:tplc="04260005" w:tentative="1">
      <w:start w:val="1"/>
      <w:numFmt w:val="bullet"/>
      <w:lvlText w:val=""/>
      <w:lvlJc w:val="left"/>
      <w:pPr>
        <w:ind w:left="7211" w:hanging="360"/>
      </w:pPr>
      <w:rPr>
        <w:rFonts w:ascii="Wingdings" w:hAnsi="Wingdings" w:hint="default"/>
      </w:rPr>
    </w:lvl>
  </w:abstractNum>
  <w:abstractNum w:abstractNumId="42">
    <w:nsid w:val="7CA2331B"/>
    <w:multiLevelType w:val="hybridMultilevel"/>
    <w:tmpl w:val="A2ECA98A"/>
    <w:lvl w:ilvl="0" w:tplc="04260005">
      <w:start w:val="1"/>
      <w:numFmt w:val="bullet"/>
      <w:lvlText w:val=""/>
      <w:lvlJc w:val="left"/>
      <w:pPr>
        <w:ind w:left="1287" w:hanging="360"/>
      </w:pPr>
      <w:rPr>
        <w:rFonts w:ascii="Wingdings" w:hAnsi="Wingdings" w:hint="default"/>
      </w:rPr>
    </w:lvl>
    <w:lvl w:ilvl="1" w:tplc="04260003">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3">
    <w:nsid w:val="7CF63CEB"/>
    <w:multiLevelType w:val="hybridMultilevel"/>
    <w:tmpl w:val="64F44428"/>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abstractNumId w:val="36"/>
  </w:num>
  <w:num w:numId="2">
    <w:abstractNumId w:val="1"/>
  </w:num>
  <w:num w:numId="3">
    <w:abstractNumId w:val="42"/>
  </w:num>
  <w:num w:numId="4">
    <w:abstractNumId w:val="14"/>
  </w:num>
  <w:num w:numId="5">
    <w:abstractNumId w:val="11"/>
  </w:num>
  <w:num w:numId="6">
    <w:abstractNumId w:val="13"/>
  </w:num>
  <w:num w:numId="7">
    <w:abstractNumId w:val="43"/>
  </w:num>
  <w:num w:numId="8">
    <w:abstractNumId w:val="6"/>
  </w:num>
  <w:num w:numId="9">
    <w:abstractNumId w:val="15"/>
  </w:num>
  <w:num w:numId="10">
    <w:abstractNumId w:val="10"/>
  </w:num>
  <w:num w:numId="11">
    <w:abstractNumId w:val="18"/>
  </w:num>
  <w:num w:numId="12">
    <w:abstractNumId w:val="31"/>
  </w:num>
  <w:num w:numId="13">
    <w:abstractNumId w:val="34"/>
  </w:num>
  <w:num w:numId="14">
    <w:abstractNumId w:val="30"/>
  </w:num>
  <w:num w:numId="15">
    <w:abstractNumId w:val="23"/>
  </w:num>
  <w:num w:numId="16">
    <w:abstractNumId w:val="26"/>
  </w:num>
  <w:num w:numId="17">
    <w:abstractNumId w:val="28"/>
  </w:num>
  <w:num w:numId="18">
    <w:abstractNumId w:val="8"/>
  </w:num>
  <w:num w:numId="19">
    <w:abstractNumId w:val="40"/>
  </w:num>
  <w:num w:numId="20">
    <w:abstractNumId w:val="37"/>
  </w:num>
  <w:num w:numId="21">
    <w:abstractNumId w:val="3"/>
  </w:num>
  <w:num w:numId="22">
    <w:abstractNumId w:val="32"/>
  </w:num>
  <w:num w:numId="23">
    <w:abstractNumId w:val="4"/>
  </w:num>
  <w:num w:numId="24">
    <w:abstractNumId w:val="38"/>
  </w:num>
  <w:num w:numId="25">
    <w:abstractNumId w:val="12"/>
  </w:num>
  <w:num w:numId="26">
    <w:abstractNumId w:val="33"/>
  </w:num>
  <w:num w:numId="27">
    <w:abstractNumId w:val="22"/>
  </w:num>
  <w:num w:numId="28">
    <w:abstractNumId w:val="41"/>
  </w:num>
  <w:num w:numId="29">
    <w:abstractNumId w:val="5"/>
  </w:num>
  <w:num w:numId="30">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num>
  <w:num w:numId="32">
    <w:abstractNumId w:val="9"/>
  </w:num>
  <w:num w:numId="33">
    <w:abstractNumId w:val="20"/>
  </w:num>
  <w:num w:numId="34">
    <w:abstractNumId w:val="24"/>
  </w:num>
  <w:num w:numId="35">
    <w:abstractNumId w:val="2"/>
  </w:num>
  <w:num w:numId="36">
    <w:abstractNumId w:val="35"/>
  </w:num>
  <w:num w:numId="37">
    <w:abstractNumId w:val="21"/>
  </w:num>
  <w:num w:numId="38">
    <w:abstractNumId w:val="29"/>
  </w:num>
  <w:num w:numId="39">
    <w:abstractNumId w:val="17"/>
  </w:num>
  <w:num w:numId="40">
    <w:abstractNumId w:val="27"/>
  </w:num>
  <w:num w:numId="41">
    <w:abstractNumId w:val="7"/>
  </w:num>
  <w:num w:numId="42">
    <w:abstractNumId w:val="16"/>
  </w:num>
  <w:num w:numId="43">
    <w:abstractNumId w:val="0"/>
  </w:num>
  <w:num w:numId="44">
    <w:abstractNumId w:val="40"/>
  </w:num>
  <w:num w:numId="45">
    <w:abstractNumId w:val="37"/>
  </w:num>
  <w:num w:numId="46">
    <w:abstractNumId w:val="3"/>
  </w:num>
  <w:num w:numId="47">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doNotTrackMoves/>
  <w:defaultTabStop w:val="720"/>
  <w:characterSpacingControl w:val="doNotCompress"/>
  <w:hdrShapeDefaults>
    <o:shapedefaults v:ext="edit" spidmax="6145" style="mso-position-horizontal-relative:margin;mso-position-vertical-relative:margin" fill="f" fillcolor="white" stroke="f">
      <v:fill color="white" on="f"/>
      <v:stroke on="f"/>
    </o:shapedefaults>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0F6956"/>
    <w:rsid w:val="00000D13"/>
    <w:rsid w:val="00002315"/>
    <w:rsid w:val="0000329C"/>
    <w:rsid w:val="000052FA"/>
    <w:rsid w:val="000061A5"/>
    <w:rsid w:val="00006A6D"/>
    <w:rsid w:val="00011568"/>
    <w:rsid w:val="00012DE8"/>
    <w:rsid w:val="0001749E"/>
    <w:rsid w:val="00021FE1"/>
    <w:rsid w:val="00023C3E"/>
    <w:rsid w:val="00024F65"/>
    <w:rsid w:val="0002544F"/>
    <w:rsid w:val="00027681"/>
    <w:rsid w:val="000357A3"/>
    <w:rsid w:val="00040F36"/>
    <w:rsid w:val="00042FC7"/>
    <w:rsid w:val="000437CE"/>
    <w:rsid w:val="00043D23"/>
    <w:rsid w:val="0004418B"/>
    <w:rsid w:val="000461AC"/>
    <w:rsid w:val="000467C2"/>
    <w:rsid w:val="00055140"/>
    <w:rsid w:val="000634FF"/>
    <w:rsid w:val="00063DE4"/>
    <w:rsid w:val="000673A8"/>
    <w:rsid w:val="0006756D"/>
    <w:rsid w:val="000676ED"/>
    <w:rsid w:val="00076DE6"/>
    <w:rsid w:val="00081B36"/>
    <w:rsid w:val="0008285F"/>
    <w:rsid w:val="00085372"/>
    <w:rsid w:val="000855EA"/>
    <w:rsid w:val="00085D9A"/>
    <w:rsid w:val="00087ECA"/>
    <w:rsid w:val="00092708"/>
    <w:rsid w:val="00096D57"/>
    <w:rsid w:val="00097545"/>
    <w:rsid w:val="000A0699"/>
    <w:rsid w:val="000A5529"/>
    <w:rsid w:val="000A6FF8"/>
    <w:rsid w:val="000A7E91"/>
    <w:rsid w:val="000B328C"/>
    <w:rsid w:val="000B7045"/>
    <w:rsid w:val="000C03FB"/>
    <w:rsid w:val="000C2A69"/>
    <w:rsid w:val="000C51ED"/>
    <w:rsid w:val="000D2D1F"/>
    <w:rsid w:val="000D6A66"/>
    <w:rsid w:val="000E07CF"/>
    <w:rsid w:val="000E13CE"/>
    <w:rsid w:val="000E31A2"/>
    <w:rsid w:val="000F04E2"/>
    <w:rsid w:val="000F1311"/>
    <w:rsid w:val="000F1429"/>
    <w:rsid w:val="000F240F"/>
    <w:rsid w:val="000F2C16"/>
    <w:rsid w:val="000F5417"/>
    <w:rsid w:val="000F5C3B"/>
    <w:rsid w:val="000F6956"/>
    <w:rsid w:val="00102F37"/>
    <w:rsid w:val="0011298C"/>
    <w:rsid w:val="00121CC8"/>
    <w:rsid w:val="00123163"/>
    <w:rsid w:val="001273EB"/>
    <w:rsid w:val="001314F1"/>
    <w:rsid w:val="0013257F"/>
    <w:rsid w:val="00133517"/>
    <w:rsid w:val="001412EF"/>
    <w:rsid w:val="0014252C"/>
    <w:rsid w:val="00146EA3"/>
    <w:rsid w:val="001507D4"/>
    <w:rsid w:val="0015337F"/>
    <w:rsid w:val="00154DB0"/>
    <w:rsid w:val="0016351E"/>
    <w:rsid w:val="00163B37"/>
    <w:rsid w:val="00166699"/>
    <w:rsid w:val="00173466"/>
    <w:rsid w:val="0017780F"/>
    <w:rsid w:val="00185D29"/>
    <w:rsid w:val="00186AF9"/>
    <w:rsid w:val="001878FE"/>
    <w:rsid w:val="00190C6F"/>
    <w:rsid w:val="00191889"/>
    <w:rsid w:val="0019363C"/>
    <w:rsid w:val="00193D91"/>
    <w:rsid w:val="00195423"/>
    <w:rsid w:val="001A11D2"/>
    <w:rsid w:val="001A18CC"/>
    <w:rsid w:val="001A2704"/>
    <w:rsid w:val="001A537A"/>
    <w:rsid w:val="001A77E7"/>
    <w:rsid w:val="001B1A50"/>
    <w:rsid w:val="001B41A6"/>
    <w:rsid w:val="001C3C00"/>
    <w:rsid w:val="001C4719"/>
    <w:rsid w:val="001C497F"/>
    <w:rsid w:val="001C7411"/>
    <w:rsid w:val="001D2E43"/>
    <w:rsid w:val="001D4739"/>
    <w:rsid w:val="001D56AF"/>
    <w:rsid w:val="001D5CC2"/>
    <w:rsid w:val="001D7D04"/>
    <w:rsid w:val="001E1359"/>
    <w:rsid w:val="001E1F67"/>
    <w:rsid w:val="001E4A65"/>
    <w:rsid w:val="001E5EF4"/>
    <w:rsid w:val="001E62C1"/>
    <w:rsid w:val="001E6AFE"/>
    <w:rsid w:val="001E7F5F"/>
    <w:rsid w:val="001F0444"/>
    <w:rsid w:val="001F04CA"/>
    <w:rsid w:val="001F1CC8"/>
    <w:rsid w:val="001F40C1"/>
    <w:rsid w:val="00203D1A"/>
    <w:rsid w:val="002048B4"/>
    <w:rsid w:val="0020691E"/>
    <w:rsid w:val="002202E5"/>
    <w:rsid w:val="00225EF9"/>
    <w:rsid w:val="00227C3B"/>
    <w:rsid w:val="00231542"/>
    <w:rsid w:val="00233A74"/>
    <w:rsid w:val="002340E1"/>
    <w:rsid w:val="00236099"/>
    <w:rsid w:val="002422CE"/>
    <w:rsid w:val="00242409"/>
    <w:rsid w:val="00247851"/>
    <w:rsid w:val="002500C6"/>
    <w:rsid w:val="00251CD7"/>
    <w:rsid w:val="00252717"/>
    <w:rsid w:val="00252A61"/>
    <w:rsid w:val="00252D30"/>
    <w:rsid w:val="0025316E"/>
    <w:rsid w:val="00255BA9"/>
    <w:rsid w:val="002651B4"/>
    <w:rsid w:val="002738FA"/>
    <w:rsid w:val="002829DA"/>
    <w:rsid w:val="00283B8B"/>
    <w:rsid w:val="0029434D"/>
    <w:rsid w:val="0029439E"/>
    <w:rsid w:val="00294420"/>
    <w:rsid w:val="00296E94"/>
    <w:rsid w:val="00296F8E"/>
    <w:rsid w:val="002A1F83"/>
    <w:rsid w:val="002A3F2F"/>
    <w:rsid w:val="002A406D"/>
    <w:rsid w:val="002A4DE0"/>
    <w:rsid w:val="002A7C9A"/>
    <w:rsid w:val="002B0FF8"/>
    <w:rsid w:val="002B225F"/>
    <w:rsid w:val="002B244F"/>
    <w:rsid w:val="002B43EF"/>
    <w:rsid w:val="002C1C16"/>
    <w:rsid w:val="002C2179"/>
    <w:rsid w:val="002C25E4"/>
    <w:rsid w:val="002D1987"/>
    <w:rsid w:val="002D3003"/>
    <w:rsid w:val="002D356E"/>
    <w:rsid w:val="002D62B9"/>
    <w:rsid w:val="002D7837"/>
    <w:rsid w:val="002E102C"/>
    <w:rsid w:val="002E27DC"/>
    <w:rsid w:val="002E357B"/>
    <w:rsid w:val="002E370C"/>
    <w:rsid w:val="002F2067"/>
    <w:rsid w:val="002F56D0"/>
    <w:rsid w:val="0030350B"/>
    <w:rsid w:val="00303C4C"/>
    <w:rsid w:val="00304735"/>
    <w:rsid w:val="00311BF6"/>
    <w:rsid w:val="00314BED"/>
    <w:rsid w:val="003150E1"/>
    <w:rsid w:val="003156ED"/>
    <w:rsid w:val="00316611"/>
    <w:rsid w:val="00320B19"/>
    <w:rsid w:val="00325A52"/>
    <w:rsid w:val="00335209"/>
    <w:rsid w:val="00335F62"/>
    <w:rsid w:val="0034003C"/>
    <w:rsid w:val="00340C17"/>
    <w:rsid w:val="00341ED5"/>
    <w:rsid w:val="00342941"/>
    <w:rsid w:val="00345E0D"/>
    <w:rsid w:val="00347F77"/>
    <w:rsid w:val="00350C95"/>
    <w:rsid w:val="0035118C"/>
    <w:rsid w:val="00353A2C"/>
    <w:rsid w:val="0035548E"/>
    <w:rsid w:val="00357357"/>
    <w:rsid w:val="0035776A"/>
    <w:rsid w:val="00360FF6"/>
    <w:rsid w:val="00366472"/>
    <w:rsid w:val="00372FDF"/>
    <w:rsid w:val="00377FB2"/>
    <w:rsid w:val="003805AC"/>
    <w:rsid w:val="00391B7D"/>
    <w:rsid w:val="003941BE"/>
    <w:rsid w:val="003942F8"/>
    <w:rsid w:val="00395DFF"/>
    <w:rsid w:val="0039733F"/>
    <w:rsid w:val="00397EDD"/>
    <w:rsid w:val="003A1F5B"/>
    <w:rsid w:val="003A374E"/>
    <w:rsid w:val="003A443A"/>
    <w:rsid w:val="003A4878"/>
    <w:rsid w:val="003A5CE4"/>
    <w:rsid w:val="003A5DC4"/>
    <w:rsid w:val="003B097A"/>
    <w:rsid w:val="003B0A25"/>
    <w:rsid w:val="003C07E4"/>
    <w:rsid w:val="003C1B28"/>
    <w:rsid w:val="003C425C"/>
    <w:rsid w:val="003C560C"/>
    <w:rsid w:val="003C6FA6"/>
    <w:rsid w:val="003D37AE"/>
    <w:rsid w:val="003D4AF8"/>
    <w:rsid w:val="003D5A3E"/>
    <w:rsid w:val="003E011A"/>
    <w:rsid w:val="003E2290"/>
    <w:rsid w:val="003E43B7"/>
    <w:rsid w:val="003E6294"/>
    <w:rsid w:val="003F0BAB"/>
    <w:rsid w:val="003F2358"/>
    <w:rsid w:val="003F2FAA"/>
    <w:rsid w:val="003F58BD"/>
    <w:rsid w:val="003F7938"/>
    <w:rsid w:val="00400D5C"/>
    <w:rsid w:val="004019EE"/>
    <w:rsid w:val="0040603C"/>
    <w:rsid w:val="00407459"/>
    <w:rsid w:val="004103B1"/>
    <w:rsid w:val="00411849"/>
    <w:rsid w:val="004132A0"/>
    <w:rsid w:val="0041373B"/>
    <w:rsid w:val="00414BFC"/>
    <w:rsid w:val="00414CC1"/>
    <w:rsid w:val="00415018"/>
    <w:rsid w:val="00417399"/>
    <w:rsid w:val="004203C2"/>
    <w:rsid w:val="00421E54"/>
    <w:rsid w:val="004244A7"/>
    <w:rsid w:val="004355B1"/>
    <w:rsid w:val="00435998"/>
    <w:rsid w:val="00435DD0"/>
    <w:rsid w:val="004408D8"/>
    <w:rsid w:val="00440E4D"/>
    <w:rsid w:val="00441EBB"/>
    <w:rsid w:val="00442BBD"/>
    <w:rsid w:val="004438CE"/>
    <w:rsid w:val="00443A2C"/>
    <w:rsid w:val="00444865"/>
    <w:rsid w:val="004452FB"/>
    <w:rsid w:val="00445D0B"/>
    <w:rsid w:val="00446ACC"/>
    <w:rsid w:val="0045002A"/>
    <w:rsid w:val="0045177E"/>
    <w:rsid w:val="004522C7"/>
    <w:rsid w:val="00456278"/>
    <w:rsid w:val="0046152E"/>
    <w:rsid w:val="00461850"/>
    <w:rsid w:val="004706D1"/>
    <w:rsid w:val="004728AA"/>
    <w:rsid w:val="00480A1F"/>
    <w:rsid w:val="00481E4F"/>
    <w:rsid w:val="00482E85"/>
    <w:rsid w:val="004839C7"/>
    <w:rsid w:val="00494A60"/>
    <w:rsid w:val="00496285"/>
    <w:rsid w:val="00496FE3"/>
    <w:rsid w:val="004975DD"/>
    <w:rsid w:val="00497A78"/>
    <w:rsid w:val="004A1034"/>
    <w:rsid w:val="004A1312"/>
    <w:rsid w:val="004A2B1E"/>
    <w:rsid w:val="004A2F21"/>
    <w:rsid w:val="004A36FB"/>
    <w:rsid w:val="004A3F07"/>
    <w:rsid w:val="004A4DD3"/>
    <w:rsid w:val="004A6F50"/>
    <w:rsid w:val="004B53F8"/>
    <w:rsid w:val="004B7734"/>
    <w:rsid w:val="004B791B"/>
    <w:rsid w:val="004B7928"/>
    <w:rsid w:val="004B7D62"/>
    <w:rsid w:val="004B7F3A"/>
    <w:rsid w:val="004C662B"/>
    <w:rsid w:val="004D0E25"/>
    <w:rsid w:val="004D284F"/>
    <w:rsid w:val="004D48FF"/>
    <w:rsid w:val="004D6B57"/>
    <w:rsid w:val="004E09E3"/>
    <w:rsid w:val="004E49F3"/>
    <w:rsid w:val="004E4FFF"/>
    <w:rsid w:val="004E730D"/>
    <w:rsid w:val="004E7826"/>
    <w:rsid w:val="004F21FA"/>
    <w:rsid w:val="005005E6"/>
    <w:rsid w:val="00503A43"/>
    <w:rsid w:val="0050416B"/>
    <w:rsid w:val="0050658A"/>
    <w:rsid w:val="00511E8A"/>
    <w:rsid w:val="00512E99"/>
    <w:rsid w:val="00514688"/>
    <w:rsid w:val="0051562C"/>
    <w:rsid w:val="0051638B"/>
    <w:rsid w:val="00516F58"/>
    <w:rsid w:val="00520A56"/>
    <w:rsid w:val="00521AD6"/>
    <w:rsid w:val="00522E49"/>
    <w:rsid w:val="00525064"/>
    <w:rsid w:val="005345D4"/>
    <w:rsid w:val="00536393"/>
    <w:rsid w:val="0053737E"/>
    <w:rsid w:val="00540E4B"/>
    <w:rsid w:val="00545F0F"/>
    <w:rsid w:val="00555D34"/>
    <w:rsid w:val="00561037"/>
    <w:rsid w:val="00563C1B"/>
    <w:rsid w:val="0056412B"/>
    <w:rsid w:val="005656B0"/>
    <w:rsid w:val="00566DD6"/>
    <w:rsid w:val="00567155"/>
    <w:rsid w:val="00567B2F"/>
    <w:rsid w:val="005777AD"/>
    <w:rsid w:val="00586AC4"/>
    <w:rsid w:val="00586EFF"/>
    <w:rsid w:val="005A06FA"/>
    <w:rsid w:val="005A3B98"/>
    <w:rsid w:val="005A3DFC"/>
    <w:rsid w:val="005A4670"/>
    <w:rsid w:val="005A5201"/>
    <w:rsid w:val="005A585C"/>
    <w:rsid w:val="005B0839"/>
    <w:rsid w:val="005B41A0"/>
    <w:rsid w:val="005B721C"/>
    <w:rsid w:val="005C6BF4"/>
    <w:rsid w:val="005D3B4C"/>
    <w:rsid w:val="005D4FB8"/>
    <w:rsid w:val="005E1DC7"/>
    <w:rsid w:val="005E45EB"/>
    <w:rsid w:val="005E4DEE"/>
    <w:rsid w:val="005F3EF1"/>
    <w:rsid w:val="005F5245"/>
    <w:rsid w:val="005F68C8"/>
    <w:rsid w:val="005F6A39"/>
    <w:rsid w:val="005F72BD"/>
    <w:rsid w:val="005F7723"/>
    <w:rsid w:val="00605C0C"/>
    <w:rsid w:val="00607A2A"/>
    <w:rsid w:val="00607C1B"/>
    <w:rsid w:val="00612AB9"/>
    <w:rsid w:val="0061326C"/>
    <w:rsid w:val="00613A06"/>
    <w:rsid w:val="00625189"/>
    <w:rsid w:val="00626EF9"/>
    <w:rsid w:val="00627EFB"/>
    <w:rsid w:val="006305BC"/>
    <w:rsid w:val="00631057"/>
    <w:rsid w:val="00632759"/>
    <w:rsid w:val="0063302C"/>
    <w:rsid w:val="00633BDF"/>
    <w:rsid w:val="00633F49"/>
    <w:rsid w:val="00634888"/>
    <w:rsid w:val="00650549"/>
    <w:rsid w:val="00653C0D"/>
    <w:rsid w:val="006543CE"/>
    <w:rsid w:val="006546CA"/>
    <w:rsid w:val="00656706"/>
    <w:rsid w:val="00656D23"/>
    <w:rsid w:val="00656DA8"/>
    <w:rsid w:val="00657524"/>
    <w:rsid w:val="00660F2A"/>
    <w:rsid w:val="00661CCE"/>
    <w:rsid w:val="00663425"/>
    <w:rsid w:val="0066394A"/>
    <w:rsid w:val="00663E9A"/>
    <w:rsid w:val="006647B8"/>
    <w:rsid w:val="0066765F"/>
    <w:rsid w:val="006677FA"/>
    <w:rsid w:val="0067268A"/>
    <w:rsid w:val="006726FB"/>
    <w:rsid w:val="006742EB"/>
    <w:rsid w:val="00676C5C"/>
    <w:rsid w:val="00682334"/>
    <w:rsid w:val="006828B2"/>
    <w:rsid w:val="00684A97"/>
    <w:rsid w:val="00685EE6"/>
    <w:rsid w:val="00686162"/>
    <w:rsid w:val="00687CE6"/>
    <w:rsid w:val="006927E5"/>
    <w:rsid w:val="00697B40"/>
    <w:rsid w:val="006A0CF6"/>
    <w:rsid w:val="006A12C3"/>
    <w:rsid w:val="006A332D"/>
    <w:rsid w:val="006A3BD9"/>
    <w:rsid w:val="006A4289"/>
    <w:rsid w:val="006A59F6"/>
    <w:rsid w:val="006A7CAA"/>
    <w:rsid w:val="006B50C9"/>
    <w:rsid w:val="006B61F4"/>
    <w:rsid w:val="006C23A2"/>
    <w:rsid w:val="006C5D67"/>
    <w:rsid w:val="006C6703"/>
    <w:rsid w:val="006D1EFA"/>
    <w:rsid w:val="006D6C1C"/>
    <w:rsid w:val="006D76AC"/>
    <w:rsid w:val="006E2A97"/>
    <w:rsid w:val="006E67C1"/>
    <w:rsid w:val="006E7094"/>
    <w:rsid w:val="006F0333"/>
    <w:rsid w:val="006F4BA6"/>
    <w:rsid w:val="006F69AF"/>
    <w:rsid w:val="006F72DA"/>
    <w:rsid w:val="00700BC8"/>
    <w:rsid w:val="00701AE3"/>
    <w:rsid w:val="00702D82"/>
    <w:rsid w:val="00703FA7"/>
    <w:rsid w:val="0071166F"/>
    <w:rsid w:val="00713D75"/>
    <w:rsid w:val="00714457"/>
    <w:rsid w:val="00714DFE"/>
    <w:rsid w:val="00716656"/>
    <w:rsid w:val="0072157F"/>
    <w:rsid w:val="0072579B"/>
    <w:rsid w:val="007262D3"/>
    <w:rsid w:val="00726ADD"/>
    <w:rsid w:val="00731718"/>
    <w:rsid w:val="00734486"/>
    <w:rsid w:val="00736FAB"/>
    <w:rsid w:val="0074103C"/>
    <w:rsid w:val="00742A72"/>
    <w:rsid w:val="007467C3"/>
    <w:rsid w:val="00746854"/>
    <w:rsid w:val="00746BF3"/>
    <w:rsid w:val="0075015A"/>
    <w:rsid w:val="007538E3"/>
    <w:rsid w:val="00755718"/>
    <w:rsid w:val="00756EDE"/>
    <w:rsid w:val="00762950"/>
    <w:rsid w:val="007633E9"/>
    <w:rsid w:val="0076500C"/>
    <w:rsid w:val="00772159"/>
    <w:rsid w:val="00773A85"/>
    <w:rsid w:val="00777544"/>
    <w:rsid w:val="007828F0"/>
    <w:rsid w:val="007836C3"/>
    <w:rsid w:val="0078456C"/>
    <w:rsid w:val="00785274"/>
    <w:rsid w:val="00787EB1"/>
    <w:rsid w:val="007900B4"/>
    <w:rsid w:val="0079339C"/>
    <w:rsid w:val="007935DE"/>
    <w:rsid w:val="00794462"/>
    <w:rsid w:val="00795AAE"/>
    <w:rsid w:val="007A15BC"/>
    <w:rsid w:val="007A23F7"/>
    <w:rsid w:val="007A5949"/>
    <w:rsid w:val="007A7565"/>
    <w:rsid w:val="007B18BE"/>
    <w:rsid w:val="007B3D92"/>
    <w:rsid w:val="007B5CA5"/>
    <w:rsid w:val="007B6715"/>
    <w:rsid w:val="007C02DC"/>
    <w:rsid w:val="007C097B"/>
    <w:rsid w:val="007C306E"/>
    <w:rsid w:val="007D0CDA"/>
    <w:rsid w:val="007D3A43"/>
    <w:rsid w:val="007D4AB7"/>
    <w:rsid w:val="007E0A14"/>
    <w:rsid w:val="007E2319"/>
    <w:rsid w:val="007E6F21"/>
    <w:rsid w:val="007E6FAF"/>
    <w:rsid w:val="007E7161"/>
    <w:rsid w:val="007F02D1"/>
    <w:rsid w:val="007F0410"/>
    <w:rsid w:val="007F1224"/>
    <w:rsid w:val="007F14CE"/>
    <w:rsid w:val="007F2930"/>
    <w:rsid w:val="007F4E13"/>
    <w:rsid w:val="007F6C2D"/>
    <w:rsid w:val="00802962"/>
    <w:rsid w:val="00802B26"/>
    <w:rsid w:val="00804E6F"/>
    <w:rsid w:val="0081255B"/>
    <w:rsid w:val="0081392F"/>
    <w:rsid w:val="00815200"/>
    <w:rsid w:val="008154B9"/>
    <w:rsid w:val="008206BE"/>
    <w:rsid w:val="00820DAC"/>
    <w:rsid w:val="00821D69"/>
    <w:rsid w:val="00825D21"/>
    <w:rsid w:val="00826206"/>
    <w:rsid w:val="00826553"/>
    <w:rsid w:val="00835840"/>
    <w:rsid w:val="00840984"/>
    <w:rsid w:val="00850F59"/>
    <w:rsid w:val="008518DC"/>
    <w:rsid w:val="008561F3"/>
    <w:rsid w:val="00860760"/>
    <w:rsid w:val="0086085C"/>
    <w:rsid w:val="00861E1F"/>
    <w:rsid w:val="00864520"/>
    <w:rsid w:val="00865FD2"/>
    <w:rsid w:val="008676B0"/>
    <w:rsid w:val="00867953"/>
    <w:rsid w:val="00867C8A"/>
    <w:rsid w:val="00870D85"/>
    <w:rsid w:val="00871351"/>
    <w:rsid w:val="00873033"/>
    <w:rsid w:val="0087768C"/>
    <w:rsid w:val="0088146B"/>
    <w:rsid w:val="00881707"/>
    <w:rsid w:val="00881BC4"/>
    <w:rsid w:val="00883348"/>
    <w:rsid w:val="00885DDF"/>
    <w:rsid w:val="00890CDD"/>
    <w:rsid w:val="00891E71"/>
    <w:rsid w:val="00895C1A"/>
    <w:rsid w:val="008A2BD6"/>
    <w:rsid w:val="008A6828"/>
    <w:rsid w:val="008A6F3E"/>
    <w:rsid w:val="008A7114"/>
    <w:rsid w:val="008B0459"/>
    <w:rsid w:val="008B0B29"/>
    <w:rsid w:val="008B2071"/>
    <w:rsid w:val="008B3132"/>
    <w:rsid w:val="008B3313"/>
    <w:rsid w:val="008B4A73"/>
    <w:rsid w:val="008B7A6C"/>
    <w:rsid w:val="008C1488"/>
    <w:rsid w:val="008C2AD4"/>
    <w:rsid w:val="008C4DBF"/>
    <w:rsid w:val="008C6EF2"/>
    <w:rsid w:val="008C7917"/>
    <w:rsid w:val="008D0C3A"/>
    <w:rsid w:val="008D3540"/>
    <w:rsid w:val="008D4374"/>
    <w:rsid w:val="008D4E83"/>
    <w:rsid w:val="008E1F30"/>
    <w:rsid w:val="008E2E83"/>
    <w:rsid w:val="008E348B"/>
    <w:rsid w:val="008F088E"/>
    <w:rsid w:val="008F59B6"/>
    <w:rsid w:val="008F6419"/>
    <w:rsid w:val="008F7956"/>
    <w:rsid w:val="00900F58"/>
    <w:rsid w:val="009041A6"/>
    <w:rsid w:val="009048B4"/>
    <w:rsid w:val="00905DA5"/>
    <w:rsid w:val="00914541"/>
    <w:rsid w:val="009145FF"/>
    <w:rsid w:val="009147B3"/>
    <w:rsid w:val="00915D5E"/>
    <w:rsid w:val="00921908"/>
    <w:rsid w:val="009270AB"/>
    <w:rsid w:val="00931AFE"/>
    <w:rsid w:val="00931CA3"/>
    <w:rsid w:val="00932115"/>
    <w:rsid w:val="00941DD2"/>
    <w:rsid w:val="00946391"/>
    <w:rsid w:val="00950861"/>
    <w:rsid w:val="009519D0"/>
    <w:rsid w:val="00954E40"/>
    <w:rsid w:val="00960C3C"/>
    <w:rsid w:val="0096190F"/>
    <w:rsid w:val="009621E6"/>
    <w:rsid w:val="009630F5"/>
    <w:rsid w:val="00963935"/>
    <w:rsid w:val="0096456A"/>
    <w:rsid w:val="00965D20"/>
    <w:rsid w:val="009717FA"/>
    <w:rsid w:val="00975353"/>
    <w:rsid w:val="00976140"/>
    <w:rsid w:val="00983DB9"/>
    <w:rsid w:val="00984AE5"/>
    <w:rsid w:val="009856BE"/>
    <w:rsid w:val="00990217"/>
    <w:rsid w:val="00992F7D"/>
    <w:rsid w:val="009A0D21"/>
    <w:rsid w:val="009A5500"/>
    <w:rsid w:val="009B258E"/>
    <w:rsid w:val="009B6686"/>
    <w:rsid w:val="009B6CDF"/>
    <w:rsid w:val="009B79BA"/>
    <w:rsid w:val="009C27C0"/>
    <w:rsid w:val="009C610B"/>
    <w:rsid w:val="009D0EDE"/>
    <w:rsid w:val="009E23F8"/>
    <w:rsid w:val="009E2671"/>
    <w:rsid w:val="009E2A7E"/>
    <w:rsid w:val="009E4416"/>
    <w:rsid w:val="009E5DBD"/>
    <w:rsid w:val="009F07ED"/>
    <w:rsid w:val="009F370B"/>
    <w:rsid w:val="00A013CB"/>
    <w:rsid w:val="00A0175C"/>
    <w:rsid w:val="00A04CDD"/>
    <w:rsid w:val="00A05B4D"/>
    <w:rsid w:val="00A10A2A"/>
    <w:rsid w:val="00A14B1D"/>
    <w:rsid w:val="00A22CB2"/>
    <w:rsid w:val="00A24809"/>
    <w:rsid w:val="00A26586"/>
    <w:rsid w:val="00A30405"/>
    <w:rsid w:val="00A32D68"/>
    <w:rsid w:val="00A3303F"/>
    <w:rsid w:val="00A340F1"/>
    <w:rsid w:val="00A34AEB"/>
    <w:rsid w:val="00A41B12"/>
    <w:rsid w:val="00A427BF"/>
    <w:rsid w:val="00A45F60"/>
    <w:rsid w:val="00A466D6"/>
    <w:rsid w:val="00A476CF"/>
    <w:rsid w:val="00A508D2"/>
    <w:rsid w:val="00A51D1B"/>
    <w:rsid w:val="00A52180"/>
    <w:rsid w:val="00A52537"/>
    <w:rsid w:val="00A52624"/>
    <w:rsid w:val="00A56A02"/>
    <w:rsid w:val="00A60B6E"/>
    <w:rsid w:val="00A70F97"/>
    <w:rsid w:val="00A7556C"/>
    <w:rsid w:val="00A774AE"/>
    <w:rsid w:val="00A80EC0"/>
    <w:rsid w:val="00A82FAE"/>
    <w:rsid w:val="00A83FEC"/>
    <w:rsid w:val="00A9119C"/>
    <w:rsid w:val="00AA2082"/>
    <w:rsid w:val="00AA303F"/>
    <w:rsid w:val="00AA7885"/>
    <w:rsid w:val="00AA7C05"/>
    <w:rsid w:val="00AB0752"/>
    <w:rsid w:val="00AB08D1"/>
    <w:rsid w:val="00AB0ACA"/>
    <w:rsid w:val="00AB20D0"/>
    <w:rsid w:val="00AB3854"/>
    <w:rsid w:val="00AC104C"/>
    <w:rsid w:val="00AC1A6A"/>
    <w:rsid w:val="00AC5072"/>
    <w:rsid w:val="00AC5FBB"/>
    <w:rsid w:val="00AD336E"/>
    <w:rsid w:val="00AD4445"/>
    <w:rsid w:val="00AE4202"/>
    <w:rsid w:val="00AF1E4C"/>
    <w:rsid w:val="00AF25DC"/>
    <w:rsid w:val="00AF3795"/>
    <w:rsid w:val="00AF399D"/>
    <w:rsid w:val="00B00335"/>
    <w:rsid w:val="00B03EEA"/>
    <w:rsid w:val="00B0436A"/>
    <w:rsid w:val="00B142BA"/>
    <w:rsid w:val="00B1534C"/>
    <w:rsid w:val="00B1559E"/>
    <w:rsid w:val="00B1645A"/>
    <w:rsid w:val="00B20C50"/>
    <w:rsid w:val="00B24674"/>
    <w:rsid w:val="00B2709E"/>
    <w:rsid w:val="00B27B60"/>
    <w:rsid w:val="00B27CB2"/>
    <w:rsid w:val="00B302B9"/>
    <w:rsid w:val="00B31AF3"/>
    <w:rsid w:val="00B32E99"/>
    <w:rsid w:val="00B35038"/>
    <w:rsid w:val="00B3518F"/>
    <w:rsid w:val="00B41B03"/>
    <w:rsid w:val="00B4266D"/>
    <w:rsid w:val="00B440F5"/>
    <w:rsid w:val="00B45263"/>
    <w:rsid w:val="00B47FC3"/>
    <w:rsid w:val="00B505CA"/>
    <w:rsid w:val="00B512DE"/>
    <w:rsid w:val="00B519F4"/>
    <w:rsid w:val="00B54B48"/>
    <w:rsid w:val="00B54EAE"/>
    <w:rsid w:val="00B63ACD"/>
    <w:rsid w:val="00B64633"/>
    <w:rsid w:val="00B7550A"/>
    <w:rsid w:val="00B75885"/>
    <w:rsid w:val="00B77238"/>
    <w:rsid w:val="00B77823"/>
    <w:rsid w:val="00B83E5F"/>
    <w:rsid w:val="00B848E0"/>
    <w:rsid w:val="00B86F46"/>
    <w:rsid w:val="00B87EFC"/>
    <w:rsid w:val="00B928D5"/>
    <w:rsid w:val="00B94E39"/>
    <w:rsid w:val="00B974CA"/>
    <w:rsid w:val="00BA0F46"/>
    <w:rsid w:val="00BA2841"/>
    <w:rsid w:val="00BA3176"/>
    <w:rsid w:val="00BA413A"/>
    <w:rsid w:val="00BA4477"/>
    <w:rsid w:val="00BA5107"/>
    <w:rsid w:val="00BA5E30"/>
    <w:rsid w:val="00BA61F9"/>
    <w:rsid w:val="00BB2B9B"/>
    <w:rsid w:val="00BB58C9"/>
    <w:rsid w:val="00BC012C"/>
    <w:rsid w:val="00BC1661"/>
    <w:rsid w:val="00BC1B00"/>
    <w:rsid w:val="00BC75CD"/>
    <w:rsid w:val="00BD0C67"/>
    <w:rsid w:val="00BD2783"/>
    <w:rsid w:val="00BD33D0"/>
    <w:rsid w:val="00BD4AFA"/>
    <w:rsid w:val="00BD6F38"/>
    <w:rsid w:val="00BD71A1"/>
    <w:rsid w:val="00BD74BB"/>
    <w:rsid w:val="00BE08C1"/>
    <w:rsid w:val="00BE0A51"/>
    <w:rsid w:val="00BE5D7D"/>
    <w:rsid w:val="00BE6035"/>
    <w:rsid w:val="00BE6ABA"/>
    <w:rsid w:val="00BE6EC3"/>
    <w:rsid w:val="00BF0BB7"/>
    <w:rsid w:val="00BF0F4F"/>
    <w:rsid w:val="00BF442C"/>
    <w:rsid w:val="00C01A6C"/>
    <w:rsid w:val="00C02635"/>
    <w:rsid w:val="00C06862"/>
    <w:rsid w:val="00C11B49"/>
    <w:rsid w:val="00C12290"/>
    <w:rsid w:val="00C1232D"/>
    <w:rsid w:val="00C14B27"/>
    <w:rsid w:val="00C1532A"/>
    <w:rsid w:val="00C15C74"/>
    <w:rsid w:val="00C16524"/>
    <w:rsid w:val="00C1672F"/>
    <w:rsid w:val="00C2021D"/>
    <w:rsid w:val="00C20249"/>
    <w:rsid w:val="00C20DCD"/>
    <w:rsid w:val="00C2226E"/>
    <w:rsid w:val="00C22685"/>
    <w:rsid w:val="00C26CC6"/>
    <w:rsid w:val="00C30BF3"/>
    <w:rsid w:val="00C33BAD"/>
    <w:rsid w:val="00C34E2D"/>
    <w:rsid w:val="00C40413"/>
    <w:rsid w:val="00C41372"/>
    <w:rsid w:val="00C41C14"/>
    <w:rsid w:val="00C45907"/>
    <w:rsid w:val="00C53CDD"/>
    <w:rsid w:val="00C5432B"/>
    <w:rsid w:val="00C5794C"/>
    <w:rsid w:val="00C62401"/>
    <w:rsid w:val="00C63635"/>
    <w:rsid w:val="00C64C0A"/>
    <w:rsid w:val="00C64E72"/>
    <w:rsid w:val="00C70940"/>
    <w:rsid w:val="00C72330"/>
    <w:rsid w:val="00C740F1"/>
    <w:rsid w:val="00C775E3"/>
    <w:rsid w:val="00C81678"/>
    <w:rsid w:val="00C84F40"/>
    <w:rsid w:val="00C91547"/>
    <w:rsid w:val="00C91AD2"/>
    <w:rsid w:val="00C939AE"/>
    <w:rsid w:val="00C96A47"/>
    <w:rsid w:val="00CA1480"/>
    <w:rsid w:val="00CA17C6"/>
    <w:rsid w:val="00CA2552"/>
    <w:rsid w:val="00CA7FD8"/>
    <w:rsid w:val="00CB040F"/>
    <w:rsid w:val="00CB49CA"/>
    <w:rsid w:val="00CB5077"/>
    <w:rsid w:val="00CB5F52"/>
    <w:rsid w:val="00CC1A7F"/>
    <w:rsid w:val="00CC3F9B"/>
    <w:rsid w:val="00CC5508"/>
    <w:rsid w:val="00CC74C7"/>
    <w:rsid w:val="00CC74F0"/>
    <w:rsid w:val="00CC76D9"/>
    <w:rsid w:val="00CD301B"/>
    <w:rsid w:val="00CD4EA0"/>
    <w:rsid w:val="00CD6E41"/>
    <w:rsid w:val="00CE19FF"/>
    <w:rsid w:val="00CE3BA2"/>
    <w:rsid w:val="00CE4990"/>
    <w:rsid w:val="00CF0FBB"/>
    <w:rsid w:val="00CF147C"/>
    <w:rsid w:val="00CF7798"/>
    <w:rsid w:val="00D01375"/>
    <w:rsid w:val="00D03B2F"/>
    <w:rsid w:val="00D05128"/>
    <w:rsid w:val="00D052F6"/>
    <w:rsid w:val="00D056AD"/>
    <w:rsid w:val="00D0670D"/>
    <w:rsid w:val="00D117D0"/>
    <w:rsid w:val="00D2120C"/>
    <w:rsid w:val="00D212AE"/>
    <w:rsid w:val="00D2216C"/>
    <w:rsid w:val="00D22825"/>
    <w:rsid w:val="00D252A8"/>
    <w:rsid w:val="00D27F7C"/>
    <w:rsid w:val="00D32CD3"/>
    <w:rsid w:val="00D3627A"/>
    <w:rsid w:val="00D4023B"/>
    <w:rsid w:val="00D46112"/>
    <w:rsid w:val="00D553F9"/>
    <w:rsid w:val="00D55669"/>
    <w:rsid w:val="00D55888"/>
    <w:rsid w:val="00D6049F"/>
    <w:rsid w:val="00D60D56"/>
    <w:rsid w:val="00D62F0A"/>
    <w:rsid w:val="00D65320"/>
    <w:rsid w:val="00D65345"/>
    <w:rsid w:val="00D701F0"/>
    <w:rsid w:val="00D72A55"/>
    <w:rsid w:val="00D73066"/>
    <w:rsid w:val="00D8211E"/>
    <w:rsid w:val="00D82C46"/>
    <w:rsid w:val="00D838DD"/>
    <w:rsid w:val="00D83AC8"/>
    <w:rsid w:val="00D8478E"/>
    <w:rsid w:val="00D84D32"/>
    <w:rsid w:val="00D866EF"/>
    <w:rsid w:val="00D9028A"/>
    <w:rsid w:val="00D92194"/>
    <w:rsid w:val="00D92F20"/>
    <w:rsid w:val="00D9397F"/>
    <w:rsid w:val="00D94DE6"/>
    <w:rsid w:val="00DA1C08"/>
    <w:rsid w:val="00DB1922"/>
    <w:rsid w:val="00DB2F87"/>
    <w:rsid w:val="00DB385C"/>
    <w:rsid w:val="00DB75D2"/>
    <w:rsid w:val="00DC4544"/>
    <w:rsid w:val="00DC5F28"/>
    <w:rsid w:val="00DD2120"/>
    <w:rsid w:val="00DD375D"/>
    <w:rsid w:val="00DD5619"/>
    <w:rsid w:val="00DE0BC3"/>
    <w:rsid w:val="00DE6832"/>
    <w:rsid w:val="00DE6E4F"/>
    <w:rsid w:val="00DF346D"/>
    <w:rsid w:val="00DF3C6F"/>
    <w:rsid w:val="00DF5B08"/>
    <w:rsid w:val="00DF5F16"/>
    <w:rsid w:val="00DF6139"/>
    <w:rsid w:val="00E00849"/>
    <w:rsid w:val="00E00D23"/>
    <w:rsid w:val="00E0315E"/>
    <w:rsid w:val="00E03406"/>
    <w:rsid w:val="00E175FA"/>
    <w:rsid w:val="00E22B98"/>
    <w:rsid w:val="00E235C2"/>
    <w:rsid w:val="00E25E80"/>
    <w:rsid w:val="00E3034D"/>
    <w:rsid w:val="00E30DE7"/>
    <w:rsid w:val="00E31268"/>
    <w:rsid w:val="00E314B4"/>
    <w:rsid w:val="00E331E7"/>
    <w:rsid w:val="00E35EA6"/>
    <w:rsid w:val="00E36D67"/>
    <w:rsid w:val="00E36F1C"/>
    <w:rsid w:val="00E409D4"/>
    <w:rsid w:val="00E42CA4"/>
    <w:rsid w:val="00E442AF"/>
    <w:rsid w:val="00E44E49"/>
    <w:rsid w:val="00E45D3C"/>
    <w:rsid w:val="00E506F0"/>
    <w:rsid w:val="00E5623B"/>
    <w:rsid w:val="00E56F6C"/>
    <w:rsid w:val="00E61A2C"/>
    <w:rsid w:val="00E61A4F"/>
    <w:rsid w:val="00E62395"/>
    <w:rsid w:val="00E64825"/>
    <w:rsid w:val="00E67DA7"/>
    <w:rsid w:val="00E75EE6"/>
    <w:rsid w:val="00E8266C"/>
    <w:rsid w:val="00E85469"/>
    <w:rsid w:val="00E85A8F"/>
    <w:rsid w:val="00E90A49"/>
    <w:rsid w:val="00E939C4"/>
    <w:rsid w:val="00E96987"/>
    <w:rsid w:val="00EA6C2F"/>
    <w:rsid w:val="00EB15F3"/>
    <w:rsid w:val="00EB2C59"/>
    <w:rsid w:val="00EB3E19"/>
    <w:rsid w:val="00EB5008"/>
    <w:rsid w:val="00EB7304"/>
    <w:rsid w:val="00EB745F"/>
    <w:rsid w:val="00EC078F"/>
    <w:rsid w:val="00EC2DF4"/>
    <w:rsid w:val="00EC4FDB"/>
    <w:rsid w:val="00EC5D24"/>
    <w:rsid w:val="00ED22F4"/>
    <w:rsid w:val="00ED4264"/>
    <w:rsid w:val="00ED4A83"/>
    <w:rsid w:val="00EE10B7"/>
    <w:rsid w:val="00EE140F"/>
    <w:rsid w:val="00EE2C8C"/>
    <w:rsid w:val="00EE2D7B"/>
    <w:rsid w:val="00EF1E01"/>
    <w:rsid w:val="00EF4A72"/>
    <w:rsid w:val="00EF6369"/>
    <w:rsid w:val="00EF6BF3"/>
    <w:rsid w:val="00F03CED"/>
    <w:rsid w:val="00F04AC5"/>
    <w:rsid w:val="00F05C88"/>
    <w:rsid w:val="00F103CF"/>
    <w:rsid w:val="00F1097B"/>
    <w:rsid w:val="00F11E09"/>
    <w:rsid w:val="00F14A0E"/>
    <w:rsid w:val="00F14F71"/>
    <w:rsid w:val="00F16157"/>
    <w:rsid w:val="00F21B76"/>
    <w:rsid w:val="00F2208D"/>
    <w:rsid w:val="00F242E9"/>
    <w:rsid w:val="00F24DB6"/>
    <w:rsid w:val="00F27B53"/>
    <w:rsid w:val="00F3052A"/>
    <w:rsid w:val="00F327A1"/>
    <w:rsid w:val="00F32EB3"/>
    <w:rsid w:val="00F33194"/>
    <w:rsid w:val="00F33841"/>
    <w:rsid w:val="00F34072"/>
    <w:rsid w:val="00F3620B"/>
    <w:rsid w:val="00F37E17"/>
    <w:rsid w:val="00F43705"/>
    <w:rsid w:val="00F440B3"/>
    <w:rsid w:val="00F442F7"/>
    <w:rsid w:val="00F4600B"/>
    <w:rsid w:val="00F46EE0"/>
    <w:rsid w:val="00F473B9"/>
    <w:rsid w:val="00F54936"/>
    <w:rsid w:val="00F57830"/>
    <w:rsid w:val="00F57914"/>
    <w:rsid w:val="00F6387B"/>
    <w:rsid w:val="00F65D3B"/>
    <w:rsid w:val="00F70344"/>
    <w:rsid w:val="00F76139"/>
    <w:rsid w:val="00F768F3"/>
    <w:rsid w:val="00F77DCB"/>
    <w:rsid w:val="00F82FC8"/>
    <w:rsid w:val="00F8608C"/>
    <w:rsid w:val="00F93ADA"/>
    <w:rsid w:val="00F964AB"/>
    <w:rsid w:val="00F9712B"/>
    <w:rsid w:val="00FA09C0"/>
    <w:rsid w:val="00FA0F20"/>
    <w:rsid w:val="00FA1355"/>
    <w:rsid w:val="00FA2F3D"/>
    <w:rsid w:val="00FA2FB9"/>
    <w:rsid w:val="00FA4EA4"/>
    <w:rsid w:val="00FA54F2"/>
    <w:rsid w:val="00FB0ADF"/>
    <w:rsid w:val="00FB1D03"/>
    <w:rsid w:val="00FB25E9"/>
    <w:rsid w:val="00FC4650"/>
    <w:rsid w:val="00FC51A7"/>
    <w:rsid w:val="00FC64E5"/>
    <w:rsid w:val="00FC727E"/>
    <w:rsid w:val="00FC7B05"/>
    <w:rsid w:val="00FD059E"/>
    <w:rsid w:val="00FD3D26"/>
    <w:rsid w:val="00FD4302"/>
    <w:rsid w:val="00FD6767"/>
    <w:rsid w:val="00FD7E85"/>
    <w:rsid w:val="00FF3378"/>
    <w:rsid w:val="00FF3965"/>
    <w:rsid w:val="00FF5AA6"/>
    <w:rsid w:val="00FF652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145" style="mso-position-horizontal-relative:margin;mso-position-vertical-relative:margin"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6956"/>
    <w:pPr>
      <w:spacing w:after="120"/>
      <w:ind w:firstLine="567"/>
      <w:jc w:val="both"/>
    </w:pPr>
    <w:rPr>
      <w:rFonts w:eastAsia="Times New Roman"/>
      <w:sz w:val="24"/>
      <w:lang w:eastAsia="en-US"/>
    </w:rPr>
  </w:style>
  <w:style w:type="paragraph" w:styleId="Heading1">
    <w:name w:val="heading 1"/>
    <w:basedOn w:val="Normal"/>
    <w:next w:val="Normal"/>
    <w:link w:val="Heading1Char"/>
    <w:uiPriority w:val="9"/>
    <w:qFormat/>
    <w:rsid w:val="0050658A"/>
    <w:pPr>
      <w:keepNext/>
      <w:keepLines/>
      <w:spacing w:before="480" w:after="0"/>
      <w:outlineLvl w:val="0"/>
    </w:pPr>
    <w:rPr>
      <w:rFonts w:ascii="Cambria" w:hAnsi="Cambria"/>
      <w:b/>
      <w:bCs/>
      <w:color w:val="365F91"/>
      <w:sz w:val="20"/>
      <w:szCs w:val="28"/>
      <w:lang w:val="x-none" w:eastAsia="x-none"/>
    </w:rPr>
  </w:style>
  <w:style w:type="paragraph" w:styleId="Heading3">
    <w:name w:val="heading 3"/>
    <w:basedOn w:val="Normal"/>
    <w:next w:val="Normal"/>
    <w:link w:val="Heading3Char"/>
    <w:uiPriority w:val="9"/>
    <w:unhideWhenUsed/>
    <w:qFormat/>
    <w:rsid w:val="005A06FA"/>
    <w:pPr>
      <w:keepNext/>
      <w:spacing w:before="240" w:after="60"/>
      <w:outlineLvl w:val="2"/>
    </w:pPr>
    <w:rPr>
      <w:rFonts w:ascii="Cambria" w:hAnsi="Cambria"/>
      <w:b/>
      <w:b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F6956"/>
    <w:pPr>
      <w:tabs>
        <w:tab w:val="center" w:pos="4153"/>
        <w:tab w:val="right" w:pos="8306"/>
      </w:tabs>
    </w:pPr>
    <w:rPr>
      <w:lang w:val="x-none" w:eastAsia="x-none"/>
    </w:rPr>
  </w:style>
  <w:style w:type="character" w:customStyle="1" w:styleId="FooterChar">
    <w:name w:val="Footer Char"/>
    <w:link w:val="Footer"/>
    <w:uiPriority w:val="99"/>
    <w:rsid w:val="000F6956"/>
    <w:rPr>
      <w:rFonts w:eastAsia="Times New Roman" w:cs="Times New Roman"/>
      <w:sz w:val="24"/>
      <w:szCs w:val="20"/>
    </w:rPr>
  </w:style>
  <w:style w:type="character" w:styleId="PageNumber">
    <w:name w:val="page number"/>
    <w:basedOn w:val="DefaultParagraphFont"/>
    <w:rsid w:val="000F6956"/>
  </w:style>
  <w:style w:type="character" w:customStyle="1" w:styleId="HeaderChar">
    <w:name w:val="Header Char"/>
    <w:link w:val="Header"/>
    <w:uiPriority w:val="99"/>
    <w:rsid w:val="000F6956"/>
    <w:rPr>
      <w:sz w:val="24"/>
    </w:rPr>
  </w:style>
  <w:style w:type="paragraph" w:styleId="Header">
    <w:name w:val="header"/>
    <w:basedOn w:val="Normal"/>
    <w:link w:val="HeaderChar"/>
    <w:uiPriority w:val="99"/>
    <w:rsid w:val="000F6956"/>
    <w:pPr>
      <w:tabs>
        <w:tab w:val="center" w:pos="4153"/>
        <w:tab w:val="right" w:pos="8306"/>
      </w:tabs>
    </w:pPr>
    <w:rPr>
      <w:rFonts w:eastAsia="Calibri"/>
      <w:lang w:val="x-none" w:eastAsia="x-none"/>
    </w:rPr>
  </w:style>
  <w:style w:type="character" w:customStyle="1" w:styleId="HeaderChar1">
    <w:name w:val="Header Char1"/>
    <w:uiPriority w:val="99"/>
    <w:semiHidden/>
    <w:rsid w:val="000F6956"/>
    <w:rPr>
      <w:rFonts w:eastAsia="Times New Roman" w:cs="Times New Roman"/>
      <w:sz w:val="24"/>
      <w:szCs w:val="20"/>
    </w:rPr>
  </w:style>
  <w:style w:type="paragraph" w:customStyle="1" w:styleId="H1">
    <w:name w:val="H1"/>
    <w:link w:val="H1Char"/>
    <w:rsid w:val="00283B8B"/>
    <w:pPr>
      <w:keepNext/>
      <w:keepLines/>
      <w:pageBreakBefore/>
      <w:pBdr>
        <w:bottom w:val="thickThinLargeGap" w:sz="24" w:space="1" w:color="17365D"/>
      </w:pBdr>
      <w:tabs>
        <w:tab w:val="left" w:pos="1134"/>
      </w:tabs>
      <w:spacing w:after="120"/>
      <w:ind w:left="1134" w:hanging="567"/>
      <w:outlineLvl w:val="0"/>
    </w:pPr>
    <w:rPr>
      <w:rFonts w:eastAsia="Times New Roman"/>
      <w:b/>
      <w:sz w:val="36"/>
      <w:lang w:eastAsia="en-US"/>
    </w:rPr>
  </w:style>
  <w:style w:type="character" w:styleId="CommentReference">
    <w:name w:val="annotation reference"/>
    <w:uiPriority w:val="99"/>
    <w:semiHidden/>
    <w:unhideWhenUsed/>
    <w:rsid w:val="000F6956"/>
    <w:rPr>
      <w:sz w:val="16"/>
      <w:szCs w:val="16"/>
    </w:rPr>
  </w:style>
  <w:style w:type="paragraph" w:styleId="CommentText">
    <w:name w:val="annotation text"/>
    <w:basedOn w:val="Normal"/>
    <w:link w:val="CommentTextChar"/>
    <w:uiPriority w:val="99"/>
    <w:semiHidden/>
    <w:unhideWhenUsed/>
    <w:rsid w:val="000F6956"/>
    <w:rPr>
      <w:sz w:val="20"/>
      <w:lang w:val="x-none" w:eastAsia="x-none"/>
    </w:rPr>
  </w:style>
  <w:style w:type="character" w:customStyle="1" w:styleId="CommentTextChar">
    <w:name w:val="Comment Text Char"/>
    <w:link w:val="CommentText"/>
    <w:uiPriority w:val="99"/>
    <w:semiHidden/>
    <w:rsid w:val="000F6956"/>
    <w:rPr>
      <w:rFonts w:eastAsia="Times New Roman" w:cs="Times New Roman"/>
      <w:sz w:val="20"/>
      <w:szCs w:val="20"/>
    </w:rPr>
  </w:style>
  <w:style w:type="paragraph" w:styleId="BalloonText">
    <w:name w:val="Balloon Text"/>
    <w:basedOn w:val="Normal"/>
    <w:link w:val="BalloonTextChar"/>
    <w:uiPriority w:val="99"/>
    <w:semiHidden/>
    <w:unhideWhenUsed/>
    <w:rsid w:val="000F6956"/>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0F6956"/>
    <w:rPr>
      <w:rFonts w:ascii="Tahoma" w:eastAsia="Times New Roman" w:hAnsi="Tahoma" w:cs="Tahoma"/>
      <w:sz w:val="16"/>
      <w:szCs w:val="16"/>
    </w:rPr>
  </w:style>
  <w:style w:type="paragraph" w:customStyle="1" w:styleId="H2">
    <w:name w:val="H2"/>
    <w:link w:val="H2Char"/>
    <w:uiPriority w:val="99"/>
    <w:rsid w:val="000F6956"/>
    <w:pPr>
      <w:keepNext/>
      <w:tabs>
        <w:tab w:val="left" w:pos="1134"/>
      </w:tabs>
      <w:spacing w:before="480" w:after="240"/>
      <w:ind w:left="1134" w:hanging="567"/>
      <w:outlineLvl w:val="1"/>
    </w:pPr>
    <w:rPr>
      <w:rFonts w:ascii="Calibri" w:eastAsia="Times New Roman" w:hAnsi="Calibri"/>
      <w:b/>
      <w:sz w:val="32"/>
      <w:lang w:eastAsia="en-US"/>
    </w:rPr>
  </w:style>
  <w:style w:type="paragraph" w:customStyle="1" w:styleId="H4">
    <w:name w:val="H4"/>
    <w:uiPriority w:val="99"/>
    <w:rsid w:val="000F6956"/>
    <w:pPr>
      <w:spacing w:before="120" w:after="120"/>
      <w:ind w:left="567"/>
      <w:outlineLvl w:val="3"/>
    </w:pPr>
    <w:rPr>
      <w:rFonts w:ascii="Calibri" w:eastAsia="Times New Roman" w:hAnsi="Calibri"/>
      <w:b/>
      <w:sz w:val="28"/>
      <w:lang w:eastAsia="en-US"/>
    </w:rPr>
  </w:style>
  <w:style w:type="paragraph" w:customStyle="1" w:styleId="H3">
    <w:name w:val="H3"/>
    <w:link w:val="H3Char"/>
    <w:rsid w:val="000F6956"/>
    <w:pPr>
      <w:keepNext/>
      <w:spacing w:before="480" w:after="120"/>
      <w:ind w:left="1701" w:hanging="1134"/>
      <w:outlineLvl w:val="2"/>
    </w:pPr>
    <w:rPr>
      <w:rFonts w:ascii="Calibri" w:eastAsia="Times New Roman" w:hAnsi="Calibri"/>
      <w:b/>
      <w:sz w:val="28"/>
      <w:lang w:eastAsia="en-US"/>
    </w:rPr>
  </w:style>
  <w:style w:type="paragraph" w:customStyle="1" w:styleId="T">
    <w:name w:val="T"/>
    <w:basedOn w:val="Normal"/>
    <w:rsid w:val="000F6956"/>
    <w:pPr>
      <w:keepNext/>
      <w:ind w:left="567" w:firstLine="0"/>
      <w:jc w:val="left"/>
    </w:pPr>
    <w:rPr>
      <w:rFonts w:ascii="Calibri" w:hAnsi="Calibri"/>
      <w:b/>
    </w:rPr>
  </w:style>
  <w:style w:type="paragraph" w:customStyle="1" w:styleId="Z">
    <w:name w:val="Z"/>
    <w:basedOn w:val="T"/>
    <w:uiPriority w:val="99"/>
    <w:rsid w:val="000F6956"/>
    <w:pPr>
      <w:ind w:right="1701"/>
    </w:pPr>
    <w:rPr>
      <w:b w:val="0"/>
      <w:sz w:val="20"/>
    </w:rPr>
  </w:style>
  <w:style w:type="paragraph" w:customStyle="1" w:styleId="tabteksts">
    <w:name w:val="tab_teksts"/>
    <w:basedOn w:val="Normal"/>
    <w:uiPriority w:val="99"/>
    <w:rsid w:val="000F6956"/>
    <w:pPr>
      <w:spacing w:after="0"/>
      <w:ind w:firstLine="0"/>
      <w:jc w:val="left"/>
    </w:pPr>
    <w:rPr>
      <w:sz w:val="20"/>
    </w:rPr>
  </w:style>
  <w:style w:type="paragraph" w:styleId="FootnoteText">
    <w:name w:val="footnote text"/>
    <w:aliases w:val="Footnote,Fußnote"/>
    <w:basedOn w:val="Normal"/>
    <w:link w:val="FootnoteTextChar"/>
    <w:uiPriority w:val="99"/>
    <w:semiHidden/>
    <w:rsid w:val="000F6956"/>
    <w:pPr>
      <w:keepLines/>
      <w:widowControl w:val="0"/>
      <w:spacing w:after="0"/>
      <w:ind w:left="340" w:hanging="340"/>
      <w:jc w:val="left"/>
    </w:pPr>
    <w:rPr>
      <w:snapToGrid w:val="0"/>
      <w:color w:val="000000"/>
      <w:sz w:val="20"/>
      <w:lang w:val="x-none" w:eastAsia="x-none"/>
    </w:rPr>
  </w:style>
  <w:style w:type="character" w:customStyle="1" w:styleId="FootnoteTextChar">
    <w:name w:val="Footnote Text Char"/>
    <w:aliases w:val="Footnote Char,Fußnote Char"/>
    <w:link w:val="FootnoteText"/>
    <w:uiPriority w:val="99"/>
    <w:semiHidden/>
    <w:rsid w:val="000F6956"/>
    <w:rPr>
      <w:rFonts w:eastAsia="Times New Roman" w:cs="Times New Roman"/>
      <w:snapToGrid w:val="0"/>
      <w:color w:val="000000"/>
      <w:sz w:val="20"/>
      <w:szCs w:val="20"/>
    </w:rPr>
  </w:style>
  <w:style w:type="character" w:styleId="FootnoteReference">
    <w:name w:val="footnote reference"/>
    <w:uiPriority w:val="99"/>
    <w:semiHidden/>
    <w:rsid w:val="000F6956"/>
    <w:rPr>
      <w:rFonts w:ascii="Garamond" w:hAnsi="Garamond"/>
      <w:sz w:val="20"/>
      <w:vertAlign w:val="superscript"/>
    </w:rPr>
  </w:style>
  <w:style w:type="paragraph" w:customStyle="1" w:styleId="Zpar">
    <w:name w:val="Z_par"/>
    <w:basedOn w:val="Z"/>
    <w:rsid w:val="000F6956"/>
    <w:pPr>
      <w:spacing w:after="480"/>
      <w:ind w:left="1418" w:hanging="851"/>
    </w:pPr>
    <w:rPr>
      <w:i/>
    </w:rPr>
  </w:style>
  <w:style w:type="character" w:styleId="Strong">
    <w:name w:val="Strong"/>
    <w:uiPriority w:val="22"/>
    <w:qFormat/>
    <w:rsid w:val="000F6956"/>
    <w:rPr>
      <w:b/>
      <w:bCs/>
    </w:rPr>
  </w:style>
  <w:style w:type="paragraph" w:styleId="ListParagraph">
    <w:name w:val="List Paragraph"/>
    <w:basedOn w:val="Normal"/>
    <w:link w:val="ListParagraphChar"/>
    <w:uiPriority w:val="34"/>
    <w:qFormat/>
    <w:rsid w:val="000F6956"/>
    <w:pPr>
      <w:spacing w:after="200" w:line="276" w:lineRule="auto"/>
      <w:ind w:left="720" w:firstLine="0"/>
      <w:contextualSpacing/>
      <w:jc w:val="left"/>
    </w:pPr>
    <w:rPr>
      <w:rFonts w:ascii="Calibri" w:hAnsi="Calibri"/>
      <w:sz w:val="22"/>
      <w:lang w:val="x-none" w:eastAsia="x-none"/>
    </w:rPr>
  </w:style>
  <w:style w:type="character" w:styleId="Emphasis">
    <w:name w:val="Emphasis"/>
    <w:uiPriority w:val="20"/>
    <w:qFormat/>
    <w:rsid w:val="000F6956"/>
    <w:rPr>
      <w:i/>
      <w:iCs/>
    </w:rPr>
  </w:style>
  <w:style w:type="paragraph" w:styleId="BodyTextIndent2">
    <w:name w:val="Body Text Indent 2"/>
    <w:basedOn w:val="Normal"/>
    <w:link w:val="BodyTextIndent2Char"/>
    <w:semiHidden/>
    <w:rsid w:val="000F6956"/>
    <w:pPr>
      <w:spacing w:before="120"/>
      <w:ind w:firstLine="706"/>
    </w:pPr>
    <w:rPr>
      <w:lang w:val="x-none" w:eastAsia="x-none"/>
    </w:rPr>
  </w:style>
  <w:style w:type="character" w:customStyle="1" w:styleId="BodyTextIndent2Char">
    <w:name w:val="Body Text Indent 2 Char"/>
    <w:link w:val="BodyTextIndent2"/>
    <w:semiHidden/>
    <w:rsid w:val="000F6956"/>
    <w:rPr>
      <w:rFonts w:eastAsia="Times New Roman" w:cs="Times New Roman"/>
      <w:sz w:val="24"/>
      <w:szCs w:val="20"/>
    </w:rPr>
  </w:style>
  <w:style w:type="paragraph" w:customStyle="1" w:styleId="Default">
    <w:name w:val="Default"/>
    <w:rsid w:val="000F6956"/>
    <w:pPr>
      <w:autoSpaceDE w:val="0"/>
      <w:autoSpaceDN w:val="0"/>
      <w:adjustRightInd w:val="0"/>
    </w:pPr>
    <w:rPr>
      <w:rFonts w:eastAsia="Times New Roman"/>
      <w:color w:val="000000"/>
      <w:sz w:val="24"/>
      <w:szCs w:val="24"/>
    </w:rPr>
  </w:style>
  <w:style w:type="paragraph" w:styleId="BodyTextIndent">
    <w:name w:val="Body Text Indent"/>
    <w:basedOn w:val="Normal"/>
    <w:link w:val="BodyTextIndentChar"/>
    <w:semiHidden/>
    <w:unhideWhenUsed/>
    <w:rsid w:val="000F6956"/>
    <w:pPr>
      <w:ind w:left="283"/>
    </w:pPr>
    <w:rPr>
      <w:lang w:val="x-none" w:eastAsia="x-none"/>
    </w:rPr>
  </w:style>
  <w:style w:type="character" w:customStyle="1" w:styleId="BodyTextIndentChar">
    <w:name w:val="Body Text Indent Char"/>
    <w:link w:val="BodyTextIndent"/>
    <w:semiHidden/>
    <w:rsid w:val="000F6956"/>
    <w:rPr>
      <w:rFonts w:eastAsia="Times New Roman" w:cs="Times New Roman"/>
      <w:sz w:val="24"/>
      <w:szCs w:val="20"/>
    </w:rPr>
  </w:style>
  <w:style w:type="paragraph" w:customStyle="1" w:styleId="ridk">
    <w:name w:val="ridk"/>
    <w:basedOn w:val="Normal"/>
    <w:rsid w:val="000F6956"/>
    <w:pPr>
      <w:spacing w:before="100" w:beforeAutospacing="1" w:after="100" w:afterAutospacing="1"/>
      <w:ind w:firstLine="0"/>
      <w:jc w:val="left"/>
    </w:pPr>
    <w:rPr>
      <w:rFonts w:ascii="Arial Unicode MS" w:eastAsia="Arial Unicode MS" w:hAnsi="Arial Unicode MS" w:cs="Arial Unicode MS"/>
      <w:szCs w:val="24"/>
      <w:lang w:val="en-US"/>
    </w:rPr>
  </w:style>
  <w:style w:type="character" w:customStyle="1" w:styleId="ListParagraphChar">
    <w:name w:val="List Paragraph Char"/>
    <w:link w:val="ListParagraph"/>
    <w:uiPriority w:val="34"/>
    <w:locked/>
    <w:rsid w:val="00FA2F3D"/>
    <w:rPr>
      <w:rFonts w:ascii="Calibri" w:eastAsia="Times New Roman" w:hAnsi="Calibri" w:cs="Times New Roman"/>
      <w:sz w:val="22"/>
    </w:rPr>
  </w:style>
  <w:style w:type="table" w:styleId="TableGrid">
    <w:name w:val="Table Grid"/>
    <w:basedOn w:val="TableNormal"/>
    <w:uiPriority w:val="59"/>
    <w:rsid w:val="00B512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irsraksts1">
    <w:name w:val="Virsraksts1"/>
    <w:basedOn w:val="Heading1"/>
    <w:rsid w:val="001D56AF"/>
    <w:pPr>
      <w:keepLines w:val="0"/>
      <w:spacing w:before="240" w:after="60"/>
      <w:ind w:firstLine="709"/>
    </w:pPr>
    <w:rPr>
      <w:rFonts w:ascii="Times New Roman" w:eastAsia="Calibri" w:hAnsi="Times New Roman"/>
      <w:color w:val="auto"/>
      <w:kern w:val="32"/>
      <w:sz w:val="40"/>
      <w:szCs w:val="40"/>
    </w:rPr>
  </w:style>
  <w:style w:type="character" w:customStyle="1" w:styleId="Heading1Char">
    <w:name w:val="Heading 1 Char"/>
    <w:link w:val="Heading1"/>
    <w:uiPriority w:val="9"/>
    <w:rsid w:val="001D56AF"/>
    <w:rPr>
      <w:rFonts w:ascii="Cambria" w:eastAsia="Times New Roman" w:hAnsi="Cambria"/>
      <w:b/>
      <w:bCs/>
      <w:color w:val="365F91"/>
      <w:szCs w:val="28"/>
      <w:lang w:val="x-none" w:eastAsia="x-none"/>
    </w:rPr>
  </w:style>
  <w:style w:type="character" w:customStyle="1" w:styleId="spelle">
    <w:name w:val="spelle"/>
    <w:basedOn w:val="DefaultParagraphFont"/>
    <w:rsid w:val="006F0333"/>
  </w:style>
  <w:style w:type="paragraph" w:customStyle="1" w:styleId="ParagraphNumbering">
    <w:name w:val="Paragraph Numbering"/>
    <w:basedOn w:val="Normal"/>
    <w:uiPriority w:val="1"/>
    <w:qFormat/>
    <w:rsid w:val="006F0333"/>
    <w:pPr>
      <w:numPr>
        <w:numId w:val="8"/>
      </w:numPr>
      <w:spacing w:after="240" w:line="264" w:lineRule="auto"/>
      <w:jc w:val="left"/>
    </w:pPr>
    <w:rPr>
      <w:rFonts w:eastAsia="Calibri"/>
      <w:szCs w:val="24"/>
      <w:lang w:val="en-US"/>
    </w:rPr>
  </w:style>
  <w:style w:type="paragraph" w:styleId="CommentSubject">
    <w:name w:val="annotation subject"/>
    <w:basedOn w:val="CommentText"/>
    <w:next w:val="CommentText"/>
    <w:link w:val="CommentSubjectChar"/>
    <w:uiPriority w:val="99"/>
    <w:semiHidden/>
    <w:unhideWhenUsed/>
    <w:rsid w:val="00EF6369"/>
    <w:rPr>
      <w:b/>
      <w:bCs/>
    </w:rPr>
  </w:style>
  <w:style w:type="character" w:customStyle="1" w:styleId="CommentSubjectChar">
    <w:name w:val="Comment Subject Char"/>
    <w:link w:val="CommentSubject"/>
    <w:uiPriority w:val="99"/>
    <w:semiHidden/>
    <w:rsid w:val="00EF6369"/>
    <w:rPr>
      <w:rFonts w:eastAsia="Times New Roman" w:cs="Times New Roman"/>
      <w:b/>
      <w:bCs/>
      <w:sz w:val="20"/>
      <w:szCs w:val="20"/>
    </w:rPr>
  </w:style>
  <w:style w:type="paragraph" w:customStyle="1" w:styleId="PIRMAIS">
    <w:name w:val="PIRMAIS"/>
    <w:basedOn w:val="H1"/>
    <w:link w:val="PIRMAISChar"/>
    <w:qFormat/>
    <w:rsid w:val="00283B8B"/>
    <w:pPr>
      <w:tabs>
        <w:tab w:val="clear" w:pos="1134"/>
        <w:tab w:val="left" w:pos="567"/>
      </w:tabs>
      <w:ind w:left="567"/>
    </w:pPr>
  </w:style>
  <w:style w:type="paragraph" w:customStyle="1" w:styleId="otrais">
    <w:name w:val="otrais"/>
    <w:basedOn w:val="H2"/>
    <w:link w:val="otraisChar"/>
    <w:qFormat/>
    <w:rsid w:val="00283B8B"/>
    <w:pPr>
      <w:tabs>
        <w:tab w:val="clear" w:pos="1134"/>
        <w:tab w:val="left" w:pos="567"/>
      </w:tabs>
      <w:ind w:left="567"/>
    </w:pPr>
    <w:rPr>
      <w:rFonts w:ascii="Times New Roman" w:hAnsi="Times New Roman"/>
    </w:rPr>
  </w:style>
  <w:style w:type="character" w:customStyle="1" w:styleId="H1Char">
    <w:name w:val="H1 Char"/>
    <w:link w:val="H1"/>
    <w:rsid w:val="00283B8B"/>
    <w:rPr>
      <w:rFonts w:eastAsia="Times New Roman"/>
      <w:b/>
      <w:sz w:val="36"/>
      <w:lang w:eastAsia="en-US" w:bidi="ar-SA"/>
    </w:rPr>
  </w:style>
  <w:style w:type="character" w:customStyle="1" w:styleId="PIRMAISChar">
    <w:name w:val="PIRMAIS Char"/>
    <w:basedOn w:val="H1Char"/>
    <w:link w:val="PIRMAIS"/>
    <w:rsid w:val="00283B8B"/>
    <w:rPr>
      <w:rFonts w:eastAsia="Times New Roman"/>
      <w:b/>
      <w:sz w:val="36"/>
      <w:lang w:eastAsia="en-US" w:bidi="ar-SA"/>
    </w:rPr>
  </w:style>
  <w:style w:type="paragraph" w:customStyle="1" w:styleId="tresais">
    <w:name w:val="tresais"/>
    <w:basedOn w:val="H3"/>
    <w:link w:val="tresaisChar"/>
    <w:qFormat/>
    <w:rsid w:val="00283B8B"/>
    <w:pPr>
      <w:ind w:left="0" w:firstLine="0"/>
    </w:pPr>
    <w:rPr>
      <w:rFonts w:ascii="Times New Roman" w:hAnsi="Times New Roman"/>
    </w:rPr>
  </w:style>
  <w:style w:type="character" w:customStyle="1" w:styleId="H2Char">
    <w:name w:val="H2 Char"/>
    <w:link w:val="H2"/>
    <w:uiPriority w:val="99"/>
    <w:rsid w:val="00283B8B"/>
    <w:rPr>
      <w:rFonts w:ascii="Calibri" w:eastAsia="Times New Roman" w:hAnsi="Calibri"/>
      <w:b/>
      <w:sz w:val="32"/>
      <w:lang w:eastAsia="en-US" w:bidi="ar-SA"/>
    </w:rPr>
  </w:style>
  <w:style w:type="character" w:customStyle="1" w:styleId="otraisChar">
    <w:name w:val="otrais Char"/>
    <w:basedOn w:val="H2Char"/>
    <w:link w:val="otrais"/>
    <w:rsid w:val="00283B8B"/>
    <w:rPr>
      <w:rFonts w:ascii="Calibri" w:eastAsia="Times New Roman" w:hAnsi="Calibri"/>
      <w:b/>
      <w:sz w:val="32"/>
      <w:lang w:eastAsia="en-US" w:bidi="ar-SA"/>
    </w:rPr>
  </w:style>
  <w:style w:type="paragraph" w:styleId="TOCHeading">
    <w:name w:val="TOC Heading"/>
    <w:basedOn w:val="Heading1"/>
    <w:next w:val="Normal"/>
    <w:uiPriority w:val="39"/>
    <w:semiHidden/>
    <w:unhideWhenUsed/>
    <w:qFormat/>
    <w:rsid w:val="0050658A"/>
    <w:pPr>
      <w:spacing w:line="276" w:lineRule="auto"/>
      <w:ind w:firstLine="0"/>
      <w:jc w:val="left"/>
      <w:outlineLvl w:val="9"/>
    </w:pPr>
    <w:rPr>
      <w:rFonts w:eastAsia="MS Gothic"/>
      <w:lang w:val="en-US" w:eastAsia="ja-JP"/>
    </w:rPr>
  </w:style>
  <w:style w:type="character" w:customStyle="1" w:styleId="H3Char">
    <w:name w:val="H3 Char"/>
    <w:link w:val="H3"/>
    <w:rsid w:val="00283B8B"/>
    <w:rPr>
      <w:rFonts w:ascii="Calibri" w:eastAsia="Times New Roman" w:hAnsi="Calibri"/>
      <w:b/>
      <w:sz w:val="28"/>
      <w:lang w:eastAsia="en-US" w:bidi="ar-SA"/>
    </w:rPr>
  </w:style>
  <w:style w:type="character" w:customStyle="1" w:styleId="tresaisChar">
    <w:name w:val="tresais Char"/>
    <w:basedOn w:val="H3Char"/>
    <w:link w:val="tresais"/>
    <w:rsid w:val="00283B8B"/>
    <w:rPr>
      <w:rFonts w:ascii="Calibri" w:eastAsia="Times New Roman" w:hAnsi="Calibri"/>
      <w:b/>
      <w:sz w:val="28"/>
      <w:lang w:eastAsia="en-US" w:bidi="ar-SA"/>
    </w:rPr>
  </w:style>
  <w:style w:type="paragraph" w:styleId="TOC1">
    <w:name w:val="toc 1"/>
    <w:basedOn w:val="Normal"/>
    <w:next w:val="Normal"/>
    <w:autoRedefine/>
    <w:uiPriority w:val="39"/>
    <w:unhideWhenUsed/>
    <w:rsid w:val="008B2071"/>
    <w:pPr>
      <w:tabs>
        <w:tab w:val="left" w:pos="440"/>
        <w:tab w:val="right" w:leader="dot" w:pos="9072"/>
      </w:tabs>
      <w:spacing w:after="0"/>
      <w:ind w:firstLine="0"/>
    </w:pPr>
  </w:style>
  <w:style w:type="paragraph" w:styleId="TOC2">
    <w:name w:val="toc 2"/>
    <w:basedOn w:val="Normal"/>
    <w:next w:val="Normal"/>
    <w:autoRedefine/>
    <w:uiPriority w:val="39"/>
    <w:unhideWhenUsed/>
    <w:rsid w:val="00984AE5"/>
    <w:pPr>
      <w:tabs>
        <w:tab w:val="right" w:leader="dot" w:pos="9072"/>
      </w:tabs>
      <w:spacing w:after="0"/>
      <w:ind w:left="238"/>
    </w:pPr>
  </w:style>
  <w:style w:type="paragraph" w:styleId="TOC3">
    <w:name w:val="toc 3"/>
    <w:basedOn w:val="Normal"/>
    <w:next w:val="Normal"/>
    <w:autoRedefine/>
    <w:uiPriority w:val="39"/>
    <w:unhideWhenUsed/>
    <w:rsid w:val="00984AE5"/>
    <w:pPr>
      <w:tabs>
        <w:tab w:val="right" w:leader="dot" w:pos="9061"/>
      </w:tabs>
      <w:spacing w:after="0"/>
      <w:ind w:left="482"/>
    </w:pPr>
  </w:style>
  <w:style w:type="character" w:styleId="Hyperlink">
    <w:name w:val="Hyperlink"/>
    <w:uiPriority w:val="99"/>
    <w:unhideWhenUsed/>
    <w:rsid w:val="00283B8B"/>
    <w:rPr>
      <w:color w:val="0000FF"/>
      <w:u w:val="single"/>
    </w:rPr>
  </w:style>
  <w:style w:type="paragraph" w:styleId="NoSpacing">
    <w:name w:val="No Spacing"/>
    <w:uiPriority w:val="1"/>
    <w:qFormat/>
    <w:rsid w:val="00D3627A"/>
    <w:pPr>
      <w:ind w:firstLine="567"/>
      <w:jc w:val="both"/>
    </w:pPr>
    <w:rPr>
      <w:rFonts w:eastAsia="Times New Roman"/>
      <w:sz w:val="24"/>
      <w:lang w:eastAsia="en-US"/>
    </w:rPr>
  </w:style>
  <w:style w:type="paragraph" w:customStyle="1" w:styleId="naisf">
    <w:name w:val="naisf"/>
    <w:basedOn w:val="Normal"/>
    <w:rsid w:val="0072157F"/>
    <w:pPr>
      <w:spacing w:before="100" w:beforeAutospacing="1" w:after="100" w:afterAutospacing="1"/>
      <w:ind w:firstLine="0"/>
      <w:jc w:val="left"/>
    </w:pPr>
    <w:rPr>
      <w:szCs w:val="24"/>
      <w:lang w:eastAsia="lv-LV"/>
    </w:rPr>
  </w:style>
  <w:style w:type="paragraph" w:customStyle="1" w:styleId="teksts">
    <w:name w:val="teksts"/>
    <w:rsid w:val="00BD74BB"/>
    <w:pPr>
      <w:spacing w:after="120"/>
      <w:jc w:val="both"/>
    </w:pPr>
    <w:rPr>
      <w:rFonts w:ascii="Garamond" w:eastAsia="Times New Roman" w:hAnsi="Garamond"/>
      <w:sz w:val="24"/>
      <w:lang w:eastAsia="en-US"/>
    </w:rPr>
  </w:style>
  <w:style w:type="paragraph" w:customStyle="1" w:styleId="EE-paragr">
    <w:name w:val="EE-paragr"/>
    <w:basedOn w:val="Normal"/>
    <w:autoRedefine/>
    <w:uiPriority w:val="99"/>
    <w:rsid w:val="00BD74BB"/>
    <w:pPr>
      <w:spacing w:before="120"/>
      <w:ind w:firstLine="0"/>
    </w:pPr>
    <w:rPr>
      <w:iCs/>
      <w:szCs w:val="24"/>
      <w:lang w:eastAsia="lv-LV" w:bidi="lo-LA"/>
    </w:rPr>
  </w:style>
  <w:style w:type="paragraph" w:customStyle="1" w:styleId="tabtekst">
    <w:name w:val="tab_tekst"/>
    <w:basedOn w:val="Normal"/>
    <w:rsid w:val="00BD74BB"/>
    <w:pPr>
      <w:spacing w:after="0"/>
      <w:ind w:firstLine="0"/>
      <w:jc w:val="left"/>
    </w:pPr>
    <w:rPr>
      <w:color w:val="000000"/>
      <w:sz w:val="20"/>
    </w:rPr>
  </w:style>
  <w:style w:type="paragraph" w:styleId="NormalWeb">
    <w:name w:val="Normal (Web)"/>
    <w:basedOn w:val="Normal"/>
    <w:uiPriority w:val="99"/>
    <w:unhideWhenUsed/>
    <w:rsid w:val="00BD74BB"/>
    <w:pPr>
      <w:spacing w:before="100" w:beforeAutospacing="1" w:after="100" w:afterAutospacing="1"/>
      <w:ind w:firstLine="0"/>
      <w:jc w:val="left"/>
    </w:pPr>
    <w:rPr>
      <w:szCs w:val="24"/>
      <w:lang w:eastAsia="lv-LV"/>
    </w:rPr>
  </w:style>
  <w:style w:type="paragraph" w:customStyle="1" w:styleId="Normal11pt">
    <w:name w:val="Normal + 11 pt"/>
    <w:aliases w:val="Bold,Justified,Line spacing:  1.5 lines"/>
    <w:basedOn w:val="Normal"/>
    <w:rsid w:val="00BD74BB"/>
    <w:pPr>
      <w:widowControl w:val="0"/>
      <w:adjustRightInd w:val="0"/>
      <w:spacing w:after="0" w:line="360" w:lineRule="auto"/>
      <w:ind w:firstLine="0"/>
      <w:textAlignment w:val="baseline"/>
    </w:pPr>
    <w:rPr>
      <w:b/>
      <w:sz w:val="22"/>
      <w:szCs w:val="22"/>
      <w:lang w:val="en-GB" w:eastAsia="lv-LV"/>
    </w:rPr>
  </w:style>
  <w:style w:type="character" w:customStyle="1" w:styleId="Heading3Char">
    <w:name w:val="Heading 3 Char"/>
    <w:link w:val="Heading3"/>
    <w:uiPriority w:val="9"/>
    <w:rsid w:val="005A06FA"/>
    <w:rPr>
      <w:rFonts w:ascii="Cambria" w:eastAsia="Times New Roman" w:hAnsi="Cambria" w:cs="Times New Roman"/>
      <w:b/>
      <w:bCs/>
      <w:sz w:val="26"/>
      <w:szCs w:val="26"/>
      <w:lang w:eastAsia="en-US"/>
    </w:rPr>
  </w:style>
  <w:style w:type="paragraph" w:styleId="BodyText">
    <w:name w:val="Body Text"/>
    <w:basedOn w:val="Normal"/>
    <w:link w:val="BodyTextChar"/>
    <w:uiPriority w:val="99"/>
    <w:semiHidden/>
    <w:unhideWhenUsed/>
    <w:rsid w:val="005A06FA"/>
    <w:rPr>
      <w:lang w:val="x-none"/>
    </w:rPr>
  </w:style>
  <w:style w:type="character" w:customStyle="1" w:styleId="BodyTextChar">
    <w:name w:val="Body Text Char"/>
    <w:link w:val="BodyText"/>
    <w:uiPriority w:val="99"/>
    <w:semiHidden/>
    <w:rsid w:val="005A06FA"/>
    <w:rPr>
      <w:rFonts w:eastAsia="Times New Roman"/>
      <w:sz w:val="24"/>
      <w:lang w:eastAsia="en-US"/>
    </w:rPr>
  </w:style>
  <w:style w:type="paragraph" w:styleId="BodyText3">
    <w:name w:val="Body Text 3"/>
    <w:basedOn w:val="Normal"/>
    <w:link w:val="BodyText3Char"/>
    <w:uiPriority w:val="99"/>
    <w:semiHidden/>
    <w:unhideWhenUsed/>
    <w:rsid w:val="005A06FA"/>
    <w:rPr>
      <w:sz w:val="16"/>
      <w:szCs w:val="16"/>
      <w:lang w:val="x-none"/>
    </w:rPr>
  </w:style>
  <w:style w:type="character" w:customStyle="1" w:styleId="BodyText3Char">
    <w:name w:val="Body Text 3 Char"/>
    <w:link w:val="BodyText3"/>
    <w:uiPriority w:val="99"/>
    <w:semiHidden/>
    <w:rsid w:val="005A06FA"/>
    <w:rPr>
      <w:rFonts w:eastAsia="Times New Roman"/>
      <w:sz w:val="16"/>
      <w:szCs w:val="16"/>
      <w:lang w:eastAsia="en-US"/>
    </w:rPr>
  </w:style>
  <w:style w:type="paragraph" w:styleId="TOC8">
    <w:name w:val="toc 8"/>
    <w:basedOn w:val="Normal"/>
    <w:next w:val="Normal"/>
    <w:autoRedefine/>
    <w:uiPriority w:val="39"/>
    <w:semiHidden/>
    <w:unhideWhenUsed/>
    <w:rsid w:val="00D117D0"/>
    <w:pPr>
      <w:ind w:left="1680"/>
    </w:pPr>
  </w:style>
  <w:style w:type="paragraph" w:styleId="PlainText">
    <w:name w:val="Plain Text"/>
    <w:basedOn w:val="Normal"/>
    <w:link w:val="PlainTextChar"/>
    <w:uiPriority w:val="99"/>
    <w:unhideWhenUsed/>
    <w:rsid w:val="00F37E17"/>
    <w:pPr>
      <w:spacing w:after="0"/>
      <w:ind w:firstLine="0"/>
      <w:jc w:val="left"/>
    </w:pPr>
    <w:rPr>
      <w:rFonts w:ascii="Consolas" w:eastAsia="Calibri" w:hAnsi="Consolas"/>
      <w:sz w:val="21"/>
      <w:szCs w:val="21"/>
      <w:lang w:val="x-none" w:eastAsia="x-none"/>
    </w:rPr>
  </w:style>
  <w:style w:type="character" w:customStyle="1" w:styleId="PlainTextChar">
    <w:name w:val="Plain Text Char"/>
    <w:link w:val="PlainText"/>
    <w:uiPriority w:val="99"/>
    <w:rsid w:val="00F37E17"/>
    <w:rPr>
      <w:rFonts w:ascii="Consolas" w:hAnsi="Consolas"/>
      <w:sz w:val="21"/>
      <w:szCs w:val="21"/>
    </w:rPr>
  </w:style>
  <w:style w:type="paragraph" w:customStyle="1" w:styleId="Text1">
    <w:name w:val="Text 1"/>
    <w:basedOn w:val="Normal"/>
    <w:uiPriority w:val="99"/>
    <w:rsid w:val="003E6294"/>
    <w:pPr>
      <w:spacing w:before="120"/>
      <w:ind w:left="850" w:firstLine="0"/>
    </w:pPr>
    <w:rPr>
      <w:lang w:val="en-GB" w:eastAsia="de-DE"/>
    </w:rPr>
  </w:style>
  <w:style w:type="character" w:styleId="FollowedHyperlink">
    <w:name w:val="FollowedHyperlink"/>
    <w:uiPriority w:val="99"/>
    <w:semiHidden/>
    <w:unhideWhenUsed/>
    <w:rsid w:val="00DE6E4F"/>
    <w:rPr>
      <w:color w:val="800080"/>
      <w:u w:val="single"/>
    </w:rPr>
  </w:style>
  <w:style w:type="paragraph" w:styleId="Revision">
    <w:name w:val="Revision"/>
    <w:hidden/>
    <w:uiPriority w:val="99"/>
    <w:semiHidden/>
    <w:rsid w:val="0050658A"/>
    <w:rPr>
      <w:rFonts w:eastAsia="Times New Roman"/>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6956"/>
    <w:pPr>
      <w:spacing w:after="120"/>
      <w:ind w:firstLine="567"/>
      <w:jc w:val="both"/>
    </w:pPr>
    <w:rPr>
      <w:rFonts w:eastAsia="Times New Roman"/>
      <w:sz w:val="24"/>
      <w:lang w:eastAsia="en-US"/>
    </w:rPr>
  </w:style>
  <w:style w:type="paragraph" w:styleId="Heading1">
    <w:name w:val="heading 1"/>
    <w:basedOn w:val="Normal"/>
    <w:next w:val="Normal"/>
    <w:link w:val="Heading1Char"/>
    <w:uiPriority w:val="9"/>
    <w:qFormat/>
    <w:rsid w:val="0050658A"/>
    <w:pPr>
      <w:keepNext/>
      <w:keepLines/>
      <w:spacing w:before="480" w:after="0"/>
      <w:outlineLvl w:val="0"/>
    </w:pPr>
    <w:rPr>
      <w:rFonts w:ascii="Cambria" w:hAnsi="Cambria"/>
      <w:b/>
      <w:bCs/>
      <w:color w:val="365F91"/>
      <w:sz w:val="20"/>
      <w:szCs w:val="28"/>
      <w:lang w:val="x-none" w:eastAsia="x-none"/>
    </w:rPr>
  </w:style>
  <w:style w:type="paragraph" w:styleId="Heading3">
    <w:name w:val="heading 3"/>
    <w:basedOn w:val="Normal"/>
    <w:next w:val="Normal"/>
    <w:link w:val="Heading3Char"/>
    <w:uiPriority w:val="9"/>
    <w:unhideWhenUsed/>
    <w:qFormat/>
    <w:rsid w:val="005A06FA"/>
    <w:pPr>
      <w:keepNext/>
      <w:spacing w:before="240" w:after="60"/>
      <w:outlineLvl w:val="2"/>
    </w:pPr>
    <w:rPr>
      <w:rFonts w:ascii="Cambria" w:hAnsi="Cambria"/>
      <w:b/>
      <w:b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F6956"/>
    <w:pPr>
      <w:tabs>
        <w:tab w:val="center" w:pos="4153"/>
        <w:tab w:val="right" w:pos="8306"/>
      </w:tabs>
    </w:pPr>
    <w:rPr>
      <w:lang w:val="x-none" w:eastAsia="x-none"/>
    </w:rPr>
  </w:style>
  <w:style w:type="character" w:customStyle="1" w:styleId="FooterChar">
    <w:name w:val="Footer Char"/>
    <w:link w:val="Footer"/>
    <w:uiPriority w:val="99"/>
    <w:rsid w:val="000F6956"/>
    <w:rPr>
      <w:rFonts w:eastAsia="Times New Roman" w:cs="Times New Roman"/>
      <w:sz w:val="24"/>
      <w:szCs w:val="20"/>
    </w:rPr>
  </w:style>
  <w:style w:type="character" w:styleId="PageNumber">
    <w:name w:val="page number"/>
    <w:basedOn w:val="DefaultParagraphFont"/>
    <w:rsid w:val="000F6956"/>
  </w:style>
  <w:style w:type="character" w:customStyle="1" w:styleId="HeaderChar">
    <w:name w:val="Header Char"/>
    <w:link w:val="Header"/>
    <w:uiPriority w:val="99"/>
    <w:rsid w:val="000F6956"/>
    <w:rPr>
      <w:sz w:val="24"/>
    </w:rPr>
  </w:style>
  <w:style w:type="paragraph" w:styleId="Header">
    <w:name w:val="header"/>
    <w:basedOn w:val="Normal"/>
    <w:link w:val="HeaderChar"/>
    <w:uiPriority w:val="99"/>
    <w:rsid w:val="000F6956"/>
    <w:pPr>
      <w:tabs>
        <w:tab w:val="center" w:pos="4153"/>
        <w:tab w:val="right" w:pos="8306"/>
      </w:tabs>
    </w:pPr>
    <w:rPr>
      <w:rFonts w:eastAsia="Calibri"/>
      <w:lang w:val="x-none" w:eastAsia="x-none"/>
    </w:rPr>
  </w:style>
  <w:style w:type="character" w:customStyle="1" w:styleId="HeaderChar1">
    <w:name w:val="Header Char1"/>
    <w:uiPriority w:val="99"/>
    <w:semiHidden/>
    <w:rsid w:val="000F6956"/>
    <w:rPr>
      <w:rFonts w:eastAsia="Times New Roman" w:cs="Times New Roman"/>
      <w:sz w:val="24"/>
      <w:szCs w:val="20"/>
    </w:rPr>
  </w:style>
  <w:style w:type="paragraph" w:customStyle="1" w:styleId="H1">
    <w:name w:val="H1"/>
    <w:link w:val="H1Char"/>
    <w:rsid w:val="00283B8B"/>
    <w:pPr>
      <w:keepNext/>
      <w:keepLines/>
      <w:pageBreakBefore/>
      <w:pBdr>
        <w:bottom w:val="thickThinLargeGap" w:sz="24" w:space="1" w:color="17365D"/>
      </w:pBdr>
      <w:tabs>
        <w:tab w:val="left" w:pos="1134"/>
      </w:tabs>
      <w:spacing w:after="120"/>
      <w:ind w:left="1134" w:hanging="567"/>
      <w:outlineLvl w:val="0"/>
    </w:pPr>
    <w:rPr>
      <w:rFonts w:eastAsia="Times New Roman"/>
      <w:b/>
      <w:sz w:val="36"/>
      <w:lang w:eastAsia="en-US"/>
    </w:rPr>
  </w:style>
  <w:style w:type="character" w:styleId="CommentReference">
    <w:name w:val="annotation reference"/>
    <w:uiPriority w:val="99"/>
    <w:semiHidden/>
    <w:unhideWhenUsed/>
    <w:rsid w:val="000F6956"/>
    <w:rPr>
      <w:sz w:val="16"/>
      <w:szCs w:val="16"/>
    </w:rPr>
  </w:style>
  <w:style w:type="paragraph" w:styleId="CommentText">
    <w:name w:val="annotation text"/>
    <w:basedOn w:val="Normal"/>
    <w:link w:val="CommentTextChar"/>
    <w:uiPriority w:val="99"/>
    <w:semiHidden/>
    <w:unhideWhenUsed/>
    <w:rsid w:val="000F6956"/>
    <w:rPr>
      <w:sz w:val="20"/>
      <w:lang w:val="x-none" w:eastAsia="x-none"/>
    </w:rPr>
  </w:style>
  <w:style w:type="character" w:customStyle="1" w:styleId="CommentTextChar">
    <w:name w:val="Comment Text Char"/>
    <w:link w:val="CommentText"/>
    <w:uiPriority w:val="99"/>
    <w:semiHidden/>
    <w:rsid w:val="000F6956"/>
    <w:rPr>
      <w:rFonts w:eastAsia="Times New Roman" w:cs="Times New Roman"/>
      <w:sz w:val="20"/>
      <w:szCs w:val="20"/>
    </w:rPr>
  </w:style>
  <w:style w:type="paragraph" w:styleId="BalloonText">
    <w:name w:val="Balloon Text"/>
    <w:basedOn w:val="Normal"/>
    <w:link w:val="BalloonTextChar"/>
    <w:uiPriority w:val="99"/>
    <w:semiHidden/>
    <w:unhideWhenUsed/>
    <w:rsid w:val="000F6956"/>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0F6956"/>
    <w:rPr>
      <w:rFonts w:ascii="Tahoma" w:eastAsia="Times New Roman" w:hAnsi="Tahoma" w:cs="Tahoma"/>
      <w:sz w:val="16"/>
      <w:szCs w:val="16"/>
    </w:rPr>
  </w:style>
  <w:style w:type="paragraph" w:customStyle="1" w:styleId="H2">
    <w:name w:val="H2"/>
    <w:link w:val="H2Char"/>
    <w:uiPriority w:val="99"/>
    <w:rsid w:val="000F6956"/>
    <w:pPr>
      <w:keepNext/>
      <w:tabs>
        <w:tab w:val="left" w:pos="1134"/>
      </w:tabs>
      <w:spacing w:before="480" w:after="240"/>
      <w:ind w:left="1134" w:hanging="567"/>
      <w:outlineLvl w:val="1"/>
    </w:pPr>
    <w:rPr>
      <w:rFonts w:ascii="Calibri" w:eastAsia="Times New Roman" w:hAnsi="Calibri"/>
      <w:b/>
      <w:sz w:val="32"/>
      <w:lang w:eastAsia="en-US"/>
    </w:rPr>
  </w:style>
  <w:style w:type="paragraph" w:customStyle="1" w:styleId="H4">
    <w:name w:val="H4"/>
    <w:uiPriority w:val="99"/>
    <w:rsid w:val="000F6956"/>
    <w:pPr>
      <w:spacing w:before="120" w:after="120"/>
      <w:ind w:left="567"/>
      <w:outlineLvl w:val="3"/>
    </w:pPr>
    <w:rPr>
      <w:rFonts w:ascii="Calibri" w:eastAsia="Times New Roman" w:hAnsi="Calibri"/>
      <w:b/>
      <w:sz w:val="28"/>
      <w:lang w:eastAsia="en-US"/>
    </w:rPr>
  </w:style>
  <w:style w:type="paragraph" w:customStyle="1" w:styleId="H3">
    <w:name w:val="H3"/>
    <w:link w:val="H3Char"/>
    <w:rsid w:val="000F6956"/>
    <w:pPr>
      <w:keepNext/>
      <w:spacing w:before="480" w:after="120"/>
      <w:ind w:left="1701" w:hanging="1134"/>
      <w:outlineLvl w:val="2"/>
    </w:pPr>
    <w:rPr>
      <w:rFonts w:ascii="Calibri" w:eastAsia="Times New Roman" w:hAnsi="Calibri"/>
      <w:b/>
      <w:sz w:val="28"/>
      <w:lang w:eastAsia="en-US"/>
    </w:rPr>
  </w:style>
  <w:style w:type="paragraph" w:customStyle="1" w:styleId="T">
    <w:name w:val="T"/>
    <w:basedOn w:val="Normal"/>
    <w:rsid w:val="000F6956"/>
    <w:pPr>
      <w:keepNext/>
      <w:ind w:left="567" w:firstLine="0"/>
      <w:jc w:val="left"/>
    </w:pPr>
    <w:rPr>
      <w:rFonts w:ascii="Calibri" w:hAnsi="Calibri"/>
      <w:b/>
    </w:rPr>
  </w:style>
  <w:style w:type="paragraph" w:customStyle="1" w:styleId="Z">
    <w:name w:val="Z"/>
    <w:basedOn w:val="T"/>
    <w:uiPriority w:val="99"/>
    <w:rsid w:val="000F6956"/>
    <w:pPr>
      <w:ind w:right="1701"/>
    </w:pPr>
    <w:rPr>
      <w:b w:val="0"/>
      <w:sz w:val="20"/>
    </w:rPr>
  </w:style>
  <w:style w:type="paragraph" w:customStyle="1" w:styleId="tabteksts">
    <w:name w:val="tab_teksts"/>
    <w:basedOn w:val="Normal"/>
    <w:uiPriority w:val="99"/>
    <w:rsid w:val="000F6956"/>
    <w:pPr>
      <w:spacing w:after="0"/>
      <w:ind w:firstLine="0"/>
      <w:jc w:val="left"/>
    </w:pPr>
    <w:rPr>
      <w:sz w:val="20"/>
    </w:rPr>
  </w:style>
  <w:style w:type="paragraph" w:styleId="FootnoteText">
    <w:name w:val="footnote text"/>
    <w:aliases w:val="Footnote,Fußnote"/>
    <w:basedOn w:val="Normal"/>
    <w:link w:val="FootnoteTextChar"/>
    <w:uiPriority w:val="99"/>
    <w:semiHidden/>
    <w:rsid w:val="000F6956"/>
    <w:pPr>
      <w:keepLines/>
      <w:widowControl w:val="0"/>
      <w:spacing w:after="0"/>
      <w:ind w:left="340" w:hanging="340"/>
      <w:jc w:val="left"/>
    </w:pPr>
    <w:rPr>
      <w:snapToGrid w:val="0"/>
      <w:color w:val="000000"/>
      <w:sz w:val="20"/>
      <w:lang w:val="x-none" w:eastAsia="x-none"/>
    </w:rPr>
  </w:style>
  <w:style w:type="character" w:customStyle="1" w:styleId="FootnoteTextChar">
    <w:name w:val="Footnote Text Char"/>
    <w:aliases w:val="Footnote Char,Fußnote Char"/>
    <w:link w:val="FootnoteText"/>
    <w:uiPriority w:val="99"/>
    <w:semiHidden/>
    <w:rsid w:val="000F6956"/>
    <w:rPr>
      <w:rFonts w:eastAsia="Times New Roman" w:cs="Times New Roman"/>
      <w:snapToGrid w:val="0"/>
      <w:color w:val="000000"/>
      <w:sz w:val="20"/>
      <w:szCs w:val="20"/>
    </w:rPr>
  </w:style>
  <w:style w:type="character" w:styleId="FootnoteReference">
    <w:name w:val="footnote reference"/>
    <w:uiPriority w:val="99"/>
    <w:semiHidden/>
    <w:rsid w:val="000F6956"/>
    <w:rPr>
      <w:rFonts w:ascii="Garamond" w:hAnsi="Garamond"/>
      <w:sz w:val="20"/>
      <w:vertAlign w:val="superscript"/>
    </w:rPr>
  </w:style>
  <w:style w:type="paragraph" w:customStyle="1" w:styleId="Zpar">
    <w:name w:val="Z_par"/>
    <w:basedOn w:val="Z"/>
    <w:rsid w:val="000F6956"/>
    <w:pPr>
      <w:spacing w:after="480"/>
      <w:ind w:left="1418" w:hanging="851"/>
    </w:pPr>
    <w:rPr>
      <w:i/>
    </w:rPr>
  </w:style>
  <w:style w:type="character" w:styleId="Strong">
    <w:name w:val="Strong"/>
    <w:uiPriority w:val="22"/>
    <w:qFormat/>
    <w:rsid w:val="000F6956"/>
    <w:rPr>
      <w:b/>
      <w:bCs/>
    </w:rPr>
  </w:style>
  <w:style w:type="paragraph" w:styleId="ListParagraph">
    <w:name w:val="List Paragraph"/>
    <w:basedOn w:val="Normal"/>
    <w:link w:val="ListParagraphChar"/>
    <w:uiPriority w:val="34"/>
    <w:qFormat/>
    <w:rsid w:val="000F6956"/>
    <w:pPr>
      <w:spacing w:after="200" w:line="276" w:lineRule="auto"/>
      <w:ind w:left="720" w:firstLine="0"/>
      <w:contextualSpacing/>
      <w:jc w:val="left"/>
    </w:pPr>
    <w:rPr>
      <w:rFonts w:ascii="Calibri" w:hAnsi="Calibri"/>
      <w:sz w:val="22"/>
      <w:lang w:val="x-none" w:eastAsia="x-none"/>
    </w:rPr>
  </w:style>
  <w:style w:type="character" w:styleId="Emphasis">
    <w:name w:val="Emphasis"/>
    <w:uiPriority w:val="20"/>
    <w:qFormat/>
    <w:rsid w:val="000F6956"/>
    <w:rPr>
      <w:i/>
      <w:iCs/>
    </w:rPr>
  </w:style>
  <w:style w:type="paragraph" w:styleId="BodyTextIndent2">
    <w:name w:val="Body Text Indent 2"/>
    <w:basedOn w:val="Normal"/>
    <w:link w:val="BodyTextIndent2Char"/>
    <w:semiHidden/>
    <w:rsid w:val="000F6956"/>
    <w:pPr>
      <w:spacing w:before="120"/>
      <w:ind w:firstLine="706"/>
    </w:pPr>
    <w:rPr>
      <w:lang w:val="x-none" w:eastAsia="x-none"/>
    </w:rPr>
  </w:style>
  <w:style w:type="character" w:customStyle="1" w:styleId="BodyTextIndent2Char">
    <w:name w:val="Body Text Indent 2 Char"/>
    <w:link w:val="BodyTextIndent2"/>
    <w:semiHidden/>
    <w:rsid w:val="000F6956"/>
    <w:rPr>
      <w:rFonts w:eastAsia="Times New Roman" w:cs="Times New Roman"/>
      <w:sz w:val="24"/>
      <w:szCs w:val="20"/>
    </w:rPr>
  </w:style>
  <w:style w:type="paragraph" w:customStyle="1" w:styleId="Default">
    <w:name w:val="Default"/>
    <w:rsid w:val="000F6956"/>
    <w:pPr>
      <w:autoSpaceDE w:val="0"/>
      <w:autoSpaceDN w:val="0"/>
      <w:adjustRightInd w:val="0"/>
    </w:pPr>
    <w:rPr>
      <w:rFonts w:eastAsia="Times New Roman"/>
      <w:color w:val="000000"/>
      <w:sz w:val="24"/>
      <w:szCs w:val="24"/>
    </w:rPr>
  </w:style>
  <w:style w:type="paragraph" w:styleId="BodyTextIndent">
    <w:name w:val="Body Text Indent"/>
    <w:basedOn w:val="Normal"/>
    <w:link w:val="BodyTextIndentChar"/>
    <w:semiHidden/>
    <w:unhideWhenUsed/>
    <w:rsid w:val="000F6956"/>
    <w:pPr>
      <w:ind w:left="283"/>
    </w:pPr>
    <w:rPr>
      <w:lang w:val="x-none" w:eastAsia="x-none"/>
    </w:rPr>
  </w:style>
  <w:style w:type="character" w:customStyle="1" w:styleId="BodyTextIndentChar">
    <w:name w:val="Body Text Indent Char"/>
    <w:link w:val="BodyTextIndent"/>
    <w:semiHidden/>
    <w:rsid w:val="000F6956"/>
    <w:rPr>
      <w:rFonts w:eastAsia="Times New Roman" w:cs="Times New Roman"/>
      <w:sz w:val="24"/>
      <w:szCs w:val="20"/>
    </w:rPr>
  </w:style>
  <w:style w:type="paragraph" w:customStyle="1" w:styleId="ridk">
    <w:name w:val="ridk"/>
    <w:basedOn w:val="Normal"/>
    <w:rsid w:val="000F6956"/>
    <w:pPr>
      <w:spacing w:before="100" w:beforeAutospacing="1" w:after="100" w:afterAutospacing="1"/>
      <w:ind w:firstLine="0"/>
      <w:jc w:val="left"/>
    </w:pPr>
    <w:rPr>
      <w:rFonts w:ascii="Arial Unicode MS" w:eastAsia="Arial Unicode MS" w:hAnsi="Arial Unicode MS" w:cs="Arial Unicode MS"/>
      <w:szCs w:val="24"/>
      <w:lang w:val="en-US"/>
    </w:rPr>
  </w:style>
  <w:style w:type="character" w:customStyle="1" w:styleId="ListParagraphChar">
    <w:name w:val="List Paragraph Char"/>
    <w:link w:val="ListParagraph"/>
    <w:uiPriority w:val="34"/>
    <w:locked/>
    <w:rsid w:val="00FA2F3D"/>
    <w:rPr>
      <w:rFonts w:ascii="Calibri" w:eastAsia="Times New Roman" w:hAnsi="Calibri" w:cs="Times New Roman"/>
      <w:sz w:val="22"/>
    </w:rPr>
  </w:style>
  <w:style w:type="table" w:styleId="TableGrid">
    <w:name w:val="Table Grid"/>
    <w:basedOn w:val="TableNormal"/>
    <w:uiPriority w:val="59"/>
    <w:rsid w:val="00B512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irsraksts1">
    <w:name w:val="Virsraksts1"/>
    <w:basedOn w:val="Heading1"/>
    <w:rsid w:val="001D56AF"/>
    <w:pPr>
      <w:keepLines w:val="0"/>
      <w:spacing w:before="240" w:after="60"/>
      <w:ind w:firstLine="709"/>
    </w:pPr>
    <w:rPr>
      <w:rFonts w:ascii="Times New Roman" w:eastAsia="Calibri" w:hAnsi="Times New Roman"/>
      <w:color w:val="auto"/>
      <w:kern w:val="32"/>
      <w:sz w:val="40"/>
      <w:szCs w:val="40"/>
    </w:rPr>
  </w:style>
  <w:style w:type="character" w:customStyle="1" w:styleId="Heading1Char">
    <w:name w:val="Heading 1 Char"/>
    <w:link w:val="Heading1"/>
    <w:uiPriority w:val="9"/>
    <w:rsid w:val="001D56AF"/>
    <w:rPr>
      <w:rFonts w:ascii="Cambria" w:eastAsia="Times New Roman" w:hAnsi="Cambria"/>
      <w:b/>
      <w:bCs/>
      <w:color w:val="365F91"/>
      <w:szCs w:val="28"/>
      <w:lang w:val="x-none" w:eastAsia="x-none"/>
    </w:rPr>
  </w:style>
  <w:style w:type="character" w:customStyle="1" w:styleId="spelle">
    <w:name w:val="spelle"/>
    <w:basedOn w:val="DefaultParagraphFont"/>
    <w:rsid w:val="006F0333"/>
  </w:style>
  <w:style w:type="paragraph" w:customStyle="1" w:styleId="ParagraphNumbering">
    <w:name w:val="Paragraph Numbering"/>
    <w:basedOn w:val="Normal"/>
    <w:uiPriority w:val="1"/>
    <w:qFormat/>
    <w:rsid w:val="006F0333"/>
    <w:pPr>
      <w:numPr>
        <w:numId w:val="8"/>
      </w:numPr>
      <w:spacing w:after="240" w:line="264" w:lineRule="auto"/>
      <w:jc w:val="left"/>
    </w:pPr>
    <w:rPr>
      <w:rFonts w:eastAsia="Calibri"/>
      <w:szCs w:val="24"/>
      <w:lang w:val="en-US"/>
    </w:rPr>
  </w:style>
  <w:style w:type="paragraph" w:styleId="CommentSubject">
    <w:name w:val="annotation subject"/>
    <w:basedOn w:val="CommentText"/>
    <w:next w:val="CommentText"/>
    <w:link w:val="CommentSubjectChar"/>
    <w:uiPriority w:val="99"/>
    <w:semiHidden/>
    <w:unhideWhenUsed/>
    <w:rsid w:val="00EF6369"/>
    <w:rPr>
      <w:b/>
      <w:bCs/>
    </w:rPr>
  </w:style>
  <w:style w:type="character" w:customStyle="1" w:styleId="CommentSubjectChar">
    <w:name w:val="Comment Subject Char"/>
    <w:link w:val="CommentSubject"/>
    <w:uiPriority w:val="99"/>
    <w:semiHidden/>
    <w:rsid w:val="00EF6369"/>
    <w:rPr>
      <w:rFonts w:eastAsia="Times New Roman" w:cs="Times New Roman"/>
      <w:b/>
      <w:bCs/>
      <w:sz w:val="20"/>
      <w:szCs w:val="20"/>
    </w:rPr>
  </w:style>
  <w:style w:type="paragraph" w:customStyle="1" w:styleId="PIRMAIS">
    <w:name w:val="PIRMAIS"/>
    <w:basedOn w:val="H1"/>
    <w:link w:val="PIRMAISChar"/>
    <w:qFormat/>
    <w:rsid w:val="00283B8B"/>
    <w:pPr>
      <w:tabs>
        <w:tab w:val="clear" w:pos="1134"/>
        <w:tab w:val="left" w:pos="567"/>
      </w:tabs>
      <w:ind w:left="567"/>
    </w:pPr>
  </w:style>
  <w:style w:type="paragraph" w:customStyle="1" w:styleId="otrais">
    <w:name w:val="otrais"/>
    <w:basedOn w:val="H2"/>
    <w:link w:val="otraisChar"/>
    <w:qFormat/>
    <w:rsid w:val="00283B8B"/>
    <w:pPr>
      <w:tabs>
        <w:tab w:val="clear" w:pos="1134"/>
        <w:tab w:val="left" w:pos="567"/>
      </w:tabs>
      <w:ind w:left="567"/>
    </w:pPr>
    <w:rPr>
      <w:rFonts w:ascii="Times New Roman" w:hAnsi="Times New Roman"/>
    </w:rPr>
  </w:style>
  <w:style w:type="character" w:customStyle="1" w:styleId="H1Char">
    <w:name w:val="H1 Char"/>
    <w:link w:val="H1"/>
    <w:rsid w:val="00283B8B"/>
    <w:rPr>
      <w:rFonts w:eastAsia="Times New Roman"/>
      <w:b/>
      <w:sz w:val="36"/>
      <w:lang w:eastAsia="en-US" w:bidi="ar-SA"/>
    </w:rPr>
  </w:style>
  <w:style w:type="character" w:customStyle="1" w:styleId="PIRMAISChar">
    <w:name w:val="PIRMAIS Char"/>
    <w:basedOn w:val="H1Char"/>
    <w:link w:val="PIRMAIS"/>
    <w:rsid w:val="00283B8B"/>
    <w:rPr>
      <w:rFonts w:eastAsia="Times New Roman"/>
      <w:b/>
      <w:sz w:val="36"/>
      <w:lang w:eastAsia="en-US" w:bidi="ar-SA"/>
    </w:rPr>
  </w:style>
  <w:style w:type="paragraph" w:customStyle="1" w:styleId="tresais">
    <w:name w:val="tresais"/>
    <w:basedOn w:val="H3"/>
    <w:link w:val="tresaisChar"/>
    <w:qFormat/>
    <w:rsid w:val="00283B8B"/>
    <w:pPr>
      <w:ind w:left="0" w:firstLine="0"/>
    </w:pPr>
    <w:rPr>
      <w:rFonts w:ascii="Times New Roman" w:hAnsi="Times New Roman"/>
    </w:rPr>
  </w:style>
  <w:style w:type="character" w:customStyle="1" w:styleId="H2Char">
    <w:name w:val="H2 Char"/>
    <w:link w:val="H2"/>
    <w:uiPriority w:val="99"/>
    <w:rsid w:val="00283B8B"/>
    <w:rPr>
      <w:rFonts w:ascii="Calibri" w:eastAsia="Times New Roman" w:hAnsi="Calibri"/>
      <w:b/>
      <w:sz w:val="32"/>
      <w:lang w:eastAsia="en-US" w:bidi="ar-SA"/>
    </w:rPr>
  </w:style>
  <w:style w:type="character" w:customStyle="1" w:styleId="otraisChar">
    <w:name w:val="otrais Char"/>
    <w:basedOn w:val="H2Char"/>
    <w:link w:val="otrais"/>
    <w:rsid w:val="00283B8B"/>
    <w:rPr>
      <w:rFonts w:ascii="Calibri" w:eastAsia="Times New Roman" w:hAnsi="Calibri"/>
      <w:b/>
      <w:sz w:val="32"/>
      <w:lang w:eastAsia="en-US" w:bidi="ar-SA"/>
    </w:rPr>
  </w:style>
  <w:style w:type="paragraph" w:styleId="TOCHeading">
    <w:name w:val="TOC Heading"/>
    <w:basedOn w:val="Heading1"/>
    <w:next w:val="Normal"/>
    <w:uiPriority w:val="39"/>
    <w:semiHidden/>
    <w:unhideWhenUsed/>
    <w:qFormat/>
    <w:rsid w:val="0050658A"/>
    <w:pPr>
      <w:spacing w:line="276" w:lineRule="auto"/>
      <w:ind w:firstLine="0"/>
      <w:jc w:val="left"/>
      <w:outlineLvl w:val="9"/>
    </w:pPr>
    <w:rPr>
      <w:rFonts w:eastAsia="MS Gothic"/>
      <w:lang w:val="en-US" w:eastAsia="ja-JP"/>
    </w:rPr>
  </w:style>
  <w:style w:type="character" w:customStyle="1" w:styleId="H3Char">
    <w:name w:val="H3 Char"/>
    <w:link w:val="H3"/>
    <w:rsid w:val="00283B8B"/>
    <w:rPr>
      <w:rFonts w:ascii="Calibri" w:eastAsia="Times New Roman" w:hAnsi="Calibri"/>
      <w:b/>
      <w:sz w:val="28"/>
      <w:lang w:eastAsia="en-US" w:bidi="ar-SA"/>
    </w:rPr>
  </w:style>
  <w:style w:type="character" w:customStyle="1" w:styleId="tresaisChar">
    <w:name w:val="tresais Char"/>
    <w:basedOn w:val="H3Char"/>
    <w:link w:val="tresais"/>
    <w:rsid w:val="00283B8B"/>
    <w:rPr>
      <w:rFonts w:ascii="Calibri" w:eastAsia="Times New Roman" w:hAnsi="Calibri"/>
      <w:b/>
      <w:sz w:val="28"/>
      <w:lang w:eastAsia="en-US" w:bidi="ar-SA"/>
    </w:rPr>
  </w:style>
  <w:style w:type="paragraph" w:styleId="TOC1">
    <w:name w:val="toc 1"/>
    <w:basedOn w:val="Normal"/>
    <w:next w:val="Normal"/>
    <w:autoRedefine/>
    <w:uiPriority w:val="39"/>
    <w:unhideWhenUsed/>
    <w:rsid w:val="008B2071"/>
    <w:pPr>
      <w:tabs>
        <w:tab w:val="left" w:pos="440"/>
        <w:tab w:val="right" w:leader="dot" w:pos="9072"/>
      </w:tabs>
      <w:spacing w:after="0"/>
      <w:ind w:firstLine="0"/>
    </w:pPr>
  </w:style>
  <w:style w:type="paragraph" w:styleId="TOC2">
    <w:name w:val="toc 2"/>
    <w:basedOn w:val="Normal"/>
    <w:next w:val="Normal"/>
    <w:autoRedefine/>
    <w:uiPriority w:val="39"/>
    <w:unhideWhenUsed/>
    <w:rsid w:val="00984AE5"/>
    <w:pPr>
      <w:tabs>
        <w:tab w:val="right" w:leader="dot" w:pos="9072"/>
      </w:tabs>
      <w:spacing w:after="0"/>
      <w:ind w:left="238"/>
    </w:pPr>
  </w:style>
  <w:style w:type="paragraph" w:styleId="TOC3">
    <w:name w:val="toc 3"/>
    <w:basedOn w:val="Normal"/>
    <w:next w:val="Normal"/>
    <w:autoRedefine/>
    <w:uiPriority w:val="39"/>
    <w:unhideWhenUsed/>
    <w:rsid w:val="00984AE5"/>
    <w:pPr>
      <w:tabs>
        <w:tab w:val="right" w:leader="dot" w:pos="9061"/>
      </w:tabs>
      <w:spacing w:after="0"/>
      <w:ind w:left="482"/>
    </w:pPr>
  </w:style>
  <w:style w:type="character" w:styleId="Hyperlink">
    <w:name w:val="Hyperlink"/>
    <w:uiPriority w:val="99"/>
    <w:unhideWhenUsed/>
    <w:rsid w:val="00283B8B"/>
    <w:rPr>
      <w:color w:val="0000FF"/>
      <w:u w:val="single"/>
    </w:rPr>
  </w:style>
  <w:style w:type="paragraph" w:styleId="NoSpacing">
    <w:name w:val="No Spacing"/>
    <w:uiPriority w:val="1"/>
    <w:qFormat/>
    <w:rsid w:val="00D3627A"/>
    <w:pPr>
      <w:ind w:firstLine="567"/>
      <w:jc w:val="both"/>
    </w:pPr>
    <w:rPr>
      <w:rFonts w:eastAsia="Times New Roman"/>
      <w:sz w:val="24"/>
      <w:lang w:eastAsia="en-US"/>
    </w:rPr>
  </w:style>
  <w:style w:type="paragraph" w:customStyle="1" w:styleId="naisf">
    <w:name w:val="naisf"/>
    <w:basedOn w:val="Normal"/>
    <w:rsid w:val="0072157F"/>
    <w:pPr>
      <w:spacing w:before="100" w:beforeAutospacing="1" w:after="100" w:afterAutospacing="1"/>
      <w:ind w:firstLine="0"/>
      <w:jc w:val="left"/>
    </w:pPr>
    <w:rPr>
      <w:szCs w:val="24"/>
      <w:lang w:eastAsia="lv-LV"/>
    </w:rPr>
  </w:style>
  <w:style w:type="paragraph" w:customStyle="1" w:styleId="teksts">
    <w:name w:val="teksts"/>
    <w:rsid w:val="00BD74BB"/>
    <w:pPr>
      <w:spacing w:after="120"/>
      <w:jc w:val="both"/>
    </w:pPr>
    <w:rPr>
      <w:rFonts w:ascii="Garamond" w:eastAsia="Times New Roman" w:hAnsi="Garamond"/>
      <w:sz w:val="24"/>
      <w:lang w:eastAsia="en-US"/>
    </w:rPr>
  </w:style>
  <w:style w:type="paragraph" w:customStyle="1" w:styleId="EE-paragr">
    <w:name w:val="EE-paragr"/>
    <w:basedOn w:val="Normal"/>
    <w:autoRedefine/>
    <w:uiPriority w:val="99"/>
    <w:rsid w:val="00BD74BB"/>
    <w:pPr>
      <w:spacing w:before="120"/>
      <w:ind w:firstLine="0"/>
    </w:pPr>
    <w:rPr>
      <w:iCs/>
      <w:szCs w:val="24"/>
      <w:lang w:eastAsia="lv-LV" w:bidi="lo-LA"/>
    </w:rPr>
  </w:style>
  <w:style w:type="paragraph" w:customStyle="1" w:styleId="tabtekst">
    <w:name w:val="tab_tekst"/>
    <w:basedOn w:val="Normal"/>
    <w:rsid w:val="00BD74BB"/>
    <w:pPr>
      <w:spacing w:after="0"/>
      <w:ind w:firstLine="0"/>
      <w:jc w:val="left"/>
    </w:pPr>
    <w:rPr>
      <w:color w:val="000000"/>
      <w:sz w:val="20"/>
    </w:rPr>
  </w:style>
  <w:style w:type="paragraph" w:styleId="NormalWeb">
    <w:name w:val="Normal (Web)"/>
    <w:basedOn w:val="Normal"/>
    <w:uiPriority w:val="99"/>
    <w:unhideWhenUsed/>
    <w:rsid w:val="00BD74BB"/>
    <w:pPr>
      <w:spacing w:before="100" w:beforeAutospacing="1" w:after="100" w:afterAutospacing="1"/>
      <w:ind w:firstLine="0"/>
      <w:jc w:val="left"/>
    </w:pPr>
    <w:rPr>
      <w:szCs w:val="24"/>
      <w:lang w:eastAsia="lv-LV"/>
    </w:rPr>
  </w:style>
  <w:style w:type="paragraph" w:customStyle="1" w:styleId="Normal11pt">
    <w:name w:val="Normal + 11 pt"/>
    <w:aliases w:val="Bold,Justified,Line spacing:  1.5 lines"/>
    <w:basedOn w:val="Normal"/>
    <w:rsid w:val="00BD74BB"/>
    <w:pPr>
      <w:widowControl w:val="0"/>
      <w:adjustRightInd w:val="0"/>
      <w:spacing w:after="0" w:line="360" w:lineRule="auto"/>
      <w:ind w:firstLine="0"/>
      <w:textAlignment w:val="baseline"/>
    </w:pPr>
    <w:rPr>
      <w:b/>
      <w:sz w:val="22"/>
      <w:szCs w:val="22"/>
      <w:lang w:val="en-GB" w:eastAsia="lv-LV"/>
    </w:rPr>
  </w:style>
  <w:style w:type="character" w:customStyle="1" w:styleId="Heading3Char">
    <w:name w:val="Heading 3 Char"/>
    <w:link w:val="Heading3"/>
    <w:uiPriority w:val="9"/>
    <w:rsid w:val="005A06FA"/>
    <w:rPr>
      <w:rFonts w:ascii="Cambria" w:eastAsia="Times New Roman" w:hAnsi="Cambria" w:cs="Times New Roman"/>
      <w:b/>
      <w:bCs/>
      <w:sz w:val="26"/>
      <w:szCs w:val="26"/>
      <w:lang w:eastAsia="en-US"/>
    </w:rPr>
  </w:style>
  <w:style w:type="paragraph" w:styleId="BodyText">
    <w:name w:val="Body Text"/>
    <w:basedOn w:val="Normal"/>
    <w:link w:val="BodyTextChar"/>
    <w:uiPriority w:val="99"/>
    <w:semiHidden/>
    <w:unhideWhenUsed/>
    <w:rsid w:val="005A06FA"/>
    <w:rPr>
      <w:lang w:val="x-none"/>
    </w:rPr>
  </w:style>
  <w:style w:type="character" w:customStyle="1" w:styleId="BodyTextChar">
    <w:name w:val="Body Text Char"/>
    <w:link w:val="BodyText"/>
    <w:uiPriority w:val="99"/>
    <w:semiHidden/>
    <w:rsid w:val="005A06FA"/>
    <w:rPr>
      <w:rFonts w:eastAsia="Times New Roman"/>
      <w:sz w:val="24"/>
      <w:lang w:eastAsia="en-US"/>
    </w:rPr>
  </w:style>
  <w:style w:type="paragraph" w:styleId="BodyText3">
    <w:name w:val="Body Text 3"/>
    <w:basedOn w:val="Normal"/>
    <w:link w:val="BodyText3Char"/>
    <w:uiPriority w:val="99"/>
    <w:semiHidden/>
    <w:unhideWhenUsed/>
    <w:rsid w:val="005A06FA"/>
    <w:rPr>
      <w:sz w:val="16"/>
      <w:szCs w:val="16"/>
      <w:lang w:val="x-none"/>
    </w:rPr>
  </w:style>
  <w:style w:type="character" w:customStyle="1" w:styleId="BodyText3Char">
    <w:name w:val="Body Text 3 Char"/>
    <w:link w:val="BodyText3"/>
    <w:uiPriority w:val="99"/>
    <w:semiHidden/>
    <w:rsid w:val="005A06FA"/>
    <w:rPr>
      <w:rFonts w:eastAsia="Times New Roman"/>
      <w:sz w:val="16"/>
      <w:szCs w:val="16"/>
      <w:lang w:eastAsia="en-US"/>
    </w:rPr>
  </w:style>
  <w:style w:type="paragraph" w:styleId="TOC8">
    <w:name w:val="toc 8"/>
    <w:basedOn w:val="Normal"/>
    <w:next w:val="Normal"/>
    <w:autoRedefine/>
    <w:uiPriority w:val="39"/>
    <w:semiHidden/>
    <w:unhideWhenUsed/>
    <w:rsid w:val="00D117D0"/>
    <w:pPr>
      <w:ind w:left="1680"/>
    </w:pPr>
  </w:style>
  <w:style w:type="paragraph" w:styleId="PlainText">
    <w:name w:val="Plain Text"/>
    <w:basedOn w:val="Normal"/>
    <w:link w:val="PlainTextChar"/>
    <w:uiPriority w:val="99"/>
    <w:unhideWhenUsed/>
    <w:rsid w:val="00F37E17"/>
    <w:pPr>
      <w:spacing w:after="0"/>
      <w:ind w:firstLine="0"/>
      <w:jc w:val="left"/>
    </w:pPr>
    <w:rPr>
      <w:rFonts w:ascii="Consolas" w:eastAsia="Calibri" w:hAnsi="Consolas"/>
      <w:sz w:val="21"/>
      <w:szCs w:val="21"/>
      <w:lang w:val="x-none" w:eastAsia="x-none"/>
    </w:rPr>
  </w:style>
  <w:style w:type="character" w:customStyle="1" w:styleId="PlainTextChar">
    <w:name w:val="Plain Text Char"/>
    <w:link w:val="PlainText"/>
    <w:uiPriority w:val="99"/>
    <w:rsid w:val="00F37E17"/>
    <w:rPr>
      <w:rFonts w:ascii="Consolas" w:hAnsi="Consolas"/>
      <w:sz w:val="21"/>
      <w:szCs w:val="21"/>
    </w:rPr>
  </w:style>
  <w:style w:type="paragraph" w:customStyle="1" w:styleId="Text1">
    <w:name w:val="Text 1"/>
    <w:basedOn w:val="Normal"/>
    <w:uiPriority w:val="99"/>
    <w:rsid w:val="003E6294"/>
    <w:pPr>
      <w:spacing w:before="120"/>
      <w:ind w:left="850" w:firstLine="0"/>
    </w:pPr>
    <w:rPr>
      <w:lang w:val="en-GB" w:eastAsia="de-DE"/>
    </w:rPr>
  </w:style>
  <w:style w:type="character" w:styleId="FollowedHyperlink">
    <w:name w:val="FollowedHyperlink"/>
    <w:uiPriority w:val="99"/>
    <w:semiHidden/>
    <w:unhideWhenUsed/>
    <w:rsid w:val="00DE6E4F"/>
    <w:rPr>
      <w:color w:val="800080"/>
      <w:u w:val="single"/>
    </w:rPr>
  </w:style>
  <w:style w:type="paragraph" w:styleId="Revision">
    <w:name w:val="Revision"/>
    <w:hidden/>
    <w:uiPriority w:val="99"/>
    <w:semiHidden/>
    <w:rsid w:val="0050658A"/>
    <w:rPr>
      <w:rFonts w:eastAsia="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48308">
      <w:bodyDiv w:val="1"/>
      <w:marLeft w:val="0"/>
      <w:marRight w:val="0"/>
      <w:marTop w:val="0"/>
      <w:marBottom w:val="0"/>
      <w:divBdr>
        <w:top w:val="none" w:sz="0" w:space="0" w:color="auto"/>
        <w:left w:val="none" w:sz="0" w:space="0" w:color="auto"/>
        <w:bottom w:val="none" w:sz="0" w:space="0" w:color="auto"/>
        <w:right w:val="none" w:sz="0" w:space="0" w:color="auto"/>
      </w:divBdr>
    </w:div>
    <w:div w:id="59524733">
      <w:bodyDiv w:val="1"/>
      <w:marLeft w:val="0"/>
      <w:marRight w:val="0"/>
      <w:marTop w:val="0"/>
      <w:marBottom w:val="0"/>
      <w:divBdr>
        <w:top w:val="none" w:sz="0" w:space="0" w:color="auto"/>
        <w:left w:val="none" w:sz="0" w:space="0" w:color="auto"/>
        <w:bottom w:val="none" w:sz="0" w:space="0" w:color="auto"/>
        <w:right w:val="none" w:sz="0" w:space="0" w:color="auto"/>
      </w:divBdr>
      <w:divsChild>
        <w:div w:id="477651685">
          <w:marLeft w:val="547"/>
          <w:marRight w:val="0"/>
          <w:marTop w:val="115"/>
          <w:marBottom w:val="0"/>
          <w:divBdr>
            <w:top w:val="none" w:sz="0" w:space="0" w:color="auto"/>
            <w:left w:val="none" w:sz="0" w:space="0" w:color="auto"/>
            <w:bottom w:val="none" w:sz="0" w:space="0" w:color="auto"/>
            <w:right w:val="none" w:sz="0" w:space="0" w:color="auto"/>
          </w:divBdr>
        </w:div>
      </w:divsChild>
    </w:div>
    <w:div w:id="97528532">
      <w:bodyDiv w:val="1"/>
      <w:marLeft w:val="0"/>
      <w:marRight w:val="0"/>
      <w:marTop w:val="0"/>
      <w:marBottom w:val="0"/>
      <w:divBdr>
        <w:top w:val="none" w:sz="0" w:space="0" w:color="auto"/>
        <w:left w:val="none" w:sz="0" w:space="0" w:color="auto"/>
        <w:bottom w:val="none" w:sz="0" w:space="0" w:color="auto"/>
        <w:right w:val="none" w:sz="0" w:space="0" w:color="auto"/>
      </w:divBdr>
    </w:div>
    <w:div w:id="152533527">
      <w:bodyDiv w:val="1"/>
      <w:marLeft w:val="0"/>
      <w:marRight w:val="0"/>
      <w:marTop w:val="0"/>
      <w:marBottom w:val="0"/>
      <w:divBdr>
        <w:top w:val="none" w:sz="0" w:space="0" w:color="auto"/>
        <w:left w:val="none" w:sz="0" w:space="0" w:color="auto"/>
        <w:bottom w:val="none" w:sz="0" w:space="0" w:color="auto"/>
        <w:right w:val="none" w:sz="0" w:space="0" w:color="auto"/>
      </w:divBdr>
    </w:div>
    <w:div w:id="246577193">
      <w:bodyDiv w:val="1"/>
      <w:marLeft w:val="0"/>
      <w:marRight w:val="0"/>
      <w:marTop w:val="0"/>
      <w:marBottom w:val="0"/>
      <w:divBdr>
        <w:top w:val="none" w:sz="0" w:space="0" w:color="auto"/>
        <w:left w:val="none" w:sz="0" w:space="0" w:color="auto"/>
        <w:bottom w:val="none" w:sz="0" w:space="0" w:color="auto"/>
        <w:right w:val="none" w:sz="0" w:space="0" w:color="auto"/>
      </w:divBdr>
    </w:div>
    <w:div w:id="257448177">
      <w:bodyDiv w:val="1"/>
      <w:marLeft w:val="0"/>
      <w:marRight w:val="0"/>
      <w:marTop w:val="0"/>
      <w:marBottom w:val="0"/>
      <w:divBdr>
        <w:top w:val="none" w:sz="0" w:space="0" w:color="auto"/>
        <w:left w:val="none" w:sz="0" w:space="0" w:color="auto"/>
        <w:bottom w:val="none" w:sz="0" w:space="0" w:color="auto"/>
        <w:right w:val="none" w:sz="0" w:space="0" w:color="auto"/>
      </w:divBdr>
    </w:div>
    <w:div w:id="315257808">
      <w:bodyDiv w:val="1"/>
      <w:marLeft w:val="0"/>
      <w:marRight w:val="0"/>
      <w:marTop w:val="0"/>
      <w:marBottom w:val="0"/>
      <w:divBdr>
        <w:top w:val="none" w:sz="0" w:space="0" w:color="auto"/>
        <w:left w:val="none" w:sz="0" w:space="0" w:color="auto"/>
        <w:bottom w:val="none" w:sz="0" w:space="0" w:color="auto"/>
        <w:right w:val="none" w:sz="0" w:space="0" w:color="auto"/>
      </w:divBdr>
    </w:div>
    <w:div w:id="323709127">
      <w:bodyDiv w:val="1"/>
      <w:marLeft w:val="0"/>
      <w:marRight w:val="0"/>
      <w:marTop w:val="0"/>
      <w:marBottom w:val="0"/>
      <w:divBdr>
        <w:top w:val="none" w:sz="0" w:space="0" w:color="auto"/>
        <w:left w:val="none" w:sz="0" w:space="0" w:color="auto"/>
        <w:bottom w:val="none" w:sz="0" w:space="0" w:color="auto"/>
        <w:right w:val="none" w:sz="0" w:space="0" w:color="auto"/>
      </w:divBdr>
    </w:div>
    <w:div w:id="353307604">
      <w:bodyDiv w:val="1"/>
      <w:marLeft w:val="0"/>
      <w:marRight w:val="0"/>
      <w:marTop w:val="0"/>
      <w:marBottom w:val="0"/>
      <w:divBdr>
        <w:top w:val="none" w:sz="0" w:space="0" w:color="auto"/>
        <w:left w:val="none" w:sz="0" w:space="0" w:color="auto"/>
        <w:bottom w:val="none" w:sz="0" w:space="0" w:color="auto"/>
        <w:right w:val="none" w:sz="0" w:space="0" w:color="auto"/>
      </w:divBdr>
    </w:div>
    <w:div w:id="615067437">
      <w:bodyDiv w:val="1"/>
      <w:marLeft w:val="0"/>
      <w:marRight w:val="0"/>
      <w:marTop w:val="0"/>
      <w:marBottom w:val="0"/>
      <w:divBdr>
        <w:top w:val="none" w:sz="0" w:space="0" w:color="auto"/>
        <w:left w:val="none" w:sz="0" w:space="0" w:color="auto"/>
        <w:bottom w:val="none" w:sz="0" w:space="0" w:color="auto"/>
        <w:right w:val="none" w:sz="0" w:space="0" w:color="auto"/>
      </w:divBdr>
    </w:div>
    <w:div w:id="745415715">
      <w:bodyDiv w:val="1"/>
      <w:marLeft w:val="0"/>
      <w:marRight w:val="0"/>
      <w:marTop w:val="0"/>
      <w:marBottom w:val="0"/>
      <w:divBdr>
        <w:top w:val="none" w:sz="0" w:space="0" w:color="auto"/>
        <w:left w:val="none" w:sz="0" w:space="0" w:color="auto"/>
        <w:bottom w:val="none" w:sz="0" w:space="0" w:color="auto"/>
        <w:right w:val="none" w:sz="0" w:space="0" w:color="auto"/>
      </w:divBdr>
    </w:div>
    <w:div w:id="746808589">
      <w:bodyDiv w:val="1"/>
      <w:marLeft w:val="0"/>
      <w:marRight w:val="0"/>
      <w:marTop w:val="0"/>
      <w:marBottom w:val="0"/>
      <w:divBdr>
        <w:top w:val="none" w:sz="0" w:space="0" w:color="auto"/>
        <w:left w:val="none" w:sz="0" w:space="0" w:color="auto"/>
        <w:bottom w:val="none" w:sz="0" w:space="0" w:color="auto"/>
        <w:right w:val="none" w:sz="0" w:space="0" w:color="auto"/>
      </w:divBdr>
    </w:div>
    <w:div w:id="792557403">
      <w:bodyDiv w:val="1"/>
      <w:marLeft w:val="0"/>
      <w:marRight w:val="0"/>
      <w:marTop w:val="0"/>
      <w:marBottom w:val="0"/>
      <w:divBdr>
        <w:top w:val="none" w:sz="0" w:space="0" w:color="auto"/>
        <w:left w:val="none" w:sz="0" w:space="0" w:color="auto"/>
        <w:bottom w:val="none" w:sz="0" w:space="0" w:color="auto"/>
        <w:right w:val="none" w:sz="0" w:space="0" w:color="auto"/>
      </w:divBdr>
    </w:div>
    <w:div w:id="972564478">
      <w:bodyDiv w:val="1"/>
      <w:marLeft w:val="0"/>
      <w:marRight w:val="0"/>
      <w:marTop w:val="0"/>
      <w:marBottom w:val="0"/>
      <w:divBdr>
        <w:top w:val="none" w:sz="0" w:space="0" w:color="auto"/>
        <w:left w:val="none" w:sz="0" w:space="0" w:color="auto"/>
        <w:bottom w:val="none" w:sz="0" w:space="0" w:color="auto"/>
        <w:right w:val="none" w:sz="0" w:space="0" w:color="auto"/>
      </w:divBdr>
    </w:div>
    <w:div w:id="1047530873">
      <w:bodyDiv w:val="1"/>
      <w:marLeft w:val="0"/>
      <w:marRight w:val="0"/>
      <w:marTop w:val="0"/>
      <w:marBottom w:val="0"/>
      <w:divBdr>
        <w:top w:val="none" w:sz="0" w:space="0" w:color="auto"/>
        <w:left w:val="none" w:sz="0" w:space="0" w:color="auto"/>
        <w:bottom w:val="none" w:sz="0" w:space="0" w:color="auto"/>
        <w:right w:val="none" w:sz="0" w:space="0" w:color="auto"/>
      </w:divBdr>
    </w:div>
    <w:div w:id="1174956974">
      <w:bodyDiv w:val="1"/>
      <w:marLeft w:val="0"/>
      <w:marRight w:val="0"/>
      <w:marTop w:val="0"/>
      <w:marBottom w:val="0"/>
      <w:divBdr>
        <w:top w:val="none" w:sz="0" w:space="0" w:color="auto"/>
        <w:left w:val="none" w:sz="0" w:space="0" w:color="auto"/>
        <w:bottom w:val="none" w:sz="0" w:space="0" w:color="auto"/>
        <w:right w:val="none" w:sz="0" w:space="0" w:color="auto"/>
      </w:divBdr>
    </w:div>
    <w:div w:id="1366710611">
      <w:bodyDiv w:val="1"/>
      <w:marLeft w:val="0"/>
      <w:marRight w:val="0"/>
      <w:marTop w:val="0"/>
      <w:marBottom w:val="0"/>
      <w:divBdr>
        <w:top w:val="none" w:sz="0" w:space="0" w:color="auto"/>
        <w:left w:val="none" w:sz="0" w:space="0" w:color="auto"/>
        <w:bottom w:val="none" w:sz="0" w:space="0" w:color="auto"/>
        <w:right w:val="none" w:sz="0" w:space="0" w:color="auto"/>
      </w:divBdr>
    </w:div>
    <w:div w:id="1540168377">
      <w:bodyDiv w:val="1"/>
      <w:marLeft w:val="0"/>
      <w:marRight w:val="0"/>
      <w:marTop w:val="0"/>
      <w:marBottom w:val="0"/>
      <w:divBdr>
        <w:top w:val="none" w:sz="0" w:space="0" w:color="auto"/>
        <w:left w:val="none" w:sz="0" w:space="0" w:color="auto"/>
        <w:bottom w:val="none" w:sz="0" w:space="0" w:color="auto"/>
        <w:right w:val="none" w:sz="0" w:space="0" w:color="auto"/>
      </w:divBdr>
    </w:div>
    <w:div w:id="1690832703">
      <w:bodyDiv w:val="1"/>
      <w:marLeft w:val="0"/>
      <w:marRight w:val="0"/>
      <w:marTop w:val="0"/>
      <w:marBottom w:val="0"/>
      <w:divBdr>
        <w:top w:val="none" w:sz="0" w:space="0" w:color="auto"/>
        <w:left w:val="none" w:sz="0" w:space="0" w:color="auto"/>
        <w:bottom w:val="none" w:sz="0" w:space="0" w:color="auto"/>
        <w:right w:val="none" w:sz="0" w:space="0" w:color="auto"/>
      </w:divBdr>
    </w:div>
    <w:div w:id="1725173312">
      <w:bodyDiv w:val="1"/>
      <w:marLeft w:val="0"/>
      <w:marRight w:val="0"/>
      <w:marTop w:val="0"/>
      <w:marBottom w:val="0"/>
      <w:divBdr>
        <w:top w:val="none" w:sz="0" w:space="0" w:color="auto"/>
        <w:left w:val="none" w:sz="0" w:space="0" w:color="auto"/>
        <w:bottom w:val="none" w:sz="0" w:space="0" w:color="auto"/>
        <w:right w:val="none" w:sz="0" w:space="0" w:color="auto"/>
      </w:divBdr>
    </w:div>
    <w:div w:id="1747871660">
      <w:bodyDiv w:val="1"/>
      <w:marLeft w:val="0"/>
      <w:marRight w:val="0"/>
      <w:marTop w:val="0"/>
      <w:marBottom w:val="0"/>
      <w:divBdr>
        <w:top w:val="none" w:sz="0" w:space="0" w:color="auto"/>
        <w:left w:val="none" w:sz="0" w:space="0" w:color="auto"/>
        <w:bottom w:val="none" w:sz="0" w:space="0" w:color="auto"/>
        <w:right w:val="none" w:sz="0" w:space="0" w:color="auto"/>
      </w:divBdr>
    </w:div>
    <w:div w:id="1748962890">
      <w:bodyDiv w:val="1"/>
      <w:marLeft w:val="0"/>
      <w:marRight w:val="0"/>
      <w:marTop w:val="0"/>
      <w:marBottom w:val="0"/>
      <w:divBdr>
        <w:top w:val="none" w:sz="0" w:space="0" w:color="auto"/>
        <w:left w:val="none" w:sz="0" w:space="0" w:color="auto"/>
        <w:bottom w:val="none" w:sz="0" w:space="0" w:color="auto"/>
        <w:right w:val="none" w:sz="0" w:space="0" w:color="auto"/>
      </w:divBdr>
      <w:divsChild>
        <w:div w:id="1777481858">
          <w:marLeft w:val="547"/>
          <w:marRight w:val="0"/>
          <w:marTop w:val="115"/>
          <w:marBottom w:val="0"/>
          <w:divBdr>
            <w:top w:val="none" w:sz="0" w:space="0" w:color="auto"/>
            <w:left w:val="none" w:sz="0" w:space="0" w:color="auto"/>
            <w:bottom w:val="none" w:sz="0" w:space="0" w:color="auto"/>
            <w:right w:val="none" w:sz="0" w:space="0" w:color="auto"/>
          </w:divBdr>
        </w:div>
      </w:divsChild>
    </w:div>
    <w:div w:id="1866597574">
      <w:bodyDiv w:val="1"/>
      <w:marLeft w:val="0"/>
      <w:marRight w:val="0"/>
      <w:marTop w:val="0"/>
      <w:marBottom w:val="0"/>
      <w:divBdr>
        <w:top w:val="none" w:sz="0" w:space="0" w:color="auto"/>
        <w:left w:val="none" w:sz="0" w:space="0" w:color="auto"/>
        <w:bottom w:val="none" w:sz="0" w:space="0" w:color="auto"/>
        <w:right w:val="none" w:sz="0" w:space="0" w:color="auto"/>
      </w:divBdr>
    </w:div>
    <w:div w:id="1885630103">
      <w:bodyDiv w:val="1"/>
      <w:marLeft w:val="0"/>
      <w:marRight w:val="0"/>
      <w:marTop w:val="0"/>
      <w:marBottom w:val="0"/>
      <w:divBdr>
        <w:top w:val="none" w:sz="0" w:space="0" w:color="auto"/>
        <w:left w:val="none" w:sz="0" w:space="0" w:color="auto"/>
        <w:bottom w:val="none" w:sz="0" w:space="0" w:color="auto"/>
        <w:right w:val="none" w:sz="0" w:space="0" w:color="auto"/>
      </w:divBdr>
    </w:div>
    <w:div w:id="1907059511">
      <w:bodyDiv w:val="1"/>
      <w:marLeft w:val="0"/>
      <w:marRight w:val="0"/>
      <w:marTop w:val="0"/>
      <w:marBottom w:val="0"/>
      <w:divBdr>
        <w:top w:val="none" w:sz="0" w:space="0" w:color="auto"/>
        <w:left w:val="none" w:sz="0" w:space="0" w:color="auto"/>
        <w:bottom w:val="none" w:sz="0" w:space="0" w:color="auto"/>
        <w:right w:val="none" w:sz="0" w:space="0" w:color="auto"/>
      </w:divBdr>
    </w:div>
    <w:div w:id="2029868814">
      <w:bodyDiv w:val="1"/>
      <w:marLeft w:val="0"/>
      <w:marRight w:val="0"/>
      <w:marTop w:val="0"/>
      <w:marBottom w:val="0"/>
      <w:divBdr>
        <w:top w:val="none" w:sz="0" w:space="0" w:color="auto"/>
        <w:left w:val="none" w:sz="0" w:space="0" w:color="auto"/>
        <w:bottom w:val="none" w:sz="0" w:space="0" w:color="auto"/>
        <w:right w:val="none" w:sz="0" w:space="0" w:color="auto"/>
      </w:divBdr>
    </w:div>
    <w:div w:id="2054846668">
      <w:bodyDiv w:val="1"/>
      <w:marLeft w:val="0"/>
      <w:marRight w:val="0"/>
      <w:marTop w:val="0"/>
      <w:marBottom w:val="0"/>
      <w:divBdr>
        <w:top w:val="none" w:sz="0" w:space="0" w:color="auto"/>
        <w:left w:val="none" w:sz="0" w:space="0" w:color="auto"/>
        <w:bottom w:val="none" w:sz="0" w:space="0" w:color="auto"/>
        <w:right w:val="none" w:sz="0" w:space="0" w:color="auto"/>
      </w:divBdr>
    </w:div>
    <w:div w:id="213046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em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8.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image" Target="media/image17.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5.emf"/><Relationship Id="rId29" Type="http://schemas.openxmlformats.org/officeDocument/2006/relationships/image" Target="media/image14.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image" Target="media/image16.emf"/><Relationship Id="rId37" Type="http://schemas.openxmlformats.org/officeDocument/2006/relationships/hyperlink" Target="mailto:Anda.Apse@fm.gov.lv"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5.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hyperlink" Target="http://www.klientuskola.lv" TargetMode="External"/><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D8D64-AFD2-4FC8-AAFF-8274949277BD}">
  <ds:schemaRefs>
    <ds:schemaRef ds:uri="http://schemas.openxmlformats.org/officeDocument/2006/bibliography"/>
  </ds:schemaRefs>
</ds:datastoreItem>
</file>

<file path=customXml/itemProps2.xml><?xml version="1.0" encoding="utf-8"?>
<ds:datastoreItem xmlns:ds="http://schemas.openxmlformats.org/officeDocument/2006/customXml" ds:itemID="{68266030-2C29-4C2B-BBA5-3B452BAAAA7D}">
  <ds:schemaRefs>
    <ds:schemaRef ds:uri="http://schemas.openxmlformats.org/officeDocument/2006/bibliography"/>
  </ds:schemaRefs>
</ds:datastoreItem>
</file>

<file path=customXml/itemProps3.xml><?xml version="1.0" encoding="utf-8"?>
<ds:datastoreItem xmlns:ds="http://schemas.openxmlformats.org/officeDocument/2006/customXml" ds:itemID="{E695B2CD-920D-4633-86C2-78C2C2427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145580</Words>
  <Characters>82982</Characters>
  <Application>Microsoft Office Word</Application>
  <DocSecurity>0</DocSecurity>
  <Lines>691</Lines>
  <Paragraphs>456</Paragraphs>
  <ScaleCrop>false</ScaleCrop>
  <HeadingPairs>
    <vt:vector size="2" baseType="variant">
      <vt:variant>
        <vt:lpstr>Title</vt:lpstr>
      </vt:variant>
      <vt:variant>
        <vt:i4>1</vt:i4>
      </vt:variant>
    </vt:vector>
  </HeadingPairs>
  <TitlesOfParts>
    <vt:vector size="1" baseType="lpstr">
      <vt:lpstr>Latvijas Konverģences programma 2012. - 2015.gadam</vt:lpstr>
    </vt:vector>
  </TitlesOfParts>
  <Company>Finanšu ministrija</Company>
  <LinksUpToDate>false</LinksUpToDate>
  <CharactersWithSpaces>228106</CharactersWithSpaces>
  <SharedDoc>false</SharedDoc>
  <HLinks>
    <vt:vector size="240" baseType="variant">
      <vt:variant>
        <vt:i4>2293767</vt:i4>
      </vt:variant>
      <vt:variant>
        <vt:i4>234</vt:i4>
      </vt:variant>
      <vt:variant>
        <vt:i4>0</vt:i4>
      </vt:variant>
      <vt:variant>
        <vt:i4>5</vt:i4>
      </vt:variant>
      <vt:variant>
        <vt:lpwstr>mailto:Anda.Apse@fm.gov.lv</vt:lpwstr>
      </vt:variant>
      <vt:variant>
        <vt:lpwstr/>
      </vt:variant>
      <vt:variant>
        <vt:i4>7143484</vt:i4>
      </vt:variant>
      <vt:variant>
        <vt:i4>231</vt:i4>
      </vt:variant>
      <vt:variant>
        <vt:i4>0</vt:i4>
      </vt:variant>
      <vt:variant>
        <vt:i4>5</vt:i4>
      </vt:variant>
      <vt:variant>
        <vt:lpwstr>http://www.klientuskola.lv/</vt:lpwstr>
      </vt:variant>
      <vt:variant>
        <vt:lpwstr/>
      </vt:variant>
      <vt:variant>
        <vt:i4>1245233</vt:i4>
      </vt:variant>
      <vt:variant>
        <vt:i4>224</vt:i4>
      </vt:variant>
      <vt:variant>
        <vt:i4>0</vt:i4>
      </vt:variant>
      <vt:variant>
        <vt:i4>5</vt:i4>
      </vt:variant>
      <vt:variant>
        <vt:lpwstr/>
      </vt:variant>
      <vt:variant>
        <vt:lpwstr>_Toc322789885</vt:lpwstr>
      </vt:variant>
      <vt:variant>
        <vt:i4>1245233</vt:i4>
      </vt:variant>
      <vt:variant>
        <vt:i4>218</vt:i4>
      </vt:variant>
      <vt:variant>
        <vt:i4>0</vt:i4>
      </vt:variant>
      <vt:variant>
        <vt:i4>5</vt:i4>
      </vt:variant>
      <vt:variant>
        <vt:lpwstr/>
      </vt:variant>
      <vt:variant>
        <vt:lpwstr>_Toc322789884</vt:lpwstr>
      </vt:variant>
      <vt:variant>
        <vt:i4>1245233</vt:i4>
      </vt:variant>
      <vt:variant>
        <vt:i4>212</vt:i4>
      </vt:variant>
      <vt:variant>
        <vt:i4>0</vt:i4>
      </vt:variant>
      <vt:variant>
        <vt:i4>5</vt:i4>
      </vt:variant>
      <vt:variant>
        <vt:lpwstr/>
      </vt:variant>
      <vt:variant>
        <vt:lpwstr>_Toc322789883</vt:lpwstr>
      </vt:variant>
      <vt:variant>
        <vt:i4>1245233</vt:i4>
      </vt:variant>
      <vt:variant>
        <vt:i4>206</vt:i4>
      </vt:variant>
      <vt:variant>
        <vt:i4>0</vt:i4>
      </vt:variant>
      <vt:variant>
        <vt:i4>5</vt:i4>
      </vt:variant>
      <vt:variant>
        <vt:lpwstr/>
      </vt:variant>
      <vt:variant>
        <vt:lpwstr>_Toc322789882</vt:lpwstr>
      </vt:variant>
      <vt:variant>
        <vt:i4>1245233</vt:i4>
      </vt:variant>
      <vt:variant>
        <vt:i4>200</vt:i4>
      </vt:variant>
      <vt:variant>
        <vt:i4>0</vt:i4>
      </vt:variant>
      <vt:variant>
        <vt:i4>5</vt:i4>
      </vt:variant>
      <vt:variant>
        <vt:lpwstr/>
      </vt:variant>
      <vt:variant>
        <vt:lpwstr>_Toc322789881</vt:lpwstr>
      </vt:variant>
      <vt:variant>
        <vt:i4>1245233</vt:i4>
      </vt:variant>
      <vt:variant>
        <vt:i4>194</vt:i4>
      </vt:variant>
      <vt:variant>
        <vt:i4>0</vt:i4>
      </vt:variant>
      <vt:variant>
        <vt:i4>5</vt:i4>
      </vt:variant>
      <vt:variant>
        <vt:lpwstr/>
      </vt:variant>
      <vt:variant>
        <vt:lpwstr>_Toc322789880</vt:lpwstr>
      </vt:variant>
      <vt:variant>
        <vt:i4>1835057</vt:i4>
      </vt:variant>
      <vt:variant>
        <vt:i4>188</vt:i4>
      </vt:variant>
      <vt:variant>
        <vt:i4>0</vt:i4>
      </vt:variant>
      <vt:variant>
        <vt:i4>5</vt:i4>
      </vt:variant>
      <vt:variant>
        <vt:lpwstr/>
      </vt:variant>
      <vt:variant>
        <vt:lpwstr>_Toc322789879</vt:lpwstr>
      </vt:variant>
      <vt:variant>
        <vt:i4>1835057</vt:i4>
      </vt:variant>
      <vt:variant>
        <vt:i4>182</vt:i4>
      </vt:variant>
      <vt:variant>
        <vt:i4>0</vt:i4>
      </vt:variant>
      <vt:variant>
        <vt:i4>5</vt:i4>
      </vt:variant>
      <vt:variant>
        <vt:lpwstr/>
      </vt:variant>
      <vt:variant>
        <vt:lpwstr>_Toc322789878</vt:lpwstr>
      </vt:variant>
      <vt:variant>
        <vt:i4>1835057</vt:i4>
      </vt:variant>
      <vt:variant>
        <vt:i4>176</vt:i4>
      </vt:variant>
      <vt:variant>
        <vt:i4>0</vt:i4>
      </vt:variant>
      <vt:variant>
        <vt:i4>5</vt:i4>
      </vt:variant>
      <vt:variant>
        <vt:lpwstr/>
      </vt:variant>
      <vt:variant>
        <vt:lpwstr>_Toc322789877</vt:lpwstr>
      </vt:variant>
      <vt:variant>
        <vt:i4>1835057</vt:i4>
      </vt:variant>
      <vt:variant>
        <vt:i4>170</vt:i4>
      </vt:variant>
      <vt:variant>
        <vt:i4>0</vt:i4>
      </vt:variant>
      <vt:variant>
        <vt:i4>5</vt:i4>
      </vt:variant>
      <vt:variant>
        <vt:lpwstr/>
      </vt:variant>
      <vt:variant>
        <vt:lpwstr>_Toc322789876</vt:lpwstr>
      </vt:variant>
      <vt:variant>
        <vt:i4>1835057</vt:i4>
      </vt:variant>
      <vt:variant>
        <vt:i4>164</vt:i4>
      </vt:variant>
      <vt:variant>
        <vt:i4>0</vt:i4>
      </vt:variant>
      <vt:variant>
        <vt:i4>5</vt:i4>
      </vt:variant>
      <vt:variant>
        <vt:lpwstr/>
      </vt:variant>
      <vt:variant>
        <vt:lpwstr>_Toc322789875</vt:lpwstr>
      </vt:variant>
      <vt:variant>
        <vt:i4>1835057</vt:i4>
      </vt:variant>
      <vt:variant>
        <vt:i4>158</vt:i4>
      </vt:variant>
      <vt:variant>
        <vt:i4>0</vt:i4>
      </vt:variant>
      <vt:variant>
        <vt:i4>5</vt:i4>
      </vt:variant>
      <vt:variant>
        <vt:lpwstr/>
      </vt:variant>
      <vt:variant>
        <vt:lpwstr>_Toc322789874</vt:lpwstr>
      </vt:variant>
      <vt:variant>
        <vt:i4>1835057</vt:i4>
      </vt:variant>
      <vt:variant>
        <vt:i4>152</vt:i4>
      </vt:variant>
      <vt:variant>
        <vt:i4>0</vt:i4>
      </vt:variant>
      <vt:variant>
        <vt:i4>5</vt:i4>
      </vt:variant>
      <vt:variant>
        <vt:lpwstr/>
      </vt:variant>
      <vt:variant>
        <vt:lpwstr>_Toc322789873</vt:lpwstr>
      </vt:variant>
      <vt:variant>
        <vt:i4>1835057</vt:i4>
      </vt:variant>
      <vt:variant>
        <vt:i4>146</vt:i4>
      </vt:variant>
      <vt:variant>
        <vt:i4>0</vt:i4>
      </vt:variant>
      <vt:variant>
        <vt:i4>5</vt:i4>
      </vt:variant>
      <vt:variant>
        <vt:lpwstr/>
      </vt:variant>
      <vt:variant>
        <vt:lpwstr>_Toc322789872</vt:lpwstr>
      </vt:variant>
      <vt:variant>
        <vt:i4>1835057</vt:i4>
      </vt:variant>
      <vt:variant>
        <vt:i4>140</vt:i4>
      </vt:variant>
      <vt:variant>
        <vt:i4>0</vt:i4>
      </vt:variant>
      <vt:variant>
        <vt:i4>5</vt:i4>
      </vt:variant>
      <vt:variant>
        <vt:lpwstr/>
      </vt:variant>
      <vt:variant>
        <vt:lpwstr>_Toc322789871</vt:lpwstr>
      </vt:variant>
      <vt:variant>
        <vt:i4>1835057</vt:i4>
      </vt:variant>
      <vt:variant>
        <vt:i4>134</vt:i4>
      </vt:variant>
      <vt:variant>
        <vt:i4>0</vt:i4>
      </vt:variant>
      <vt:variant>
        <vt:i4>5</vt:i4>
      </vt:variant>
      <vt:variant>
        <vt:lpwstr/>
      </vt:variant>
      <vt:variant>
        <vt:lpwstr>_Toc322789870</vt:lpwstr>
      </vt:variant>
      <vt:variant>
        <vt:i4>1900593</vt:i4>
      </vt:variant>
      <vt:variant>
        <vt:i4>128</vt:i4>
      </vt:variant>
      <vt:variant>
        <vt:i4>0</vt:i4>
      </vt:variant>
      <vt:variant>
        <vt:i4>5</vt:i4>
      </vt:variant>
      <vt:variant>
        <vt:lpwstr/>
      </vt:variant>
      <vt:variant>
        <vt:lpwstr>_Toc322789869</vt:lpwstr>
      </vt:variant>
      <vt:variant>
        <vt:i4>1900593</vt:i4>
      </vt:variant>
      <vt:variant>
        <vt:i4>122</vt:i4>
      </vt:variant>
      <vt:variant>
        <vt:i4>0</vt:i4>
      </vt:variant>
      <vt:variant>
        <vt:i4>5</vt:i4>
      </vt:variant>
      <vt:variant>
        <vt:lpwstr/>
      </vt:variant>
      <vt:variant>
        <vt:lpwstr>_Toc322789868</vt:lpwstr>
      </vt:variant>
      <vt:variant>
        <vt:i4>1900593</vt:i4>
      </vt:variant>
      <vt:variant>
        <vt:i4>116</vt:i4>
      </vt:variant>
      <vt:variant>
        <vt:i4>0</vt:i4>
      </vt:variant>
      <vt:variant>
        <vt:i4>5</vt:i4>
      </vt:variant>
      <vt:variant>
        <vt:lpwstr/>
      </vt:variant>
      <vt:variant>
        <vt:lpwstr>_Toc322789867</vt:lpwstr>
      </vt:variant>
      <vt:variant>
        <vt:i4>1900593</vt:i4>
      </vt:variant>
      <vt:variant>
        <vt:i4>110</vt:i4>
      </vt:variant>
      <vt:variant>
        <vt:i4>0</vt:i4>
      </vt:variant>
      <vt:variant>
        <vt:i4>5</vt:i4>
      </vt:variant>
      <vt:variant>
        <vt:lpwstr/>
      </vt:variant>
      <vt:variant>
        <vt:lpwstr>_Toc322789866</vt:lpwstr>
      </vt:variant>
      <vt:variant>
        <vt:i4>1900593</vt:i4>
      </vt:variant>
      <vt:variant>
        <vt:i4>104</vt:i4>
      </vt:variant>
      <vt:variant>
        <vt:i4>0</vt:i4>
      </vt:variant>
      <vt:variant>
        <vt:i4>5</vt:i4>
      </vt:variant>
      <vt:variant>
        <vt:lpwstr/>
      </vt:variant>
      <vt:variant>
        <vt:lpwstr>_Toc322789865</vt:lpwstr>
      </vt:variant>
      <vt:variant>
        <vt:i4>1900593</vt:i4>
      </vt:variant>
      <vt:variant>
        <vt:i4>98</vt:i4>
      </vt:variant>
      <vt:variant>
        <vt:i4>0</vt:i4>
      </vt:variant>
      <vt:variant>
        <vt:i4>5</vt:i4>
      </vt:variant>
      <vt:variant>
        <vt:lpwstr/>
      </vt:variant>
      <vt:variant>
        <vt:lpwstr>_Toc322789864</vt:lpwstr>
      </vt:variant>
      <vt:variant>
        <vt:i4>1900593</vt:i4>
      </vt:variant>
      <vt:variant>
        <vt:i4>92</vt:i4>
      </vt:variant>
      <vt:variant>
        <vt:i4>0</vt:i4>
      </vt:variant>
      <vt:variant>
        <vt:i4>5</vt:i4>
      </vt:variant>
      <vt:variant>
        <vt:lpwstr/>
      </vt:variant>
      <vt:variant>
        <vt:lpwstr>_Toc322789863</vt:lpwstr>
      </vt:variant>
      <vt:variant>
        <vt:i4>1900593</vt:i4>
      </vt:variant>
      <vt:variant>
        <vt:i4>86</vt:i4>
      </vt:variant>
      <vt:variant>
        <vt:i4>0</vt:i4>
      </vt:variant>
      <vt:variant>
        <vt:i4>5</vt:i4>
      </vt:variant>
      <vt:variant>
        <vt:lpwstr/>
      </vt:variant>
      <vt:variant>
        <vt:lpwstr>_Toc322789862</vt:lpwstr>
      </vt:variant>
      <vt:variant>
        <vt:i4>1900593</vt:i4>
      </vt:variant>
      <vt:variant>
        <vt:i4>80</vt:i4>
      </vt:variant>
      <vt:variant>
        <vt:i4>0</vt:i4>
      </vt:variant>
      <vt:variant>
        <vt:i4>5</vt:i4>
      </vt:variant>
      <vt:variant>
        <vt:lpwstr/>
      </vt:variant>
      <vt:variant>
        <vt:lpwstr>_Toc322789861</vt:lpwstr>
      </vt:variant>
      <vt:variant>
        <vt:i4>1900593</vt:i4>
      </vt:variant>
      <vt:variant>
        <vt:i4>74</vt:i4>
      </vt:variant>
      <vt:variant>
        <vt:i4>0</vt:i4>
      </vt:variant>
      <vt:variant>
        <vt:i4>5</vt:i4>
      </vt:variant>
      <vt:variant>
        <vt:lpwstr/>
      </vt:variant>
      <vt:variant>
        <vt:lpwstr>_Toc322789860</vt:lpwstr>
      </vt:variant>
      <vt:variant>
        <vt:i4>1966129</vt:i4>
      </vt:variant>
      <vt:variant>
        <vt:i4>68</vt:i4>
      </vt:variant>
      <vt:variant>
        <vt:i4>0</vt:i4>
      </vt:variant>
      <vt:variant>
        <vt:i4>5</vt:i4>
      </vt:variant>
      <vt:variant>
        <vt:lpwstr/>
      </vt:variant>
      <vt:variant>
        <vt:lpwstr>_Toc322789859</vt:lpwstr>
      </vt:variant>
      <vt:variant>
        <vt:i4>1966129</vt:i4>
      </vt:variant>
      <vt:variant>
        <vt:i4>62</vt:i4>
      </vt:variant>
      <vt:variant>
        <vt:i4>0</vt:i4>
      </vt:variant>
      <vt:variant>
        <vt:i4>5</vt:i4>
      </vt:variant>
      <vt:variant>
        <vt:lpwstr/>
      </vt:variant>
      <vt:variant>
        <vt:lpwstr>_Toc322789858</vt:lpwstr>
      </vt:variant>
      <vt:variant>
        <vt:i4>1966129</vt:i4>
      </vt:variant>
      <vt:variant>
        <vt:i4>56</vt:i4>
      </vt:variant>
      <vt:variant>
        <vt:i4>0</vt:i4>
      </vt:variant>
      <vt:variant>
        <vt:i4>5</vt:i4>
      </vt:variant>
      <vt:variant>
        <vt:lpwstr/>
      </vt:variant>
      <vt:variant>
        <vt:lpwstr>_Toc322789857</vt:lpwstr>
      </vt:variant>
      <vt:variant>
        <vt:i4>1966129</vt:i4>
      </vt:variant>
      <vt:variant>
        <vt:i4>50</vt:i4>
      </vt:variant>
      <vt:variant>
        <vt:i4>0</vt:i4>
      </vt:variant>
      <vt:variant>
        <vt:i4>5</vt:i4>
      </vt:variant>
      <vt:variant>
        <vt:lpwstr/>
      </vt:variant>
      <vt:variant>
        <vt:lpwstr>_Toc322789856</vt:lpwstr>
      </vt:variant>
      <vt:variant>
        <vt:i4>1966129</vt:i4>
      </vt:variant>
      <vt:variant>
        <vt:i4>44</vt:i4>
      </vt:variant>
      <vt:variant>
        <vt:i4>0</vt:i4>
      </vt:variant>
      <vt:variant>
        <vt:i4>5</vt:i4>
      </vt:variant>
      <vt:variant>
        <vt:lpwstr/>
      </vt:variant>
      <vt:variant>
        <vt:lpwstr>_Toc322789855</vt:lpwstr>
      </vt:variant>
      <vt:variant>
        <vt:i4>1966129</vt:i4>
      </vt:variant>
      <vt:variant>
        <vt:i4>38</vt:i4>
      </vt:variant>
      <vt:variant>
        <vt:i4>0</vt:i4>
      </vt:variant>
      <vt:variant>
        <vt:i4>5</vt:i4>
      </vt:variant>
      <vt:variant>
        <vt:lpwstr/>
      </vt:variant>
      <vt:variant>
        <vt:lpwstr>_Toc322789854</vt:lpwstr>
      </vt:variant>
      <vt:variant>
        <vt:i4>1966129</vt:i4>
      </vt:variant>
      <vt:variant>
        <vt:i4>32</vt:i4>
      </vt:variant>
      <vt:variant>
        <vt:i4>0</vt:i4>
      </vt:variant>
      <vt:variant>
        <vt:i4>5</vt:i4>
      </vt:variant>
      <vt:variant>
        <vt:lpwstr/>
      </vt:variant>
      <vt:variant>
        <vt:lpwstr>_Toc322789853</vt:lpwstr>
      </vt:variant>
      <vt:variant>
        <vt:i4>1966129</vt:i4>
      </vt:variant>
      <vt:variant>
        <vt:i4>26</vt:i4>
      </vt:variant>
      <vt:variant>
        <vt:i4>0</vt:i4>
      </vt:variant>
      <vt:variant>
        <vt:i4>5</vt:i4>
      </vt:variant>
      <vt:variant>
        <vt:lpwstr/>
      </vt:variant>
      <vt:variant>
        <vt:lpwstr>_Toc322789852</vt:lpwstr>
      </vt:variant>
      <vt:variant>
        <vt:i4>1966129</vt:i4>
      </vt:variant>
      <vt:variant>
        <vt:i4>20</vt:i4>
      </vt:variant>
      <vt:variant>
        <vt:i4>0</vt:i4>
      </vt:variant>
      <vt:variant>
        <vt:i4>5</vt:i4>
      </vt:variant>
      <vt:variant>
        <vt:lpwstr/>
      </vt:variant>
      <vt:variant>
        <vt:lpwstr>_Toc322789851</vt:lpwstr>
      </vt:variant>
      <vt:variant>
        <vt:i4>1966129</vt:i4>
      </vt:variant>
      <vt:variant>
        <vt:i4>14</vt:i4>
      </vt:variant>
      <vt:variant>
        <vt:i4>0</vt:i4>
      </vt:variant>
      <vt:variant>
        <vt:i4>5</vt:i4>
      </vt:variant>
      <vt:variant>
        <vt:lpwstr/>
      </vt:variant>
      <vt:variant>
        <vt:lpwstr>_Toc322789850</vt:lpwstr>
      </vt:variant>
      <vt:variant>
        <vt:i4>2031665</vt:i4>
      </vt:variant>
      <vt:variant>
        <vt:i4>8</vt:i4>
      </vt:variant>
      <vt:variant>
        <vt:i4>0</vt:i4>
      </vt:variant>
      <vt:variant>
        <vt:i4>5</vt:i4>
      </vt:variant>
      <vt:variant>
        <vt:lpwstr/>
      </vt:variant>
      <vt:variant>
        <vt:lpwstr>_Toc322789849</vt:lpwstr>
      </vt:variant>
      <vt:variant>
        <vt:i4>2031665</vt:i4>
      </vt:variant>
      <vt:variant>
        <vt:i4>2</vt:i4>
      </vt:variant>
      <vt:variant>
        <vt:i4>0</vt:i4>
      </vt:variant>
      <vt:variant>
        <vt:i4>5</vt:i4>
      </vt:variant>
      <vt:variant>
        <vt:lpwstr/>
      </vt:variant>
      <vt:variant>
        <vt:lpwstr>_Toc322789848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Latvijas Konverģences programma 2012. - 2015.gadam</dc:title>
  <dc:subject>Programma</dc:subject>
  <dc:creator>Anda Apse</dc:creator>
  <dc:description>67083887, Anda.Apse@fm.gov.lv</dc:description>
  <cp:lastModifiedBy>Apse Anda</cp:lastModifiedBy>
  <cp:revision>2</cp:revision>
  <cp:lastPrinted>2012-04-25T09:37:00Z</cp:lastPrinted>
  <dcterms:created xsi:type="dcterms:W3CDTF">2012-04-25T12:28:00Z</dcterms:created>
  <dcterms:modified xsi:type="dcterms:W3CDTF">2012-04-25T12:28:00Z</dcterms:modified>
</cp:coreProperties>
</file>