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1F242B" w:rsidRPr="00BA6B9C" w:rsidTr="00AB5A25">
        <w:trPr>
          <w:trHeight w:val="1129"/>
          <w:tblCellSpacing w:w="0" w:type="dxa"/>
        </w:trPr>
        <w:tc>
          <w:tcPr>
            <w:tcW w:w="0" w:type="auto"/>
            <w:vAlign w:val="center"/>
          </w:tcPr>
          <w:p w:rsidR="001F242B" w:rsidRPr="00BA6B9C" w:rsidRDefault="001F242B" w:rsidP="00460679">
            <w:pPr>
              <w:jc w:val="center"/>
              <w:rPr>
                <w:rFonts w:asciiTheme="majorHAnsi" w:hAnsiTheme="majorHAnsi" w:cstheme="majorHAnsi"/>
              </w:rPr>
            </w:pPr>
            <w:bookmarkStart w:id="0" w:name="OLE_LINK1"/>
            <w:bookmarkStart w:id="1" w:name="OLE_LINK2"/>
            <w:r w:rsidRPr="00BA6B9C">
              <w:rPr>
                <w:rFonts w:asciiTheme="majorHAnsi" w:hAnsiTheme="majorHAnsi" w:cstheme="majorHAnsi"/>
              </w:rPr>
              <w:t>Ministru kabineta rīkojuma projekta</w:t>
            </w:r>
          </w:p>
          <w:p w:rsidR="001F242B" w:rsidRPr="00BA6B9C" w:rsidRDefault="001F242B" w:rsidP="00460679">
            <w:pPr>
              <w:jc w:val="center"/>
              <w:rPr>
                <w:rFonts w:asciiTheme="majorHAnsi" w:hAnsiTheme="majorHAnsi" w:cstheme="majorHAnsi"/>
                <w:b/>
              </w:rPr>
            </w:pPr>
            <w:r w:rsidRPr="00BA6B9C">
              <w:rPr>
                <w:rFonts w:asciiTheme="majorHAnsi" w:hAnsiTheme="majorHAnsi" w:cstheme="majorHAnsi"/>
                <w:b/>
                <w:bCs/>
              </w:rPr>
              <w:t>„</w:t>
            </w:r>
            <w:r w:rsidR="009B0132" w:rsidRPr="00BA6B9C">
              <w:rPr>
                <w:rFonts w:asciiTheme="majorHAnsi" w:hAnsiTheme="majorHAnsi" w:cstheme="majorHAnsi"/>
                <w:b/>
              </w:rPr>
              <w:t xml:space="preserve">Grozījums </w:t>
            </w:r>
            <w:r w:rsidR="001B692A" w:rsidRPr="00BA6B9C">
              <w:rPr>
                <w:rFonts w:asciiTheme="majorHAnsi" w:hAnsiTheme="majorHAnsi" w:cstheme="majorHAnsi"/>
                <w:b/>
              </w:rPr>
              <w:t>Ministru kabineta 2010.gada 6.decembra rīkojumā Nr.702 „Par finansējuma piešķiršanu Rīgas pils Priekšpils projekta izdevumu segšanai”</w:t>
            </w:r>
            <w:r w:rsidRPr="00BA6B9C">
              <w:rPr>
                <w:rFonts w:asciiTheme="majorHAnsi" w:hAnsiTheme="majorHAnsi" w:cstheme="majorHAnsi"/>
                <w:b/>
                <w:bCs/>
              </w:rPr>
              <w:t>”</w:t>
            </w:r>
          </w:p>
          <w:p w:rsidR="001F242B" w:rsidRPr="00BA6B9C" w:rsidRDefault="001F242B" w:rsidP="00460679">
            <w:pPr>
              <w:jc w:val="center"/>
              <w:rPr>
                <w:rFonts w:asciiTheme="majorHAnsi" w:hAnsiTheme="majorHAnsi" w:cstheme="majorHAnsi"/>
              </w:rPr>
            </w:pPr>
            <w:r w:rsidRPr="00BA6B9C">
              <w:rPr>
                <w:rFonts w:asciiTheme="majorHAnsi" w:hAnsiTheme="majorHAnsi" w:cstheme="majorHAnsi"/>
              </w:rPr>
              <w:t xml:space="preserve">sākotnējās ietekmes novērtējuma ziņojums (anotācija) </w:t>
            </w:r>
          </w:p>
          <w:p w:rsidR="00460679" w:rsidRPr="00BA6B9C" w:rsidRDefault="00460679" w:rsidP="00460679">
            <w:pPr>
              <w:jc w:val="center"/>
              <w:rPr>
                <w:rFonts w:asciiTheme="majorHAnsi" w:hAnsiTheme="majorHAnsi" w:cstheme="maj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1F242B" w:rsidRPr="00BA6B9C" w:rsidTr="001B692A">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1F242B" w:rsidRPr="00BA6B9C" w:rsidRDefault="001F242B" w:rsidP="001B692A">
                  <w:pPr>
                    <w:jc w:val="center"/>
                    <w:rPr>
                      <w:rFonts w:asciiTheme="majorHAnsi" w:hAnsiTheme="majorHAnsi" w:cstheme="majorHAnsi"/>
                      <w:b/>
                    </w:rPr>
                  </w:pPr>
                  <w:r w:rsidRPr="00BA6B9C">
                    <w:rPr>
                      <w:rFonts w:asciiTheme="majorHAnsi" w:hAnsiTheme="majorHAnsi" w:cstheme="majorHAnsi"/>
                      <w:b/>
                    </w:rPr>
                    <w:t>I. Tiesību akta projekta izstrādes nepieciešamība</w:t>
                  </w: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3B16D6">
                  <w:pPr>
                    <w:jc w:val="both"/>
                    <w:rPr>
                      <w:rFonts w:asciiTheme="minorHAnsi" w:hAnsiTheme="minorHAnsi" w:cstheme="minorHAnsi"/>
                    </w:rPr>
                  </w:pPr>
                  <w:r w:rsidRPr="00BA6B9C">
                    <w:rPr>
                      <w:rFonts w:asciiTheme="minorHAnsi" w:hAnsiTheme="minorHAnsi" w:cstheme="minorHAnsi"/>
                    </w:rPr>
                    <w:t>1.</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3B16D6">
                  <w:pPr>
                    <w:jc w:val="both"/>
                    <w:rPr>
                      <w:rFonts w:asciiTheme="minorHAnsi" w:hAnsiTheme="minorHAnsi" w:cstheme="minorHAnsi"/>
                    </w:rPr>
                  </w:pPr>
                  <w:r w:rsidRPr="00BA6B9C">
                    <w:rPr>
                      <w:rFonts w:asciiTheme="minorHAnsi" w:hAnsiTheme="minorHAnsi" w:cstheme="minorHAnsi"/>
                    </w:rPr>
                    <w:t>Pamatojums</w:t>
                  </w:r>
                </w:p>
              </w:tc>
              <w:tc>
                <w:tcPr>
                  <w:tcW w:w="3773" w:type="pct"/>
                  <w:tcBorders>
                    <w:top w:val="outset" w:sz="6" w:space="0" w:color="auto"/>
                    <w:left w:val="outset" w:sz="6" w:space="0" w:color="auto"/>
                    <w:bottom w:val="outset" w:sz="6" w:space="0" w:color="auto"/>
                    <w:right w:val="outset" w:sz="6" w:space="0" w:color="auto"/>
                  </w:tcBorders>
                </w:tcPr>
                <w:p w:rsidR="004C2877" w:rsidRPr="00BA6B9C" w:rsidRDefault="00F00583" w:rsidP="0088213A">
                  <w:pPr>
                    <w:ind w:firstLine="586"/>
                    <w:jc w:val="both"/>
                    <w:rPr>
                      <w:rFonts w:asciiTheme="minorHAnsi" w:hAnsiTheme="minorHAnsi" w:cstheme="minorHAnsi"/>
                    </w:rPr>
                  </w:pPr>
                  <w:r w:rsidRPr="00BA6B9C">
                    <w:rPr>
                      <w:rFonts w:asciiTheme="minorHAnsi" w:hAnsiTheme="minorHAnsi" w:cstheme="minorHAnsi"/>
                    </w:rPr>
                    <w:t xml:space="preserve">Ministru kabineta rīkojuma projekts </w:t>
                  </w:r>
                  <w:r w:rsidR="001B692A" w:rsidRPr="00BA6B9C">
                    <w:rPr>
                      <w:rFonts w:asciiTheme="minorHAnsi" w:hAnsiTheme="minorHAnsi" w:cstheme="minorHAnsi"/>
                      <w:bCs/>
                    </w:rPr>
                    <w:t>„</w:t>
                  </w:r>
                  <w:r w:rsidR="009B0132" w:rsidRPr="00BA6B9C">
                    <w:rPr>
                      <w:rFonts w:asciiTheme="minorHAnsi" w:hAnsiTheme="minorHAnsi" w:cstheme="minorHAnsi"/>
                    </w:rPr>
                    <w:t xml:space="preserve">Grozījums </w:t>
                  </w:r>
                  <w:r w:rsidR="001B692A" w:rsidRPr="00BA6B9C">
                    <w:rPr>
                      <w:rFonts w:asciiTheme="minorHAnsi" w:hAnsiTheme="minorHAnsi" w:cstheme="minorHAnsi"/>
                    </w:rPr>
                    <w:t>Ministru kabineta 2010.gada 6.decembra rīkojumā Nr.702 „Par finansējuma piešķiršanu Rīgas pils Priekšpils projekta izdevumu segšanai”</w:t>
                  </w:r>
                  <w:r w:rsidR="001B692A" w:rsidRPr="00BA6B9C">
                    <w:rPr>
                      <w:rFonts w:asciiTheme="minorHAnsi" w:hAnsiTheme="minorHAnsi" w:cstheme="minorHAnsi"/>
                      <w:bCs/>
                    </w:rPr>
                    <w:t>”</w:t>
                  </w:r>
                  <w:r w:rsidR="008246DC" w:rsidRPr="00BA6B9C">
                    <w:rPr>
                      <w:rFonts w:asciiTheme="minorHAnsi" w:hAnsiTheme="minorHAnsi" w:cstheme="minorHAnsi"/>
                    </w:rPr>
                    <w:t xml:space="preserve"> (turpmāk – R</w:t>
                  </w:r>
                  <w:r w:rsidRPr="00BA6B9C">
                    <w:rPr>
                      <w:rFonts w:asciiTheme="minorHAnsi" w:hAnsiTheme="minorHAnsi" w:cstheme="minorHAnsi"/>
                    </w:rPr>
                    <w:t xml:space="preserve">īkojuma projekts) sagatavots, </w:t>
                  </w:r>
                  <w:r w:rsidR="001B692A" w:rsidRPr="00BA6B9C">
                    <w:rPr>
                      <w:rFonts w:asciiTheme="minorHAnsi" w:hAnsiTheme="minorHAnsi" w:cstheme="minorHAnsi"/>
                    </w:rPr>
                    <w:t xml:space="preserve">izpildot 2013.gada 25.jūnija Ministru kabineta sēdes </w:t>
                  </w:r>
                  <w:proofErr w:type="spellStart"/>
                  <w:r w:rsidR="001B692A" w:rsidRPr="00BA6B9C">
                    <w:rPr>
                      <w:rFonts w:asciiTheme="minorHAnsi" w:hAnsiTheme="minorHAnsi" w:cstheme="minorHAnsi"/>
                    </w:rPr>
                    <w:t>protokollēmuma</w:t>
                  </w:r>
                  <w:proofErr w:type="spellEnd"/>
                  <w:r w:rsidR="001B692A" w:rsidRPr="00BA6B9C">
                    <w:rPr>
                      <w:rFonts w:asciiTheme="minorHAnsi" w:hAnsiTheme="minorHAnsi" w:cstheme="minorHAnsi"/>
                    </w:rPr>
                    <w:t xml:space="preserve"> Nr.36 56.</w:t>
                  </w:r>
                  <w:r w:rsidR="004C2877" w:rsidRPr="00BA6B9C">
                    <w:rPr>
                      <w:rFonts w:asciiTheme="minorHAnsi" w:hAnsiTheme="minorHAnsi" w:cstheme="minorHAnsi"/>
                      <w:bCs/>
                    </w:rPr>
                    <w:t xml:space="preserve">§ (turpmāk - MK </w:t>
                  </w:r>
                  <w:proofErr w:type="spellStart"/>
                  <w:r w:rsidR="004C2877" w:rsidRPr="00BA6B9C">
                    <w:rPr>
                      <w:rFonts w:asciiTheme="minorHAnsi" w:hAnsiTheme="minorHAnsi" w:cstheme="minorHAnsi"/>
                      <w:bCs/>
                    </w:rPr>
                    <w:t>protokollēmums</w:t>
                  </w:r>
                  <w:proofErr w:type="spellEnd"/>
                  <w:r w:rsidR="004C2877" w:rsidRPr="00BA6B9C">
                    <w:rPr>
                      <w:rFonts w:asciiTheme="minorHAnsi" w:hAnsiTheme="minorHAnsi" w:cstheme="minorHAnsi"/>
                      <w:bCs/>
                    </w:rPr>
                    <w:t xml:space="preserve"> (prot.Nr.36 56.§))</w:t>
                  </w:r>
                  <w:r w:rsidR="00E33944" w:rsidRPr="00BA6B9C">
                    <w:rPr>
                      <w:rFonts w:asciiTheme="minorHAnsi" w:hAnsiTheme="minorHAnsi" w:cstheme="minorHAnsi"/>
                    </w:rPr>
                    <w:t xml:space="preserve"> 2.punktā doto uzdevumu </w:t>
                  </w:r>
                  <w:r w:rsidR="009E0975" w:rsidRPr="00BA6B9C">
                    <w:rPr>
                      <w:rFonts w:asciiTheme="minorHAnsi" w:hAnsiTheme="minorHAnsi" w:cstheme="minorHAnsi"/>
                    </w:rPr>
                    <w:t>Finanšu ministrijai (valsts akciju sabiedrībai „Valsts nekustamie īpašumi”</w:t>
                  </w:r>
                  <w:r w:rsidR="00A912E4" w:rsidRPr="00BA6B9C">
                    <w:rPr>
                      <w:rFonts w:asciiTheme="minorHAnsi" w:hAnsiTheme="minorHAnsi" w:cstheme="minorHAnsi"/>
                    </w:rPr>
                    <w:t xml:space="preserve"> (turpmāk – VNĪ)</w:t>
                  </w:r>
                  <w:r w:rsidR="009E0975" w:rsidRPr="00BA6B9C">
                    <w:rPr>
                      <w:rFonts w:asciiTheme="minorHAnsi" w:hAnsiTheme="minorHAnsi" w:cstheme="minorHAnsi"/>
                    </w:rPr>
                    <w:t xml:space="preserve">) veikt visas nepieciešamās darbības nekustamā īpašuma (kadastra numurs 0100 008 0006) Pils laukumā 3, Rīgā (turpmāk – Rīgas pils) ugunsgrēka seku likvidēšanai un </w:t>
                  </w:r>
                  <w:r w:rsidR="00E33944" w:rsidRPr="00BA6B9C">
                    <w:rPr>
                      <w:rFonts w:asciiTheme="minorHAnsi" w:hAnsiTheme="minorHAnsi" w:cstheme="minorHAnsi"/>
                    </w:rPr>
                    <w:t xml:space="preserve">trīs nedēļu laikā </w:t>
                  </w:r>
                  <w:r w:rsidR="00E33944" w:rsidRPr="00BA6B9C">
                    <w:rPr>
                      <w:rFonts w:asciiTheme="minorHAnsi" w:hAnsiTheme="minorHAnsi" w:cstheme="minorHAnsi"/>
                      <w:i/>
                    </w:rPr>
                    <w:t>iesniegt Ministru kabinetā rīkojuma projektu par grozījumiem Ministru kabineta 2010.gada 6.decembra rīkojumā Nr.702 „Par finansējuma piešķiršanu Rīgas pils Priekšpils projekta izdevumu segšanai”, nosakot, ka Rīgas pils ugunsgrēka seku likvidēšanas darbi (ieskaitot juridiskos pakalpojumus)</w:t>
                  </w:r>
                  <w:r w:rsidR="009E0975" w:rsidRPr="00BA6B9C">
                    <w:rPr>
                      <w:rFonts w:asciiTheme="minorHAnsi" w:hAnsiTheme="minorHAnsi" w:cstheme="minorHAnsi"/>
                      <w:i/>
                    </w:rPr>
                    <w:t xml:space="preserve"> tiek finansēti no Rīgas pils būvniecības darbiem valsts budžetā plānotā finansējuma.</w:t>
                  </w:r>
                  <w:r w:rsidR="009E0975" w:rsidRPr="00BA6B9C">
                    <w:rPr>
                      <w:rFonts w:asciiTheme="minorHAnsi" w:hAnsiTheme="minorHAnsi" w:cstheme="minorHAnsi"/>
                    </w:rPr>
                    <w:t xml:space="preserve"> </w:t>
                  </w:r>
                  <w:r w:rsidR="004F7D9B" w:rsidRPr="00BA6B9C">
                    <w:rPr>
                      <w:rFonts w:asciiTheme="minorHAnsi" w:hAnsiTheme="minorHAnsi" w:cstheme="minorHAnsi"/>
                    </w:rPr>
                    <w:t xml:space="preserve"> </w:t>
                  </w:r>
                  <w:r w:rsidR="009E0975" w:rsidRPr="00BA6B9C">
                    <w:rPr>
                      <w:rFonts w:asciiTheme="minorHAnsi" w:hAnsiTheme="minorHAnsi" w:cstheme="minorHAnsi"/>
                    </w:rPr>
                    <w:t>Finanšu ministrijai (</w:t>
                  </w:r>
                  <w:r w:rsidR="00A912E4" w:rsidRPr="00BA6B9C">
                    <w:rPr>
                      <w:rFonts w:asciiTheme="minorHAnsi" w:hAnsiTheme="minorHAnsi" w:cstheme="minorHAnsi"/>
                    </w:rPr>
                    <w:t>VNĪ</w:t>
                  </w:r>
                  <w:r w:rsidR="009E0975" w:rsidRPr="00BA6B9C">
                    <w:rPr>
                      <w:rFonts w:asciiTheme="minorHAnsi" w:hAnsiTheme="minorHAnsi" w:cstheme="minorHAnsi"/>
                    </w:rPr>
                    <w:t>) ugunsgrēka seku likvidēšanas darbus un to izmaksas saskaņot ar apdrošinātājiem un no valsts budžetā plānotā finansējuma precīzi nodalīt tās izmaksas, kas tieši attiecas uz šiem darbiem.</w:t>
                  </w:r>
                  <w:r w:rsidR="004C2877" w:rsidRPr="00BA6B9C">
                    <w:rPr>
                      <w:rFonts w:asciiTheme="minorHAnsi" w:hAnsiTheme="minorHAnsi" w:cstheme="minorHAnsi"/>
                    </w:rPr>
                    <w:t xml:space="preserve"> Ar Ministru kabineta 2013.gada 30.jūlija sēdes </w:t>
                  </w:r>
                  <w:proofErr w:type="spellStart"/>
                  <w:r w:rsidR="004C2877" w:rsidRPr="00BA6B9C">
                    <w:rPr>
                      <w:rFonts w:asciiTheme="minorHAnsi" w:hAnsiTheme="minorHAnsi" w:cstheme="minorHAnsi"/>
                    </w:rPr>
                    <w:t>protokollēmuma</w:t>
                  </w:r>
                  <w:proofErr w:type="spellEnd"/>
                  <w:r w:rsidR="004C2877" w:rsidRPr="00BA6B9C">
                    <w:rPr>
                      <w:rFonts w:asciiTheme="minorHAnsi" w:hAnsiTheme="minorHAnsi" w:cstheme="minorHAnsi"/>
                    </w:rPr>
                    <w:t xml:space="preserve"> Nr.41 97.</w:t>
                  </w:r>
                  <w:r w:rsidR="004C2877" w:rsidRPr="00BA6B9C">
                    <w:rPr>
                      <w:rFonts w:asciiTheme="minorHAnsi" w:hAnsiTheme="minorHAnsi" w:cstheme="minorHAnsi"/>
                      <w:bCs/>
                    </w:rPr>
                    <w:t xml:space="preserve">§ noteikto dotā uzdevuma - </w:t>
                  </w:r>
                  <w:r w:rsidR="004C2877" w:rsidRPr="00BA6B9C">
                    <w:rPr>
                      <w:rFonts w:asciiTheme="minorHAnsi" w:hAnsiTheme="minorHAnsi" w:cstheme="minorHAnsi"/>
                    </w:rPr>
                    <w:t>iesniegt Ministru kabinetā rīkojuma projektu par grozījumiem Ministru kabineta 2010.gada 6.decembra rīkojumā Nr.702 „Par finansējuma piešķiršanu Rīgas pils Priekšpils projekta izdevumu segšanai”, nosakot, ka Rīgas pils ugunsgrēka seku likvidēšanas darbi (ieskaitot juridiskos pakalpojumus) tiek finansēti no Rīgas pils būvniecības darbiem valsts budžetā plānotā finansējuma</w:t>
                  </w:r>
                  <w:r w:rsidR="004C2877" w:rsidRPr="00BA6B9C">
                    <w:rPr>
                      <w:rFonts w:asciiTheme="minorHAnsi" w:hAnsiTheme="minorHAnsi" w:cstheme="minorHAnsi"/>
                      <w:bCs/>
                    </w:rPr>
                    <w:t>- izpildes termiņš tik</w:t>
                  </w:r>
                  <w:r w:rsidR="0088213A" w:rsidRPr="00BA6B9C">
                    <w:rPr>
                      <w:rFonts w:asciiTheme="minorHAnsi" w:hAnsiTheme="minorHAnsi" w:cstheme="minorHAnsi"/>
                      <w:bCs/>
                    </w:rPr>
                    <w:t>a</w:t>
                  </w:r>
                  <w:r w:rsidR="004C2877" w:rsidRPr="00BA6B9C">
                    <w:rPr>
                      <w:rFonts w:asciiTheme="minorHAnsi" w:hAnsiTheme="minorHAnsi" w:cstheme="minorHAnsi"/>
                      <w:bCs/>
                    </w:rPr>
                    <w:t xml:space="preserve"> pagarināts līdz 2013.gada 25.septembrim.</w:t>
                  </w: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inorHAnsi" w:hAnsiTheme="minorHAnsi" w:cstheme="minorHAnsi"/>
                    </w:rPr>
                  </w:pPr>
                  <w:r w:rsidRPr="00BA6B9C">
                    <w:rPr>
                      <w:rFonts w:asciiTheme="minorHAnsi" w:hAnsiTheme="minorHAnsi" w:cstheme="minorHAnsi"/>
                    </w:rPr>
                    <w:t>2.</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inorHAnsi" w:hAnsiTheme="minorHAnsi" w:cstheme="minorHAnsi"/>
                    </w:rPr>
                  </w:pPr>
                  <w:r w:rsidRPr="00BA6B9C">
                    <w:rPr>
                      <w:rFonts w:asciiTheme="minorHAnsi" w:hAnsiTheme="minorHAnsi" w:cstheme="minorHAnsi"/>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AD7389" w:rsidRPr="00BA6B9C" w:rsidRDefault="003F5109" w:rsidP="00AD7389">
                  <w:pPr>
                    <w:ind w:firstLine="567"/>
                    <w:jc w:val="both"/>
                    <w:rPr>
                      <w:rFonts w:asciiTheme="minorHAnsi" w:hAnsiTheme="minorHAnsi" w:cstheme="minorHAnsi"/>
                      <w:bCs/>
                    </w:rPr>
                  </w:pPr>
                  <w:r w:rsidRPr="00BA6B9C">
                    <w:rPr>
                      <w:rFonts w:asciiTheme="minorHAnsi" w:hAnsiTheme="minorHAnsi" w:cstheme="minorHAnsi"/>
                      <w:bCs/>
                    </w:rPr>
                    <w:t>Rīgas pils</w:t>
                  </w:r>
                  <w:r w:rsidR="00AD7389" w:rsidRPr="00BA6B9C">
                    <w:rPr>
                      <w:rFonts w:asciiTheme="minorHAnsi" w:hAnsiTheme="minorHAnsi" w:cstheme="minorHAnsi"/>
                      <w:bCs/>
                    </w:rPr>
                    <w:t xml:space="preserve"> saskaņā ar ierakstu Rīgas pilsētas zemesgrāmatu nodalījumā Nr.2386 pieder valstij Finanšu ministrijas personā,  īpašums nodots </w:t>
                  </w:r>
                  <w:r w:rsidRPr="00BA6B9C">
                    <w:rPr>
                      <w:rFonts w:asciiTheme="minorHAnsi" w:hAnsiTheme="minorHAnsi" w:cstheme="minorHAnsi"/>
                    </w:rPr>
                    <w:t>VNĪ</w:t>
                  </w:r>
                  <w:r w:rsidR="00AD7389" w:rsidRPr="00BA6B9C">
                    <w:rPr>
                      <w:rFonts w:asciiTheme="minorHAnsi" w:hAnsiTheme="minorHAnsi" w:cstheme="minorHAnsi"/>
                    </w:rPr>
                    <w:t xml:space="preserve"> pārvaldīšanā</w:t>
                  </w:r>
                  <w:r w:rsidR="00AD7389" w:rsidRPr="00BA6B9C">
                    <w:rPr>
                      <w:rFonts w:asciiTheme="minorHAnsi" w:hAnsiTheme="minorHAnsi" w:cstheme="minorHAnsi"/>
                      <w:bCs/>
                    </w:rPr>
                    <w:t xml:space="preserve">. </w:t>
                  </w:r>
                </w:p>
                <w:p w:rsidR="002C5F96" w:rsidRPr="00BA6B9C" w:rsidRDefault="002C5F96" w:rsidP="00AD7389">
                  <w:pPr>
                    <w:ind w:firstLine="567"/>
                    <w:jc w:val="both"/>
                    <w:rPr>
                      <w:rFonts w:asciiTheme="minorHAnsi" w:hAnsiTheme="minorHAnsi" w:cstheme="minorHAnsi"/>
                      <w:bCs/>
                    </w:rPr>
                  </w:pPr>
                  <w:r w:rsidRPr="00BA6B9C">
                    <w:rPr>
                      <w:rFonts w:asciiTheme="minorHAnsi" w:hAnsiTheme="minorHAnsi" w:cstheme="minorHAnsi"/>
                      <w:bCs/>
                    </w:rPr>
                    <w:t xml:space="preserve">Rīgas pilī 2013.gada 20.jūnijā izcēlies ugunsgrēks. </w:t>
                  </w:r>
                  <w:r w:rsidRPr="00BA6B9C">
                    <w:rPr>
                      <w:rFonts w:asciiTheme="minorHAnsi" w:hAnsiTheme="minorHAnsi" w:cstheme="minorHAnsi"/>
                    </w:rPr>
                    <w:t xml:space="preserve">Ugunsgrēka un tā dzēšanas darbu rezultātā </w:t>
                  </w:r>
                  <w:r w:rsidR="004F7D9B" w:rsidRPr="00BA6B9C">
                    <w:rPr>
                      <w:rFonts w:asciiTheme="minorHAnsi" w:hAnsiTheme="minorHAnsi" w:cstheme="minorHAnsi"/>
                    </w:rPr>
                    <w:t>tika</w:t>
                  </w:r>
                  <w:r w:rsidRPr="00BA6B9C">
                    <w:rPr>
                      <w:rFonts w:asciiTheme="minorHAnsi" w:hAnsiTheme="minorHAnsi" w:cstheme="minorHAnsi"/>
                    </w:rPr>
                    <w:t xml:space="preserve"> daļēji cietušas Rīgas pils Kastelas (Konventa) daļa, Austrumu piebūves daļa un Priekšpils daļas bēniņu un jumta konstrukcijas.</w:t>
                  </w:r>
                </w:p>
                <w:p w:rsidR="00A912E4" w:rsidRPr="00BA6B9C" w:rsidRDefault="000C70FB" w:rsidP="00736B27">
                  <w:pPr>
                    <w:pStyle w:val="NoSpacing"/>
                    <w:ind w:firstLine="586"/>
                    <w:jc w:val="both"/>
                    <w:rPr>
                      <w:rFonts w:asciiTheme="minorHAnsi" w:hAnsiTheme="minorHAnsi" w:cstheme="minorHAnsi"/>
                    </w:rPr>
                  </w:pPr>
                  <w:r w:rsidRPr="00BA6B9C">
                    <w:rPr>
                      <w:rFonts w:asciiTheme="minorHAnsi" w:hAnsiTheme="minorHAnsi" w:cstheme="minorHAnsi"/>
                    </w:rPr>
                    <w:t xml:space="preserve">Lai </w:t>
                  </w:r>
                  <w:r w:rsidR="00CA3156" w:rsidRPr="00BA6B9C">
                    <w:rPr>
                      <w:rFonts w:asciiTheme="minorHAnsi" w:hAnsiTheme="minorHAnsi" w:cstheme="minorHAnsi"/>
                    </w:rPr>
                    <w:t xml:space="preserve">nekavējoties uzsāktu </w:t>
                  </w:r>
                  <w:r w:rsidR="00BA0477" w:rsidRPr="00BA6B9C">
                    <w:rPr>
                      <w:rFonts w:asciiTheme="minorHAnsi" w:hAnsiTheme="minorHAnsi" w:cstheme="minorHAnsi"/>
                    </w:rPr>
                    <w:t>notikuš</w:t>
                  </w:r>
                  <w:r w:rsidRPr="00BA6B9C">
                    <w:rPr>
                      <w:rFonts w:asciiTheme="minorHAnsi" w:hAnsiTheme="minorHAnsi" w:cstheme="minorHAnsi"/>
                    </w:rPr>
                    <w:t>ā</w:t>
                  </w:r>
                  <w:r w:rsidR="00BA0477" w:rsidRPr="00BA6B9C">
                    <w:rPr>
                      <w:rFonts w:asciiTheme="minorHAnsi" w:hAnsiTheme="minorHAnsi" w:cstheme="minorHAnsi"/>
                    </w:rPr>
                    <w:t xml:space="preserve"> ugunsgrēk</w:t>
                  </w:r>
                  <w:r w:rsidRPr="00BA6B9C">
                    <w:rPr>
                      <w:rFonts w:asciiTheme="minorHAnsi" w:hAnsiTheme="minorHAnsi" w:cstheme="minorHAnsi"/>
                    </w:rPr>
                    <w:t>a</w:t>
                  </w:r>
                  <w:r w:rsidR="00BA0477" w:rsidRPr="00BA6B9C">
                    <w:rPr>
                      <w:rFonts w:asciiTheme="minorHAnsi" w:hAnsiTheme="minorHAnsi" w:cstheme="minorHAnsi"/>
                    </w:rPr>
                    <w:t xml:space="preserve"> </w:t>
                  </w:r>
                  <w:r w:rsidRPr="00BA6B9C">
                    <w:rPr>
                      <w:rFonts w:asciiTheme="minorHAnsi" w:hAnsiTheme="minorHAnsi" w:cstheme="minorHAnsi"/>
                    </w:rPr>
                    <w:t>seku likvidēšanu</w:t>
                  </w:r>
                  <w:r w:rsidR="00CA3156" w:rsidRPr="00BA6B9C">
                    <w:rPr>
                      <w:rFonts w:asciiTheme="minorHAnsi" w:hAnsiTheme="minorHAnsi" w:cstheme="minorHAnsi"/>
                    </w:rPr>
                    <w:t>, nodrošinātu vēsturisko vērtību saglabāšanu, kā arī novērstu vai samazinātu turpmākos zaudējumus,</w:t>
                  </w:r>
                  <w:r w:rsidRPr="00BA6B9C">
                    <w:rPr>
                      <w:rFonts w:asciiTheme="minorHAnsi" w:hAnsiTheme="minorHAnsi" w:cstheme="minorHAnsi"/>
                    </w:rPr>
                    <w:t xml:space="preserve"> VNĪ sadarbībā ar ģenerāluzņēmēju – pilnsabiedrību “SBRE” un projekta vadītāju - būvuzraugu SIA „Būvalts”, ņemot vērā Valsts kultūras pieminekļu aizsardzības inspekcijas sniegtos norādījumus attiecībā uz vēsturisko vērtību saglabāšanu, </w:t>
                  </w:r>
                  <w:r w:rsidR="00A912E4" w:rsidRPr="00BA6B9C">
                    <w:rPr>
                      <w:rFonts w:asciiTheme="minorHAnsi" w:hAnsiTheme="minorHAnsi" w:cstheme="minorHAnsi"/>
                    </w:rPr>
                    <w:t>tika</w:t>
                  </w:r>
                  <w:r w:rsidRPr="00BA6B9C">
                    <w:rPr>
                      <w:rFonts w:asciiTheme="minorHAnsi" w:hAnsiTheme="minorHAnsi" w:cstheme="minorHAnsi"/>
                    </w:rPr>
                    <w:t xml:space="preserve"> sastādījusi neatliekamo darbu sarakstu ugunsgrēka seku likvidēšanai un vēsturisko vērtību saglabāšanai</w:t>
                  </w:r>
                  <w:r w:rsidR="00CA3156" w:rsidRPr="00BA6B9C">
                    <w:rPr>
                      <w:rFonts w:asciiTheme="minorHAnsi" w:hAnsiTheme="minorHAnsi" w:cstheme="minorHAnsi"/>
                    </w:rPr>
                    <w:t xml:space="preserve">, kura </w:t>
                  </w:r>
                  <w:r w:rsidR="00CA3156" w:rsidRPr="00BA6B9C">
                    <w:rPr>
                      <w:rFonts w:asciiTheme="minorHAnsi" w:hAnsiTheme="minorHAnsi" w:cstheme="minorHAnsi"/>
                    </w:rPr>
                    <w:lastRenderedPageBreak/>
                    <w:t xml:space="preserve">realizācija nekavējoties </w:t>
                  </w:r>
                  <w:r w:rsidR="004F7D9B" w:rsidRPr="00BA6B9C">
                    <w:rPr>
                      <w:rFonts w:asciiTheme="minorHAnsi" w:hAnsiTheme="minorHAnsi" w:cstheme="minorHAnsi"/>
                    </w:rPr>
                    <w:t>tika</w:t>
                  </w:r>
                  <w:r w:rsidR="00CA3156" w:rsidRPr="00BA6B9C">
                    <w:rPr>
                      <w:rFonts w:asciiTheme="minorHAnsi" w:hAnsiTheme="minorHAnsi" w:cstheme="minorHAnsi"/>
                    </w:rPr>
                    <w:t xml:space="preserve"> uzsākta, tiklīdz tika saņemtas izmeklēšanā iesaistīto institūciju un apdrošinā</w:t>
                  </w:r>
                  <w:r w:rsidR="00AB33C9" w:rsidRPr="00BA6B9C">
                    <w:rPr>
                      <w:rFonts w:asciiTheme="minorHAnsi" w:hAnsiTheme="minorHAnsi" w:cstheme="minorHAnsi"/>
                    </w:rPr>
                    <w:t xml:space="preserve">tāju </w:t>
                  </w:r>
                  <w:r w:rsidR="00CA3156" w:rsidRPr="00BA6B9C">
                    <w:rPr>
                      <w:rFonts w:asciiTheme="minorHAnsi" w:hAnsiTheme="minorHAnsi" w:cstheme="minorHAnsi"/>
                    </w:rPr>
                    <w:t>piekrišanas par negadījuma seku likvidācijas darbu veikšanu, lai mazinātu/novērstu papildu zaudējumu rašanos un veicinātu objekta saglabāšanu.</w:t>
                  </w:r>
                </w:p>
                <w:p w:rsidR="003E4072" w:rsidRPr="00BA6B9C" w:rsidRDefault="004F7D9B" w:rsidP="001224A3">
                  <w:pPr>
                    <w:pStyle w:val="NoSpacing"/>
                    <w:ind w:firstLine="586"/>
                    <w:jc w:val="both"/>
                    <w:rPr>
                      <w:rFonts w:asciiTheme="minorHAnsi" w:hAnsiTheme="minorHAnsi" w:cstheme="minorHAnsi"/>
                    </w:rPr>
                  </w:pPr>
                  <w:r w:rsidRPr="00BA6B9C">
                    <w:rPr>
                      <w:rFonts w:asciiTheme="minorHAnsi" w:hAnsiTheme="minorHAnsi" w:cstheme="minorHAnsi"/>
                    </w:rPr>
                    <w:t xml:space="preserve">Lai novērstu ugunsgrēka </w:t>
                  </w:r>
                  <w:r w:rsidR="00C7556C" w:rsidRPr="00BA6B9C">
                    <w:rPr>
                      <w:rFonts w:asciiTheme="minorHAnsi" w:hAnsiTheme="minorHAnsi" w:cstheme="minorHAnsi"/>
                    </w:rPr>
                    <w:t>radītās sekas, radušies un radīsies papildus  izdevumi, līdz ar to nepieciešams risināt jautājumu par Rīgas pils ugunsgrēka seku likvidēšanas darbu izmaksu segšanu no valsts budžeta līdzekļiem.</w:t>
                  </w:r>
                  <w:r w:rsidR="00C7556C" w:rsidRPr="00BA6B9C">
                    <w:rPr>
                      <w:rFonts w:asciiTheme="minorHAnsi" w:hAnsiTheme="minorHAnsi" w:cstheme="minorHAnsi"/>
                      <w:bCs/>
                    </w:rPr>
                    <w:t xml:space="preserve"> Saskaņā ar MK protokollēmuma (prot.Nr.36 56.§))</w:t>
                  </w:r>
                  <w:r w:rsidR="00C7556C" w:rsidRPr="00BA6B9C">
                    <w:rPr>
                      <w:rFonts w:asciiTheme="minorHAnsi" w:hAnsiTheme="minorHAnsi" w:cstheme="minorHAnsi"/>
                    </w:rPr>
                    <w:t xml:space="preserve"> 2.punktā  noteikto, Finanšu ministrijai (VNĪ) dots uzdevums iesniegt Ministru kabinetā rīkojuma projektu par grozījumiem Ministru kabineta 2010.gada 6.decembra rīkojumā Nr.702 „Par finansējuma piešķiršanu Rīgas pils Priekšpils projekta izdevumu segšanai”, nosakot, ka Rīgas pils ugunsgrēka seku likvidēšanas darbi (ieskaitot juridiskos pakalpojumus) tiek finansēti no Rīgas pils būvniecības darbiem valsts budžetā plānotā finansējuma.  </w:t>
                  </w:r>
                  <w:r w:rsidR="00C7556C" w:rsidRPr="00BA6B9C">
                    <w:rPr>
                      <w:rFonts w:asciiTheme="minorHAnsi" w:hAnsiTheme="minorHAnsi" w:cstheme="minorHAnsi"/>
                      <w:i/>
                    </w:rPr>
                    <w:t xml:space="preserve"> </w:t>
                  </w: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ind w:firstLine="131"/>
                    <w:rPr>
                      <w:rFonts w:asciiTheme="majorHAnsi" w:hAnsiTheme="majorHAnsi" w:cstheme="majorHAnsi"/>
                    </w:rPr>
                  </w:pPr>
                  <w:r w:rsidRPr="00BA6B9C">
                    <w:rPr>
                      <w:rFonts w:asciiTheme="majorHAnsi" w:hAnsiTheme="majorHAnsi" w:cstheme="majorHAnsi"/>
                    </w:rPr>
                    <w:t>Projekts šo jomu neskar.</w:t>
                  </w: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4.</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1F242B" w:rsidRPr="0017111A" w:rsidRDefault="001F242B" w:rsidP="007F36B9">
                  <w:pPr>
                    <w:ind w:firstLine="303"/>
                    <w:jc w:val="both"/>
                  </w:pPr>
                  <w:r w:rsidRPr="00BA6B9C">
                    <w:rPr>
                      <w:rFonts w:asciiTheme="majorHAnsi" w:hAnsiTheme="majorHAnsi" w:cstheme="majorHAnsi"/>
                    </w:rPr>
                    <w:t xml:space="preserve">  </w:t>
                  </w:r>
                  <w:r w:rsidR="00F00583" w:rsidRPr="00BA6B9C">
                    <w:rPr>
                      <w:rFonts w:asciiTheme="majorHAnsi" w:hAnsiTheme="majorHAnsi" w:cstheme="majorHAnsi"/>
                    </w:rPr>
                    <w:t>Atbilstoši anotācijas I.</w:t>
                  </w:r>
                  <w:r w:rsidR="00BC4FFF" w:rsidRPr="00BA6B9C">
                    <w:rPr>
                      <w:rFonts w:asciiTheme="majorHAnsi" w:hAnsiTheme="majorHAnsi" w:cstheme="majorHAnsi"/>
                    </w:rPr>
                    <w:t xml:space="preserve"> </w:t>
                  </w:r>
                  <w:r w:rsidR="00F00583" w:rsidRPr="00BA6B9C">
                    <w:rPr>
                      <w:rFonts w:asciiTheme="majorHAnsi" w:hAnsiTheme="majorHAnsi" w:cstheme="majorHAnsi"/>
                    </w:rPr>
                    <w:t xml:space="preserve">sadaļas 2.punktā minētajam, ir izstrādāts </w:t>
                  </w:r>
                  <w:r w:rsidR="00235136" w:rsidRPr="00BA6B9C">
                    <w:rPr>
                      <w:rFonts w:asciiTheme="majorHAnsi" w:hAnsiTheme="majorHAnsi" w:cstheme="majorHAnsi"/>
                    </w:rPr>
                    <w:t>R</w:t>
                  </w:r>
                  <w:r w:rsidR="00F00583" w:rsidRPr="00BA6B9C">
                    <w:rPr>
                      <w:rFonts w:asciiTheme="majorHAnsi" w:hAnsiTheme="majorHAnsi" w:cstheme="majorHAnsi"/>
                    </w:rPr>
                    <w:t xml:space="preserve">īkojuma projekts, kas paredz </w:t>
                  </w:r>
                  <w:r w:rsidR="00160214" w:rsidRPr="00BA6B9C">
                    <w:rPr>
                      <w:rFonts w:asciiTheme="majorHAnsi" w:hAnsiTheme="majorHAnsi" w:cstheme="majorHAnsi"/>
                    </w:rPr>
                    <w:t>noteikt, ka</w:t>
                  </w:r>
                  <w:r w:rsidR="001224A3" w:rsidRPr="00BA6B9C">
                    <w:rPr>
                      <w:rFonts w:asciiTheme="minorHAnsi" w:hAnsiTheme="minorHAnsi" w:cstheme="minorHAnsi"/>
                    </w:rPr>
                    <w:t xml:space="preserve"> gadskārtējā budžeta likumā ilgtermiņa saistībās 2014.gada-2016.gadam plānotais finansējums </w:t>
                  </w:r>
                  <w:r w:rsidR="001224A3" w:rsidRPr="00BA6B9C">
                    <w:t xml:space="preserve">Ls </w:t>
                  </w:r>
                  <w:r w:rsidR="001224A3" w:rsidRPr="00BA6B9C">
                    <w:rPr>
                      <w:rFonts w:asciiTheme="minorHAnsi" w:hAnsiTheme="minorHAnsi" w:cstheme="minorHAnsi"/>
                    </w:rPr>
                    <w:t>19 646 585 (27 954</w:t>
                  </w:r>
                  <w:r w:rsidR="00C64F75">
                    <w:rPr>
                      <w:rFonts w:asciiTheme="minorHAnsi" w:hAnsiTheme="minorHAnsi" w:cstheme="minorHAnsi"/>
                    </w:rPr>
                    <w:t> </w:t>
                  </w:r>
                  <w:r w:rsidR="001224A3" w:rsidRPr="00BA6B9C">
                    <w:rPr>
                      <w:rFonts w:asciiTheme="minorHAnsi" w:hAnsiTheme="minorHAnsi" w:cstheme="minorHAnsi"/>
                    </w:rPr>
                    <w:t>57</w:t>
                  </w:r>
                  <w:r w:rsidR="00345DEE" w:rsidRPr="00BA6B9C">
                    <w:rPr>
                      <w:rFonts w:asciiTheme="minorHAnsi" w:hAnsiTheme="minorHAnsi" w:cstheme="minorHAnsi"/>
                    </w:rPr>
                    <w:t>2</w:t>
                  </w:r>
                  <w:r w:rsidR="00C64F75" w:rsidRPr="00BA6B9C">
                    <w:rPr>
                      <w:rFonts w:asciiTheme="minorHAnsi" w:hAnsiTheme="minorHAnsi" w:cstheme="minorHAnsi"/>
                      <w:i/>
                    </w:rPr>
                    <w:t xml:space="preserve"> </w:t>
                  </w:r>
                  <w:proofErr w:type="spellStart"/>
                  <w:r w:rsidR="00C64F75" w:rsidRPr="00BA6B9C">
                    <w:rPr>
                      <w:rFonts w:asciiTheme="minorHAnsi" w:hAnsiTheme="minorHAnsi" w:cstheme="minorHAnsi"/>
                      <w:i/>
                    </w:rPr>
                    <w:t>euro</w:t>
                  </w:r>
                  <w:proofErr w:type="spellEnd"/>
                  <w:r w:rsidR="001224A3" w:rsidRPr="00BA6B9C">
                    <w:rPr>
                      <w:rFonts w:asciiTheme="minorHAnsi" w:hAnsiTheme="minorHAnsi" w:cstheme="minorHAnsi"/>
                    </w:rPr>
                    <w:t>) apmērā (Ministru kabineta 2010.gada 6.decembra rīkojuma Nr.702 „Par finansējuma piešķiršanu Rīgas pils Priekšpils projekta izdevumu segšanai”</w:t>
                  </w:r>
                  <w:r w:rsidR="001224A3" w:rsidRPr="00BA6B9C">
                    <w:t xml:space="preserve"> 1.2.apakšpunktā minētais finansējums)</w:t>
                  </w:r>
                  <w:r w:rsidR="001224A3" w:rsidRPr="00BA6B9C">
                    <w:rPr>
                      <w:rFonts w:asciiTheme="minorHAnsi" w:hAnsiTheme="minorHAnsi" w:cstheme="minorHAnsi"/>
                    </w:rPr>
                    <w:t xml:space="preserve">, kas paredzēts VNĪ veikto kapitālieguldījumu Rīgas pils Priekšpils būvniecībā un pārcelšanās </w:t>
                  </w:r>
                  <w:r w:rsidR="001224A3" w:rsidRPr="0017111A">
                    <w:rPr>
                      <w:rFonts w:asciiTheme="minorHAnsi" w:hAnsiTheme="minorHAnsi" w:cstheme="minorHAnsi"/>
                    </w:rPr>
                    <w:t xml:space="preserve">izdevumu segšanai, izmatojams arī </w:t>
                  </w:r>
                  <w:r w:rsidR="001224A3" w:rsidRPr="0017111A">
                    <w:t>2013.gada 20.jūnijā Rīgas pilī notikušā ugunsgrēka seku likvidēšanas</w:t>
                  </w:r>
                  <w:r w:rsidR="001224A3" w:rsidRPr="0017111A">
                    <w:rPr>
                      <w:rFonts w:asciiTheme="minorHAnsi" w:hAnsiTheme="minorHAnsi" w:cstheme="minorHAnsi"/>
                    </w:rPr>
                    <w:t>, tai skaitā juridisko pakalpojumu, segšanai</w:t>
                  </w:r>
                  <w:r w:rsidR="008C6072" w:rsidRPr="0017111A">
                    <w:t>. T</w:t>
                  </w:r>
                  <w:r w:rsidR="005E2882" w:rsidRPr="0017111A">
                    <w:t>ādējādi</w:t>
                  </w:r>
                  <w:r w:rsidR="007F36B9" w:rsidRPr="0017111A">
                    <w:t xml:space="preserve"> tiktu atbilstoši atlīdzināti VNĪ izdevumi jau par izdarītiem un izdarāmiem darbiem saistībā </w:t>
                  </w:r>
                  <w:r w:rsidR="005E2882" w:rsidRPr="0017111A">
                    <w:t>ar ugunsgrēka seku likvidēšanu valstij Finanšu ministrijas personā īpaš</w:t>
                  </w:r>
                  <w:r w:rsidR="007F36B9" w:rsidRPr="0017111A">
                    <w:t>umā esošajā nekustamajā īpašumā.</w:t>
                  </w:r>
                </w:p>
                <w:p w:rsidR="00003576" w:rsidRPr="0017111A" w:rsidRDefault="00003576" w:rsidP="001224A3">
                  <w:pPr>
                    <w:ind w:firstLine="303"/>
                    <w:jc w:val="both"/>
                    <w:rPr>
                      <w:rFonts w:asciiTheme="majorHAnsi" w:hAnsiTheme="majorHAnsi" w:cstheme="majorHAnsi"/>
                    </w:rPr>
                  </w:pPr>
                </w:p>
                <w:p w:rsidR="00890486" w:rsidRPr="00BA6B9C" w:rsidRDefault="00890486" w:rsidP="00890486">
                  <w:pPr>
                    <w:pStyle w:val="NoSpacing"/>
                    <w:ind w:firstLine="709"/>
                    <w:jc w:val="both"/>
                    <w:rPr>
                      <w:rFonts w:asciiTheme="minorHAnsi" w:hAnsiTheme="minorHAnsi" w:cstheme="minorHAnsi"/>
                    </w:rPr>
                  </w:pPr>
                  <w:r w:rsidRPr="0017111A">
                    <w:t>Ugunsgrēka seku likvidēšanas darbus</w:t>
                  </w:r>
                  <w:r w:rsidRPr="00BA6B9C">
                    <w:t xml:space="preserve"> nodrošina pilnsabiedrība „SBRE”, par ko 2013.gada 31.jūlijā ir noslēgta papildus vienošanās Nr.1 pie 2012.gada 11.oktobra Būvniecības līguma.</w:t>
                  </w:r>
                  <w:r w:rsidRPr="00BA6B9C">
                    <w:rPr>
                      <w:rFonts w:asciiTheme="minorHAnsi" w:hAnsiTheme="minorHAnsi" w:cstheme="minorHAnsi"/>
                    </w:rPr>
                    <w:t xml:space="preserve"> Saskaņā ar minētās vienošanās nosacījumiem puses vienojušās par ugunsgrēka seku likvidēšanas darbu veikšanu </w:t>
                  </w:r>
                  <w:r w:rsidRPr="00BA6B9C">
                    <w:rPr>
                      <w:rFonts w:asciiTheme="minorHAnsi" w:hAnsiTheme="minorHAnsi" w:cstheme="minorHAnsi"/>
                      <w:b/>
                    </w:rPr>
                    <w:t>Ls</w:t>
                  </w:r>
                  <w:r w:rsidRPr="00BA6B9C">
                    <w:rPr>
                      <w:rFonts w:asciiTheme="minorHAnsi" w:hAnsiTheme="minorHAnsi" w:cstheme="minorHAnsi"/>
                    </w:rPr>
                    <w:t xml:space="preserve"> </w:t>
                  </w:r>
                  <w:r w:rsidRPr="00BA6B9C">
                    <w:rPr>
                      <w:rFonts w:asciiTheme="minorHAnsi" w:hAnsiTheme="minorHAnsi" w:cstheme="minorHAnsi"/>
                      <w:b/>
                    </w:rPr>
                    <w:t>220 939,18 (314 368,13</w:t>
                  </w:r>
                  <w:r w:rsidR="00C64F75" w:rsidRPr="00BA6B9C">
                    <w:rPr>
                      <w:rFonts w:asciiTheme="minorHAnsi" w:hAnsiTheme="minorHAnsi" w:cstheme="minorHAnsi"/>
                      <w:b/>
                      <w:i/>
                    </w:rPr>
                    <w:t xml:space="preserve"> </w:t>
                  </w:r>
                  <w:proofErr w:type="spellStart"/>
                  <w:r w:rsidR="00C64F75" w:rsidRPr="00BA6B9C">
                    <w:rPr>
                      <w:rFonts w:asciiTheme="minorHAnsi" w:hAnsiTheme="minorHAnsi" w:cstheme="minorHAnsi"/>
                      <w:b/>
                      <w:i/>
                    </w:rPr>
                    <w:t>euro</w:t>
                  </w:r>
                  <w:proofErr w:type="spellEnd"/>
                  <w:r w:rsidRPr="00BA6B9C">
                    <w:rPr>
                      <w:rFonts w:asciiTheme="minorHAnsi" w:hAnsiTheme="minorHAnsi" w:cstheme="minorHAnsi"/>
                      <w:b/>
                    </w:rPr>
                    <w:t>)</w:t>
                  </w:r>
                  <w:r w:rsidRPr="00BA6B9C">
                    <w:rPr>
                      <w:rFonts w:asciiTheme="minorHAnsi" w:hAnsiTheme="minorHAnsi" w:cstheme="minorHAnsi"/>
                    </w:rPr>
                    <w:t xml:space="preserve"> bez PVN apmērā.  Pagaidu jumta izbūve ir pabeigta gan virs Rīgas pils Baltās zāles, gan virs Rīgas pils Svētku zāles, gan Konventa daļas. No gruvešiem attīrītas ir pilnībā visas telpas. Turpinās un pēc nepieciešamības turpināsies darbi pie telpu mitruma līmeņa samazināšanas. Saskaņā ar minētās vienošanās ugunsgrēka seku likvidācijas un pagaidu jumta izbūves darbu izpildes grafiku darbi tiks turpināti līdz 2014.gada maijam. Pilnsabiedrība „SBRE” līdz 2013.gada 1.septembrim ir veikusi darbus par Ls </w:t>
                  </w:r>
                  <w:r w:rsidRPr="00BA6B9C">
                    <w:rPr>
                      <w:rFonts w:asciiTheme="minorHAnsi" w:hAnsiTheme="minorHAnsi" w:cstheme="minorHAnsi"/>
                    </w:rPr>
                    <w:lastRenderedPageBreak/>
                    <w:t>92 823,00 (132 075,23</w:t>
                  </w:r>
                  <w:r w:rsidR="00C64F75" w:rsidRPr="00BA6B9C">
                    <w:rPr>
                      <w:rFonts w:asciiTheme="minorHAnsi" w:hAnsiTheme="minorHAnsi" w:cstheme="minorHAnsi"/>
                      <w:i/>
                    </w:rPr>
                    <w:t xml:space="preserve"> </w:t>
                  </w:r>
                  <w:proofErr w:type="spellStart"/>
                  <w:r w:rsidR="00C64F75" w:rsidRPr="00BA6B9C">
                    <w:rPr>
                      <w:rFonts w:asciiTheme="minorHAnsi" w:hAnsiTheme="minorHAnsi" w:cstheme="minorHAnsi"/>
                      <w:i/>
                    </w:rPr>
                    <w:t>euro</w:t>
                  </w:r>
                  <w:proofErr w:type="spellEnd"/>
                  <w:r w:rsidRPr="00BA6B9C">
                    <w:rPr>
                      <w:rFonts w:asciiTheme="minorHAnsi" w:hAnsiTheme="minorHAnsi" w:cstheme="minorHAnsi"/>
                    </w:rPr>
                    <w:t>)</w:t>
                  </w:r>
                  <w:r w:rsidRPr="00BA6B9C">
                    <w:rPr>
                      <w:rFonts w:asciiTheme="minorHAnsi" w:hAnsiTheme="minorHAnsi" w:cstheme="minorHAnsi"/>
                      <w:b/>
                    </w:rPr>
                    <w:t xml:space="preserve"> </w:t>
                  </w:r>
                  <w:r w:rsidRPr="00BA6B9C">
                    <w:rPr>
                      <w:rFonts w:asciiTheme="minorHAnsi" w:hAnsiTheme="minorHAnsi" w:cstheme="minorHAnsi"/>
                    </w:rPr>
                    <w:t xml:space="preserve"> bez PVN.</w:t>
                  </w:r>
                </w:p>
                <w:p w:rsidR="00D944FF" w:rsidRPr="00BA6B9C" w:rsidRDefault="00D944FF" w:rsidP="00D944FF">
                  <w:pPr>
                    <w:ind w:firstLine="720"/>
                    <w:jc w:val="both"/>
                    <w:rPr>
                      <w:bCs/>
                    </w:rPr>
                  </w:pPr>
                  <w:r w:rsidRPr="00BA6B9C">
                    <w:rPr>
                      <w:bCs/>
                    </w:rPr>
                    <w:t xml:space="preserve">Ievērojot MK sēdes </w:t>
                  </w:r>
                  <w:proofErr w:type="spellStart"/>
                  <w:r w:rsidRPr="00BA6B9C">
                    <w:rPr>
                      <w:bCs/>
                    </w:rPr>
                    <w:t>protokollēmuma</w:t>
                  </w:r>
                  <w:proofErr w:type="spellEnd"/>
                  <w:r w:rsidRPr="00BA6B9C">
                    <w:rPr>
                      <w:bCs/>
                    </w:rPr>
                    <w:t> Nr.36 56.§ 2. punktā Finanšu ministrijai (VNĪ) doto uzdevumu Rīgas pils ugunsgrēka seku likvidēšanas darbus un to izmaksas saskaņot ar apdrošinātājiem, VNĪ ir nosūtījusi 2013.gada 22.jūlija vēstuli Nr.1-1/12387 AAS „Baltijas Apdrošināšanas Nams” ar lūgumu nekavējoties saskaņot un apmaksāt Rīgas pils ugunsgrēka seku likvidēšanas ārkārtas darbus 220 93</w:t>
                  </w:r>
                  <w:r w:rsidR="00345DEE" w:rsidRPr="00BA6B9C">
                    <w:rPr>
                      <w:bCs/>
                    </w:rPr>
                    <w:t>9</w:t>
                  </w:r>
                  <w:r w:rsidRPr="00BA6B9C">
                    <w:rPr>
                      <w:bCs/>
                    </w:rPr>
                    <w:t xml:space="preserve">, 18 latu </w:t>
                  </w:r>
                  <w:r w:rsidRPr="00BA6B9C">
                    <w:rPr>
                      <w:rFonts w:asciiTheme="minorHAnsi" w:hAnsiTheme="minorHAnsi" w:cstheme="minorHAnsi"/>
                    </w:rPr>
                    <w:t>(314 368,13</w:t>
                  </w:r>
                  <w:r w:rsidR="00C64F75" w:rsidRPr="00BA6B9C">
                    <w:rPr>
                      <w:rFonts w:asciiTheme="minorHAnsi" w:hAnsiTheme="minorHAnsi" w:cstheme="minorHAnsi"/>
                      <w:i/>
                    </w:rPr>
                    <w:t xml:space="preserve"> </w:t>
                  </w:r>
                  <w:proofErr w:type="spellStart"/>
                  <w:r w:rsidR="00C64F75" w:rsidRPr="00BA6B9C">
                    <w:rPr>
                      <w:rFonts w:asciiTheme="minorHAnsi" w:hAnsiTheme="minorHAnsi" w:cstheme="minorHAnsi"/>
                      <w:i/>
                    </w:rPr>
                    <w:t>euro</w:t>
                  </w:r>
                  <w:proofErr w:type="spellEnd"/>
                  <w:r w:rsidRPr="00BA6B9C">
                    <w:rPr>
                      <w:rFonts w:asciiTheme="minorHAnsi" w:hAnsiTheme="minorHAnsi" w:cstheme="minorHAnsi"/>
                    </w:rPr>
                    <w:t xml:space="preserve">) </w:t>
                  </w:r>
                  <w:r w:rsidRPr="00BA6B9C">
                    <w:rPr>
                      <w:bCs/>
                    </w:rPr>
                    <w:t xml:space="preserve">bez PVN apmērā, ar norādi, ka šis ir Rīgas pils ugunsgrēka likvidācijas ārkārtas darbu izmaksu aprēķins un tas nav uzskatāms par galīgo seku un seku novēršanas zaudējumu aprēķinu. </w:t>
                  </w:r>
                </w:p>
                <w:p w:rsidR="00890486" w:rsidRPr="00BA6B9C" w:rsidRDefault="00890486" w:rsidP="00890486">
                  <w:pPr>
                    <w:ind w:firstLine="709"/>
                    <w:jc w:val="both"/>
                    <w:rPr>
                      <w:rFonts w:asciiTheme="minorHAnsi" w:hAnsiTheme="minorHAnsi" w:cstheme="minorHAnsi"/>
                    </w:rPr>
                  </w:pPr>
                  <w:r w:rsidRPr="00BA6B9C">
                    <w:rPr>
                      <w:rFonts w:asciiTheme="minorHAnsi" w:hAnsiTheme="minorHAnsi" w:cstheme="minorHAnsi"/>
                    </w:rPr>
                    <w:t xml:space="preserve">VNĪ Rīgas pils daļā, kas nav nodota pilnsabiedrībai „SBRE”, veikusi atsevišķus pasākumus ugunsgrēka seku likvidēšanai, piemēram, VNĪ Tehniskā servisa darbinieki veikuši grīdas seguma noņemšanu, lai nodrošinātu mitruma līmeņa samazināšanu telpās, tāpat ir nodrošināts pagaidu elektrības pieslēgums, kā arī ir notikusi elektriskās pretestības mērījumu veikšana, lai noteiktu elektroinstalācijas stāvokli. Ir veikta Rīgas pils </w:t>
                  </w:r>
                  <w:r w:rsidR="007F36B9">
                    <w:rPr>
                      <w:rFonts w:asciiTheme="minorHAnsi" w:hAnsiTheme="minorHAnsi" w:cstheme="minorHAnsi"/>
                    </w:rPr>
                    <w:t xml:space="preserve">muzeju </w:t>
                  </w:r>
                  <w:r w:rsidRPr="00BA6B9C">
                    <w:rPr>
                      <w:rFonts w:asciiTheme="minorHAnsi" w:hAnsiTheme="minorHAnsi" w:cstheme="minorHAnsi"/>
                    </w:rPr>
                    <w:t xml:space="preserve">mikrobioloģiskā </w:t>
                  </w:r>
                  <w:r w:rsidR="007F36B9">
                    <w:rPr>
                      <w:rFonts w:asciiTheme="minorHAnsi" w:hAnsiTheme="minorHAnsi" w:cstheme="minorHAnsi"/>
                    </w:rPr>
                    <w:t>un vides fona apsekošana</w:t>
                  </w:r>
                  <w:r w:rsidRPr="00BA6B9C">
                    <w:rPr>
                      <w:rFonts w:asciiTheme="minorHAnsi" w:hAnsiTheme="minorHAnsi" w:cstheme="minorHAnsi"/>
                    </w:rPr>
                    <w:t xml:space="preserve">. Minētie darbi veikti kopsummā par </w:t>
                  </w:r>
                  <w:r w:rsidRPr="00BA6B9C">
                    <w:rPr>
                      <w:rFonts w:asciiTheme="minorHAnsi" w:hAnsiTheme="minorHAnsi" w:cstheme="minorHAnsi"/>
                      <w:b/>
                    </w:rPr>
                    <w:t>Ls 2 596,15 (3 693,99</w:t>
                  </w:r>
                  <w:r w:rsidR="00C64F75" w:rsidRPr="00BA6B9C">
                    <w:rPr>
                      <w:rFonts w:asciiTheme="minorHAnsi" w:hAnsiTheme="minorHAnsi" w:cstheme="minorHAnsi"/>
                      <w:b/>
                      <w:i/>
                    </w:rPr>
                    <w:t xml:space="preserve"> </w:t>
                  </w:r>
                  <w:proofErr w:type="spellStart"/>
                  <w:r w:rsidR="00C64F75" w:rsidRPr="00BA6B9C">
                    <w:rPr>
                      <w:rFonts w:asciiTheme="minorHAnsi" w:hAnsiTheme="minorHAnsi" w:cstheme="minorHAnsi"/>
                      <w:b/>
                      <w:i/>
                    </w:rPr>
                    <w:t>euro</w:t>
                  </w:r>
                  <w:proofErr w:type="spellEnd"/>
                  <w:r w:rsidRPr="00BA6B9C">
                    <w:rPr>
                      <w:rFonts w:asciiTheme="minorHAnsi" w:hAnsiTheme="minorHAnsi" w:cstheme="minorHAnsi"/>
                      <w:b/>
                    </w:rPr>
                    <w:t>)</w:t>
                  </w:r>
                  <w:r w:rsidRPr="00BA6B9C">
                    <w:rPr>
                      <w:rFonts w:asciiTheme="minorHAnsi" w:hAnsiTheme="minorHAnsi" w:cstheme="minorHAnsi"/>
                    </w:rPr>
                    <w:t xml:space="preserve"> bez PVN.</w:t>
                  </w:r>
                </w:p>
                <w:p w:rsidR="00F7777A" w:rsidRPr="00BA6B9C" w:rsidRDefault="00F7777A" w:rsidP="00F7777A">
                  <w:pPr>
                    <w:ind w:firstLine="720"/>
                    <w:jc w:val="both"/>
                  </w:pPr>
                  <w:r w:rsidRPr="00BA6B9C">
                    <w:t xml:space="preserve">Ugunsgrēks radījis situāciju, ka ir jāveic papildus projektēšanas darbi agrāk izstrādātajā tehniskajā projektā. Ievērojot </w:t>
                  </w:r>
                  <w:r w:rsidRPr="00BA6B9C">
                    <w:rPr>
                      <w:rFonts w:asciiTheme="minorHAnsi" w:hAnsiTheme="minorHAnsi" w:cstheme="minorHAnsi"/>
                      <w:bCs/>
                    </w:rPr>
                    <w:t xml:space="preserve">MK </w:t>
                  </w:r>
                  <w:proofErr w:type="spellStart"/>
                  <w:r w:rsidRPr="00BA6B9C">
                    <w:rPr>
                      <w:rFonts w:asciiTheme="minorHAnsi" w:hAnsiTheme="minorHAnsi" w:cstheme="minorHAnsi"/>
                      <w:bCs/>
                    </w:rPr>
                    <w:t>protokollēmuma</w:t>
                  </w:r>
                  <w:proofErr w:type="spellEnd"/>
                  <w:r w:rsidRPr="00BA6B9C">
                    <w:rPr>
                      <w:rFonts w:asciiTheme="minorHAnsi" w:hAnsiTheme="minorHAnsi" w:cstheme="minorHAnsi"/>
                      <w:bCs/>
                    </w:rPr>
                    <w:t xml:space="preserve"> (prot.Nr.36 56.§) 4.punktā</w:t>
                  </w:r>
                  <w:r w:rsidRPr="00BA6B9C">
                    <w:t xml:space="preserve"> noteikto, VNĪ iepriekš saskaņojot ar Iepirkumu uzraudzības biroju, veica sarunu procedūru ar pilnsabiedrību „Pils projekts” par tehniskā projekta precizēšanu, proti, Rīgas pils pārsegumu, sienu un jumta konstrukciju risinājumu izstrādi, kā arī inženiertīklu projektu izmaiņām saistībā ar jaunajām konstrukcijām un citiem veicamajiem projektēšanas darbiem. </w:t>
                  </w:r>
                </w:p>
                <w:p w:rsidR="00890486" w:rsidRPr="00BA6B9C" w:rsidRDefault="00F7777A" w:rsidP="00F7777A">
                  <w:pPr>
                    <w:pStyle w:val="NoSpacing"/>
                    <w:ind w:firstLine="709"/>
                    <w:jc w:val="both"/>
                  </w:pPr>
                  <w:r w:rsidRPr="00BA6B9C">
                    <w:t xml:space="preserve">Par projektēšanas darbu veikšanu starp VNĪ un pilnsabiedrību „Pils projekts” 2013.gada 3.septembrī ir noslēgts līgums Nr.4-2-13-10/1641. Saskaņā ar līguma nosacījumiem papildus projektēšanas darbu termiņš ir noteikts trīs mēneši no līguma spēkā stāšanās dienas saskaņā ar darbu izpildes kalendāro grafiku, un līgumcena ir </w:t>
                  </w:r>
                  <w:r w:rsidRPr="00BA6B9C">
                    <w:rPr>
                      <w:b/>
                    </w:rPr>
                    <w:t>Ls 77 675,00 (110 521,5</w:t>
                  </w:r>
                  <w:r w:rsidR="00345DEE" w:rsidRPr="00BA6B9C">
                    <w:rPr>
                      <w:b/>
                    </w:rPr>
                    <w:t>7</w:t>
                  </w:r>
                  <w:r w:rsidR="00C64F75" w:rsidRPr="00BA6B9C">
                    <w:rPr>
                      <w:b/>
                      <w:i/>
                    </w:rPr>
                    <w:t xml:space="preserve"> </w:t>
                  </w:r>
                  <w:proofErr w:type="spellStart"/>
                  <w:r w:rsidR="00C64F75" w:rsidRPr="00BA6B9C">
                    <w:rPr>
                      <w:b/>
                      <w:i/>
                    </w:rPr>
                    <w:t>euro</w:t>
                  </w:r>
                  <w:proofErr w:type="spellEnd"/>
                  <w:r w:rsidRPr="00BA6B9C">
                    <w:rPr>
                      <w:b/>
                    </w:rPr>
                    <w:t>)</w:t>
                  </w:r>
                  <w:r w:rsidRPr="00BA6B9C">
                    <w:t xml:space="preserve"> bez PVN</w:t>
                  </w:r>
                  <w:r w:rsidR="00215BB1" w:rsidRPr="00BA6B9C">
                    <w:t>.</w:t>
                  </w:r>
                </w:p>
                <w:p w:rsidR="000B490A" w:rsidRPr="00BA6B9C" w:rsidRDefault="000B490A" w:rsidP="000B490A">
                  <w:pPr>
                    <w:ind w:firstLine="709"/>
                    <w:jc w:val="both"/>
                    <w:rPr>
                      <w:bCs/>
                    </w:rPr>
                  </w:pPr>
                  <w:r w:rsidRPr="00BA6B9C">
                    <w:rPr>
                      <w:rFonts w:asciiTheme="minorHAnsi" w:hAnsiTheme="minorHAnsi" w:cstheme="minorHAnsi"/>
                      <w:bCs/>
                    </w:rPr>
                    <w:t xml:space="preserve">Tā kā MK </w:t>
                  </w:r>
                  <w:proofErr w:type="spellStart"/>
                  <w:r w:rsidRPr="00BA6B9C">
                    <w:rPr>
                      <w:rFonts w:asciiTheme="minorHAnsi" w:hAnsiTheme="minorHAnsi" w:cstheme="minorHAnsi"/>
                      <w:bCs/>
                    </w:rPr>
                    <w:t>protokollēmuma</w:t>
                  </w:r>
                  <w:proofErr w:type="spellEnd"/>
                  <w:r w:rsidRPr="00BA6B9C">
                    <w:rPr>
                      <w:rFonts w:asciiTheme="minorHAnsi" w:hAnsiTheme="minorHAnsi" w:cstheme="minorHAnsi"/>
                      <w:bCs/>
                    </w:rPr>
                    <w:t xml:space="preserve"> (prot.Nr.36 56.§) </w:t>
                  </w:r>
                  <w:r w:rsidRPr="00BA6B9C">
                    <w:rPr>
                      <w:bCs/>
                    </w:rPr>
                    <w:t>3.punktā atbalstīts, ka valsts un VNĪ interešu pilnvērtīgai pārstāvībai, tai skaitā sarunās ar apdrošinātājiem, tiek piesaistīti eksperti apdrošināšanas un juridiskajos jautājumos, VNĪ 2013.gada 2.jūlijā ir noslēgusi Juridiskās palīdzības līgumu ar zvērinātu advokātu biroju „</w:t>
                  </w:r>
                  <w:proofErr w:type="spellStart"/>
                  <w:r w:rsidRPr="00BA6B9C">
                    <w:rPr>
                      <w:bCs/>
                    </w:rPr>
                    <w:t>Tark</w:t>
                  </w:r>
                  <w:proofErr w:type="spellEnd"/>
                  <w:r w:rsidRPr="00BA6B9C">
                    <w:rPr>
                      <w:bCs/>
                    </w:rPr>
                    <w:t xml:space="preserve"> </w:t>
                  </w:r>
                  <w:proofErr w:type="spellStart"/>
                  <w:r w:rsidRPr="00BA6B9C">
                    <w:rPr>
                      <w:bCs/>
                    </w:rPr>
                    <w:t>Grunte</w:t>
                  </w:r>
                  <w:proofErr w:type="spellEnd"/>
                  <w:r w:rsidRPr="00BA6B9C">
                    <w:rPr>
                      <w:bCs/>
                    </w:rPr>
                    <w:t xml:space="preserve"> </w:t>
                  </w:r>
                  <w:proofErr w:type="spellStart"/>
                  <w:r w:rsidRPr="00BA6B9C">
                    <w:rPr>
                      <w:bCs/>
                    </w:rPr>
                    <w:t>Sutkiene</w:t>
                  </w:r>
                  <w:proofErr w:type="spellEnd"/>
                  <w:r w:rsidRPr="00BA6B9C">
                    <w:rPr>
                      <w:bCs/>
                    </w:rPr>
                    <w:t xml:space="preserve">”. Saskaņā ar līguma nosacījumiem paredzēts, ka birojs sniedz juridisko palīdzību par fiksētu stundu likmi un kopējais atlīdzības apmērs nepārsniedz </w:t>
                  </w:r>
                  <w:r w:rsidR="009956CF" w:rsidRPr="00BA6B9C">
                    <w:rPr>
                      <w:b/>
                      <w:bCs/>
                    </w:rPr>
                    <w:t>Ls</w:t>
                  </w:r>
                  <w:r w:rsidR="009956CF" w:rsidRPr="00BA6B9C">
                    <w:rPr>
                      <w:bCs/>
                    </w:rPr>
                    <w:t xml:space="preserve"> </w:t>
                  </w:r>
                  <w:r w:rsidRPr="00BA6B9C">
                    <w:rPr>
                      <w:b/>
                      <w:bCs/>
                    </w:rPr>
                    <w:t>92 050,00 (130 975,35</w:t>
                  </w:r>
                  <w:r w:rsidR="00C64F75" w:rsidRPr="00BA6B9C">
                    <w:rPr>
                      <w:b/>
                      <w:bCs/>
                      <w:i/>
                    </w:rPr>
                    <w:t xml:space="preserve"> </w:t>
                  </w:r>
                  <w:proofErr w:type="spellStart"/>
                  <w:r w:rsidR="00C64F75" w:rsidRPr="00BA6B9C">
                    <w:rPr>
                      <w:b/>
                      <w:bCs/>
                      <w:i/>
                    </w:rPr>
                    <w:t>euro</w:t>
                  </w:r>
                  <w:proofErr w:type="spellEnd"/>
                  <w:r w:rsidRPr="00BA6B9C">
                    <w:rPr>
                      <w:b/>
                      <w:bCs/>
                    </w:rPr>
                    <w:t>)</w:t>
                  </w:r>
                  <w:r w:rsidRPr="00BA6B9C">
                    <w:rPr>
                      <w:bCs/>
                    </w:rPr>
                    <w:t xml:space="preserve"> bez PVN. Minētais birojs piesaistījis kompetentu speciālistu apdrošināšanas jomā SIA „</w:t>
                  </w:r>
                  <w:proofErr w:type="spellStart"/>
                  <w:r w:rsidRPr="00BA6B9C">
                    <w:t>Marsh</w:t>
                  </w:r>
                  <w:proofErr w:type="spellEnd"/>
                  <w:r w:rsidRPr="00BA6B9C">
                    <w:t xml:space="preserve">” un </w:t>
                  </w:r>
                  <w:r w:rsidRPr="00BA6B9C">
                    <w:rPr>
                      <w:bCs/>
                    </w:rPr>
                    <w:t>aktīvi līdzdarbojas sarunās ar apdrošinātājiem un pilnsabiedrību „SBRE”. Uz 02.10.2013. apmaksāti darbi Ls 33 533,72 (47 714,18</w:t>
                  </w:r>
                  <w:r w:rsidR="00C64F75" w:rsidRPr="00BA6B9C">
                    <w:rPr>
                      <w:bCs/>
                      <w:i/>
                    </w:rPr>
                    <w:t xml:space="preserve"> </w:t>
                  </w:r>
                  <w:proofErr w:type="spellStart"/>
                  <w:r w:rsidR="00C64F75" w:rsidRPr="00BA6B9C">
                    <w:rPr>
                      <w:bCs/>
                      <w:i/>
                    </w:rPr>
                    <w:t>euro</w:t>
                  </w:r>
                  <w:proofErr w:type="spellEnd"/>
                  <w:r w:rsidRPr="00BA6B9C">
                    <w:rPr>
                      <w:bCs/>
                    </w:rPr>
                    <w:t>).</w:t>
                  </w:r>
                </w:p>
                <w:p w:rsidR="00954BE1" w:rsidRPr="00BA6B9C" w:rsidRDefault="00954BE1" w:rsidP="00890486">
                  <w:pPr>
                    <w:tabs>
                      <w:tab w:val="left" w:pos="2688"/>
                    </w:tabs>
                    <w:ind w:firstLine="586"/>
                    <w:jc w:val="both"/>
                  </w:pPr>
                  <w:r w:rsidRPr="00BA6B9C">
                    <w:t xml:space="preserve">VNĪ 2013.gada 19.jūlijā ar SIA”LBS-Konsultants” ir noslēgusi līgumu Nr.4-13-40/1248 par neatkarīgas būvekspertīzes veikšanu Rīgas Pils ugunsgrēka un tā dzēšanas radīto bojājumu izvērtēšanai un </w:t>
                  </w:r>
                  <w:r w:rsidRPr="00BA6B9C">
                    <w:lastRenderedPageBreak/>
                    <w:t xml:space="preserve">zaudējumu apmēru noteikšanai. Saskaņā ar līguma nosacījumiem līgumcena ir </w:t>
                  </w:r>
                  <w:r w:rsidRPr="00BA6B9C">
                    <w:rPr>
                      <w:b/>
                    </w:rPr>
                    <w:t>Ls 25 000 (35 571,80</w:t>
                  </w:r>
                  <w:r w:rsidR="00C64F75" w:rsidRPr="00BA6B9C">
                    <w:rPr>
                      <w:b/>
                      <w:i/>
                    </w:rPr>
                    <w:t xml:space="preserve"> </w:t>
                  </w:r>
                  <w:proofErr w:type="spellStart"/>
                  <w:r w:rsidR="00C64F75" w:rsidRPr="00BA6B9C">
                    <w:rPr>
                      <w:b/>
                      <w:i/>
                    </w:rPr>
                    <w:t>euro</w:t>
                  </w:r>
                  <w:proofErr w:type="spellEnd"/>
                  <w:r w:rsidRPr="00BA6B9C">
                    <w:rPr>
                      <w:b/>
                    </w:rPr>
                    <w:t>)</w:t>
                  </w:r>
                  <w:r w:rsidRPr="00BA6B9C">
                    <w:t xml:space="preserve"> bez PVN.</w:t>
                  </w:r>
                </w:p>
                <w:p w:rsidR="008432AA" w:rsidRDefault="001D4EB9" w:rsidP="008432AA">
                  <w:pPr>
                    <w:ind w:firstLine="709"/>
                    <w:jc w:val="both"/>
                  </w:pPr>
                  <w:r w:rsidRPr="00BA6B9C">
                    <w:t>Papildus VNĪ organizē</w:t>
                  </w:r>
                  <w:r w:rsidRPr="00BA6B9C">
                    <w:rPr>
                      <w:b/>
                    </w:rPr>
                    <w:t xml:space="preserve"> </w:t>
                  </w:r>
                  <w:r w:rsidRPr="00BA6B9C">
                    <w:t>neatkarīgu ugunsgrēka cēloņa tehnisko ekspertīzi, lai noskaidrotu Rīgas pils ugunsgrēka cēloni, attīstību veicinošos apstākļus, uguns izplatīšanās ceļu, tehnisko iemeslu, vietu un laiku. VNĪ ekspertīzes veikšanai ir piesaistījusi Igaunijā reģistrētu ekspertu biroju „H-</w:t>
                  </w:r>
                  <w:proofErr w:type="spellStart"/>
                  <w:r w:rsidRPr="00BA6B9C">
                    <w:t>ekspertiis</w:t>
                  </w:r>
                  <w:proofErr w:type="spellEnd"/>
                  <w:r w:rsidRPr="00BA6B9C">
                    <w:t xml:space="preserve"> OÜ”</w:t>
                  </w:r>
                  <w:r w:rsidRPr="00BA6B9C">
                    <w:rPr>
                      <w:b/>
                    </w:rPr>
                    <w:t xml:space="preserve"> </w:t>
                  </w:r>
                  <w:r w:rsidRPr="00BA6B9C">
                    <w:t xml:space="preserve">un 2013.gada 12.jūlijā noslēgusi līgumu Nr.7-1-13-37/1283. Saskaņā ar līguma nosacījumiem pakalpojums tiek sniegts </w:t>
                  </w:r>
                  <w:r w:rsidRPr="00BA6B9C">
                    <w:rPr>
                      <w:bCs/>
                    </w:rPr>
                    <w:t xml:space="preserve">par fiksētu stundu likmi </w:t>
                  </w:r>
                  <w:r w:rsidRPr="00BA6B9C">
                    <w:t xml:space="preserve">un līguma darbības laikā līgumcena nepārsniegs </w:t>
                  </w:r>
                  <w:r w:rsidR="009956CF" w:rsidRPr="00BA6B9C">
                    <w:rPr>
                      <w:b/>
                    </w:rPr>
                    <w:t>Ls 2 811,22 (</w:t>
                  </w:r>
                  <w:r w:rsidRPr="00BA6B9C">
                    <w:rPr>
                      <w:b/>
                    </w:rPr>
                    <w:t>4000,00</w:t>
                  </w:r>
                  <w:r w:rsidR="00C64F75" w:rsidRPr="00BA6B9C">
                    <w:rPr>
                      <w:b/>
                      <w:i/>
                    </w:rPr>
                    <w:t xml:space="preserve"> </w:t>
                  </w:r>
                  <w:proofErr w:type="spellStart"/>
                  <w:r w:rsidR="00C64F75" w:rsidRPr="00BA6B9C">
                    <w:rPr>
                      <w:b/>
                      <w:i/>
                    </w:rPr>
                    <w:t>euro</w:t>
                  </w:r>
                  <w:proofErr w:type="spellEnd"/>
                  <w:r w:rsidR="009956CF" w:rsidRPr="00BA6B9C">
                    <w:rPr>
                      <w:b/>
                    </w:rPr>
                    <w:t>)</w:t>
                  </w:r>
                  <w:r w:rsidRPr="00BA6B9C">
                    <w:rPr>
                      <w:b/>
                    </w:rPr>
                    <w:t xml:space="preserve"> </w:t>
                  </w:r>
                  <w:r w:rsidRPr="00BA6B9C">
                    <w:t xml:space="preserve">bez PVN. </w:t>
                  </w:r>
                </w:p>
                <w:p w:rsidR="00D0460B" w:rsidRDefault="00D0460B" w:rsidP="008432AA">
                  <w:pPr>
                    <w:ind w:firstLine="709"/>
                    <w:jc w:val="both"/>
                  </w:pPr>
                </w:p>
                <w:p w:rsidR="008A0D76" w:rsidRDefault="00D0460B" w:rsidP="008432AA">
                  <w:pPr>
                    <w:ind w:firstLine="709"/>
                    <w:jc w:val="both"/>
                  </w:pPr>
                  <w:r w:rsidRPr="00BA6B9C">
                    <w:rPr>
                      <w:rFonts w:asciiTheme="minorHAnsi" w:hAnsiTheme="minorHAnsi" w:cstheme="minorHAnsi"/>
                      <w:bCs/>
                    </w:rPr>
                    <w:t xml:space="preserve">Ievērojot augstāk minēto, </w:t>
                  </w:r>
                  <w:r>
                    <w:rPr>
                      <w:rFonts w:asciiTheme="minorHAnsi" w:hAnsiTheme="minorHAnsi" w:cstheme="minorHAnsi"/>
                      <w:bCs/>
                    </w:rPr>
                    <w:t xml:space="preserve">šobrīd aplēsta </w:t>
                  </w:r>
                  <w:r w:rsidRPr="00BA6B9C">
                    <w:rPr>
                      <w:rFonts w:asciiTheme="minorHAnsi" w:hAnsiTheme="minorHAnsi" w:cstheme="minorHAnsi"/>
                      <w:bCs/>
                    </w:rPr>
                    <w:t>ugunsgrēka seku likvidēšanas izdevumu summa Ls 421 071,55 (599 130,84</w:t>
                  </w:r>
                  <w:r w:rsidR="00C64F75" w:rsidRPr="00BA6B9C">
                    <w:rPr>
                      <w:rFonts w:asciiTheme="minorHAnsi" w:hAnsiTheme="minorHAnsi" w:cstheme="minorHAnsi"/>
                      <w:bCs/>
                      <w:i/>
                    </w:rPr>
                    <w:t xml:space="preserve"> </w:t>
                  </w:r>
                  <w:proofErr w:type="spellStart"/>
                  <w:r w:rsidR="00C64F75" w:rsidRPr="00BA6B9C">
                    <w:rPr>
                      <w:rFonts w:asciiTheme="minorHAnsi" w:hAnsiTheme="minorHAnsi" w:cstheme="minorHAnsi"/>
                      <w:bCs/>
                      <w:i/>
                    </w:rPr>
                    <w:t>euro</w:t>
                  </w:r>
                  <w:proofErr w:type="spellEnd"/>
                  <w:r w:rsidRPr="00BA6B9C">
                    <w:rPr>
                      <w:rFonts w:asciiTheme="minorHAnsi" w:hAnsiTheme="minorHAnsi" w:cstheme="minorHAnsi"/>
                      <w:bCs/>
                    </w:rPr>
                    <w:t>)</w:t>
                  </w:r>
                  <w:r>
                    <w:rPr>
                      <w:rFonts w:asciiTheme="minorHAnsi" w:hAnsiTheme="minorHAnsi" w:cstheme="minorHAnsi"/>
                      <w:bCs/>
                    </w:rPr>
                    <w:t xml:space="preserve">. </w:t>
                  </w:r>
                  <w:r w:rsidR="008A0D76">
                    <w:t xml:space="preserve">Ugunsgrēka seku likvidēšanas izdevumu apmērs vēl palielināsies sakarā ar ugunsgrēka radīto nepieciešamību veikt attiecīgus būvniecības darbus pēc </w:t>
                  </w:r>
                  <w:r w:rsidR="008A0D76" w:rsidRPr="00BA6B9C">
                    <w:t>papildus projektēšanas darbu</w:t>
                  </w:r>
                  <w:r w:rsidR="008A0D76">
                    <w:t xml:space="preserve"> pabeigšanas.</w:t>
                  </w:r>
                </w:p>
                <w:p w:rsidR="00DD4B5E" w:rsidRDefault="00DD4B5E" w:rsidP="008A0D76">
                  <w:pPr>
                    <w:jc w:val="both"/>
                  </w:pPr>
                </w:p>
                <w:p w:rsidR="00297DD8" w:rsidRPr="00BA6B9C" w:rsidRDefault="00664B4F" w:rsidP="00E64248">
                  <w:pPr>
                    <w:tabs>
                      <w:tab w:val="left" w:pos="993"/>
                    </w:tabs>
                    <w:ind w:firstLine="360"/>
                    <w:jc w:val="both"/>
                  </w:pPr>
                  <w:r w:rsidRPr="00BA6B9C">
                    <w:t>Tā kā šobrīd nav zināmi ugunsgrēka cēloņi, tad nav iespējams prognozēt, vai negadījums saskaņā ar apdrošināšanas sabiedrību apdrošināšanas noteikumiem var</w:t>
                  </w:r>
                  <w:r>
                    <w:t>ētu tikt/netikt</w:t>
                  </w:r>
                  <w:r w:rsidRPr="00BA6B9C">
                    <w:t xml:space="preserve"> atzīts par apdrošināšanas gadījumu un tādējādi no apdrošinātāju puses izmaksāta/ atteikta atlīdzība. Līdz ar to sadarbība ar apdrošinātājiem jautājumā par atlīdzības apmēru</w:t>
                  </w:r>
                  <w:r w:rsidR="002001D4">
                    <w:t xml:space="preserve"> </w:t>
                  </w:r>
                  <w:r w:rsidRPr="00BA6B9C">
                    <w:t>vēl turpināsies.</w:t>
                  </w:r>
                </w:p>
                <w:p w:rsidR="00297DD8" w:rsidRDefault="00297DD8" w:rsidP="00DD4B5E">
                  <w:pPr>
                    <w:tabs>
                      <w:tab w:val="left" w:pos="993"/>
                    </w:tabs>
                    <w:ind w:firstLine="709"/>
                    <w:jc w:val="both"/>
                    <w:rPr>
                      <w:b/>
                    </w:rPr>
                  </w:pPr>
                </w:p>
                <w:p w:rsidR="004C1130" w:rsidRDefault="00DD4B5E" w:rsidP="00DD4B5E">
                  <w:pPr>
                    <w:tabs>
                      <w:tab w:val="left" w:pos="993"/>
                    </w:tabs>
                    <w:ind w:firstLine="709"/>
                    <w:jc w:val="both"/>
                  </w:pPr>
                  <w:r w:rsidRPr="00BA6B9C">
                    <w:rPr>
                      <w:b/>
                    </w:rPr>
                    <w:t xml:space="preserve">SE „BTA </w:t>
                  </w:r>
                  <w:proofErr w:type="spellStart"/>
                  <w:r w:rsidRPr="00BA6B9C">
                    <w:rPr>
                      <w:b/>
                    </w:rPr>
                    <w:t>Insurance</w:t>
                  </w:r>
                  <w:proofErr w:type="spellEnd"/>
                  <w:r w:rsidRPr="00BA6B9C">
                    <w:rPr>
                      <w:b/>
                    </w:rPr>
                    <w:t xml:space="preserve"> </w:t>
                  </w:r>
                  <w:proofErr w:type="spellStart"/>
                  <w:r w:rsidRPr="00BA6B9C">
                    <w:rPr>
                      <w:b/>
                    </w:rPr>
                    <w:t>Company</w:t>
                  </w:r>
                  <w:proofErr w:type="spellEnd"/>
                  <w:r w:rsidRPr="00BA6B9C">
                    <w:rPr>
                      <w:b/>
                    </w:rPr>
                    <w:t>”</w:t>
                  </w:r>
                  <w:r w:rsidRPr="00BA6B9C">
                    <w:t xml:space="preserve"> 2013.gada 22.augustā ir iemaksājusi VNĪ kontā apdrošināšanas atlīdzību </w:t>
                  </w:r>
                  <w:r w:rsidRPr="00BA6B9C">
                    <w:rPr>
                      <w:b/>
                    </w:rPr>
                    <w:t>Ls</w:t>
                  </w:r>
                  <w:r w:rsidRPr="00BA6B9C">
                    <w:t xml:space="preserve"> </w:t>
                  </w:r>
                  <w:r w:rsidRPr="00BA6B9C">
                    <w:rPr>
                      <w:b/>
                    </w:rPr>
                    <w:t>145 665,98 (207 264,0</w:t>
                  </w:r>
                  <w:r w:rsidR="00345DEE" w:rsidRPr="00BA6B9C">
                    <w:rPr>
                      <w:b/>
                    </w:rPr>
                    <w:t>2</w:t>
                  </w:r>
                  <w:r w:rsidR="00C64F75" w:rsidRPr="00BA6B9C">
                    <w:rPr>
                      <w:b/>
                      <w:i/>
                    </w:rPr>
                    <w:t xml:space="preserve"> </w:t>
                  </w:r>
                  <w:proofErr w:type="spellStart"/>
                  <w:r w:rsidR="00C64F75" w:rsidRPr="00BA6B9C">
                    <w:rPr>
                      <w:b/>
                      <w:i/>
                    </w:rPr>
                    <w:t>euro</w:t>
                  </w:r>
                  <w:proofErr w:type="spellEnd"/>
                  <w:r w:rsidRPr="00BA6B9C">
                    <w:rPr>
                      <w:b/>
                    </w:rPr>
                    <w:t>)</w:t>
                  </w:r>
                  <w:r w:rsidRPr="00BA6B9C">
                    <w:t xml:space="preserve"> apmērā. </w:t>
                  </w:r>
                </w:p>
                <w:p w:rsidR="004C1130" w:rsidRDefault="004C1130" w:rsidP="00DD4B5E">
                  <w:pPr>
                    <w:tabs>
                      <w:tab w:val="left" w:pos="993"/>
                    </w:tabs>
                    <w:ind w:firstLine="709"/>
                    <w:jc w:val="both"/>
                  </w:pPr>
                  <w:r>
                    <w:t>Apdrošinātāja veiktais zaudējuma aprēķins</w:t>
                  </w:r>
                  <w:r w:rsidR="003467C5">
                    <w:t xml:space="preserve"> kopsummā</w:t>
                  </w:r>
                  <w:r w:rsidR="008C6D71" w:rsidRPr="00BA6B9C">
                    <w:rPr>
                      <w:b/>
                    </w:rPr>
                    <w:t xml:space="preserve"> </w:t>
                  </w:r>
                  <w:r w:rsidR="003467C5">
                    <w:t xml:space="preserve">Ls 146 665,98 (208 686,89 </w:t>
                  </w:r>
                  <w:proofErr w:type="spellStart"/>
                  <w:r w:rsidR="003467C5" w:rsidRPr="003467C5">
                    <w:rPr>
                      <w:i/>
                    </w:rPr>
                    <w:t>euro</w:t>
                  </w:r>
                  <w:proofErr w:type="spellEnd"/>
                  <w:r w:rsidR="003467C5">
                    <w:t>)</w:t>
                  </w:r>
                  <w:r w:rsidR="008C6D71">
                    <w:rPr>
                      <w:b/>
                    </w:rPr>
                    <w:t>:</w:t>
                  </w:r>
                  <w:r w:rsidR="008C6D71" w:rsidRPr="00BA6B9C">
                    <w:rPr>
                      <w:b/>
                    </w:rPr>
                    <w:t xml:space="preserve"> </w:t>
                  </w:r>
                </w:p>
                <w:p w:rsidR="005D6C0A" w:rsidRPr="0085020F" w:rsidRDefault="005D6C0A" w:rsidP="005D6C0A">
                  <w:pPr>
                    <w:pStyle w:val="ListParagraph"/>
                    <w:numPr>
                      <w:ilvl w:val="0"/>
                      <w:numId w:val="5"/>
                    </w:numPr>
                    <w:tabs>
                      <w:tab w:val="left" w:pos="993"/>
                    </w:tabs>
                    <w:spacing w:before="120"/>
                    <w:jc w:val="both"/>
                    <w:rPr>
                      <w:rFonts w:asciiTheme="minorHAnsi" w:hAnsiTheme="minorHAnsi" w:cstheme="minorHAnsi"/>
                      <w:sz w:val="24"/>
                      <w:szCs w:val="24"/>
                    </w:rPr>
                  </w:pPr>
                  <w:r w:rsidRPr="0085020F">
                    <w:rPr>
                      <w:rFonts w:asciiTheme="minorHAnsi" w:hAnsiTheme="minorHAnsi" w:cstheme="minorHAnsi"/>
                      <w:sz w:val="24"/>
                      <w:szCs w:val="24"/>
                    </w:rPr>
                    <w:t xml:space="preserve">par celtniecības darbiem </w:t>
                  </w:r>
                  <w:r>
                    <w:rPr>
                      <w:rFonts w:asciiTheme="minorHAnsi" w:hAnsiTheme="minorHAnsi" w:cstheme="minorHAnsi"/>
                      <w:sz w:val="24"/>
                      <w:szCs w:val="24"/>
                    </w:rPr>
                    <w:t xml:space="preserve">Ls </w:t>
                  </w:r>
                  <w:r w:rsidRPr="0085020F">
                    <w:rPr>
                      <w:rFonts w:asciiTheme="minorHAnsi" w:hAnsiTheme="minorHAnsi" w:cstheme="minorHAnsi"/>
                      <w:sz w:val="24"/>
                      <w:szCs w:val="24"/>
                    </w:rPr>
                    <w:t xml:space="preserve">94 144,92 </w:t>
                  </w:r>
                  <w:r>
                    <w:rPr>
                      <w:rFonts w:asciiTheme="minorHAnsi" w:hAnsiTheme="minorHAnsi" w:cstheme="minorHAnsi"/>
                      <w:sz w:val="24"/>
                      <w:szCs w:val="24"/>
                    </w:rPr>
                    <w:t xml:space="preserve">(133 956,15 </w:t>
                  </w:r>
                  <w:proofErr w:type="spellStart"/>
                  <w:r w:rsidRPr="00716C9E">
                    <w:rPr>
                      <w:rFonts w:asciiTheme="minorHAnsi" w:hAnsiTheme="minorHAnsi" w:cstheme="minorHAnsi"/>
                      <w:i/>
                      <w:sz w:val="24"/>
                      <w:szCs w:val="24"/>
                    </w:rPr>
                    <w:t>euro</w:t>
                  </w:r>
                  <w:proofErr w:type="spellEnd"/>
                  <w:r>
                    <w:rPr>
                      <w:rFonts w:asciiTheme="minorHAnsi" w:hAnsiTheme="minorHAnsi" w:cstheme="minorHAnsi"/>
                      <w:sz w:val="24"/>
                      <w:szCs w:val="24"/>
                    </w:rPr>
                    <w:t xml:space="preserve">) </w:t>
                  </w:r>
                  <w:r w:rsidRPr="0085020F">
                    <w:rPr>
                      <w:rFonts w:asciiTheme="minorHAnsi" w:hAnsiTheme="minorHAnsi" w:cstheme="minorHAnsi"/>
                      <w:sz w:val="24"/>
                      <w:szCs w:val="24"/>
                    </w:rPr>
                    <w:t>apmērā, par ko tiek veikta apmaksa saskaņā ar ikmēneša atskaitēm;</w:t>
                  </w:r>
                </w:p>
                <w:p w:rsidR="005D6C0A" w:rsidRPr="0085020F" w:rsidRDefault="005D6C0A" w:rsidP="005D6C0A">
                  <w:pPr>
                    <w:pStyle w:val="ListParagraph"/>
                    <w:numPr>
                      <w:ilvl w:val="0"/>
                      <w:numId w:val="5"/>
                    </w:numPr>
                    <w:tabs>
                      <w:tab w:val="left" w:pos="993"/>
                    </w:tabs>
                    <w:spacing w:before="120"/>
                    <w:jc w:val="both"/>
                    <w:rPr>
                      <w:rFonts w:asciiTheme="minorHAnsi" w:hAnsiTheme="minorHAnsi" w:cstheme="minorHAnsi"/>
                      <w:sz w:val="24"/>
                      <w:szCs w:val="24"/>
                    </w:rPr>
                  </w:pPr>
                  <w:r w:rsidRPr="0085020F">
                    <w:rPr>
                      <w:rFonts w:asciiTheme="minorHAnsi" w:hAnsiTheme="minorHAnsi" w:cstheme="minorHAnsi"/>
                      <w:sz w:val="24"/>
                      <w:szCs w:val="24"/>
                    </w:rPr>
                    <w:t>par celtniecības materiāliem</w:t>
                  </w:r>
                  <w:r>
                    <w:rPr>
                      <w:rFonts w:asciiTheme="minorHAnsi" w:hAnsiTheme="minorHAnsi" w:cstheme="minorHAnsi"/>
                      <w:sz w:val="24"/>
                      <w:szCs w:val="24"/>
                    </w:rPr>
                    <w:t xml:space="preserve"> Ls</w:t>
                  </w:r>
                  <w:r w:rsidRPr="0085020F">
                    <w:rPr>
                      <w:rFonts w:asciiTheme="minorHAnsi" w:hAnsiTheme="minorHAnsi" w:cstheme="minorHAnsi"/>
                      <w:sz w:val="24"/>
                      <w:szCs w:val="24"/>
                    </w:rPr>
                    <w:t xml:space="preserve"> 25 620,38 </w:t>
                  </w:r>
                  <w:r>
                    <w:rPr>
                      <w:rFonts w:asciiTheme="minorHAnsi" w:hAnsiTheme="minorHAnsi" w:cstheme="minorHAnsi"/>
                      <w:sz w:val="24"/>
                      <w:szCs w:val="24"/>
                    </w:rPr>
                    <w:t xml:space="preserve">(36 454,52 </w:t>
                  </w:r>
                  <w:proofErr w:type="spellStart"/>
                  <w:r w:rsidRPr="00716C9E">
                    <w:rPr>
                      <w:rFonts w:asciiTheme="minorHAnsi" w:hAnsiTheme="minorHAnsi" w:cstheme="minorHAnsi"/>
                      <w:i/>
                      <w:sz w:val="24"/>
                      <w:szCs w:val="24"/>
                    </w:rPr>
                    <w:t>euro</w:t>
                  </w:r>
                  <w:proofErr w:type="spellEnd"/>
                  <w:r>
                    <w:rPr>
                      <w:rFonts w:asciiTheme="minorHAnsi" w:hAnsiTheme="minorHAnsi" w:cstheme="minorHAnsi"/>
                      <w:sz w:val="24"/>
                      <w:szCs w:val="24"/>
                    </w:rPr>
                    <w:t xml:space="preserve">) </w:t>
                  </w:r>
                  <w:r w:rsidRPr="0085020F">
                    <w:rPr>
                      <w:rFonts w:asciiTheme="minorHAnsi" w:hAnsiTheme="minorHAnsi" w:cstheme="minorHAnsi"/>
                      <w:sz w:val="24"/>
                      <w:szCs w:val="24"/>
                    </w:rPr>
                    <w:t>apmērā, kas tika piegādāti tekošo darbu  veikšanai un nav iekļauti ikmēneša atskaitēs un pilnībā ir būvuzņēmēja īpašums (to nomaiņa notiks par pilnsabiedrības „SBRE” līdzekļiem);</w:t>
                  </w:r>
                </w:p>
                <w:p w:rsidR="005D6C0A" w:rsidRDefault="005D6C0A" w:rsidP="005D6C0A">
                  <w:pPr>
                    <w:pStyle w:val="ListParagraph"/>
                    <w:numPr>
                      <w:ilvl w:val="0"/>
                      <w:numId w:val="5"/>
                    </w:numPr>
                    <w:tabs>
                      <w:tab w:val="left" w:pos="993"/>
                    </w:tabs>
                    <w:spacing w:before="120"/>
                    <w:jc w:val="both"/>
                    <w:rPr>
                      <w:rFonts w:asciiTheme="minorHAnsi" w:hAnsiTheme="minorHAnsi" w:cstheme="minorHAnsi"/>
                      <w:sz w:val="24"/>
                      <w:szCs w:val="24"/>
                    </w:rPr>
                  </w:pPr>
                  <w:r w:rsidRPr="0085020F">
                    <w:rPr>
                      <w:rFonts w:asciiTheme="minorHAnsi" w:hAnsiTheme="minorHAnsi" w:cstheme="minorHAnsi"/>
                      <w:sz w:val="24"/>
                      <w:szCs w:val="24"/>
                    </w:rPr>
                    <w:t xml:space="preserve">par pilnsabiedrībai „SBRE” piederošo būvlaukuma aprīkojumu, instrumentiem un darba rīkiem </w:t>
                  </w:r>
                  <w:r>
                    <w:rPr>
                      <w:rFonts w:asciiTheme="minorHAnsi" w:hAnsiTheme="minorHAnsi" w:cstheme="minorHAnsi"/>
                      <w:sz w:val="24"/>
                      <w:szCs w:val="24"/>
                    </w:rPr>
                    <w:t xml:space="preserve">Ls </w:t>
                  </w:r>
                  <w:r w:rsidRPr="0085020F">
                    <w:rPr>
                      <w:rFonts w:asciiTheme="minorHAnsi" w:hAnsiTheme="minorHAnsi" w:cstheme="minorHAnsi"/>
                      <w:sz w:val="24"/>
                      <w:szCs w:val="24"/>
                    </w:rPr>
                    <w:t xml:space="preserve">19 389,12 </w:t>
                  </w:r>
                  <w:r>
                    <w:rPr>
                      <w:rFonts w:asciiTheme="minorHAnsi" w:hAnsiTheme="minorHAnsi" w:cstheme="minorHAnsi"/>
                      <w:sz w:val="24"/>
                      <w:szCs w:val="24"/>
                    </w:rPr>
                    <w:t xml:space="preserve">(27 588,23 </w:t>
                  </w:r>
                  <w:proofErr w:type="spellStart"/>
                  <w:r w:rsidRPr="00A44132">
                    <w:rPr>
                      <w:rFonts w:asciiTheme="minorHAnsi" w:hAnsiTheme="minorHAnsi" w:cstheme="minorHAnsi"/>
                      <w:i/>
                      <w:sz w:val="24"/>
                      <w:szCs w:val="24"/>
                    </w:rPr>
                    <w:t>euro</w:t>
                  </w:r>
                  <w:proofErr w:type="spellEnd"/>
                  <w:r>
                    <w:rPr>
                      <w:rFonts w:asciiTheme="minorHAnsi" w:hAnsiTheme="minorHAnsi" w:cstheme="minorHAnsi"/>
                      <w:sz w:val="24"/>
                      <w:szCs w:val="24"/>
                    </w:rPr>
                    <w:t xml:space="preserve">) </w:t>
                  </w:r>
                  <w:r w:rsidRPr="0085020F">
                    <w:rPr>
                      <w:rFonts w:asciiTheme="minorHAnsi" w:hAnsiTheme="minorHAnsi" w:cstheme="minorHAnsi"/>
                      <w:sz w:val="24"/>
                      <w:szCs w:val="24"/>
                    </w:rPr>
                    <w:t>apmērā (to nomaiņa notiks par pilnsabiedrības „SBRE” līdzekļiem);</w:t>
                  </w:r>
                </w:p>
                <w:p w:rsidR="005D6C0A" w:rsidRPr="005D6C0A" w:rsidRDefault="005D6C0A" w:rsidP="005D6C0A">
                  <w:pPr>
                    <w:pStyle w:val="ListParagraph"/>
                    <w:numPr>
                      <w:ilvl w:val="0"/>
                      <w:numId w:val="5"/>
                    </w:numPr>
                    <w:tabs>
                      <w:tab w:val="left" w:pos="993"/>
                    </w:tabs>
                    <w:spacing w:before="120"/>
                    <w:jc w:val="both"/>
                    <w:rPr>
                      <w:rFonts w:asciiTheme="minorHAnsi" w:hAnsiTheme="minorHAnsi" w:cstheme="minorHAnsi"/>
                      <w:sz w:val="24"/>
                      <w:szCs w:val="24"/>
                    </w:rPr>
                  </w:pPr>
                  <w:r w:rsidRPr="005D6C0A">
                    <w:rPr>
                      <w:rFonts w:asciiTheme="minorHAnsi" w:hAnsiTheme="minorHAnsi" w:cstheme="minorHAnsi"/>
                      <w:sz w:val="24"/>
                      <w:szCs w:val="24"/>
                    </w:rPr>
                    <w:t xml:space="preserve">par izdevumiem būvgružu novākšanai pēc apdrošināšanas gadījuma Ls 7 511,56 (10 687,99 </w:t>
                  </w:r>
                  <w:proofErr w:type="spellStart"/>
                  <w:r w:rsidRPr="005D6C0A">
                    <w:rPr>
                      <w:rFonts w:asciiTheme="minorHAnsi" w:hAnsiTheme="minorHAnsi" w:cstheme="minorHAnsi"/>
                      <w:i/>
                      <w:sz w:val="24"/>
                      <w:szCs w:val="24"/>
                    </w:rPr>
                    <w:t>euro</w:t>
                  </w:r>
                  <w:proofErr w:type="spellEnd"/>
                  <w:r w:rsidRPr="005D6C0A">
                    <w:rPr>
                      <w:rFonts w:asciiTheme="minorHAnsi" w:hAnsiTheme="minorHAnsi" w:cstheme="minorHAnsi"/>
                      <w:sz w:val="24"/>
                      <w:szCs w:val="24"/>
                    </w:rPr>
                    <w:t>) apmērā (šajos izdevumos ir iekļauta pilnsabiedrības „SBRE” sabojāto celtniecības materiālu, būvlaukuma aprīkojuma, kā arī instrumentu un darba rīku utilizācija</w:t>
                  </w:r>
                  <w:r>
                    <w:rPr>
                      <w:rFonts w:asciiTheme="minorHAnsi" w:hAnsiTheme="minorHAnsi" w:cstheme="minorHAnsi"/>
                      <w:sz w:val="24"/>
                      <w:szCs w:val="24"/>
                    </w:rPr>
                    <w:t>).</w:t>
                  </w:r>
                </w:p>
                <w:p w:rsidR="004C1130" w:rsidRDefault="004C1130" w:rsidP="005D6C0A">
                  <w:pPr>
                    <w:tabs>
                      <w:tab w:val="left" w:pos="993"/>
                    </w:tabs>
                    <w:ind w:firstLine="709"/>
                    <w:jc w:val="both"/>
                  </w:pPr>
                  <w:r>
                    <w:t xml:space="preserve">No zaudējumu aprēķina atskaitīts apdrošināšanas līgumā norādītais </w:t>
                  </w:r>
                  <w:proofErr w:type="spellStart"/>
                  <w:r>
                    <w:t>pašrisks</w:t>
                  </w:r>
                  <w:proofErr w:type="spellEnd"/>
                  <w:r>
                    <w:t xml:space="preserve"> Ls 1000,00</w:t>
                  </w:r>
                  <w:r w:rsidR="003467C5">
                    <w:t xml:space="preserve"> (1 422,87</w:t>
                  </w:r>
                  <w:r w:rsidR="003467C5" w:rsidRPr="00A40543">
                    <w:rPr>
                      <w:i/>
                    </w:rPr>
                    <w:t xml:space="preserve"> </w:t>
                  </w:r>
                  <w:proofErr w:type="spellStart"/>
                  <w:r w:rsidR="003467C5" w:rsidRPr="00A40543">
                    <w:rPr>
                      <w:i/>
                    </w:rPr>
                    <w:t>euro</w:t>
                  </w:r>
                  <w:proofErr w:type="spellEnd"/>
                  <w:r w:rsidR="003467C5">
                    <w:rPr>
                      <w:i/>
                    </w:rPr>
                    <w:t>)</w:t>
                  </w:r>
                  <w:r>
                    <w:t>.</w:t>
                  </w:r>
                </w:p>
                <w:p w:rsidR="00DD4B5E" w:rsidRPr="00BA6B9C" w:rsidRDefault="00DD4B5E" w:rsidP="00DD4B5E">
                  <w:pPr>
                    <w:tabs>
                      <w:tab w:val="left" w:pos="993"/>
                    </w:tabs>
                    <w:ind w:firstLine="709"/>
                    <w:jc w:val="both"/>
                  </w:pPr>
                  <w:r w:rsidRPr="00BA6B9C">
                    <w:lastRenderedPageBreak/>
                    <w:t xml:space="preserve">Pilnsabiedrība „SBRE” ar 2013.gada 29.augusta vēstuli, un atkārtoti ar 2013.gada 1.oktobra vēstuli, ir pieprasījusi VNĪ pārskaitīt pilnsabiedrībai „SBRE” daļu no SE „BTA </w:t>
                  </w:r>
                  <w:proofErr w:type="spellStart"/>
                  <w:r w:rsidRPr="00BA6B9C">
                    <w:t>Insurance</w:t>
                  </w:r>
                  <w:proofErr w:type="spellEnd"/>
                  <w:r w:rsidRPr="00BA6B9C">
                    <w:t xml:space="preserve"> </w:t>
                  </w:r>
                  <w:proofErr w:type="spellStart"/>
                  <w:r w:rsidRPr="00BA6B9C">
                    <w:t>Company</w:t>
                  </w:r>
                  <w:proofErr w:type="spellEnd"/>
                  <w:r w:rsidRPr="00BA6B9C">
                    <w:t xml:space="preserve">” samaksātās apdrošināšanas atlīdzības – </w:t>
                  </w:r>
                  <w:r w:rsidRPr="00BA6B9C">
                    <w:rPr>
                      <w:b/>
                    </w:rPr>
                    <w:t>Ls 52 521,06  (74730,7</w:t>
                  </w:r>
                  <w:r w:rsidR="005D6C0A">
                    <w:rPr>
                      <w:b/>
                    </w:rPr>
                    <w:t>4</w:t>
                  </w:r>
                  <w:r w:rsidR="00C64F75" w:rsidRPr="00BA6B9C">
                    <w:rPr>
                      <w:b/>
                      <w:i/>
                    </w:rPr>
                    <w:t xml:space="preserve"> </w:t>
                  </w:r>
                  <w:proofErr w:type="spellStart"/>
                  <w:r w:rsidR="00C64F75" w:rsidRPr="00BA6B9C">
                    <w:rPr>
                      <w:b/>
                      <w:i/>
                    </w:rPr>
                    <w:t>euro</w:t>
                  </w:r>
                  <w:proofErr w:type="spellEnd"/>
                  <w:r w:rsidRPr="00BA6B9C">
                    <w:rPr>
                      <w:b/>
                    </w:rPr>
                    <w:t>)</w:t>
                  </w:r>
                  <w:r w:rsidRPr="00BA6B9C">
                    <w:t>, kas ir pilnsabiedrības „SBRE” zaudējumi par Rīgas pils ugunsgrēkā bojā gājušajiem pilnsabiedrības „SBRE” celtniecības materiāliem, būvlaukuma aprīkojumu, instrumentiem, darba rīkiem, kā arī to utilizāciju, kas tiešā veidā neattiecas uz VNĪ pienākošos apdrošināšanas atlīdzību</w:t>
                  </w:r>
                  <w:r w:rsidR="004C1130">
                    <w:t xml:space="preserve">, t.i. </w:t>
                  </w:r>
                  <w:r w:rsidR="00FE2647">
                    <w:t xml:space="preserve">augstāk minētie zaudējumi </w:t>
                  </w:r>
                  <w:r w:rsidR="004C1130">
                    <w:t>b), c) un d) punktos</w:t>
                  </w:r>
                  <w:r w:rsidR="00FE2647">
                    <w:t>.</w:t>
                  </w:r>
                </w:p>
                <w:p w:rsidR="00297DD8" w:rsidRPr="00E64248" w:rsidRDefault="00664B4F" w:rsidP="00E64248">
                  <w:pPr>
                    <w:tabs>
                      <w:tab w:val="left" w:pos="993"/>
                    </w:tabs>
                    <w:ind w:firstLine="360"/>
                    <w:jc w:val="both"/>
                  </w:pPr>
                  <w:r>
                    <w:t xml:space="preserve"> </w:t>
                  </w:r>
                </w:p>
                <w:p w:rsidR="00913EBC" w:rsidRPr="00BA6B9C" w:rsidRDefault="00DD4B5E" w:rsidP="00E64248">
                  <w:pPr>
                    <w:tabs>
                      <w:tab w:val="left" w:pos="2688"/>
                    </w:tabs>
                    <w:ind w:firstLine="586"/>
                    <w:jc w:val="both"/>
                    <w:rPr>
                      <w:rFonts w:asciiTheme="minorHAnsi" w:hAnsiTheme="minorHAnsi" w:cstheme="minorHAnsi"/>
                      <w:bCs/>
                    </w:rPr>
                  </w:pPr>
                  <w:r w:rsidRPr="00BA6B9C">
                    <w:rPr>
                      <w:rFonts w:asciiTheme="minorHAnsi" w:hAnsiTheme="minorHAnsi" w:cstheme="minorHAnsi"/>
                      <w:bCs/>
                    </w:rPr>
                    <w:t xml:space="preserve">MK </w:t>
                  </w:r>
                  <w:proofErr w:type="spellStart"/>
                  <w:r w:rsidRPr="00BA6B9C">
                    <w:rPr>
                      <w:rFonts w:asciiTheme="minorHAnsi" w:hAnsiTheme="minorHAnsi" w:cstheme="minorHAnsi"/>
                      <w:bCs/>
                    </w:rPr>
                    <w:t>protokollēmuma</w:t>
                  </w:r>
                  <w:proofErr w:type="spellEnd"/>
                  <w:r w:rsidRPr="00BA6B9C">
                    <w:rPr>
                      <w:rFonts w:asciiTheme="minorHAnsi" w:hAnsiTheme="minorHAnsi" w:cstheme="minorHAnsi"/>
                      <w:bCs/>
                    </w:rPr>
                    <w:t xml:space="preserve"> (prot.Nr.36 56.§)</w:t>
                  </w:r>
                  <w:r w:rsidR="008432AA" w:rsidRPr="00BA6B9C">
                    <w:rPr>
                      <w:rFonts w:asciiTheme="minorHAnsi" w:hAnsiTheme="minorHAnsi" w:cstheme="minorHAnsi"/>
                      <w:bCs/>
                    </w:rPr>
                    <w:t xml:space="preserve"> 7.punkts noteic, </w:t>
                  </w:r>
                  <w:r w:rsidR="001224A3" w:rsidRPr="00BA6B9C">
                    <w:rPr>
                      <w:rFonts w:asciiTheme="minorHAnsi" w:hAnsiTheme="minorHAnsi" w:cstheme="minorHAnsi"/>
                      <w:bCs/>
                    </w:rPr>
                    <w:t>j</w:t>
                  </w:r>
                  <w:r w:rsidR="001224A3" w:rsidRPr="00BA6B9C">
                    <w:t>a sakarā ar ugunsgrēka radītajiem zaudējumiem attiecīga apdrošināšanas atlīdzība tiks izmaksāta naudā, ieskaitot to valsts akciju sabiedrības „Valsts nekustamie īpašumi” kontā, tad valsts akciju sabiedrība „Valsts nekustamie īpašumi” šos līdzekļus ieskaita valsts pamatbudžeta nenodokļu ieņēmumos, ja visi ugunsg</w:t>
                  </w:r>
                  <w:r w:rsidR="00E64248">
                    <w:t xml:space="preserve">rēka seku </w:t>
                  </w:r>
                  <w:r w:rsidR="001224A3" w:rsidRPr="00BA6B9C">
                    <w:t>likvidēšanas un būvniecības darbos izdarītie valsts akciju sabiedrības „Valsts nekustamie īpašumi” ieguldījumi segti no valsts budžeta līdzekļiem. Ja attiecīga apdrošināšanas atlīdzība būs apdrošinātāja apmaksāti apdrošināšanas objekta atjaunošanas darbi, attiecīgi samazināms ugunsgrēka seku likvidēšanas un būvniecības izdevumu segšanai paredzētais valsts budžeta finansējuma apmērs, virzot attiecīgu Ministru kabineta rīkojuma projektu.</w:t>
                  </w:r>
                </w:p>
                <w:p w:rsidR="00913EBC" w:rsidRPr="00BA6B9C" w:rsidRDefault="00913EBC" w:rsidP="00890486">
                  <w:pPr>
                    <w:tabs>
                      <w:tab w:val="left" w:pos="2688"/>
                    </w:tabs>
                    <w:ind w:firstLine="586"/>
                    <w:jc w:val="both"/>
                    <w:rPr>
                      <w:rFonts w:asciiTheme="minorHAnsi" w:hAnsiTheme="minorHAnsi" w:cstheme="minorHAnsi"/>
                      <w:bCs/>
                    </w:rPr>
                  </w:pPr>
                </w:p>
                <w:p w:rsidR="002662EE" w:rsidRPr="00BA6B9C" w:rsidRDefault="00913EBC" w:rsidP="00003576">
                  <w:pPr>
                    <w:tabs>
                      <w:tab w:val="left" w:pos="2688"/>
                    </w:tabs>
                    <w:ind w:firstLine="586"/>
                    <w:jc w:val="both"/>
                    <w:rPr>
                      <w:rFonts w:asciiTheme="minorHAnsi" w:hAnsiTheme="minorHAnsi" w:cstheme="minorHAnsi"/>
                    </w:rPr>
                  </w:pPr>
                  <w:r w:rsidRPr="00BA6B9C">
                    <w:rPr>
                      <w:rFonts w:asciiTheme="minorHAnsi" w:hAnsiTheme="minorHAnsi" w:cstheme="minorHAnsi"/>
                      <w:bCs/>
                    </w:rPr>
                    <w:t>Ievērojot augstāk minēto</w:t>
                  </w:r>
                  <w:r w:rsidR="0057479D" w:rsidRPr="00BA6B9C">
                    <w:rPr>
                      <w:rFonts w:asciiTheme="minorHAnsi" w:hAnsiTheme="minorHAnsi" w:cstheme="minorHAnsi"/>
                      <w:bCs/>
                    </w:rPr>
                    <w:t>,</w:t>
                  </w:r>
                  <w:r w:rsidRPr="00BA6B9C">
                    <w:rPr>
                      <w:rFonts w:asciiTheme="minorHAnsi" w:hAnsiTheme="minorHAnsi" w:cstheme="minorHAnsi"/>
                      <w:bCs/>
                    </w:rPr>
                    <w:t xml:space="preserve"> ugunsgrēka seku likvidēšanas izdevumu summa </w:t>
                  </w:r>
                  <w:r w:rsidR="001224A3" w:rsidRPr="00BA6B9C">
                    <w:rPr>
                      <w:rFonts w:asciiTheme="minorHAnsi" w:hAnsiTheme="minorHAnsi" w:cstheme="minorHAnsi"/>
                      <w:bCs/>
                    </w:rPr>
                    <w:t>Ls</w:t>
                  </w:r>
                  <w:r w:rsidR="002662EE" w:rsidRPr="00BA6B9C">
                    <w:rPr>
                      <w:rFonts w:asciiTheme="minorHAnsi" w:hAnsiTheme="minorHAnsi" w:cstheme="minorHAnsi"/>
                      <w:bCs/>
                    </w:rPr>
                    <w:t xml:space="preserve"> 421 071,55</w:t>
                  </w:r>
                  <w:r w:rsidR="004D632B" w:rsidRPr="00BA6B9C">
                    <w:rPr>
                      <w:rFonts w:asciiTheme="minorHAnsi" w:hAnsiTheme="minorHAnsi" w:cstheme="minorHAnsi"/>
                      <w:bCs/>
                    </w:rPr>
                    <w:t xml:space="preserve"> (599 130,8</w:t>
                  </w:r>
                  <w:r w:rsidR="00345DEE" w:rsidRPr="00BA6B9C">
                    <w:rPr>
                      <w:rFonts w:asciiTheme="minorHAnsi" w:hAnsiTheme="minorHAnsi" w:cstheme="minorHAnsi"/>
                      <w:bCs/>
                    </w:rPr>
                    <w:t>4</w:t>
                  </w:r>
                  <w:r w:rsidR="001224A3" w:rsidRPr="00BA6B9C">
                    <w:rPr>
                      <w:rFonts w:asciiTheme="minorHAnsi" w:hAnsiTheme="minorHAnsi" w:cstheme="minorHAnsi"/>
                      <w:bCs/>
                    </w:rPr>
                    <w:t xml:space="preserve"> </w:t>
                  </w:r>
                  <w:proofErr w:type="spellStart"/>
                  <w:r w:rsidR="00A40543" w:rsidRPr="00BA6B9C">
                    <w:rPr>
                      <w:rFonts w:asciiTheme="minorHAnsi" w:hAnsiTheme="minorHAnsi" w:cstheme="minorHAnsi"/>
                      <w:bCs/>
                      <w:i/>
                    </w:rPr>
                    <w:t>euro</w:t>
                  </w:r>
                  <w:proofErr w:type="spellEnd"/>
                  <w:r w:rsidR="001224A3" w:rsidRPr="00BA6B9C">
                    <w:rPr>
                      <w:rFonts w:asciiTheme="minorHAnsi" w:hAnsiTheme="minorHAnsi" w:cstheme="minorHAnsi"/>
                      <w:bCs/>
                    </w:rPr>
                    <w:t xml:space="preserve">) </w:t>
                  </w:r>
                  <w:r w:rsidRPr="00BA6B9C">
                    <w:rPr>
                      <w:rFonts w:asciiTheme="minorHAnsi" w:hAnsiTheme="minorHAnsi" w:cstheme="minorHAnsi"/>
                      <w:bCs/>
                    </w:rPr>
                    <w:t>tiek samazināta par Ls</w:t>
                  </w:r>
                  <w:r w:rsidR="00003576" w:rsidRPr="00BA6B9C">
                    <w:rPr>
                      <w:rFonts w:asciiTheme="minorHAnsi" w:hAnsiTheme="minorHAnsi" w:cstheme="minorHAnsi"/>
                      <w:bCs/>
                    </w:rPr>
                    <w:t xml:space="preserve"> 9</w:t>
                  </w:r>
                  <w:r w:rsidR="00A40543">
                    <w:rPr>
                      <w:rFonts w:asciiTheme="minorHAnsi" w:hAnsiTheme="minorHAnsi" w:cstheme="minorHAnsi"/>
                      <w:bCs/>
                    </w:rPr>
                    <w:t>4</w:t>
                  </w:r>
                  <w:r w:rsidR="00003576" w:rsidRPr="00BA6B9C">
                    <w:rPr>
                      <w:rFonts w:asciiTheme="minorHAnsi" w:hAnsiTheme="minorHAnsi" w:cstheme="minorHAnsi"/>
                      <w:bCs/>
                    </w:rPr>
                    <w:t> 144,92</w:t>
                  </w:r>
                  <w:r w:rsidRPr="00BA6B9C">
                    <w:rPr>
                      <w:rFonts w:asciiTheme="minorHAnsi" w:hAnsiTheme="minorHAnsi" w:cstheme="minorHAnsi"/>
                      <w:bCs/>
                    </w:rPr>
                    <w:t xml:space="preserve"> </w:t>
                  </w:r>
                  <w:r w:rsidR="001224A3" w:rsidRPr="00BA6B9C">
                    <w:rPr>
                      <w:rFonts w:asciiTheme="minorHAnsi" w:hAnsiTheme="minorHAnsi" w:cstheme="minorHAnsi"/>
                      <w:bCs/>
                    </w:rPr>
                    <w:t xml:space="preserve"> (</w:t>
                  </w:r>
                  <w:r w:rsidR="00003576" w:rsidRPr="00BA6B9C">
                    <w:rPr>
                      <w:rFonts w:asciiTheme="minorHAnsi" w:hAnsiTheme="minorHAnsi" w:cstheme="minorHAnsi"/>
                      <w:bCs/>
                    </w:rPr>
                    <w:t>13</w:t>
                  </w:r>
                  <w:r w:rsidR="00A40543">
                    <w:rPr>
                      <w:rFonts w:asciiTheme="minorHAnsi" w:hAnsiTheme="minorHAnsi" w:cstheme="minorHAnsi"/>
                      <w:bCs/>
                    </w:rPr>
                    <w:t>3</w:t>
                  </w:r>
                  <w:r w:rsidR="00003576" w:rsidRPr="00BA6B9C">
                    <w:rPr>
                      <w:rFonts w:asciiTheme="minorHAnsi" w:hAnsiTheme="minorHAnsi" w:cstheme="minorHAnsi"/>
                      <w:bCs/>
                    </w:rPr>
                    <w:t> </w:t>
                  </w:r>
                  <w:r w:rsidR="00A40543">
                    <w:rPr>
                      <w:rFonts w:asciiTheme="minorHAnsi" w:hAnsiTheme="minorHAnsi" w:cstheme="minorHAnsi"/>
                      <w:bCs/>
                    </w:rPr>
                    <w:t>956</w:t>
                  </w:r>
                  <w:r w:rsidR="00003576" w:rsidRPr="00BA6B9C">
                    <w:rPr>
                      <w:rFonts w:asciiTheme="minorHAnsi" w:hAnsiTheme="minorHAnsi" w:cstheme="minorHAnsi"/>
                      <w:bCs/>
                    </w:rPr>
                    <w:t>,</w:t>
                  </w:r>
                  <w:r w:rsidR="00A40543">
                    <w:rPr>
                      <w:rFonts w:asciiTheme="minorHAnsi" w:hAnsiTheme="minorHAnsi" w:cstheme="minorHAnsi"/>
                      <w:bCs/>
                    </w:rPr>
                    <w:t>15</w:t>
                  </w:r>
                  <w:r w:rsidR="00A40543" w:rsidRPr="00A40543">
                    <w:rPr>
                      <w:rFonts w:asciiTheme="minorHAnsi" w:hAnsiTheme="minorHAnsi" w:cstheme="minorHAnsi"/>
                      <w:bCs/>
                      <w:i/>
                    </w:rPr>
                    <w:t xml:space="preserve"> </w:t>
                  </w:r>
                  <w:proofErr w:type="spellStart"/>
                  <w:r w:rsidR="00A40543" w:rsidRPr="00A40543">
                    <w:rPr>
                      <w:rFonts w:asciiTheme="minorHAnsi" w:hAnsiTheme="minorHAnsi" w:cstheme="minorHAnsi"/>
                      <w:bCs/>
                      <w:i/>
                    </w:rPr>
                    <w:t>euro</w:t>
                  </w:r>
                  <w:proofErr w:type="spellEnd"/>
                  <w:r w:rsidR="001224A3" w:rsidRPr="00BA6B9C">
                    <w:rPr>
                      <w:rFonts w:asciiTheme="minorHAnsi" w:hAnsiTheme="minorHAnsi" w:cstheme="minorHAnsi"/>
                      <w:bCs/>
                    </w:rPr>
                    <w:t xml:space="preserve">), t.i., </w:t>
                  </w:r>
                  <w:r w:rsidR="0057479D" w:rsidRPr="00BA6B9C">
                    <w:rPr>
                      <w:rFonts w:asciiTheme="minorHAnsi" w:hAnsiTheme="minorHAnsi" w:cstheme="minorHAnsi"/>
                      <w:bCs/>
                    </w:rPr>
                    <w:t xml:space="preserve">par </w:t>
                  </w:r>
                  <w:r w:rsidRPr="00BA6B9C">
                    <w:rPr>
                      <w:rFonts w:asciiTheme="minorHAnsi" w:hAnsiTheme="minorHAnsi" w:cstheme="minorHAnsi"/>
                      <w:bCs/>
                    </w:rPr>
                    <w:t xml:space="preserve">starpību starp SE „BTA </w:t>
                  </w:r>
                  <w:proofErr w:type="spellStart"/>
                  <w:r w:rsidRPr="00BA6B9C">
                    <w:rPr>
                      <w:rFonts w:asciiTheme="minorHAnsi" w:hAnsiTheme="minorHAnsi" w:cstheme="minorHAnsi"/>
                      <w:bCs/>
                    </w:rPr>
                    <w:t>Insurance</w:t>
                  </w:r>
                  <w:proofErr w:type="spellEnd"/>
                  <w:r w:rsidRPr="00BA6B9C">
                    <w:rPr>
                      <w:rFonts w:asciiTheme="minorHAnsi" w:hAnsiTheme="minorHAnsi" w:cstheme="minorHAnsi"/>
                      <w:bCs/>
                    </w:rPr>
                    <w:t xml:space="preserve"> </w:t>
                  </w:r>
                  <w:proofErr w:type="spellStart"/>
                  <w:r w:rsidRPr="00BA6B9C">
                    <w:rPr>
                      <w:rFonts w:asciiTheme="minorHAnsi" w:hAnsiTheme="minorHAnsi" w:cstheme="minorHAnsi"/>
                      <w:bCs/>
                    </w:rPr>
                    <w:t>Company</w:t>
                  </w:r>
                  <w:proofErr w:type="spellEnd"/>
                  <w:r w:rsidRPr="00BA6B9C">
                    <w:rPr>
                      <w:rFonts w:asciiTheme="minorHAnsi" w:hAnsiTheme="minorHAnsi" w:cstheme="minorHAnsi"/>
                      <w:bCs/>
                    </w:rPr>
                    <w:t xml:space="preserve">” samaksātās apdrošināšanas atlīdzības summu </w:t>
                  </w:r>
                  <w:r w:rsidR="00003576" w:rsidRPr="00BA6B9C">
                    <w:t>Ls 145 665,98 (207 264,0</w:t>
                  </w:r>
                  <w:r w:rsidR="00345DEE" w:rsidRPr="00BA6B9C">
                    <w:t>2</w:t>
                  </w:r>
                  <w:r w:rsidR="00A40543" w:rsidRPr="00BA6B9C">
                    <w:rPr>
                      <w:i/>
                    </w:rPr>
                    <w:t xml:space="preserve"> </w:t>
                  </w:r>
                  <w:proofErr w:type="spellStart"/>
                  <w:r w:rsidR="00A40543" w:rsidRPr="00BA6B9C">
                    <w:rPr>
                      <w:i/>
                    </w:rPr>
                    <w:t>euro</w:t>
                  </w:r>
                  <w:proofErr w:type="spellEnd"/>
                  <w:r w:rsidR="00003576" w:rsidRPr="00BA6B9C">
                    <w:t>)</w:t>
                  </w:r>
                  <w:r w:rsidRPr="00BA6B9C">
                    <w:rPr>
                      <w:rFonts w:asciiTheme="minorHAnsi" w:hAnsiTheme="minorHAnsi" w:cstheme="minorHAnsi"/>
                      <w:bCs/>
                    </w:rPr>
                    <w:t xml:space="preserve"> un </w:t>
                  </w:r>
                  <w:r w:rsidR="003B2345" w:rsidRPr="00BA6B9C">
                    <w:t>5</w:t>
                  </w:r>
                  <w:r w:rsidR="00A40543">
                    <w:t>1</w:t>
                  </w:r>
                  <w:r w:rsidR="003B2345" w:rsidRPr="00BA6B9C">
                    <w:t> 521,06 (7</w:t>
                  </w:r>
                  <w:r w:rsidR="00A40543">
                    <w:t>3 307,86</w:t>
                  </w:r>
                  <w:r w:rsidR="00A40543" w:rsidRPr="00BA6B9C">
                    <w:rPr>
                      <w:i/>
                    </w:rPr>
                    <w:t xml:space="preserve"> </w:t>
                  </w:r>
                  <w:proofErr w:type="spellStart"/>
                  <w:r w:rsidR="00A40543" w:rsidRPr="00BA6B9C">
                    <w:rPr>
                      <w:i/>
                    </w:rPr>
                    <w:t>euro</w:t>
                  </w:r>
                  <w:proofErr w:type="spellEnd"/>
                  <w:r w:rsidR="003B2345" w:rsidRPr="00BA6B9C">
                    <w:t>)</w:t>
                  </w:r>
                  <w:r w:rsidR="003B2345">
                    <w:t xml:space="preserve">, kas ir </w:t>
                  </w:r>
                  <w:r w:rsidRPr="00BA6B9C">
                    <w:rPr>
                      <w:rFonts w:asciiTheme="minorHAnsi" w:hAnsiTheme="minorHAnsi" w:cstheme="minorHAnsi"/>
                      <w:bCs/>
                    </w:rPr>
                    <w:t>būvuzņēmēja pilnsabiedrības „SBRE” pieprasīt</w:t>
                  </w:r>
                  <w:r w:rsidR="003B2345">
                    <w:rPr>
                      <w:rFonts w:asciiTheme="minorHAnsi" w:hAnsiTheme="minorHAnsi" w:cstheme="minorHAnsi"/>
                      <w:bCs/>
                    </w:rPr>
                    <w:t>ā</w:t>
                  </w:r>
                  <w:r w:rsidRPr="00BA6B9C">
                    <w:rPr>
                      <w:rFonts w:asciiTheme="minorHAnsi" w:hAnsiTheme="minorHAnsi" w:cstheme="minorHAnsi"/>
                      <w:bCs/>
                    </w:rPr>
                    <w:t xml:space="preserve"> </w:t>
                  </w:r>
                  <w:r w:rsidR="00A40543">
                    <w:rPr>
                      <w:rFonts w:asciiTheme="minorHAnsi" w:hAnsiTheme="minorHAnsi" w:cstheme="minorHAnsi"/>
                      <w:bCs/>
                    </w:rPr>
                    <w:t xml:space="preserve">summa no </w:t>
                  </w:r>
                  <w:r w:rsidRPr="00BA6B9C">
                    <w:rPr>
                      <w:rFonts w:asciiTheme="minorHAnsi" w:hAnsiTheme="minorHAnsi" w:cstheme="minorHAnsi"/>
                      <w:bCs/>
                    </w:rPr>
                    <w:t>sa</w:t>
                  </w:r>
                  <w:r w:rsidR="00A40543">
                    <w:rPr>
                      <w:rFonts w:asciiTheme="minorHAnsi" w:hAnsiTheme="minorHAnsi" w:cstheme="minorHAnsi"/>
                      <w:bCs/>
                    </w:rPr>
                    <w:t>ņemtās</w:t>
                  </w:r>
                  <w:r w:rsidRPr="00BA6B9C">
                    <w:rPr>
                      <w:rFonts w:asciiTheme="minorHAnsi" w:hAnsiTheme="minorHAnsi" w:cstheme="minorHAnsi"/>
                      <w:bCs/>
                    </w:rPr>
                    <w:t xml:space="preserve"> </w:t>
                  </w:r>
                  <w:r w:rsidR="001224A3" w:rsidRPr="00BA6B9C">
                    <w:rPr>
                      <w:rFonts w:asciiTheme="minorHAnsi" w:hAnsiTheme="minorHAnsi" w:cstheme="minorHAnsi"/>
                      <w:bCs/>
                    </w:rPr>
                    <w:t>apdrošināšanas</w:t>
                  </w:r>
                  <w:r w:rsidRPr="00BA6B9C">
                    <w:rPr>
                      <w:rFonts w:asciiTheme="minorHAnsi" w:hAnsiTheme="minorHAnsi" w:cstheme="minorHAnsi"/>
                      <w:bCs/>
                    </w:rPr>
                    <w:t xml:space="preserve"> atlīdzības</w:t>
                  </w:r>
                  <w:r w:rsidR="003B2345">
                    <w:t>, kas samazināta par</w:t>
                  </w:r>
                  <w:r w:rsidR="00A40543">
                    <w:t xml:space="preserve"> apdrošinātāja atskaitīto </w:t>
                  </w:r>
                  <w:proofErr w:type="spellStart"/>
                  <w:r w:rsidR="00A40543">
                    <w:t>pašrisku</w:t>
                  </w:r>
                  <w:proofErr w:type="spellEnd"/>
                  <w:r w:rsidR="00A40543">
                    <w:t xml:space="preserve"> Ls 1000 (1 422,87</w:t>
                  </w:r>
                  <w:r w:rsidR="00A40543" w:rsidRPr="00A40543">
                    <w:rPr>
                      <w:i/>
                    </w:rPr>
                    <w:t xml:space="preserve"> </w:t>
                  </w:r>
                  <w:proofErr w:type="spellStart"/>
                  <w:r w:rsidR="00A40543" w:rsidRPr="00A40543">
                    <w:rPr>
                      <w:i/>
                    </w:rPr>
                    <w:t>euro</w:t>
                  </w:r>
                  <w:proofErr w:type="spellEnd"/>
                  <w:r w:rsidR="00A40543">
                    <w:t>)</w:t>
                  </w:r>
                  <w:r w:rsidR="001224A3" w:rsidRPr="00BA6B9C">
                    <w:rPr>
                      <w:rFonts w:asciiTheme="minorHAnsi" w:hAnsiTheme="minorHAnsi" w:cstheme="minorHAnsi"/>
                      <w:bCs/>
                    </w:rPr>
                    <w:t>.</w:t>
                  </w:r>
                  <w:r w:rsidR="00890486" w:rsidRPr="00BA6B9C">
                    <w:rPr>
                      <w:rFonts w:asciiTheme="minorHAnsi" w:hAnsiTheme="minorHAnsi" w:cstheme="minorHAnsi"/>
                    </w:rPr>
                    <w:tab/>
                  </w:r>
                </w:p>
                <w:p w:rsidR="00297DD8" w:rsidRDefault="002662EE" w:rsidP="00E64248">
                  <w:pPr>
                    <w:tabs>
                      <w:tab w:val="left" w:pos="2688"/>
                    </w:tabs>
                    <w:ind w:firstLine="586"/>
                    <w:jc w:val="both"/>
                    <w:rPr>
                      <w:rFonts w:asciiTheme="minorHAnsi" w:hAnsiTheme="minorHAnsi" w:cstheme="minorHAnsi"/>
                    </w:rPr>
                  </w:pPr>
                  <w:r w:rsidRPr="00BA6B9C">
                    <w:rPr>
                      <w:rFonts w:asciiTheme="minorHAnsi" w:hAnsiTheme="minorHAnsi" w:cstheme="minorHAnsi"/>
                    </w:rPr>
                    <w:t xml:space="preserve">Līdz ar to Rīkojuma projektā paredzams, ka </w:t>
                  </w:r>
                  <w:r w:rsidR="00F0604F" w:rsidRPr="00BA6B9C">
                    <w:rPr>
                      <w:rFonts w:asciiTheme="minorHAnsi" w:hAnsiTheme="minorHAnsi" w:cstheme="minorHAnsi"/>
                    </w:rPr>
                    <w:t xml:space="preserve">gadskārtējā budžeta likumā ilgtermiņa saistībās 2014.gada-2016.gadam plānotais finansējums </w:t>
                  </w:r>
                  <w:r w:rsidR="00F0604F" w:rsidRPr="00BA6B9C">
                    <w:t xml:space="preserve">Ls </w:t>
                  </w:r>
                  <w:r w:rsidR="00F0604F" w:rsidRPr="00BA6B9C">
                    <w:rPr>
                      <w:rFonts w:asciiTheme="minorHAnsi" w:hAnsiTheme="minorHAnsi" w:cstheme="minorHAnsi"/>
                    </w:rPr>
                    <w:t>19 646 585 (27 954</w:t>
                  </w:r>
                  <w:r w:rsidR="00E5413B">
                    <w:rPr>
                      <w:rFonts w:asciiTheme="minorHAnsi" w:hAnsiTheme="minorHAnsi" w:cstheme="minorHAnsi"/>
                    </w:rPr>
                    <w:t> </w:t>
                  </w:r>
                  <w:r w:rsidR="00F0604F" w:rsidRPr="00BA6B9C">
                    <w:rPr>
                      <w:rFonts w:asciiTheme="minorHAnsi" w:hAnsiTheme="minorHAnsi" w:cstheme="minorHAnsi"/>
                    </w:rPr>
                    <w:t>57</w:t>
                  </w:r>
                  <w:r w:rsidR="00E5413B">
                    <w:rPr>
                      <w:rFonts w:asciiTheme="minorHAnsi" w:hAnsiTheme="minorHAnsi" w:cstheme="minorHAnsi"/>
                    </w:rPr>
                    <w:t>1,97</w:t>
                  </w:r>
                  <w:r w:rsidR="00A40543" w:rsidRPr="00BA6B9C">
                    <w:rPr>
                      <w:rFonts w:asciiTheme="minorHAnsi" w:hAnsiTheme="minorHAnsi" w:cstheme="minorHAnsi"/>
                      <w:i/>
                    </w:rPr>
                    <w:t xml:space="preserve"> </w:t>
                  </w:r>
                  <w:proofErr w:type="spellStart"/>
                  <w:r w:rsidR="00A40543" w:rsidRPr="00BA6B9C">
                    <w:rPr>
                      <w:rFonts w:asciiTheme="minorHAnsi" w:hAnsiTheme="minorHAnsi" w:cstheme="minorHAnsi"/>
                      <w:i/>
                    </w:rPr>
                    <w:t>euro</w:t>
                  </w:r>
                  <w:proofErr w:type="spellEnd"/>
                  <w:r w:rsidR="00F0604F" w:rsidRPr="00BA6B9C">
                    <w:rPr>
                      <w:rFonts w:asciiTheme="minorHAnsi" w:hAnsiTheme="minorHAnsi" w:cstheme="minorHAnsi"/>
                    </w:rPr>
                    <w:t xml:space="preserve">) apmērā, kas paredzēts VNĪ veikto kapitālieguldījumu Rīgas pils Priekšpils būvniecībā un pārcelšanās izdevumu segšanai, izmatojams arī </w:t>
                  </w:r>
                  <w:r w:rsidR="00F0604F" w:rsidRPr="00BA6B9C">
                    <w:t>2013.gada 20.jūnijā Rīgas pilī notikušā ugunsgrēka seku likvidēšanas</w:t>
                  </w:r>
                  <w:r w:rsidR="00F0604F" w:rsidRPr="00BA6B9C">
                    <w:rPr>
                      <w:rFonts w:asciiTheme="minorHAnsi" w:hAnsiTheme="minorHAnsi" w:cstheme="minorHAnsi"/>
                    </w:rPr>
                    <w:t xml:space="preserve">, tai skaitā juridisko pakalpojumu, izdevumu </w:t>
                  </w:r>
                  <w:r w:rsidR="00F0604F" w:rsidRPr="00BA6B9C">
                    <w:rPr>
                      <w:rFonts w:asciiTheme="minorHAnsi" w:hAnsiTheme="minorHAnsi" w:cstheme="minorHAnsi"/>
                      <w:b/>
                    </w:rPr>
                    <w:t>Ls 32</w:t>
                  </w:r>
                  <w:r w:rsidR="00A40543">
                    <w:rPr>
                      <w:rFonts w:asciiTheme="minorHAnsi" w:hAnsiTheme="minorHAnsi" w:cstheme="minorHAnsi"/>
                      <w:b/>
                    </w:rPr>
                    <w:t>6</w:t>
                  </w:r>
                  <w:r w:rsidR="00F0604F" w:rsidRPr="00BA6B9C">
                    <w:rPr>
                      <w:rFonts w:asciiTheme="minorHAnsi" w:hAnsiTheme="minorHAnsi" w:cstheme="minorHAnsi"/>
                      <w:b/>
                    </w:rPr>
                    <w:t> 926,63 (46</w:t>
                  </w:r>
                  <w:r w:rsidR="00A40543">
                    <w:rPr>
                      <w:rFonts w:asciiTheme="minorHAnsi" w:hAnsiTheme="minorHAnsi" w:cstheme="minorHAnsi"/>
                      <w:b/>
                    </w:rPr>
                    <w:t>5</w:t>
                  </w:r>
                  <w:r w:rsidR="00F0604F" w:rsidRPr="00BA6B9C">
                    <w:rPr>
                      <w:rFonts w:asciiTheme="minorHAnsi" w:hAnsiTheme="minorHAnsi" w:cstheme="minorHAnsi"/>
                      <w:b/>
                    </w:rPr>
                    <w:t> </w:t>
                  </w:r>
                  <w:r w:rsidR="00A40543">
                    <w:rPr>
                      <w:rFonts w:asciiTheme="minorHAnsi" w:hAnsiTheme="minorHAnsi" w:cstheme="minorHAnsi"/>
                      <w:b/>
                    </w:rPr>
                    <w:t>174</w:t>
                  </w:r>
                  <w:r w:rsidR="00F0604F" w:rsidRPr="00BA6B9C">
                    <w:rPr>
                      <w:rFonts w:asciiTheme="minorHAnsi" w:hAnsiTheme="minorHAnsi" w:cstheme="minorHAnsi"/>
                      <w:b/>
                    </w:rPr>
                    <w:t>,</w:t>
                  </w:r>
                  <w:r w:rsidR="00A40543">
                    <w:rPr>
                      <w:rFonts w:asciiTheme="minorHAnsi" w:hAnsiTheme="minorHAnsi" w:cstheme="minorHAnsi"/>
                      <w:b/>
                    </w:rPr>
                    <w:t>69</w:t>
                  </w:r>
                  <w:r w:rsidR="00A40543" w:rsidRPr="00BA6B9C">
                    <w:rPr>
                      <w:rFonts w:asciiTheme="minorHAnsi" w:hAnsiTheme="minorHAnsi" w:cstheme="minorHAnsi"/>
                      <w:b/>
                      <w:i/>
                    </w:rPr>
                    <w:t xml:space="preserve"> </w:t>
                  </w:r>
                  <w:proofErr w:type="spellStart"/>
                  <w:r w:rsidR="00A40543" w:rsidRPr="00BA6B9C">
                    <w:rPr>
                      <w:rFonts w:asciiTheme="minorHAnsi" w:hAnsiTheme="minorHAnsi" w:cstheme="minorHAnsi"/>
                      <w:b/>
                      <w:i/>
                    </w:rPr>
                    <w:t>euro</w:t>
                  </w:r>
                  <w:proofErr w:type="spellEnd"/>
                  <w:r w:rsidR="00F0604F" w:rsidRPr="00BA6B9C">
                    <w:rPr>
                      <w:rFonts w:asciiTheme="minorHAnsi" w:hAnsiTheme="minorHAnsi" w:cstheme="minorHAnsi"/>
                      <w:b/>
                    </w:rPr>
                    <w:t>)</w:t>
                  </w:r>
                  <w:r w:rsidR="00F0604F" w:rsidRPr="00BA6B9C">
                    <w:rPr>
                      <w:rFonts w:asciiTheme="minorHAnsi" w:hAnsiTheme="minorHAnsi" w:cstheme="minorHAnsi"/>
                    </w:rPr>
                    <w:t xml:space="preserve"> apmērā segšanai.</w:t>
                  </w:r>
                </w:p>
                <w:p w:rsidR="00297DD8" w:rsidRPr="00BA6B9C" w:rsidRDefault="00297DD8" w:rsidP="00482F09">
                  <w:pPr>
                    <w:tabs>
                      <w:tab w:val="left" w:pos="2688"/>
                    </w:tabs>
                    <w:jc w:val="both"/>
                    <w:rPr>
                      <w:rFonts w:asciiTheme="minorHAnsi" w:hAnsiTheme="minorHAnsi" w:cstheme="minorHAnsi"/>
                    </w:rPr>
                  </w:pP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lastRenderedPageBreak/>
                    <w:t>5.</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1F242B" w:rsidRPr="00BA6B9C" w:rsidRDefault="00F00583" w:rsidP="005E2882">
                  <w:pPr>
                    <w:ind w:firstLine="131"/>
                    <w:jc w:val="both"/>
                    <w:rPr>
                      <w:rFonts w:asciiTheme="majorHAnsi" w:hAnsiTheme="majorHAnsi" w:cstheme="majorHAnsi"/>
                    </w:rPr>
                  </w:pPr>
                  <w:r w:rsidRPr="00BA6B9C">
                    <w:rPr>
                      <w:rFonts w:asciiTheme="majorHAnsi" w:hAnsiTheme="majorHAnsi" w:cstheme="majorHAnsi"/>
                    </w:rPr>
                    <w:t xml:space="preserve">Projekta izstrādē ir iesaistīta </w:t>
                  </w:r>
                  <w:r w:rsidR="00B97875" w:rsidRPr="00BA6B9C">
                    <w:rPr>
                      <w:rFonts w:asciiTheme="majorHAnsi" w:hAnsiTheme="majorHAnsi" w:cstheme="majorHAnsi"/>
                    </w:rPr>
                    <w:t>VNĪ</w:t>
                  </w:r>
                  <w:r w:rsidR="009E0975" w:rsidRPr="00BA6B9C">
                    <w:rPr>
                      <w:rFonts w:asciiTheme="majorHAnsi" w:hAnsiTheme="majorHAnsi" w:cstheme="majorHAnsi"/>
                    </w:rPr>
                    <w:t xml:space="preserve"> un F</w:t>
                  </w:r>
                  <w:r w:rsidR="005E2882" w:rsidRPr="00BA6B9C">
                    <w:rPr>
                      <w:rFonts w:asciiTheme="majorHAnsi" w:hAnsiTheme="majorHAnsi" w:cstheme="majorHAnsi"/>
                    </w:rPr>
                    <w:t>inanšu ministrija</w:t>
                  </w:r>
                  <w:r w:rsidR="00424F08" w:rsidRPr="00BA6B9C">
                    <w:rPr>
                      <w:rFonts w:asciiTheme="majorHAnsi" w:hAnsiTheme="majorHAnsi" w:cstheme="majorHAnsi"/>
                    </w:rPr>
                    <w:t xml:space="preserve"> </w:t>
                  </w: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6.</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 xml:space="preserve">Iemesli, kādēļ netika nodrošināta </w:t>
                  </w:r>
                  <w:r w:rsidRPr="00BA6B9C">
                    <w:rPr>
                      <w:rFonts w:asciiTheme="majorHAnsi" w:hAnsiTheme="majorHAnsi" w:cstheme="majorHAnsi"/>
                    </w:rPr>
                    <w:lastRenderedPageBreak/>
                    <w:t>sabiedrības līdzdalība</w:t>
                  </w:r>
                </w:p>
              </w:tc>
              <w:tc>
                <w:tcPr>
                  <w:tcW w:w="3773" w:type="pct"/>
                  <w:tcBorders>
                    <w:top w:val="outset" w:sz="6" w:space="0" w:color="auto"/>
                    <w:left w:val="outset" w:sz="6" w:space="0" w:color="auto"/>
                    <w:bottom w:val="outset" w:sz="6" w:space="0" w:color="auto"/>
                    <w:right w:val="outset" w:sz="6" w:space="0" w:color="auto"/>
                  </w:tcBorders>
                </w:tcPr>
                <w:p w:rsidR="001F242B" w:rsidRPr="00BA6B9C" w:rsidRDefault="00F00583" w:rsidP="001B7A1A">
                  <w:pPr>
                    <w:ind w:firstLine="131"/>
                    <w:jc w:val="both"/>
                    <w:rPr>
                      <w:rFonts w:asciiTheme="majorHAnsi" w:hAnsiTheme="majorHAnsi" w:cstheme="majorHAnsi"/>
                    </w:rPr>
                  </w:pPr>
                  <w:r w:rsidRPr="00BA6B9C">
                    <w:rPr>
                      <w:rFonts w:asciiTheme="majorHAnsi" w:hAnsiTheme="majorHAnsi" w:cstheme="majorHAnsi"/>
                    </w:rPr>
                    <w:lastRenderedPageBreak/>
                    <w:t>Rīkojuma projektā risinātie jautājumi neparedz ieviest izmaiņas, kas varētu ietekmēt sabiedrības intereses.</w:t>
                  </w:r>
                </w:p>
              </w:tc>
            </w:tr>
            <w:tr w:rsidR="001F242B" w:rsidRPr="00BA6B9C" w:rsidTr="001B692A">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lastRenderedPageBreak/>
                    <w:t>7.</w:t>
                  </w:r>
                </w:p>
              </w:tc>
              <w:tc>
                <w:tcPr>
                  <w:tcW w:w="964"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rPr>
                      <w:rFonts w:asciiTheme="majorHAnsi" w:hAnsiTheme="majorHAnsi" w:cstheme="majorHAnsi"/>
                    </w:rPr>
                  </w:pPr>
                  <w:r w:rsidRPr="00BA6B9C">
                    <w:rPr>
                      <w:rFonts w:asciiTheme="majorHAnsi" w:hAnsiTheme="majorHAnsi" w:cstheme="majorHAnsi"/>
                    </w:rPr>
                    <w:t>Cita informācija</w:t>
                  </w:r>
                </w:p>
              </w:tc>
              <w:tc>
                <w:tcPr>
                  <w:tcW w:w="3773" w:type="pct"/>
                  <w:tcBorders>
                    <w:top w:val="outset" w:sz="6" w:space="0" w:color="auto"/>
                    <w:left w:val="outset" w:sz="6" w:space="0" w:color="auto"/>
                    <w:bottom w:val="outset" w:sz="6" w:space="0" w:color="auto"/>
                    <w:right w:val="outset" w:sz="6" w:space="0" w:color="auto"/>
                  </w:tcBorders>
                </w:tcPr>
                <w:p w:rsidR="001F242B" w:rsidRPr="00BA6B9C" w:rsidRDefault="001F242B" w:rsidP="001B692A">
                  <w:pPr>
                    <w:ind w:firstLine="131"/>
                    <w:rPr>
                      <w:rFonts w:asciiTheme="majorHAnsi" w:hAnsiTheme="majorHAnsi" w:cstheme="majorHAnsi"/>
                    </w:rPr>
                  </w:pPr>
                  <w:r w:rsidRPr="00BA6B9C">
                    <w:rPr>
                      <w:rFonts w:asciiTheme="majorHAnsi" w:hAnsiTheme="majorHAnsi" w:cstheme="majorHAnsi"/>
                    </w:rPr>
                    <w:t>Nav.</w:t>
                  </w:r>
                </w:p>
              </w:tc>
            </w:tr>
          </w:tbl>
          <w:p w:rsidR="001F242B" w:rsidRPr="00BA6B9C" w:rsidRDefault="001F242B" w:rsidP="001B692A">
            <w:pPr>
              <w:pStyle w:val="NormalWeb"/>
              <w:rPr>
                <w:rFonts w:asciiTheme="majorHAnsi" w:hAnsiTheme="majorHAnsi" w:cstheme="majorHAnsi"/>
                <w:szCs w:val="24"/>
              </w:rPr>
            </w:pPr>
          </w:p>
        </w:tc>
      </w:tr>
    </w:tbl>
    <w:p w:rsidR="00385F3C" w:rsidRPr="00BA6B9C" w:rsidRDefault="00385F3C" w:rsidP="00967EDA">
      <w:pPr>
        <w:pStyle w:val="BodyTextIndent"/>
        <w:spacing w:after="0"/>
        <w:ind w:left="0"/>
        <w:rPr>
          <w:rFonts w:asciiTheme="majorHAnsi" w:hAnsiTheme="majorHAnsi" w:cstheme="maj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
        <w:gridCol w:w="2913"/>
        <w:gridCol w:w="5666"/>
      </w:tblGrid>
      <w:tr w:rsidR="00424F08" w:rsidRPr="00BA6B9C" w:rsidTr="001B692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424F08" w:rsidRPr="00BA6B9C" w:rsidRDefault="00424F08" w:rsidP="001B692A">
            <w:pPr>
              <w:spacing w:before="100" w:beforeAutospacing="1" w:after="100" w:afterAutospacing="1"/>
              <w:jc w:val="center"/>
              <w:rPr>
                <w:rFonts w:asciiTheme="majorHAnsi" w:hAnsiTheme="majorHAnsi" w:cstheme="majorHAnsi"/>
                <w:b/>
              </w:rPr>
            </w:pPr>
            <w:r w:rsidRPr="00BA6B9C">
              <w:rPr>
                <w:rFonts w:asciiTheme="majorHAnsi" w:hAnsiTheme="majorHAnsi" w:cstheme="majorHAnsi"/>
                <w:b/>
              </w:rPr>
              <w:t>II. Tiesību akta projekta ietekme uz sabiedrību</w:t>
            </w:r>
          </w:p>
        </w:tc>
      </w:tr>
      <w:tr w:rsidR="00424F08" w:rsidRPr="00BA6B9C" w:rsidTr="001B692A">
        <w:trPr>
          <w:trHeight w:val="46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1.</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Sabiedrības mērķgrupa</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424F08" w:rsidP="00424F08">
            <w:pPr>
              <w:ind w:firstLine="251"/>
              <w:jc w:val="both"/>
              <w:rPr>
                <w:rFonts w:asciiTheme="majorHAnsi" w:hAnsiTheme="majorHAnsi" w:cstheme="majorHAnsi"/>
              </w:rPr>
            </w:pPr>
            <w:r w:rsidRPr="00BA6B9C">
              <w:rPr>
                <w:rFonts w:asciiTheme="majorHAnsi" w:hAnsiTheme="majorHAnsi" w:cstheme="majorHAnsi"/>
              </w:rPr>
              <w:t>Projekts šo jomu neskar.</w:t>
            </w:r>
          </w:p>
        </w:tc>
      </w:tr>
      <w:tr w:rsidR="00424F08" w:rsidRPr="00BA6B9C" w:rsidTr="001B692A">
        <w:trPr>
          <w:trHeight w:val="523"/>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2.</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Citas sabiedrības grupas (bez mērķgrupas), kuras tiesiskais regulējums arī ietekmē vai varētu ietekmēt</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626B08" w:rsidP="00424F08">
            <w:pPr>
              <w:spacing w:before="100" w:beforeAutospacing="1" w:after="100" w:afterAutospacing="1"/>
              <w:ind w:firstLine="251"/>
              <w:jc w:val="both"/>
              <w:rPr>
                <w:rFonts w:asciiTheme="majorHAnsi" w:hAnsiTheme="majorHAnsi" w:cstheme="majorHAnsi"/>
              </w:rPr>
            </w:pPr>
            <w:r w:rsidRPr="00BA6B9C">
              <w:rPr>
                <w:rFonts w:asciiTheme="majorHAnsi" w:hAnsiTheme="majorHAnsi" w:cstheme="majorHAnsi"/>
              </w:rPr>
              <w:t>Projekts šo jomu neskar.</w:t>
            </w:r>
          </w:p>
        </w:tc>
      </w:tr>
      <w:tr w:rsidR="00424F08" w:rsidRPr="00BA6B9C" w:rsidTr="001B692A">
        <w:trPr>
          <w:trHeight w:val="51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3.</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Tiesiskā regulējuma finansiālā ietekme</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0B0F6C" w:rsidP="00424F08">
            <w:pPr>
              <w:ind w:firstLine="251"/>
              <w:jc w:val="both"/>
              <w:rPr>
                <w:rFonts w:asciiTheme="majorHAnsi" w:hAnsiTheme="majorHAnsi" w:cstheme="majorHAnsi"/>
              </w:rPr>
            </w:pPr>
            <w:r w:rsidRPr="00BA6B9C">
              <w:rPr>
                <w:rFonts w:asciiTheme="majorHAnsi" w:hAnsiTheme="majorHAnsi" w:cstheme="majorHAnsi"/>
              </w:rPr>
              <w:t>Projekts šo jomu neskar.</w:t>
            </w:r>
          </w:p>
        </w:tc>
      </w:tr>
      <w:tr w:rsidR="00424F08" w:rsidRPr="00BA6B9C" w:rsidTr="001B692A">
        <w:trPr>
          <w:trHeight w:val="51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4.</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Tiesiskā regulējuma nefinansiālā ietekme</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424F08" w:rsidP="00424F08">
            <w:pPr>
              <w:spacing w:before="100" w:beforeAutospacing="1" w:after="100" w:afterAutospacing="1"/>
              <w:ind w:firstLine="251"/>
              <w:rPr>
                <w:rFonts w:asciiTheme="majorHAnsi" w:hAnsiTheme="majorHAnsi" w:cstheme="majorHAnsi"/>
              </w:rPr>
            </w:pPr>
            <w:r w:rsidRPr="00BA6B9C">
              <w:rPr>
                <w:rFonts w:asciiTheme="majorHAnsi" w:hAnsiTheme="majorHAnsi" w:cstheme="majorHAnsi"/>
              </w:rPr>
              <w:t>Projekts šo jomu neskar.</w:t>
            </w:r>
          </w:p>
        </w:tc>
      </w:tr>
      <w:tr w:rsidR="00424F08" w:rsidRPr="00BA6B9C" w:rsidTr="001B692A">
        <w:trPr>
          <w:trHeight w:val="531"/>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5.</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Administratīvās procedūras raksturojums</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424F08" w:rsidP="00424F08">
            <w:pPr>
              <w:pStyle w:val="BodyText"/>
              <w:spacing w:after="0"/>
              <w:ind w:firstLine="251"/>
              <w:jc w:val="both"/>
              <w:rPr>
                <w:rFonts w:asciiTheme="majorHAnsi" w:hAnsiTheme="majorHAnsi" w:cstheme="majorHAnsi"/>
              </w:rPr>
            </w:pPr>
            <w:r w:rsidRPr="00BA6B9C">
              <w:rPr>
                <w:rFonts w:asciiTheme="majorHAnsi" w:hAnsiTheme="majorHAnsi" w:cstheme="majorHAnsi"/>
              </w:rPr>
              <w:t>Projekts šo jomu neskar.</w:t>
            </w:r>
          </w:p>
        </w:tc>
      </w:tr>
      <w:tr w:rsidR="00424F08" w:rsidRPr="00BA6B9C" w:rsidTr="001B692A">
        <w:trPr>
          <w:trHeight w:val="35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6.</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Administratīvo izmaksu monetārs novērtējums</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424F08" w:rsidP="00424F08">
            <w:pPr>
              <w:spacing w:before="100" w:beforeAutospacing="1" w:after="100" w:afterAutospacing="1"/>
              <w:ind w:firstLine="251"/>
              <w:rPr>
                <w:rFonts w:asciiTheme="majorHAnsi" w:hAnsiTheme="majorHAnsi" w:cstheme="majorHAnsi"/>
              </w:rPr>
            </w:pPr>
            <w:r w:rsidRPr="00BA6B9C">
              <w:rPr>
                <w:rFonts w:asciiTheme="majorHAnsi" w:hAnsiTheme="majorHAnsi" w:cstheme="majorHAnsi"/>
              </w:rPr>
              <w:t>Projekts šo jomu neskar</w:t>
            </w:r>
          </w:p>
        </w:tc>
      </w:tr>
      <w:tr w:rsidR="00424F08" w:rsidRPr="00BA6B9C" w:rsidTr="001B692A">
        <w:trPr>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7.</w:t>
            </w:r>
          </w:p>
        </w:tc>
        <w:tc>
          <w:tcPr>
            <w:tcW w:w="2913" w:type="dxa"/>
            <w:tcBorders>
              <w:top w:val="outset" w:sz="6" w:space="0" w:color="auto"/>
              <w:left w:val="outset" w:sz="6" w:space="0" w:color="auto"/>
              <w:bottom w:val="outset" w:sz="6" w:space="0" w:color="auto"/>
              <w:right w:val="outset" w:sz="6" w:space="0" w:color="auto"/>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 Cita informācija</w:t>
            </w:r>
          </w:p>
        </w:tc>
        <w:tc>
          <w:tcPr>
            <w:tcW w:w="5666" w:type="dxa"/>
            <w:tcBorders>
              <w:top w:val="outset" w:sz="6" w:space="0" w:color="auto"/>
              <w:left w:val="outset" w:sz="6" w:space="0" w:color="auto"/>
              <w:bottom w:val="outset" w:sz="6" w:space="0" w:color="auto"/>
              <w:right w:val="outset" w:sz="6" w:space="0" w:color="auto"/>
            </w:tcBorders>
          </w:tcPr>
          <w:p w:rsidR="00424F08" w:rsidRPr="00BA6B9C" w:rsidRDefault="00424F08" w:rsidP="00424F08">
            <w:pPr>
              <w:spacing w:before="100" w:beforeAutospacing="1" w:after="100" w:afterAutospacing="1"/>
              <w:ind w:firstLine="251"/>
              <w:rPr>
                <w:rFonts w:asciiTheme="majorHAnsi" w:hAnsiTheme="majorHAnsi" w:cstheme="majorHAnsi"/>
              </w:rPr>
            </w:pPr>
            <w:r w:rsidRPr="00BA6B9C">
              <w:rPr>
                <w:rFonts w:asciiTheme="majorHAnsi" w:hAnsiTheme="majorHAnsi" w:cstheme="majorHAnsi"/>
              </w:rPr>
              <w:t>Nav</w:t>
            </w:r>
          </w:p>
        </w:tc>
      </w:tr>
    </w:tbl>
    <w:p w:rsidR="00424F08" w:rsidRPr="00BA6B9C" w:rsidRDefault="00424F08" w:rsidP="00967EDA">
      <w:pPr>
        <w:rPr>
          <w:rFonts w:asciiTheme="majorHAnsi" w:hAnsiTheme="majorHAnsi" w:cstheme="majorHAnsi"/>
          <w:i/>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24"/>
        <w:gridCol w:w="1009"/>
        <w:gridCol w:w="1362"/>
        <w:gridCol w:w="1237"/>
        <w:gridCol w:w="1237"/>
        <w:gridCol w:w="1252"/>
      </w:tblGrid>
      <w:tr w:rsidR="00424F08" w:rsidRPr="00BA6B9C" w:rsidTr="001B692A">
        <w:trPr>
          <w:tblCellSpacing w:w="15" w:type="dxa"/>
        </w:trPr>
        <w:tc>
          <w:tcPr>
            <w:tcW w:w="0" w:type="auto"/>
            <w:gridSpan w:val="6"/>
            <w:tcBorders>
              <w:top w:val="outset" w:sz="6" w:space="0" w:color="000000"/>
              <w:bottom w:val="outset" w:sz="6" w:space="0" w:color="000000"/>
            </w:tcBorders>
          </w:tcPr>
          <w:p w:rsidR="00424F08" w:rsidRPr="00BA6B9C" w:rsidRDefault="00424F08" w:rsidP="001B692A">
            <w:pPr>
              <w:spacing w:before="100" w:beforeAutospacing="1" w:after="100" w:afterAutospacing="1"/>
              <w:jc w:val="center"/>
              <w:rPr>
                <w:rFonts w:asciiTheme="majorHAnsi" w:hAnsiTheme="majorHAnsi" w:cstheme="majorHAnsi"/>
                <w:b/>
                <w:bCs/>
              </w:rPr>
            </w:pPr>
            <w:r w:rsidRPr="00BA6B9C">
              <w:rPr>
                <w:rFonts w:asciiTheme="majorHAnsi" w:hAnsiTheme="majorHAnsi" w:cstheme="majorHAnsi"/>
                <w:b/>
                <w:bCs/>
              </w:rPr>
              <w:t>III. Tiesību akta projekta ietekme uz valsts budžetu un pašvaldību budžetiem</w:t>
            </w:r>
          </w:p>
        </w:tc>
      </w:tr>
      <w:tr w:rsidR="00424F08" w:rsidRPr="00BA6B9C" w:rsidTr="005B2CD2">
        <w:trPr>
          <w:tblCellSpacing w:w="15" w:type="dxa"/>
        </w:trPr>
        <w:tc>
          <w:tcPr>
            <w:tcW w:w="1692" w:type="pct"/>
            <w:vMerge w:val="restart"/>
            <w:tcBorders>
              <w:top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b/>
                <w:bCs/>
              </w:rPr>
            </w:pPr>
            <w:r w:rsidRPr="00BA6B9C">
              <w:rPr>
                <w:rFonts w:asciiTheme="majorHAnsi" w:hAnsiTheme="majorHAnsi" w:cstheme="majorHAnsi"/>
                <w:b/>
                <w:bCs/>
              </w:rPr>
              <w:t>Rādītāji</w:t>
            </w:r>
          </w:p>
        </w:tc>
        <w:tc>
          <w:tcPr>
            <w:tcW w:w="1268" w:type="pct"/>
            <w:gridSpan w:val="2"/>
            <w:vMerge w:val="restart"/>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b/>
                <w:bCs/>
              </w:rPr>
            </w:pPr>
            <w:r w:rsidRPr="00BA6B9C">
              <w:rPr>
                <w:rFonts w:asciiTheme="majorHAnsi" w:hAnsiTheme="majorHAnsi" w:cstheme="majorHAnsi"/>
                <w:b/>
                <w:bCs/>
              </w:rPr>
              <w:t>2013. gads</w:t>
            </w:r>
          </w:p>
        </w:tc>
        <w:tc>
          <w:tcPr>
            <w:tcW w:w="0" w:type="auto"/>
            <w:gridSpan w:val="3"/>
            <w:tcBorders>
              <w:top w:val="outset" w:sz="6" w:space="0" w:color="000000"/>
              <w:left w:val="outset" w:sz="6" w:space="0" w:color="000000"/>
              <w:bottom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Turpmākie trīs gadi (tūkst</w:t>
            </w:r>
            <w:smartTag w:uri="schemas-tilde-lv/tildestengine" w:element="currency2">
              <w:smartTagPr>
                <w:attr w:name="currency_id" w:val="48"/>
                <w:attr w:name="currency_key" w:val="LVL"/>
                <w:attr w:name="currency_value" w:val="."/>
                <w:attr w:name="currency_text" w:val="latu"/>
              </w:smartTagPr>
              <w:r w:rsidRPr="00BA6B9C">
                <w:rPr>
                  <w:rFonts w:asciiTheme="majorHAnsi" w:hAnsiTheme="majorHAnsi" w:cstheme="majorHAnsi"/>
                </w:rPr>
                <w:t>. latu</w:t>
              </w:r>
            </w:smartTag>
            <w:r w:rsidRPr="00BA6B9C">
              <w:rPr>
                <w:rFonts w:asciiTheme="majorHAnsi" w:hAnsiTheme="majorHAnsi" w:cstheme="majorHAnsi"/>
              </w:rPr>
              <w:t>)</w:t>
            </w:r>
          </w:p>
        </w:tc>
      </w:tr>
      <w:tr w:rsidR="00424F08" w:rsidRPr="00BA6B9C" w:rsidTr="005B2CD2">
        <w:trPr>
          <w:tblCellSpacing w:w="15" w:type="dxa"/>
        </w:trPr>
        <w:tc>
          <w:tcPr>
            <w:tcW w:w="1692" w:type="pct"/>
            <w:vMerge/>
            <w:tcBorders>
              <w:top w:val="outset" w:sz="6" w:space="0" w:color="000000"/>
              <w:bottom w:val="outset" w:sz="6" w:space="0" w:color="000000"/>
              <w:right w:val="outset" w:sz="6" w:space="0" w:color="000000"/>
            </w:tcBorders>
            <w:vAlign w:val="center"/>
          </w:tcPr>
          <w:p w:rsidR="00424F08" w:rsidRPr="00BA6B9C" w:rsidRDefault="00424F08" w:rsidP="001B692A">
            <w:pPr>
              <w:rPr>
                <w:rFonts w:asciiTheme="majorHAnsi" w:hAnsiTheme="majorHAnsi" w:cstheme="majorHAnsi"/>
                <w:b/>
                <w:bCs/>
              </w:rPr>
            </w:pPr>
          </w:p>
        </w:tc>
        <w:tc>
          <w:tcPr>
            <w:tcW w:w="1268" w:type="pct"/>
            <w:gridSpan w:val="2"/>
            <w:vMerge/>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rPr>
                <w:rFonts w:asciiTheme="majorHAnsi" w:hAnsiTheme="majorHAnsi" w:cstheme="majorHAnsi"/>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b/>
                <w:bCs/>
              </w:rPr>
            </w:pPr>
            <w:r w:rsidRPr="00BA6B9C">
              <w:rPr>
                <w:rFonts w:asciiTheme="majorHAnsi" w:hAnsiTheme="majorHAnsi" w:cstheme="majorHAnsi"/>
                <w:b/>
                <w:bCs/>
              </w:rPr>
              <w:t>2014.</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b/>
                <w:bCs/>
              </w:rPr>
            </w:pPr>
            <w:r w:rsidRPr="00BA6B9C">
              <w:rPr>
                <w:rFonts w:asciiTheme="majorHAnsi" w:hAnsiTheme="majorHAnsi" w:cstheme="majorHAnsi"/>
                <w:b/>
                <w:bCs/>
              </w:rPr>
              <w:t>2015.</w:t>
            </w:r>
          </w:p>
        </w:tc>
        <w:tc>
          <w:tcPr>
            <w:tcW w:w="0" w:type="auto"/>
            <w:tcBorders>
              <w:top w:val="outset" w:sz="6" w:space="0" w:color="000000"/>
              <w:left w:val="outset" w:sz="6" w:space="0" w:color="000000"/>
              <w:bottom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b/>
                <w:bCs/>
              </w:rPr>
            </w:pPr>
            <w:r w:rsidRPr="00BA6B9C">
              <w:rPr>
                <w:rFonts w:asciiTheme="majorHAnsi" w:hAnsiTheme="majorHAnsi" w:cstheme="majorHAnsi"/>
                <w:b/>
                <w:bCs/>
              </w:rPr>
              <w:t>2016.</w:t>
            </w:r>
          </w:p>
        </w:tc>
      </w:tr>
      <w:tr w:rsidR="00424F08" w:rsidRPr="00BA6B9C" w:rsidTr="005B2CD2">
        <w:trPr>
          <w:tblCellSpacing w:w="15" w:type="dxa"/>
        </w:trPr>
        <w:tc>
          <w:tcPr>
            <w:tcW w:w="1692" w:type="pct"/>
            <w:vMerge/>
            <w:tcBorders>
              <w:top w:val="outset" w:sz="6" w:space="0" w:color="000000"/>
              <w:bottom w:val="outset" w:sz="6" w:space="0" w:color="000000"/>
              <w:right w:val="outset" w:sz="6" w:space="0" w:color="000000"/>
            </w:tcBorders>
            <w:vAlign w:val="center"/>
          </w:tcPr>
          <w:p w:rsidR="00424F08" w:rsidRPr="00BA6B9C" w:rsidRDefault="00424F08" w:rsidP="001B692A">
            <w:pPr>
              <w:rPr>
                <w:rFonts w:asciiTheme="majorHAnsi" w:hAnsiTheme="majorHAnsi" w:cstheme="majorHAnsi"/>
                <w:b/>
                <w:bCs/>
              </w:rPr>
            </w:pPr>
          </w:p>
        </w:tc>
        <w:tc>
          <w:tcPr>
            <w:tcW w:w="537" w:type="pct"/>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Saskaņā ar valsts budžetu kārtējam gadam</w:t>
            </w:r>
          </w:p>
        </w:tc>
        <w:tc>
          <w:tcPr>
            <w:tcW w:w="715" w:type="pct"/>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Izmaiņas, salīdzinot ar kārtējo (n) gadu</w:t>
            </w:r>
          </w:p>
        </w:tc>
        <w:tc>
          <w:tcPr>
            <w:tcW w:w="0" w:type="auto"/>
            <w:tcBorders>
              <w:top w:val="outset" w:sz="6" w:space="0" w:color="000000"/>
              <w:left w:val="outset" w:sz="6" w:space="0" w:color="000000"/>
              <w:bottom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Izmaiņas, salīdzinot ar kārtējo (n) gadu</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1</w:t>
            </w:r>
          </w:p>
        </w:tc>
        <w:tc>
          <w:tcPr>
            <w:tcW w:w="537" w:type="pct"/>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2</w:t>
            </w:r>
          </w:p>
        </w:tc>
        <w:tc>
          <w:tcPr>
            <w:tcW w:w="715" w:type="pct"/>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5</w:t>
            </w:r>
          </w:p>
        </w:tc>
        <w:tc>
          <w:tcPr>
            <w:tcW w:w="0" w:type="auto"/>
            <w:tcBorders>
              <w:top w:val="outset" w:sz="6" w:space="0" w:color="000000"/>
              <w:left w:val="outset" w:sz="6" w:space="0" w:color="000000"/>
              <w:bottom w:val="outset" w:sz="6" w:space="0" w:color="000000"/>
            </w:tcBorders>
            <w:vAlign w:val="center"/>
          </w:tcPr>
          <w:p w:rsidR="00424F08" w:rsidRPr="00BA6B9C" w:rsidRDefault="00424F08" w:rsidP="001B692A">
            <w:pPr>
              <w:spacing w:before="100" w:beforeAutospacing="1" w:after="100" w:afterAutospacing="1"/>
              <w:jc w:val="center"/>
              <w:rPr>
                <w:rFonts w:asciiTheme="majorHAnsi" w:hAnsiTheme="majorHAnsi" w:cstheme="majorHAnsi"/>
              </w:rPr>
            </w:pPr>
            <w:r w:rsidRPr="00BA6B9C">
              <w:rPr>
                <w:rFonts w:asciiTheme="majorHAnsi" w:hAnsiTheme="majorHAnsi" w:cstheme="majorHAnsi"/>
              </w:rPr>
              <w:t>6</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1. Budžeta ieņēmumi:</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1.1. valsts pamatbudžets, tai skaitā ieņēmumi no maksas pakalpo-jumiem un citi pašu ieņēmumi</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1.2. valsts speciālais 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1.3. pašvaldību 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2. Budžeta izdevumi:</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2.1. valsts pamatbudžets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lastRenderedPageBreak/>
              <w:t>2.2. valsts speciālais 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2.3. pašvaldību 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3. Finansiālā ietekme:</w:t>
            </w:r>
          </w:p>
        </w:tc>
        <w:tc>
          <w:tcPr>
            <w:tcW w:w="3259" w:type="pct"/>
            <w:gridSpan w:val="5"/>
            <w:tcBorders>
              <w:top w:val="outset" w:sz="6" w:space="0" w:color="000000"/>
              <w:left w:val="outset" w:sz="6" w:space="0" w:color="000000"/>
              <w:bottom w:val="outset" w:sz="6" w:space="0" w:color="000000"/>
            </w:tcBorders>
            <w:vAlign w:val="center"/>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3.1. valsts pamatbudžets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3.2. speciālais 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3.3. pašvaldību budžets</w:t>
            </w:r>
          </w:p>
        </w:tc>
        <w:tc>
          <w:tcPr>
            <w:tcW w:w="3259" w:type="pct"/>
            <w:gridSpan w:val="5"/>
            <w:tcBorders>
              <w:top w:val="outset" w:sz="6" w:space="0" w:color="000000"/>
              <w:left w:val="outset" w:sz="6" w:space="0" w:color="000000"/>
              <w:bottom w:val="outset" w:sz="6" w:space="0" w:color="000000"/>
            </w:tcBorders>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1B7A1A" w:rsidRPr="00BA6B9C" w:rsidTr="005B2CD2">
        <w:trPr>
          <w:trHeight w:val="1930"/>
          <w:tblCellSpacing w:w="15" w:type="dxa"/>
        </w:trPr>
        <w:tc>
          <w:tcPr>
            <w:tcW w:w="1692" w:type="pct"/>
            <w:tcBorders>
              <w:top w:val="outset" w:sz="6" w:space="0" w:color="000000"/>
              <w:bottom w:val="outset" w:sz="6" w:space="0" w:color="000000"/>
              <w:right w:val="outset" w:sz="6" w:space="0" w:color="000000"/>
            </w:tcBorders>
          </w:tcPr>
          <w:p w:rsidR="001B7A1A" w:rsidRPr="00BA6B9C" w:rsidRDefault="001B7A1A" w:rsidP="001B692A">
            <w:pPr>
              <w:spacing w:before="100" w:beforeAutospacing="1" w:after="100" w:afterAutospacing="1"/>
              <w:rPr>
                <w:rFonts w:asciiTheme="majorHAnsi" w:hAnsiTheme="majorHAnsi" w:cstheme="majorHAnsi"/>
              </w:rPr>
            </w:pPr>
            <w:r w:rsidRPr="00BA6B9C">
              <w:rPr>
                <w:rFonts w:asciiTheme="majorHAnsi" w:hAnsiTheme="majorHAnsi" w:cstheme="majorHAnsi"/>
              </w:rPr>
              <w:t>4. Finanšu līdzekļi papildu izdevumu finansēšanai (kompensējošu izdevumu samazinājumu norāda ar "+" zīmi)</w:t>
            </w:r>
          </w:p>
        </w:tc>
        <w:tc>
          <w:tcPr>
            <w:tcW w:w="3259" w:type="pct"/>
            <w:gridSpan w:val="5"/>
            <w:tcBorders>
              <w:top w:val="outset" w:sz="6" w:space="0" w:color="000000"/>
              <w:left w:val="outset" w:sz="6" w:space="0" w:color="000000"/>
              <w:bottom w:val="outset" w:sz="6" w:space="0" w:color="000000"/>
            </w:tcBorders>
          </w:tcPr>
          <w:p w:rsidR="001B7A1A" w:rsidRPr="00BA6B9C" w:rsidRDefault="001B7A1A" w:rsidP="001B692A">
            <w:pPr>
              <w:spacing w:line="360" w:lineRule="auto"/>
              <w:rPr>
                <w:rFonts w:asciiTheme="majorHAnsi" w:hAnsiTheme="majorHAnsi" w:cstheme="majorHAnsi"/>
              </w:rPr>
            </w:pPr>
            <w:r w:rsidRPr="00BA6B9C">
              <w:rPr>
                <w:rFonts w:asciiTheme="majorHAnsi" w:hAnsiTheme="majorHAnsi" w:cstheme="majorHAnsi"/>
              </w:rPr>
              <w:t> </w:t>
            </w:r>
          </w:p>
          <w:p w:rsidR="001B7A1A" w:rsidRPr="00BA6B9C" w:rsidRDefault="001B7A1A" w:rsidP="001B692A">
            <w:pPr>
              <w:spacing w:line="360" w:lineRule="auto"/>
              <w:rPr>
                <w:rFonts w:asciiTheme="majorHAnsi" w:hAnsiTheme="majorHAnsi" w:cstheme="majorHAnsi"/>
              </w:rPr>
            </w:pPr>
          </w:p>
          <w:p w:rsidR="001B7A1A"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1B7A1A" w:rsidRPr="00BA6B9C" w:rsidTr="005B2CD2">
        <w:trPr>
          <w:tblCellSpacing w:w="15" w:type="dxa"/>
        </w:trPr>
        <w:tc>
          <w:tcPr>
            <w:tcW w:w="1692" w:type="pct"/>
            <w:tcBorders>
              <w:top w:val="outset" w:sz="6" w:space="0" w:color="000000"/>
              <w:bottom w:val="outset" w:sz="6" w:space="0" w:color="000000"/>
              <w:right w:val="outset" w:sz="6" w:space="0" w:color="000000"/>
            </w:tcBorders>
          </w:tcPr>
          <w:p w:rsidR="001B7A1A" w:rsidRPr="00BA6B9C" w:rsidRDefault="001B7A1A" w:rsidP="001B692A">
            <w:pPr>
              <w:spacing w:before="100" w:beforeAutospacing="1" w:after="100" w:afterAutospacing="1"/>
              <w:rPr>
                <w:rFonts w:asciiTheme="majorHAnsi" w:hAnsiTheme="majorHAnsi" w:cstheme="majorHAnsi"/>
              </w:rPr>
            </w:pPr>
            <w:r w:rsidRPr="00BA6B9C">
              <w:rPr>
                <w:rFonts w:asciiTheme="majorHAnsi" w:hAnsiTheme="majorHAnsi" w:cstheme="majorHAnsi"/>
              </w:rPr>
              <w:t>5. Precizēta finansiālā ietekme:</w:t>
            </w:r>
          </w:p>
        </w:tc>
        <w:tc>
          <w:tcPr>
            <w:tcW w:w="3259" w:type="pct"/>
            <w:gridSpan w:val="5"/>
            <w:vMerge w:val="restart"/>
            <w:tcBorders>
              <w:top w:val="outset" w:sz="6" w:space="0" w:color="000000"/>
              <w:left w:val="outset" w:sz="6" w:space="0" w:color="000000"/>
            </w:tcBorders>
          </w:tcPr>
          <w:p w:rsidR="001B7A1A" w:rsidRPr="00BA6B9C" w:rsidRDefault="001B7A1A" w:rsidP="001B692A">
            <w:pPr>
              <w:spacing w:line="360" w:lineRule="auto"/>
              <w:rPr>
                <w:rFonts w:asciiTheme="majorHAnsi" w:hAnsiTheme="majorHAnsi" w:cstheme="majorHAnsi"/>
              </w:rPr>
            </w:pPr>
            <w:r w:rsidRPr="00BA6B9C">
              <w:rPr>
                <w:rFonts w:asciiTheme="majorHAnsi" w:hAnsiTheme="majorHAnsi" w:cstheme="majorHAnsi"/>
              </w:rPr>
              <w:t> </w:t>
            </w:r>
          </w:p>
          <w:p w:rsidR="001B7A1A"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1B7A1A" w:rsidRPr="00BA6B9C" w:rsidTr="005B2CD2">
        <w:trPr>
          <w:tblCellSpacing w:w="15" w:type="dxa"/>
        </w:trPr>
        <w:tc>
          <w:tcPr>
            <w:tcW w:w="1692" w:type="pct"/>
            <w:tcBorders>
              <w:top w:val="outset" w:sz="6" w:space="0" w:color="000000"/>
              <w:bottom w:val="outset" w:sz="6" w:space="0" w:color="000000"/>
              <w:right w:val="outset" w:sz="6" w:space="0" w:color="000000"/>
            </w:tcBorders>
          </w:tcPr>
          <w:p w:rsidR="001B7A1A" w:rsidRPr="00BA6B9C" w:rsidRDefault="001B7A1A" w:rsidP="001B692A">
            <w:pPr>
              <w:spacing w:before="100" w:beforeAutospacing="1" w:after="100" w:afterAutospacing="1"/>
              <w:rPr>
                <w:rFonts w:asciiTheme="majorHAnsi" w:hAnsiTheme="majorHAnsi" w:cstheme="majorHAnsi"/>
              </w:rPr>
            </w:pPr>
            <w:r w:rsidRPr="00BA6B9C">
              <w:rPr>
                <w:rFonts w:asciiTheme="majorHAnsi" w:hAnsiTheme="majorHAnsi" w:cstheme="majorHAnsi"/>
              </w:rPr>
              <w:t>5.1. valsts pamatbudžets</w:t>
            </w:r>
          </w:p>
        </w:tc>
        <w:tc>
          <w:tcPr>
            <w:tcW w:w="3259" w:type="pct"/>
            <w:gridSpan w:val="5"/>
            <w:vMerge/>
            <w:tcBorders>
              <w:left w:val="outset" w:sz="6" w:space="0" w:color="000000"/>
            </w:tcBorders>
            <w:vAlign w:val="center"/>
          </w:tcPr>
          <w:p w:rsidR="001B7A1A" w:rsidRPr="00BA6B9C" w:rsidRDefault="001B7A1A" w:rsidP="001B692A">
            <w:pPr>
              <w:spacing w:line="360" w:lineRule="auto"/>
              <w:rPr>
                <w:rFonts w:asciiTheme="majorHAnsi" w:hAnsiTheme="majorHAnsi" w:cstheme="majorHAnsi"/>
              </w:rPr>
            </w:pPr>
          </w:p>
        </w:tc>
      </w:tr>
      <w:tr w:rsidR="001B7A1A" w:rsidRPr="00BA6B9C" w:rsidTr="005B2CD2">
        <w:trPr>
          <w:tblCellSpacing w:w="15" w:type="dxa"/>
        </w:trPr>
        <w:tc>
          <w:tcPr>
            <w:tcW w:w="1692" w:type="pct"/>
            <w:tcBorders>
              <w:top w:val="outset" w:sz="6" w:space="0" w:color="000000"/>
              <w:bottom w:val="outset" w:sz="6" w:space="0" w:color="000000"/>
              <w:right w:val="outset" w:sz="6" w:space="0" w:color="000000"/>
            </w:tcBorders>
          </w:tcPr>
          <w:p w:rsidR="001B7A1A" w:rsidRPr="00BA6B9C" w:rsidRDefault="001B7A1A" w:rsidP="001B692A">
            <w:pPr>
              <w:spacing w:before="100" w:beforeAutospacing="1" w:after="100" w:afterAutospacing="1"/>
              <w:rPr>
                <w:rFonts w:asciiTheme="majorHAnsi" w:hAnsiTheme="majorHAnsi" w:cstheme="majorHAnsi"/>
              </w:rPr>
            </w:pPr>
            <w:r w:rsidRPr="00BA6B9C">
              <w:rPr>
                <w:rFonts w:asciiTheme="majorHAnsi" w:hAnsiTheme="majorHAnsi" w:cstheme="majorHAnsi"/>
              </w:rPr>
              <w:t>5.2. speciālais budžets</w:t>
            </w:r>
          </w:p>
        </w:tc>
        <w:tc>
          <w:tcPr>
            <w:tcW w:w="3259" w:type="pct"/>
            <w:gridSpan w:val="5"/>
            <w:vMerge/>
            <w:tcBorders>
              <w:left w:val="outset" w:sz="6" w:space="0" w:color="000000"/>
            </w:tcBorders>
            <w:vAlign w:val="center"/>
          </w:tcPr>
          <w:p w:rsidR="001B7A1A" w:rsidRPr="00BA6B9C" w:rsidRDefault="001B7A1A" w:rsidP="001B692A">
            <w:pPr>
              <w:spacing w:line="360" w:lineRule="auto"/>
              <w:rPr>
                <w:rFonts w:asciiTheme="majorHAnsi" w:hAnsiTheme="majorHAnsi" w:cstheme="majorHAnsi"/>
              </w:rPr>
            </w:pPr>
          </w:p>
        </w:tc>
      </w:tr>
      <w:tr w:rsidR="001B7A1A" w:rsidRPr="00BA6B9C" w:rsidTr="005B2CD2">
        <w:trPr>
          <w:tblCellSpacing w:w="15" w:type="dxa"/>
        </w:trPr>
        <w:tc>
          <w:tcPr>
            <w:tcW w:w="1692" w:type="pct"/>
            <w:tcBorders>
              <w:top w:val="outset" w:sz="6" w:space="0" w:color="000000"/>
              <w:bottom w:val="outset" w:sz="6" w:space="0" w:color="000000"/>
              <w:right w:val="outset" w:sz="6" w:space="0" w:color="000000"/>
            </w:tcBorders>
          </w:tcPr>
          <w:p w:rsidR="001B7A1A" w:rsidRPr="00BA6B9C" w:rsidRDefault="001B7A1A" w:rsidP="001B692A">
            <w:pPr>
              <w:spacing w:before="100" w:beforeAutospacing="1" w:after="100" w:afterAutospacing="1"/>
              <w:rPr>
                <w:rFonts w:asciiTheme="majorHAnsi" w:hAnsiTheme="majorHAnsi" w:cstheme="majorHAnsi"/>
              </w:rPr>
            </w:pPr>
            <w:r w:rsidRPr="00BA6B9C">
              <w:rPr>
                <w:rFonts w:asciiTheme="majorHAnsi" w:hAnsiTheme="majorHAnsi" w:cstheme="majorHAnsi"/>
              </w:rPr>
              <w:t>5.3. pašvaldību budžets</w:t>
            </w:r>
          </w:p>
        </w:tc>
        <w:tc>
          <w:tcPr>
            <w:tcW w:w="3259" w:type="pct"/>
            <w:gridSpan w:val="5"/>
            <w:vMerge/>
            <w:tcBorders>
              <w:left w:val="outset" w:sz="6" w:space="0" w:color="000000"/>
              <w:bottom w:val="outset" w:sz="6" w:space="0" w:color="000000"/>
            </w:tcBorders>
            <w:vAlign w:val="center"/>
          </w:tcPr>
          <w:p w:rsidR="001B7A1A" w:rsidRPr="00BA6B9C" w:rsidRDefault="001B7A1A" w:rsidP="001B692A">
            <w:pPr>
              <w:spacing w:line="360" w:lineRule="auto"/>
              <w:rPr>
                <w:rFonts w:asciiTheme="majorHAnsi" w:hAnsiTheme="majorHAnsi" w:cstheme="majorHAnsi"/>
              </w:rPr>
            </w:pP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6. Detalizēts ieņēmumu un izdevu</w:t>
            </w:r>
            <w:r w:rsidRPr="00BA6B9C">
              <w:rPr>
                <w:rFonts w:asciiTheme="majorHAnsi" w:hAnsiTheme="majorHAnsi" w:cstheme="majorHAnsi"/>
              </w:rPr>
              <w:softHyphen/>
              <w:t>mu aprēķins (ja nepieciešams, detalizētu ieņēmumu un izdevumu aprēķinu var pievienot anotācijas pielikumā):</w:t>
            </w:r>
          </w:p>
        </w:tc>
        <w:tc>
          <w:tcPr>
            <w:tcW w:w="3259" w:type="pct"/>
            <w:gridSpan w:val="5"/>
            <w:vMerge w:val="restart"/>
            <w:tcBorders>
              <w:top w:val="outset" w:sz="6" w:space="0" w:color="000000"/>
              <w:left w:val="outset" w:sz="6" w:space="0" w:color="000000"/>
              <w:bottom w:val="outset" w:sz="6" w:space="0" w:color="000000"/>
            </w:tcBorders>
            <w:vAlign w:val="center"/>
          </w:tcPr>
          <w:p w:rsidR="00424F08" w:rsidRPr="00BA6B9C" w:rsidRDefault="001B7A1A" w:rsidP="001B692A">
            <w:pPr>
              <w:spacing w:line="360" w:lineRule="auto"/>
              <w:jc w:val="center"/>
              <w:rPr>
                <w:rFonts w:asciiTheme="majorHAnsi" w:hAnsiTheme="majorHAnsi" w:cstheme="majorHAnsi"/>
              </w:rPr>
            </w:pPr>
            <w:r w:rsidRPr="00BA6B9C">
              <w:rPr>
                <w:rFonts w:asciiTheme="majorHAnsi" w:hAnsiTheme="majorHAnsi" w:cstheme="majorHAnsi"/>
              </w:rPr>
              <w:t>Projekts šo jomu neskar.</w:t>
            </w: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6.1. detalizēts ieņēmumu aprēķins</w:t>
            </w:r>
          </w:p>
        </w:tc>
        <w:tc>
          <w:tcPr>
            <w:tcW w:w="3259" w:type="pct"/>
            <w:gridSpan w:val="5"/>
            <w:vMerge/>
            <w:tcBorders>
              <w:top w:val="outset" w:sz="6" w:space="0" w:color="000000"/>
              <w:left w:val="outset" w:sz="6" w:space="0" w:color="000000"/>
              <w:bottom w:val="outset" w:sz="6" w:space="0" w:color="000000"/>
            </w:tcBorders>
            <w:vAlign w:val="center"/>
          </w:tcPr>
          <w:p w:rsidR="00424F08" w:rsidRPr="00BA6B9C" w:rsidRDefault="00424F08" w:rsidP="001B692A">
            <w:pPr>
              <w:rPr>
                <w:rFonts w:asciiTheme="majorHAnsi" w:hAnsiTheme="majorHAnsi" w:cstheme="majorHAnsi"/>
              </w:rPr>
            </w:pP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6.2. detalizēts izdevumu aprēķins</w:t>
            </w:r>
          </w:p>
        </w:tc>
        <w:tc>
          <w:tcPr>
            <w:tcW w:w="3259" w:type="pct"/>
            <w:gridSpan w:val="5"/>
            <w:vMerge/>
            <w:tcBorders>
              <w:top w:val="outset" w:sz="6" w:space="0" w:color="000000"/>
              <w:left w:val="outset" w:sz="6" w:space="0" w:color="000000"/>
              <w:bottom w:val="outset" w:sz="6" w:space="0" w:color="000000"/>
            </w:tcBorders>
            <w:vAlign w:val="center"/>
          </w:tcPr>
          <w:p w:rsidR="00424F08" w:rsidRPr="00BA6B9C" w:rsidRDefault="00424F08" w:rsidP="001B692A">
            <w:pPr>
              <w:rPr>
                <w:rFonts w:asciiTheme="majorHAnsi" w:hAnsiTheme="majorHAnsi" w:cstheme="majorHAnsi"/>
              </w:rPr>
            </w:pPr>
          </w:p>
        </w:tc>
      </w:tr>
      <w:tr w:rsidR="00424F08" w:rsidRPr="00BA6B9C" w:rsidTr="005B2CD2">
        <w:trPr>
          <w:tblCellSpacing w:w="15" w:type="dxa"/>
        </w:trPr>
        <w:tc>
          <w:tcPr>
            <w:tcW w:w="1692" w:type="pct"/>
            <w:tcBorders>
              <w:top w:val="outset" w:sz="6" w:space="0" w:color="000000"/>
              <w:bottom w:val="outset" w:sz="6" w:space="0" w:color="000000"/>
              <w:right w:val="outset" w:sz="6" w:space="0" w:color="000000"/>
            </w:tcBorders>
          </w:tcPr>
          <w:p w:rsidR="00424F08" w:rsidRPr="00BA6B9C" w:rsidRDefault="00424F08" w:rsidP="001B692A">
            <w:pPr>
              <w:spacing w:before="100" w:beforeAutospacing="1" w:after="100" w:afterAutospacing="1"/>
              <w:rPr>
                <w:rFonts w:asciiTheme="majorHAnsi" w:hAnsiTheme="majorHAnsi" w:cstheme="majorHAnsi"/>
              </w:rPr>
            </w:pPr>
            <w:r w:rsidRPr="00BA6B9C">
              <w:rPr>
                <w:rFonts w:asciiTheme="majorHAnsi" w:hAnsiTheme="majorHAnsi" w:cstheme="majorHAnsi"/>
              </w:rPr>
              <w:t>7. Cita informācija</w:t>
            </w:r>
          </w:p>
        </w:tc>
        <w:tc>
          <w:tcPr>
            <w:tcW w:w="3259" w:type="pct"/>
            <w:gridSpan w:val="5"/>
            <w:tcBorders>
              <w:top w:val="outset" w:sz="6" w:space="0" w:color="000000"/>
              <w:left w:val="outset" w:sz="6" w:space="0" w:color="000000"/>
              <w:bottom w:val="outset" w:sz="6" w:space="0" w:color="000000"/>
            </w:tcBorders>
          </w:tcPr>
          <w:p w:rsidR="003F23E2" w:rsidRPr="00BA6B9C" w:rsidRDefault="000269DD" w:rsidP="00C64F75">
            <w:pPr>
              <w:jc w:val="both"/>
            </w:pPr>
            <w:r w:rsidRPr="00BA6B9C">
              <w:t xml:space="preserve">Rīkojuma projekts paredz gadskārtējā budžeta likumā ilgtermiņa saistībās 2014.gada-2016.gadam plānotā finansējuma </w:t>
            </w:r>
            <w:r w:rsidR="00003576" w:rsidRPr="00BA6B9C">
              <w:t xml:space="preserve">Ls </w:t>
            </w:r>
            <w:r w:rsidR="00003576" w:rsidRPr="00BA6B9C">
              <w:rPr>
                <w:rFonts w:asciiTheme="minorHAnsi" w:hAnsiTheme="minorHAnsi" w:cstheme="minorHAnsi"/>
              </w:rPr>
              <w:t>19 646 585 (</w:t>
            </w:r>
            <w:r w:rsidR="0057479D" w:rsidRPr="00BA6B9C">
              <w:rPr>
                <w:rFonts w:asciiTheme="minorHAnsi" w:hAnsiTheme="minorHAnsi" w:cstheme="minorHAnsi"/>
              </w:rPr>
              <w:t>27 954</w:t>
            </w:r>
            <w:r w:rsidR="00C64F75">
              <w:rPr>
                <w:rFonts w:asciiTheme="minorHAnsi" w:hAnsiTheme="minorHAnsi" w:cstheme="minorHAnsi"/>
              </w:rPr>
              <w:t> </w:t>
            </w:r>
            <w:r w:rsidR="0057479D" w:rsidRPr="00BA6B9C">
              <w:rPr>
                <w:rFonts w:asciiTheme="minorHAnsi" w:hAnsiTheme="minorHAnsi" w:cstheme="minorHAnsi"/>
              </w:rPr>
              <w:t>572</w:t>
            </w:r>
            <w:r w:rsidR="00C64F75" w:rsidRPr="00BA6B9C">
              <w:rPr>
                <w:rFonts w:asciiTheme="minorHAnsi" w:hAnsiTheme="minorHAnsi" w:cstheme="minorHAnsi"/>
                <w:i/>
              </w:rPr>
              <w:t xml:space="preserve"> </w:t>
            </w:r>
            <w:proofErr w:type="spellStart"/>
            <w:r w:rsidR="00C64F75" w:rsidRPr="00BA6B9C">
              <w:rPr>
                <w:rFonts w:asciiTheme="minorHAnsi" w:hAnsiTheme="minorHAnsi" w:cstheme="minorHAnsi"/>
                <w:i/>
              </w:rPr>
              <w:t>euro</w:t>
            </w:r>
            <w:proofErr w:type="spellEnd"/>
            <w:r w:rsidR="00003576" w:rsidRPr="00BA6B9C">
              <w:rPr>
                <w:rFonts w:asciiTheme="minorHAnsi" w:hAnsiTheme="minorHAnsi" w:cstheme="minorHAnsi"/>
              </w:rPr>
              <w:t xml:space="preserve">) </w:t>
            </w:r>
            <w:r w:rsidRPr="00BA6B9C">
              <w:t>apmērā, kas paredzēts VNĪ veikto kapitālieguldījumu Rīgas pils Priekšpils būvniecībā un pārcelšanās izdevumu segšanai, izlietojuma mērķa paplašināšanu, nemainot finansējuma apmēru un tā sadalījumu pa gadiem.</w:t>
            </w:r>
          </w:p>
        </w:tc>
      </w:tr>
    </w:tbl>
    <w:p w:rsidR="00424F08" w:rsidRDefault="00533026" w:rsidP="00533026">
      <w:pPr>
        <w:spacing w:before="100" w:beforeAutospacing="1" w:after="100" w:afterAutospacing="1"/>
        <w:rPr>
          <w:rFonts w:asciiTheme="majorHAnsi" w:hAnsiTheme="majorHAnsi" w:cstheme="majorHAnsi"/>
        </w:rPr>
      </w:pPr>
      <w:r w:rsidRPr="00BA6B9C">
        <w:rPr>
          <w:rFonts w:asciiTheme="majorHAnsi" w:hAnsiTheme="majorHAnsi" w:cstheme="majorHAnsi"/>
        </w:rPr>
        <w:t>Anotācijas IV, V un VI sadaļa – rīkojuma projekts šīs jomas neskar.</w:t>
      </w:r>
    </w:p>
    <w:p w:rsidR="00E64248" w:rsidRPr="00BA6B9C" w:rsidRDefault="00E64248" w:rsidP="00533026">
      <w:pPr>
        <w:spacing w:before="100" w:beforeAutospacing="1" w:after="100" w:afterAutospacing="1"/>
        <w:rPr>
          <w:rFonts w:asciiTheme="majorHAnsi" w:hAnsiTheme="majorHAnsi" w:cstheme="maj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299"/>
        <w:gridCol w:w="6607"/>
      </w:tblGrid>
      <w:tr w:rsidR="001F242B" w:rsidRPr="00BA6B9C" w:rsidTr="001B692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jc w:val="center"/>
              <w:rPr>
                <w:rFonts w:asciiTheme="majorHAnsi" w:hAnsiTheme="majorHAnsi" w:cstheme="majorHAnsi"/>
                <w:b/>
                <w:bCs/>
                <w:szCs w:val="24"/>
              </w:rPr>
            </w:pPr>
            <w:r w:rsidRPr="00BA6B9C">
              <w:rPr>
                <w:rFonts w:asciiTheme="majorHAnsi" w:hAnsiTheme="majorHAnsi" w:cstheme="majorHAnsi"/>
                <w:b/>
                <w:bCs/>
                <w:szCs w:val="24"/>
              </w:rPr>
              <w:lastRenderedPageBreak/>
              <w:t>VII. Tiesību akta projekta izpildes nodrošināšana un tās ietekme uz institūcijām</w:t>
            </w:r>
          </w:p>
        </w:tc>
      </w:tr>
      <w:tr w:rsidR="001F242B" w:rsidRPr="00BA6B9C" w:rsidTr="001B692A">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rPr>
                <w:rFonts w:asciiTheme="majorHAnsi" w:hAnsiTheme="majorHAnsi" w:cstheme="majorHAnsi"/>
                <w:szCs w:val="24"/>
              </w:rPr>
            </w:pPr>
            <w:r w:rsidRPr="00BA6B9C">
              <w:rPr>
                <w:rFonts w:asciiTheme="majorHAnsi" w:hAnsiTheme="majorHAnsi" w:cstheme="majorHAnsi"/>
                <w:szCs w:val="24"/>
              </w:rPr>
              <w:t>1.</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E067D" w:rsidP="001B7A1A">
            <w:pPr>
              <w:pStyle w:val="NormalWeb"/>
              <w:ind w:firstLine="113"/>
              <w:jc w:val="both"/>
              <w:rPr>
                <w:rFonts w:asciiTheme="majorHAnsi" w:hAnsiTheme="majorHAnsi" w:cstheme="majorHAnsi"/>
                <w:szCs w:val="24"/>
              </w:rPr>
            </w:pPr>
            <w:r w:rsidRPr="00BA6B9C">
              <w:rPr>
                <w:rFonts w:asciiTheme="majorHAnsi" w:hAnsiTheme="majorHAnsi" w:cstheme="majorHAnsi"/>
                <w:szCs w:val="24"/>
                <w:lang w:eastAsia="lv-LV"/>
              </w:rPr>
              <w:t xml:space="preserve">Par rīkojuma projekta izpildi atbildīgā ir </w:t>
            </w:r>
            <w:r w:rsidR="001B7A1A" w:rsidRPr="00BA6B9C">
              <w:rPr>
                <w:rFonts w:asciiTheme="majorHAnsi" w:hAnsiTheme="majorHAnsi" w:cstheme="majorHAnsi"/>
                <w:szCs w:val="24"/>
                <w:lang w:eastAsia="lv-LV"/>
              </w:rPr>
              <w:t xml:space="preserve">Finanšu ministrija un </w:t>
            </w:r>
            <w:r w:rsidRPr="00BA6B9C">
              <w:rPr>
                <w:rFonts w:asciiTheme="majorHAnsi" w:hAnsiTheme="majorHAnsi" w:cstheme="majorHAnsi"/>
                <w:szCs w:val="24"/>
                <w:lang w:eastAsia="lv-LV"/>
              </w:rPr>
              <w:t>valsts akciju sabiedr</w:t>
            </w:r>
            <w:r w:rsidR="0091439F" w:rsidRPr="00BA6B9C">
              <w:rPr>
                <w:rFonts w:asciiTheme="majorHAnsi" w:hAnsiTheme="majorHAnsi" w:cstheme="majorHAnsi"/>
                <w:szCs w:val="24"/>
                <w:lang w:eastAsia="lv-LV"/>
              </w:rPr>
              <w:t xml:space="preserve">ība „Valsts nekustamie īpašumi” </w:t>
            </w:r>
          </w:p>
        </w:tc>
      </w:tr>
      <w:tr w:rsidR="001F242B" w:rsidRPr="00BA6B9C" w:rsidTr="001B692A">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rPr>
                <w:rFonts w:asciiTheme="majorHAnsi" w:hAnsiTheme="majorHAnsi" w:cstheme="majorHAnsi"/>
                <w:szCs w:val="24"/>
              </w:rPr>
            </w:pPr>
            <w:r w:rsidRPr="00BA6B9C">
              <w:rPr>
                <w:rFonts w:asciiTheme="majorHAnsi" w:hAnsiTheme="majorHAnsi" w:cstheme="majorHAnsi"/>
                <w:szCs w:val="24"/>
              </w:rPr>
              <w:t>2.</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E067D" w:rsidP="001E067D">
            <w:pPr>
              <w:pStyle w:val="NormalWeb"/>
              <w:ind w:firstLine="113"/>
              <w:jc w:val="both"/>
              <w:rPr>
                <w:rFonts w:asciiTheme="majorHAnsi" w:hAnsiTheme="majorHAnsi" w:cstheme="majorHAnsi"/>
                <w:szCs w:val="24"/>
              </w:rPr>
            </w:pPr>
            <w:r w:rsidRPr="00BA6B9C">
              <w:rPr>
                <w:rFonts w:asciiTheme="majorHAnsi" w:hAnsiTheme="majorHAnsi" w:cstheme="majorHAnsi"/>
                <w:szCs w:val="24"/>
                <w:lang w:eastAsia="lv-LV"/>
              </w:rPr>
              <w:t>Rīkojuma projekta izpilde neietekmē valsts akciju sabiedrības „Valsts nekustamie īpašumi” funkcijas un uzdevumus, tās netiek paplašinātas vai sašaurinātas.</w:t>
            </w:r>
          </w:p>
        </w:tc>
      </w:tr>
      <w:tr w:rsidR="001F242B" w:rsidRPr="00BA6B9C" w:rsidTr="001B692A">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rPr>
                <w:rFonts w:asciiTheme="majorHAnsi" w:hAnsiTheme="majorHAnsi" w:cstheme="majorHAnsi"/>
                <w:szCs w:val="24"/>
              </w:rPr>
            </w:pPr>
            <w:r w:rsidRPr="00BA6B9C">
              <w:rPr>
                <w:rFonts w:asciiTheme="majorHAnsi" w:hAnsiTheme="majorHAnsi" w:cstheme="majorHAnsi"/>
                <w:szCs w:val="24"/>
              </w:rPr>
              <w:t>3.</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Projekta izpildes ietekme uz pārvaldes institucionālo struktūru.</w:t>
            </w:r>
          </w:p>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E067D" w:rsidP="001E067D">
            <w:pPr>
              <w:pStyle w:val="NormalWeb"/>
              <w:ind w:firstLine="113"/>
              <w:jc w:val="both"/>
              <w:rPr>
                <w:rFonts w:asciiTheme="majorHAnsi" w:hAnsiTheme="majorHAnsi" w:cstheme="majorHAnsi"/>
                <w:szCs w:val="24"/>
              </w:rPr>
            </w:pPr>
            <w:r w:rsidRPr="00BA6B9C">
              <w:rPr>
                <w:rFonts w:asciiTheme="majorHAnsi" w:hAnsiTheme="majorHAnsi" w:cstheme="majorHAnsi"/>
                <w:szCs w:val="24"/>
                <w:lang w:eastAsia="lv-LV"/>
              </w:rPr>
              <w:t>Saistībā ar rīkojuma projekta izpildi jaunas institūcijas netiek radītas. Rīkojuma projekta izpildi var nodrošināt esošās institūcijas ietvaros, ar tai pieejamiem resursiem.</w:t>
            </w:r>
          </w:p>
        </w:tc>
      </w:tr>
      <w:tr w:rsidR="001F242B" w:rsidRPr="00BA6B9C" w:rsidTr="001B692A">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rPr>
                <w:rFonts w:asciiTheme="majorHAnsi" w:hAnsiTheme="majorHAnsi" w:cstheme="majorHAnsi"/>
                <w:szCs w:val="24"/>
              </w:rPr>
            </w:pPr>
            <w:r w:rsidRPr="00BA6B9C">
              <w:rPr>
                <w:rFonts w:asciiTheme="majorHAnsi" w:hAnsiTheme="majorHAnsi" w:cstheme="majorHAnsi"/>
                <w:szCs w:val="24"/>
              </w:rPr>
              <w:t>4.</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Projekta izpildes ietekme uz pārvaldes institucionālo struktūru.</w:t>
            </w:r>
          </w:p>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ind w:firstLine="113"/>
              <w:rPr>
                <w:rFonts w:asciiTheme="majorHAnsi" w:hAnsiTheme="majorHAnsi" w:cstheme="majorHAnsi"/>
                <w:szCs w:val="24"/>
              </w:rPr>
            </w:pPr>
            <w:r w:rsidRPr="00BA6B9C">
              <w:rPr>
                <w:rFonts w:asciiTheme="majorHAnsi" w:hAnsiTheme="majorHAnsi" w:cstheme="majorHAnsi"/>
                <w:szCs w:val="24"/>
                <w:lang w:eastAsia="lv-LV"/>
              </w:rPr>
              <w:t>Projekts šo jomu neskar.</w:t>
            </w:r>
          </w:p>
        </w:tc>
      </w:tr>
      <w:tr w:rsidR="001F242B" w:rsidRPr="00BA6B9C" w:rsidTr="001B692A">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rPr>
                <w:rFonts w:asciiTheme="majorHAnsi" w:hAnsiTheme="majorHAnsi" w:cstheme="majorHAnsi"/>
                <w:szCs w:val="24"/>
              </w:rPr>
            </w:pPr>
            <w:r w:rsidRPr="00BA6B9C">
              <w:rPr>
                <w:rFonts w:asciiTheme="majorHAnsi" w:hAnsiTheme="majorHAnsi" w:cstheme="majorHAnsi"/>
                <w:szCs w:val="24"/>
              </w:rPr>
              <w:t>5.</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Projekta izpildes ietekme uz pārvaldes institucionālo struktūru.</w:t>
            </w:r>
          </w:p>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ind w:firstLine="113"/>
              <w:rPr>
                <w:rFonts w:asciiTheme="majorHAnsi" w:hAnsiTheme="majorHAnsi" w:cstheme="majorHAnsi"/>
                <w:szCs w:val="24"/>
              </w:rPr>
            </w:pPr>
            <w:r w:rsidRPr="00BA6B9C">
              <w:rPr>
                <w:rFonts w:asciiTheme="majorHAnsi" w:hAnsiTheme="majorHAnsi" w:cstheme="majorHAnsi"/>
                <w:szCs w:val="24"/>
                <w:lang w:eastAsia="lv-LV"/>
              </w:rPr>
              <w:t>Projekts šo jomu neskar.</w:t>
            </w:r>
          </w:p>
        </w:tc>
      </w:tr>
      <w:tr w:rsidR="001F242B" w:rsidRPr="00BA6B9C" w:rsidTr="001B692A">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rPr>
                <w:rFonts w:asciiTheme="majorHAnsi" w:hAnsiTheme="majorHAnsi" w:cstheme="majorHAnsi"/>
                <w:szCs w:val="24"/>
              </w:rPr>
            </w:pPr>
            <w:r w:rsidRPr="00BA6B9C">
              <w:rPr>
                <w:rFonts w:asciiTheme="majorHAnsi" w:hAnsiTheme="majorHAnsi" w:cstheme="majorHAnsi"/>
                <w:szCs w:val="24"/>
              </w:rPr>
              <w:t>6.</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F242B" w:rsidP="001B692A">
            <w:pPr>
              <w:pStyle w:val="NormalWeb"/>
              <w:spacing w:before="0" w:beforeAutospacing="0" w:after="0" w:afterAutospacing="0"/>
              <w:rPr>
                <w:rFonts w:asciiTheme="majorHAnsi" w:hAnsiTheme="majorHAnsi" w:cstheme="majorHAnsi"/>
                <w:szCs w:val="24"/>
              </w:rPr>
            </w:pPr>
            <w:r w:rsidRPr="00BA6B9C">
              <w:rPr>
                <w:rFonts w:asciiTheme="majorHAnsi" w:hAnsiTheme="majorHAnsi" w:cstheme="majorHAnsi"/>
                <w:szCs w:val="24"/>
              </w:rPr>
              <w:t>Cita informācija</w:t>
            </w:r>
          </w:p>
        </w:tc>
        <w:tc>
          <w:tcPr>
            <w:tcW w:w="0" w:type="auto"/>
            <w:tcBorders>
              <w:top w:val="outset" w:sz="6" w:space="0" w:color="auto"/>
              <w:left w:val="outset" w:sz="6" w:space="0" w:color="auto"/>
              <w:bottom w:val="outset" w:sz="6" w:space="0" w:color="auto"/>
              <w:right w:val="outset" w:sz="6" w:space="0" w:color="auto"/>
            </w:tcBorders>
          </w:tcPr>
          <w:p w:rsidR="001F242B" w:rsidRPr="00BA6B9C" w:rsidRDefault="001E067D" w:rsidP="00897104">
            <w:pPr>
              <w:pStyle w:val="NormalWeb"/>
              <w:ind w:firstLine="113"/>
              <w:jc w:val="both"/>
              <w:rPr>
                <w:rFonts w:asciiTheme="majorHAnsi" w:hAnsiTheme="majorHAnsi" w:cstheme="majorHAnsi"/>
                <w:szCs w:val="24"/>
                <w:lang w:eastAsia="lv-LV"/>
              </w:rPr>
            </w:pPr>
            <w:r w:rsidRPr="00BA6B9C">
              <w:rPr>
                <w:rFonts w:asciiTheme="majorHAnsi" w:hAnsiTheme="majorHAnsi" w:cstheme="majorHAnsi"/>
                <w:szCs w:val="24"/>
                <w:lang w:eastAsia="lv-LV"/>
              </w:rPr>
              <w:t>Saskaņā ar Oficiālo publikāciju un tiesiskās informācijas likuma 2. panta pirmo daļu un 3. panta pirmo daļu tiesību aktus publicē oficiālajā izdevumā „Latvijas Vēstnesis”, tos ievietojot elektroniski tīmekļa vietnē www.vestnesis.lv</w:t>
            </w:r>
            <w:r w:rsidR="001F242B" w:rsidRPr="00BA6B9C">
              <w:rPr>
                <w:rFonts w:asciiTheme="majorHAnsi" w:hAnsiTheme="majorHAnsi" w:cstheme="majorHAnsi"/>
                <w:szCs w:val="24"/>
                <w:lang w:eastAsia="lv-LV"/>
              </w:rPr>
              <w:t>, kā ar</w:t>
            </w:r>
            <w:r w:rsidR="00897104" w:rsidRPr="00BA6B9C">
              <w:rPr>
                <w:rFonts w:asciiTheme="majorHAnsi" w:hAnsiTheme="majorHAnsi" w:cstheme="majorHAnsi"/>
                <w:szCs w:val="24"/>
                <w:lang w:eastAsia="lv-LV"/>
              </w:rPr>
              <w:t>ī būs pieejams</w:t>
            </w:r>
            <w:r w:rsidRPr="00BA6B9C">
              <w:rPr>
                <w:rFonts w:asciiTheme="majorHAnsi" w:hAnsiTheme="majorHAnsi" w:cstheme="majorHAnsi"/>
                <w:szCs w:val="24"/>
                <w:lang w:eastAsia="lv-LV"/>
              </w:rPr>
              <w:t xml:space="preserve"> </w:t>
            </w:r>
            <w:r w:rsidR="001F242B" w:rsidRPr="00BA6B9C">
              <w:rPr>
                <w:rFonts w:asciiTheme="majorHAnsi" w:hAnsiTheme="majorHAnsi" w:cstheme="majorHAnsi"/>
                <w:szCs w:val="24"/>
                <w:lang w:eastAsia="lv-LV"/>
              </w:rPr>
              <w:t xml:space="preserve">bezmaksas normatīvo aktu bāzē </w:t>
            </w:r>
            <w:hyperlink r:id="rId9" w:history="1">
              <w:r w:rsidR="001F242B" w:rsidRPr="00BA6B9C">
                <w:rPr>
                  <w:rFonts w:asciiTheme="majorHAnsi" w:hAnsiTheme="majorHAnsi" w:cstheme="majorHAnsi"/>
                  <w:szCs w:val="24"/>
                  <w:lang w:eastAsia="lv-LV"/>
                </w:rPr>
                <w:t>www.likumi.lv</w:t>
              </w:r>
            </w:hyperlink>
            <w:r w:rsidR="001F242B" w:rsidRPr="00BA6B9C">
              <w:rPr>
                <w:rFonts w:asciiTheme="majorHAnsi" w:hAnsiTheme="majorHAnsi" w:cstheme="majorHAnsi"/>
                <w:szCs w:val="24"/>
                <w:lang w:eastAsia="lv-LV"/>
              </w:rPr>
              <w:t>.</w:t>
            </w:r>
          </w:p>
        </w:tc>
      </w:tr>
    </w:tbl>
    <w:p w:rsidR="003D737A" w:rsidRDefault="003D737A" w:rsidP="001F242B">
      <w:pPr>
        <w:pStyle w:val="BodyTextIndent"/>
        <w:ind w:left="0"/>
        <w:rPr>
          <w:rFonts w:asciiTheme="majorHAnsi" w:hAnsiTheme="majorHAnsi" w:cstheme="majorHAnsi"/>
        </w:rPr>
      </w:pPr>
    </w:p>
    <w:p w:rsidR="00482F09" w:rsidRPr="00BA6B9C" w:rsidRDefault="00482F09" w:rsidP="001F242B">
      <w:pPr>
        <w:pStyle w:val="BodyTextIndent"/>
        <w:ind w:left="0"/>
        <w:rPr>
          <w:rFonts w:asciiTheme="majorHAnsi" w:hAnsiTheme="majorHAnsi" w:cstheme="majorHAnsi"/>
        </w:rPr>
      </w:pPr>
    </w:p>
    <w:p w:rsidR="00CD231B" w:rsidRPr="00CD231B" w:rsidRDefault="00CD231B" w:rsidP="00CD231B">
      <w:pPr>
        <w:pStyle w:val="naisf"/>
        <w:spacing w:before="0" w:after="0"/>
        <w:ind w:firstLine="720"/>
      </w:pPr>
      <w:r w:rsidRPr="00CD231B">
        <w:t>Finanšu ministra vietā -</w:t>
      </w:r>
    </w:p>
    <w:p w:rsidR="00CD231B" w:rsidRPr="00CD231B" w:rsidRDefault="00CD231B" w:rsidP="00CD231B">
      <w:pPr>
        <w:pStyle w:val="naisf"/>
        <w:spacing w:before="0" w:after="0"/>
        <w:ind w:firstLine="720"/>
      </w:pPr>
      <w:r w:rsidRPr="00CD231B">
        <w:t>zemkopības ministre</w:t>
      </w:r>
      <w:r w:rsidRPr="00CD231B">
        <w:tab/>
      </w:r>
      <w:r w:rsidRPr="00CD231B">
        <w:tab/>
      </w:r>
      <w:r w:rsidRPr="00CD231B">
        <w:tab/>
      </w:r>
      <w:r w:rsidRPr="00CD231B">
        <w:tab/>
      </w:r>
      <w:r w:rsidRPr="00CD231B">
        <w:tab/>
      </w:r>
      <w:r w:rsidRPr="00CD231B">
        <w:tab/>
      </w:r>
      <w:r w:rsidRPr="00CD231B">
        <w:tab/>
        <w:t>L.Straujuma</w:t>
      </w:r>
    </w:p>
    <w:p w:rsidR="001F242B" w:rsidRDefault="001F242B" w:rsidP="001F242B">
      <w:pPr>
        <w:ind w:right="611"/>
        <w:rPr>
          <w:rFonts w:asciiTheme="majorHAnsi" w:hAnsiTheme="majorHAnsi" w:cstheme="majorHAnsi"/>
          <w:sz w:val="20"/>
          <w:szCs w:val="20"/>
        </w:rPr>
      </w:pPr>
    </w:p>
    <w:p w:rsidR="00950B26" w:rsidRDefault="00950B26" w:rsidP="001F242B">
      <w:pPr>
        <w:ind w:right="611"/>
        <w:rPr>
          <w:rFonts w:asciiTheme="majorHAnsi" w:hAnsiTheme="majorHAnsi" w:cstheme="majorHAnsi"/>
          <w:sz w:val="20"/>
          <w:szCs w:val="20"/>
        </w:rPr>
      </w:pPr>
    </w:p>
    <w:p w:rsidR="00950B26" w:rsidRDefault="00950B26" w:rsidP="001F242B">
      <w:pPr>
        <w:ind w:right="611"/>
        <w:rPr>
          <w:rFonts w:asciiTheme="majorHAnsi" w:hAnsiTheme="majorHAnsi" w:cstheme="majorHAnsi"/>
          <w:sz w:val="20"/>
          <w:szCs w:val="20"/>
        </w:rPr>
      </w:pPr>
    </w:p>
    <w:p w:rsidR="00E64248" w:rsidRDefault="00E64248" w:rsidP="001F242B">
      <w:pPr>
        <w:ind w:right="611"/>
        <w:rPr>
          <w:rFonts w:asciiTheme="majorHAnsi" w:hAnsiTheme="majorHAnsi" w:cstheme="majorHAnsi"/>
          <w:sz w:val="20"/>
          <w:szCs w:val="20"/>
        </w:rPr>
      </w:pPr>
    </w:p>
    <w:p w:rsidR="00E64248" w:rsidRDefault="00E64248" w:rsidP="001F242B">
      <w:pPr>
        <w:ind w:right="611"/>
        <w:rPr>
          <w:rFonts w:asciiTheme="majorHAnsi" w:hAnsiTheme="majorHAnsi" w:cstheme="majorHAnsi"/>
          <w:sz w:val="20"/>
          <w:szCs w:val="20"/>
        </w:rPr>
      </w:pPr>
    </w:p>
    <w:p w:rsidR="00E64248" w:rsidRDefault="00E64248" w:rsidP="001F242B">
      <w:pPr>
        <w:ind w:right="611"/>
        <w:rPr>
          <w:rFonts w:asciiTheme="majorHAnsi" w:hAnsiTheme="majorHAnsi" w:cstheme="majorHAnsi"/>
          <w:sz w:val="20"/>
          <w:szCs w:val="20"/>
        </w:rPr>
      </w:pPr>
    </w:p>
    <w:p w:rsidR="00950B26" w:rsidRPr="00BA6B9C" w:rsidRDefault="00950B26" w:rsidP="001F242B">
      <w:pPr>
        <w:ind w:right="611"/>
        <w:rPr>
          <w:rFonts w:asciiTheme="majorHAnsi" w:hAnsiTheme="majorHAnsi" w:cstheme="majorHAnsi"/>
          <w:sz w:val="20"/>
          <w:szCs w:val="20"/>
        </w:rPr>
      </w:pPr>
    </w:p>
    <w:p w:rsidR="001F242B" w:rsidRPr="00BA6B9C" w:rsidRDefault="00C84CF1" w:rsidP="001F242B">
      <w:pPr>
        <w:ind w:right="611"/>
        <w:rPr>
          <w:rFonts w:asciiTheme="majorHAnsi" w:hAnsiTheme="majorHAnsi" w:cstheme="majorHAnsi"/>
          <w:sz w:val="20"/>
          <w:szCs w:val="20"/>
        </w:rPr>
      </w:pPr>
      <w:r>
        <w:rPr>
          <w:rFonts w:asciiTheme="majorHAnsi" w:hAnsiTheme="majorHAnsi" w:cstheme="majorHAnsi"/>
          <w:sz w:val="20"/>
          <w:szCs w:val="20"/>
        </w:rPr>
        <w:t>08.11</w:t>
      </w:r>
      <w:r w:rsidR="001F242B" w:rsidRPr="00BA6B9C">
        <w:rPr>
          <w:rFonts w:asciiTheme="majorHAnsi" w:hAnsiTheme="majorHAnsi" w:cstheme="majorHAnsi"/>
          <w:sz w:val="20"/>
          <w:szCs w:val="20"/>
        </w:rPr>
        <w:t>.2013.</w:t>
      </w:r>
      <w:r w:rsidR="00933BFC" w:rsidRPr="00BA6B9C">
        <w:rPr>
          <w:rFonts w:asciiTheme="majorHAnsi" w:hAnsiTheme="majorHAnsi" w:cstheme="majorHAnsi"/>
          <w:sz w:val="20"/>
          <w:szCs w:val="20"/>
        </w:rPr>
        <w:t xml:space="preserve"> </w:t>
      </w:r>
      <w:r>
        <w:rPr>
          <w:rFonts w:asciiTheme="majorHAnsi" w:hAnsiTheme="majorHAnsi" w:cstheme="majorHAnsi"/>
          <w:sz w:val="20"/>
          <w:szCs w:val="20"/>
        </w:rPr>
        <w:t>14:51</w:t>
      </w:r>
    </w:p>
    <w:p w:rsidR="001F242B" w:rsidRPr="00BA6B9C" w:rsidRDefault="00933BFC" w:rsidP="001F242B">
      <w:pPr>
        <w:ind w:right="611"/>
        <w:rPr>
          <w:rFonts w:asciiTheme="majorHAnsi" w:hAnsiTheme="majorHAnsi" w:cstheme="majorHAnsi"/>
          <w:sz w:val="20"/>
          <w:szCs w:val="20"/>
        </w:rPr>
      </w:pPr>
      <w:r w:rsidRPr="00BA6B9C">
        <w:rPr>
          <w:rFonts w:asciiTheme="majorHAnsi" w:hAnsiTheme="majorHAnsi" w:cstheme="majorHAnsi"/>
          <w:sz w:val="20"/>
          <w:szCs w:val="20"/>
        </w:rPr>
        <w:t>2</w:t>
      </w:r>
      <w:r w:rsidR="00385F3C">
        <w:rPr>
          <w:rFonts w:asciiTheme="majorHAnsi" w:hAnsiTheme="majorHAnsi" w:cstheme="majorHAnsi"/>
          <w:sz w:val="20"/>
          <w:szCs w:val="20"/>
        </w:rPr>
        <w:t>2</w:t>
      </w:r>
      <w:r w:rsidR="00F6662C">
        <w:rPr>
          <w:rFonts w:asciiTheme="majorHAnsi" w:hAnsiTheme="majorHAnsi" w:cstheme="majorHAnsi"/>
          <w:sz w:val="20"/>
          <w:szCs w:val="20"/>
        </w:rPr>
        <w:t>70</w:t>
      </w:r>
      <w:bookmarkStart w:id="2" w:name="_GoBack"/>
      <w:bookmarkEnd w:id="2"/>
    </w:p>
    <w:p w:rsidR="001F242B" w:rsidRPr="00BA6B9C" w:rsidRDefault="00270C11" w:rsidP="001F242B">
      <w:pPr>
        <w:ind w:right="611"/>
        <w:rPr>
          <w:rFonts w:asciiTheme="majorHAnsi" w:hAnsiTheme="majorHAnsi" w:cstheme="majorHAnsi"/>
          <w:sz w:val="20"/>
          <w:szCs w:val="20"/>
        </w:rPr>
      </w:pPr>
      <w:r w:rsidRPr="00BA6B9C">
        <w:rPr>
          <w:rFonts w:asciiTheme="majorHAnsi" w:hAnsiTheme="majorHAnsi" w:cstheme="majorHAnsi"/>
          <w:sz w:val="20"/>
          <w:szCs w:val="20"/>
        </w:rPr>
        <w:t>J.Upeniece 67024922</w:t>
      </w:r>
    </w:p>
    <w:p w:rsidR="00576BA7" w:rsidRPr="00540E56" w:rsidRDefault="00F6662C" w:rsidP="001D7079">
      <w:pPr>
        <w:ind w:right="611"/>
        <w:rPr>
          <w:rFonts w:asciiTheme="majorHAnsi" w:hAnsiTheme="majorHAnsi" w:cstheme="majorHAnsi"/>
          <w:sz w:val="20"/>
          <w:szCs w:val="20"/>
        </w:rPr>
      </w:pPr>
      <w:hyperlink r:id="rId10" w:history="1">
        <w:r w:rsidR="00270C11" w:rsidRPr="00BA6B9C">
          <w:rPr>
            <w:rStyle w:val="Hyperlink"/>
            <w:rFonts w:asciiTheme="majorHAnsi" w:hAnsiTheme="majorHAnsi" w:cstheme="majorHAnsi"/>
            <w:color w:val="auto"/>
            <w:sz w:val="20"/>
            <w:szCs w:val="20"/>
          </w:rPr>
          <w:t>Jana.Upeniece@vni.lv</w:t>
        </w:r>
      </w:hyperlink>
    </w:p>
    <w:sectPr w:rsidR="00576BA7" w:rsidRPr="00540E56" w:rsidSect="00AB520F">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43" w:rsidRDefault="00A40543">
      <w:r>
        <w:separator/>
      </w:r>
    </w:p>
  </w:endnote>
  <w:endnote w:type="continuationSeparator" w:id="0">
    <w:p w:rsidR="00A40543" w:rsidRDefault="00A4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3" w:rsidRDefault="00A40543" w:rsidP="003B16D6">
    <w:pPr>
      <w:jc w:val="both"/>
      <w:rPr>
        <w:rFonts w:asciiTheme="majorHAnsi" w:hAnsiTheme="majorHAnsi" w:cstheme="majorHAnsi"/>
        <w:color w:val="000000"/>
        <w:sz w:val="20"/>
        <w:szCs w:val="20"/>
      </w:rPr>
    </w:pPr>
    <w:r>
      <w:rPr>
        <w:sz w:val="20"/>
        <w:szCs w:val="20"/>
      </w:rPr>
      <w:t>FManot_041013_</w:t>
    </w:r>
    <w:r w:rsidRPr="00270C11">
      <w:rPr>
        <w:sz w:val="20"/>
        <w:szCs w:val="20"/>
      </w:rPr>
      <w:t>sek</w:t>
    </w:r>
    <w:r>
      <w:rPr>
        <w:sz w:val="20"/>
        <w:szCs w:val="20"/>
      </w:rPr>
      <w:t>u</w:t>
    </w:r>
    <w:r w:rsidRPr="00270C11">
      <w:rPr>
        <w:sz w:val="20"/>
        <w:szCs w:val="20"/>
      </w:rPr>
      <w:t xml:space="preserve">likv; </w:t>
    </w:r>
    <w:r w:rsidRPr="00270C11">
      <w:rPr>
        <w:rFonts w:asciiTheme="majorHAnsi" w:hAnsiTheme="majorHAnsi" w:cstheme="majorHAnsi"/>
        <w:sz w:val="20"/>
        <w:szCs w:val="20"/>
      </w:rPr>
      <w:t xml:space="preserve">Ministru kabineta rīkojuma projekta </w:t>
    </w:r>
    <w:r w:rsidRPr="00270C11">
      <w:rPr>
        <w:rFonts w:asciiTheme="majorHAnsi" w:hAnsiTheme="majorHAnsi" w:cstheme="majorHAnsi"/>
        <w:bCs/>
        <w:sz w:val="20"/>
        <w:szCs w:val="20"/>
      </w:rPr>
      <w:t>„</w:t>
    </w:r>
    <w:r w:rsidRPr="00270C11">
      <w:rPr>
        <w:rFonts w:asciiTheme="majorHAnsi" w:hAnsiTheme="majorHAnsi" w:cstheme="majorHAnsi"/>
        <w:sz w:val="20"/>
        <w:szCs w:val="20"/>
      </w:rPr>
      <w:t>Grozījum</w:t>
    </w:r>
    <w:r>
      <w:rPr>
        <w:rFonts w:asciiTheme="majorHAnsi" w:hAnsiTheme="majorHAnsi" w:cstheme="majorHAnsi"/>
        <w:sz w:val="20"/>
        <w:szCs w:val="20"/>
      </w:rPr>
      <w:t>s</w:t>
    </w:r>
    <w:r w:rsidRPr="00270C11">
      <w:rPr>
        <w:rFonts w:asciiTheme="majorHAnsi" w:hAnsiTheme="majorHAnsi" w:cstheme="majorHAnsi"/>
        <w:sz w:val="20"/>
        <w:szCs w:val="20"/>
      </w:rPr>
      <w:t xml:space="preserve"> Ministru kabineta 2010.gada 6.decembra rīkojumā Nr.702 „Par finansējuma piešķiršanu Rīgas pils Priekšpils projekta izdevumu segšanai”</w:t>
    </w:r>
    <w:r w:rsidRPr="00270C11">
      <w:rPr>
        <w:rFonts w:asciiTheme="majorHAnsi" w:hAnsiTheme="majorHAnsi" w:cstheme="majorHAnsi"/>
        <w:bCs/>
        <w:sz w:val="20"/>
        <w:szCs w:val="20"/>
      </w:rPr>
      <w:t>”</w:t>
    </w:r>
    <w:r w:rsidRPr="00270C11">
      <w:rPr>
        <w:rFonts w:asciiTheme="majorHAnsi" w:hAnsiTheme="majorHAnsi" w:cstheme="majorHAnsi"/>
        <w:sz w:val="20"/>
        <w:szCs w:val="20"/>
      </w:rPr>
      <w:t xml:space="preserve"> sākotnējās ietekmes novērtējuma ziņojums (anotācija)</w:t>
    </w:r>
    <w:r w:rsidRPr="00270C11">
      <w:rPr>
        <w:rFonts w:asciiTheme="majorHAnsi" w:hAnsiTheme="majorHAnsi" w:cstheme="majorHAnsi"/>
        <w:color w:val="000000"/>
        <w:sz w:val="20"/>
        <w:szCs w:val="20"/>
      </w:rPr>
      <w:t xml:space="preserve"> </w:t>
    </w:r>
  </w:p>
  <w:p w:rsidR="00A40543" w:rsidRPr="00270C11" w:rsidRDefault="00A40543" w:rsidP="003B16D6">
    <w:pPr>
      <w:jc w:val="both"/>
      <w:rPr>
        <w:rFonts w:asciiTheme="majorHAnsi" w:hAnsiTheme="majorHAnsi" w:cs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3" w:rsidRPr="00270C11" w:rsidRDefault="00A40543" w:rsidP="009B0132">
    <w:pPr>
      <w:jc w:val="both"/>
      <w:rPr>
        <w:rFonts w:asciiTheme="majorHAnsi" w:hAnsiTheme="majorHAnsi" w:cstheme="majorHAnsi"/>
        <w:sz w:val="20"/>
        <w:szCs w:val="20"/>
      </w:rPr>
    </w:pPr>
    <w:r>
      <w:rPr>
        <w:sz w:val="20"/>
        <w:szCs w:val="20"/>
      </w:rPr>
      <w:t>FManot_041013_</w:t>
    </w:r>
    <w:r w:rsidRPr="00270C11">
      <w:rPr>
        <w:sz w:val="20"/>
        <w:szCs w:val="20"/>
      </w:rPr>
      <w:t>sek</w:t>
    </w:r>
    <w:r>
      <w:rPr>
        <w:sz w:val="20"/>
        <w:szCs w:val="20"/>
      </w:rPr>
      <w:t>u</w:t>
    </w:r>
    <w:r w:rsidRPr="00270C11">
      <w:rPr>
        <w:sz w:val="20"/>
        <w:szCs w:val="20"/>
      </w:rPr>
      <w:t xml:space="preserve">likv; </w:t>
    </w:r>
    <w:r w:rsidRPr="00270C11">
      <w:rPr>
        <w:rFonts w:asciiTheme="majorHAnsi" w:hAnsiTheme="majorHAnsi" w:cstheme="majorHAnsi"/>
        <w:sz w:val="20"/>
        <w:szCs w:val="20"/>
      </w:rPr>
      <w:t xml:space="preserve">Ministru kabineta rīkojuma projekta </w:t>
    </w:r>
    <w:r w:rsidRPr="00270C11">
      <w:rPr>
        <w:rFonts w:asciiTheme="majorHAnsi" w:hAnsiTheme="majorHAnsi" w:cstheme="majorHAnsi"/>
        <w:bCs/>
        <w:sz w:val="20"/>
        <w:szCs w:val="20"/>
      </w:rPr>
      <w:t>„</w:t>
    </w:r>
    <w:r w:rsidRPr="00270C11">
      <w:rPr>
        <w:rFonts w:asciiTheme="majorHAnsi" w:hAnsiTheme="majorHAnsi" w:cstheme="majorHAnsi"/>
        <w:sz w:val="20"/>
        <w:szCs w:val="20"/>
      </w:rPr>
      <w:t>Grozījum</w:t>
    </w:r>
    <w:r>
      <w:rPr>
        <w:rFonts w:asciiTheme="majorHAnsi" w:hAnsiTheme="majorHAnsi" w:cstheme="majorHAnsi"/>
        <w:sz w:val="20"/>
        <w:szCs w:val="20"/>
      </w:rPr>
      <w:t>s</w:t>
    </w:r>
    <w:r w:rsidRPr="00270C11">
      <w:rPr>
        <w:rFonts w:asciiTheme="majorHAnsi" w:hAnsiTheme="majorHAnsi" w:cstheme="majorHAnsi"/>
        <w:sz w:val="20"/>
        <w:szCs w:val="20"/>
      </w:rPr>
      <w:t xml:space="preserve"> Ministru kabineta 2010.gada 6.decembra rīkojumā Nr.702 „Par finansējuma piešķiršanu Rīgas pils Priekšpils projekta izdevumu segšanai”</w:t>
    </w:r>
    <w:r w:rsidRPr="00270C11">
      <w:rPr>
        <w:rFonts w:asciiTheme="majorHAnsi" w:hAnsiTheme="majorHAnsi" w:cstheme="majorHAnsi"/>
        <w:bCs/>
        <w:sz w:val="20"/>
        <w:szCs w:val="20"/>
      </w:rPr>
      <w:t>”</w:t>
    </w:r>
    <w:r w:rsidRPr="00270C11">
      <w:rPr>
        <w:rFonts w:asciiTheme="majorHAnsi" w:hAnsiTheme="majorHAnsi" w:cstheme="majorHAnsi"/>
        <w:sz w:val="20"/>
        <w:szCs w:val="20"/>
      </w:rPr>
      <w:t xml:space="preserve"> sākotnējās ietekmes novērtējuma ziņojums (anotācija)</w:t>
    </w:r>
    <w:r w:rsidRPr="00270C11">
      <w:rPr>
        <w:rFonts w:asciiTheme="majorHAnsi" w:hAnsiTheme="majorHAnsi" w:cstheme="majorHAnsi"/>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43" w:rsidRDefault="00A40543">
      <w:r>
        <w:separator/>
      </w:r>
    </w:p>
  </w:footnote>
  <w:footnote w:type="continuationSeparator" w:id="0">
    <w:p w:rsidR="00A40543" w:rsidRDefault="00A4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3" w:rsidRDefault="00A40543" w:rsidP="001B69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543" w:rsidRDefault="00A40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43" w:rsidRDefault="00A40543" w:rsidP="00AB52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62C">
      <w:rPr>
        <w:rStyle w:val="PageNumber"/>
        <w:noProof/>
      </w:rPr>
      <w:t>8</w:t>
    </w:r>
    <w:r>
      <w:rPr>
        <w:rStyle w:val="PageNumber"/>
      </w:rPr>
      <w:fldChar w:fldCharType="end"/>
    </w:r>
  </w:p>
  <w:p w:rsidR="00A40543" w:rsidRDefault="00A40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336"/>
    <w:multiLevelType w:val="hybridMultilevel"/>
    <w:tmpl w:val="38DA64F6"/>
    <w:lvl w:ilvl="0" w:tplc="635E9E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4A038AA"/>
    <w:multiLevelType w:val="hybridMultilevel"/>
    <w:tmpl w:val="E9843300"/>
    <w:lvl w:ilvl="0" w:tplc="F5265D0A">
      <w:start w:val="1"/>
      <w:numFmt w:val="lowerLetter"/>
      <w:lvlText w:val="%1)"/>
      <w:lvlJc w:val="left"/>
      <w:pPr>
        <w:ind w:left="720" w:hanging="360"/>
      </w:pPr>
      <w:rPr>
        <w:rFonts w:ascii="Times New Roman" w:eastAsiaTheme="minorHAnsi" w:hAnsi="Times New Roman" w:cs="Times New Roman"/>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DC10D4"/>
    <w:multiLevelType w:val="hybridMultilevel"/>
    <w:tmpl w:val="4B96513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5C2E236C"/>
    <w:multiLevelType w:val="hybridMultilevel"/>
    <w:tmpl w:val="76261C26"/>
    <w:lvl w:ilvl="0" w:tplc="7214D3F2">
      <w:start w:val="5"/>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242B"/>
    <w:rsid w:val="00003576"/>
    <w:rsid w:val="00014696"/>
    <w:rsid w:val="0002102C"/>
    <w:rsid w:val="000269DD"/>
    <w:rsid w:val="00063649"/>
    <w:rsid w:val="00064C58"/>
    <w:rsid w:val="00072D85"/>
    <w:rsid w:val="00080FC6"/>
    <w:rsid w:val="0008236A"/>
    <w:rsid w:val="000969D9"/>
    <w:rsid w:val="000B0F6C"/>
    <w:rsid w:val="000B490A"/>
    <w:rsid w:val="000C184A"/>
    <w:rsid w:val="000C70FB"/>
    <w:rsid w:val="000D4010"/>
    <w:rsid w:val="000E2FB2"/>
    <w:rsid w:val="000E3606"/>
    <w:rsid w:val="000F1455"/>
    <w:rsid w:val="000F476D"/>
    <w:rsid w:val="000F4B7B"/>
    <w:rsid w:val="001127B6"/>
    <w:rsid w:val="00113200"/>
    <w:rsid w:val="00115543"/>
    <w:rsid w:val="001224A3"/>
    <w:rsid w:val="001228E9"/>
    <w:rsid w:val="00137564"/>
    <w:rsid w:val="001431D4"/>
    <w:rsid w:val="00157650"/>
    <w:rsid w:val="00160214"/>
    <w:rsid w:val="0017111A"/>
    <w:rsid w:val="00181E5E"/>
    <w:rsid w:val="00185D86"/>
    <w:rsid w:val="00186156"/>
    <w:rsid w:val="0019072F"/>
    <w:rsid w:val="00190D5F"/>
    <w:rsid w:val="001A0A6D"/>
    <w:rsid w:val="001B1D4B"/>
    <w:rsid w:val="001B692A"/>
    <w:rsid w:val="001B7A1A"/>
    <w:rsid w:val="001B7D46"/>
    <w:rsid w:val="001D1EE0"/>
    <w:rsid w:val="001D4EB9"/>
    <w:rsid w:val="001D7079"/>
    <w:rsid w:val="001E067D"/>
    <w:rsid w:val="001E3055"/>
    <w:rsid w:val="001E77E5"/>
    <w:rsid w:val="001F242B"/>
    <w:rsid w:val="002001D4"/>
    <w:rsid w:val="00201EA7"/>
    <w:rsid w:val="00210F91"/>
    <w:rsid w:val="00215BB1"/>
    <w:rsid w:val="00223894"/>
    <w:rsid w:val="002324EE"/>
    <w:rsid w:val="00235136"/>
    <w:rsid w:val="0026370E"/>
    <w:rsid w:val="002662EE"/>
    <w:rsid w:val="00270C11"/>
    <w:rsid w:val="00297DD8"/>
    <w:rsid w:val="002A5C5F"/>
    <w:rsid w:val="002A786A"/>
    <w:rsid w:val="002B249D"/>
    <w:rsid w:val="002B2B05"/>
    <w:rsid w:val="002B4868"/>
    <w:rsid w:val="002C5F96"/>
    <w:rsid w:val="002E09D2"/>
    <w:rsid w:val="002F1EB7"/>
    <w:rsid w:val="002F2C3B"/>
    <w:rsid w:val="00304A4C"/>
    <w:rsid w:val="00304DE0"/>
    <w:rsid w:val="00326893"/>
    <w:rsid w:val="00345CD2"/>
    <w:rsid w:val="00345DEE"/>
    <w:rsid w:val="003467C5"/>
    <w:rsid w:val="00353436"/>
    <w:rsid w:val="003561F5"/>
    <w:rsid w:val="0036016A"/>
    <w:rsid w:val="00376C8F"/>
    <w:rsid w:val="00381ED7"/>
    <w:rsid w:val="00385F3C"/>
    <w:rsid w:val="003A059B"/>
    <w:rsid w:val="003B16D6"/>
    <w:rsid w:val="003B2345"/>
    <w:rsid w:val="003B7F4A"/>
    <w:rsid w:val="003D4EA1"/>
    <w:rsid w:val="003D737A"/>
    <w:rsid w:val="003E4072"/>
    <w:rsid w:val="003E4424"/>
    <w:rsid w:val="003F23E2"/>
    <w:rsid w:val="003F5109"/>
    <w:rsid w:val="003F7B86"/>
    <w:rsid w:val="00402B6E"/>
    <w:rsid w:val="00424F08"/>
    <w:rsid w:val="00435E28"/>
    <w:rsid w:val="004458A3"/>
    <w:rsid w:val="00460679"/>
    <w:rsid w:val="004636EB"/>
    <w:rsid w:val="00482F09"/>
    <w:rsid w:val="004C1130"/>
    <w:rsid w:val="004C2877"/>
    <w:rsid w:val="004D0B4A"/>
    <w:rsid w:val="004D632B"/>
    <w:rsid w:val="004F7D9B"/>
    <w:rsid w:val="005022C2"/>
    <w:rsid w:val="005163D0"/>
    <w:rsid w:val="00522C26"/>
    <w:rsid w:val="00533026"/>
    <w:rsid w:val="00540E56"/>
    <w:rsid w:val="00546D0F"/>
    <w:rsid w:val="00564E64"/>
    <w:rsid w:val="0057479D"/>
    <w:rsid w:val="00576BA7"/>
    <w:rsid w:val="0058445F"/>
    <w:rsid w:val="00594B6F"/>
    <w:rsid w:val="005A3F0C"/>
    <w:rsid w:val="005B2CD2"/>
    <w:rsid w:val="005B3D56"/>
    <w:rsid w:val="005B54BA"/>
    <w:rsid w:val="005D6C0A"/>
    <w:rsid w:val="005D6DA7"/>
    <w:rsid w:val="005E2882"/>
    <w:rsid w:val="005E2DED"/>
    <w:rsid w:val="005F0500"/>
    <w:rsid w:val="0061141C"/>
    <w:rsid w:val="00625C8B"/>
    <w:rsid w:val="00626B08"/>
    <w:rsid w:val="0062795A"/>
    <w:rsid w:val="0064658F"/>
    <w:rsid w:val="006551F5"/>
    <w:rsid w:val="00656CA6"/>
    <w:rsid w:val="00662308"/>
    <w:rsid w:val="00664B4F"/>
    <w:rsid w:val="006743F2"/>
    <w:rsid w:val="006A18E5"/>
    <w:rsid w:val="006B0769"/>
    <w:rsid w:val="006C5905"/>
    <w:rsid w:val="006D1A86"/>
    <w:rsid w:val="006E4600"/>
    <w:rsid w:val="00736B27"/>
    <w:rsid w:val="00740C79"/>
    <w:rsid w:val="007474B4"/>
    <w:rsid w:val="0076551E"/>
    <w:rsid w:val="00794701"/>
    <w:rsid w:val="007C628A"/>
    <w:rsid w:val="007F36B9"/>
    <w:rsid w:val="007F40D8"/>
    <w:rsid w:val="007F4DD9"/>
    <w:rsid w:val="007F72FD"/>
    <w:rsid w:val="00802ECA"/>
    <w:rsid w:val="00806EA9"/>
    <w:rsid w:val="0081145F"/>
    <w:rsid w:val="008246DC"/>
    <w:rsid w:val="00825823"/>
    <w:rsid w:val="00834CD6"/>
    <w:rsid w:val="00834EA3"/>
    <w:rsid w:val="0084211F"/>
    <w:rsid w:val="008432AA"/>
    <w:rsid w:val="00850D1F"/>
    <w:rsid w:val="00854287"/>
    <w:rsid w:val="0087336E"/>
    <w:rsid w:val="0088213A"/>
    <w:rsid w:val="00885BE1"/>
    <w:rsid w:val="00887E2F"/>
    <w:rsid w:val="00890486"/>
    <w:rsid w:val="00897104"/>
    <w:rsid w:val="008A0D76"/>
    <w:rsid w:val="008A2B14"/>
    <w:rsid w:val="008B7C18"/>
    <w:rsid w:val="008C292C"/>
    <w:rsid w:val="008C6072"/>
    <w:rsid w:val="008C6D71"/>
    <w:rsid w:val="008D4C02"/>
    <w:rsid w:val="008D659F"/>
    <w:rsid w:val="008D777A"/>
    <w:rsid w:val="008E73F0"/>
    <w:rsid w:val="008F5BD7"/>
    <w:rsid w:val="00900AAD"/>
    <w:rsid w:val="00905AD2"/>
    <w:rsid w:val="00913EBC"/>
    <w:rsid w:val="0091439F"/>
    <w:rsid w:val="0091663F"/>
    <w:rsid w:val="009323A7"/>
    <w:rsid w:val="00933BFC"/>
    <w:rsid w:val="00934D40"/>
    <w:rsid w:val="00940831"/>
    <w:rsid w:val="0094445C"/>
    <w:rsid w:val="00950B26"/>
    <w:rsid w:val="00954BE1"/>
    <w:rsid w:val="00967EDA"/>
    <w:rsid w:val="009756BA"/>
    <w:rsid w:val="009770CE"/>
    <w:rsid w:val="009956CF"/>
    <w:rsid w:val="009A6A55"/>
    <w:rsid w:val="009B0132"/>
    <w:rsid w:val="009D00DC"/>
    <w:rsid w:val="009D1326"/>
    <w:rsid w:val="009E0975"/>
    <w:rsid w:val="009E0D43"/>
    <w:rsid w:val="009E423A"/>
    <w:rsid w:val="00A000FF"/>
    <w:rsid w:val="00A20A20"/>
    <w:rsid w:val="00A26707"/>
    <w:rsid w:val="00A26893"/>
    <w:rsid w:val="00A375F6"/>
    <w:rsid w:val="00A40543"/>
    <w:rsid w:val="00A503D3"/>
    <w:rsid w:val="00A50868"/>
    <w:rsid w:val="00A57EAF"/>
    <w:rsid w:val="00A6682E"/>
    <w:rsid w:val="00A84A19"/>
    <w:rsid w:val="00A851B0"/>
    <w:rsid w:val="00A912E4"/>
    <w:rsid w:val="00A919E1"/>
    <w:rsid w:val="00AB33C9"/>
    <w:rsid w:val="00AB520F"/>
    <w:rsid w:val="00AB5A25"/>
    <w:rsid w:val="00AB75B6"/>
    <w:rsid w:val="00AD1411"/>
    <w:rsid w:val="00AD4083"/>
    <w:rsid w:val="00AD7389"/>
    <w:rsid w:val="00B10A96"/>
    <w:rsid w:val="00B1567B"/>
    <w:rsid w:val="00B17777"/>
    <w:rsid w:val="00B37501"/>
    <w:rsid w:val="00B64DDF"/>
    <w:rsid w:val="00B8035D"/>
    <w:rsid w:val="00B97875"/>
    <w:rsid w:val="00BA0477"/>
    <w:rsid w:val="00BA10B6"/>
    <w:rsid w:val="00BA6B9C"/>
    <w:rsid w:val="00BB4705"/>
    <w:rsid w:val="00BC4FFF"/>
    <w:rsid w:val="00BD0227"/>
    <w:rsid w:val="00C05040"/>
    <w:rsid w:val="00C06D2F"/>
    <w:rsid w:val="00C076B0"/>
    <w:rsid w:val="00C30E12"/>
    <w:rsid w:val="00C3563C"/>
    <w:rsid w:val="00C64F75"/>
    <w:rsid w:val="00C7556C"/>
    <w:rsid w:val="00C802F9"/>
    <w:rsid w:val="00C84CF1"/>
    <w:rsid w:val="00C866A0"/>
    <w:rsid w:val="00CA3156"/>
    <w:rsid w:val="00CA6B07"/>
    <w:rsid w:val="00CC6C47"/>
    <w:rsid w:val="00CC785D"/>
    <w:rsid w:val="00CD231B"/>
    <w:rsid w:val="00CD774D"/>
    <w:rsid w:val="00CF6B5A"/>
    <w:rsid w:val="00D0460B"/>
    <w:rsid w:val="00D13AFE"/>
    <w:rsid w:val="00D256D0"/>
    <w:rsid w:val="00D26FC8"/>
    <w:rsid w:val="00D27482"/>
    <w:rsid w:val="00D60F37"/>
    <w:rsid w:val="00D61DE6"/>
    <w:rsid w:val="00D944FF"/>
    <w:rsid w:val="00DA358A"/>
    <w:rsid w:val="00DD0245"/>
    <w:rsid w:val="00DD3CB2"/>
    <w:rsid w:val="00DD4B5E"/>
    <w:rsid w:val="00DD6787"/>
    <w:rsid w:val="00DE6141"/>
    <w:rsid w:val="00E20418"/>
    <w:rsid w:val="00E33944"/>
    <w:rsid w:val="00E44C4D"/>
    <w:rsid w:val="00E5413B"/>
    <w:rsid w:val="00E64248"/>
    <w:rsid w:val="00E67F41"/>
    <w:rsid w:val="00E75C05"/>
    <w:rsid w:val="00E774E6"/>
    <w:rsid w:val="00E93EE1"/>
    <w:rsid w:val="00EA4689"/>
    <w:rsid w:val="00EA6090"/>
    <w:rsid w:val="00EB7E53"/>
    <w:rsid w:val="00EE0828"/>
    <w:rsid w:val="00EE61D9"/>
    <w:rsid w:val="00F00583"/>
    <w:rsid w:val="00F0604F"/>
    <w:rsid w:val="00F068F8"/>
    <w:rsid w:val="00F1160B"/>
    <w:rsid w:val="00F2123E"/>
    <w:rsid w:val="00F33755"/>
    <w:rsid w:val="00F343AF"/>
    <w:rsid w:val="00F34D1F"/>
    <w:rsid w:val="00F550C1"/>
    <w:rsid w:val="00F6521F"/>
    <w:rsid w:val="00F6662C"/>
    <w:rsid w:val="00F748C0"/>
    <w:rsid w:val="00F7777A"/>
    <w:rsid w:val="00F81175"/>
    <w:rsid w:val="00F811CF"/>
    <w:rsid w:val="00F8631C"/>
    <w:rsid w:val="00F9556D"/>
    <w:rsid w:val="00FB6AF4"/>
    <w:rsid w:val="00FC3CA3"/>
    <w:rsid w:val="00FD1E6B"/>
    <w:rsid w:val="00FD2A39"/>
    <w:rsid w:val="00FE2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42B"/>
    <w:pPr>
      <w:tabs>
        <w:tab w:val="center" w:pos="4153"/>
        <w:tab w:val="right" w:pos="8306"/>
      </w:tabs>
    </w:pPr>
  </w:style>
  <w:style w:type="character" w:customStyle="1" w:styleId="HeaderChar">
    <w:name w:val="Header Char"/>
    <w:basedOn w:val="DefaultParagraphFont"/>
    <w:link w:val="Header"/>
    <w:rsid w:val="001F242B"/>
    <w:rPr>
      <w:rFonts w:ascii="Times New Roman" w:eastAsia="Times New Roman" w:hAnsi="Times New Roman" w:cs="Times New Roman"/>
      <w:sz w:val="24"/>
      <w:szCs w:val="24"/>
      <w:lang w:eastAsia="lv-LV"/>
    </w:rPr>
  </w:style>
  <w:style w:type="paragraph" w:styleId="NormalWeb">
    <w:name w:val="Normal (Web)"/>
    <w:basedOn w:val="Normal"/>
    <w:rsid w:val="001F242B"/>
    <w:pPr>
      <w:spacing w:before="100" w:beforeAutospacing="1" w:after="100" w:afterAutospacing="1"/>
    </w:pPr>
    <w:rPr>
      <w:szCs w:val="20"/>
      <w:lang w:eastAsia="en-US"/>
    </w:rPr>
  </w:style>
  <w:style w:type="paragraph" w:styleId="BodyTextIndent">
    <w:name w:val="Body Text Indent"/>
    <w:basedOn w:val="Normal"/>
    <w:link w:val="BodyTextIndentChar"/>
    <w:rsid w:val="001F242B"/>
    <w:pPr>
      <w:spacing w:after="120"/>
      <w:ind w:left="283"/>
    </w:pPr>
  </w:style>
  <w:style w:type="character" w:customStyle="1" w:styleId="BodyTextIndentChar">
    <w:name w:val="Body Text Indent Char"/>
    <w:basedOn w:val="DefaultParagraphFont"/>
    <w:link w:val="BodyTextIndent"/>
    <w:rsid w:val="001F242B"/>
    <w:rPr>
      <w:rFonts w:ascii="Times New Roman" w:eastAsia="Times New Roman" w:hAnsi="Times New Roman" w:cs="Times New Roman"/>
      <w:sz w:val="24"/>
      <w:szCs w:val="24"/>
      <w:lang w:eastAsia="lv-LV"/>
    </w:rPr>
  </w:style>
  <w:style w:type="character" w:styleId="Hyperlink">
    <w:name w:val="Hyperlink"/>
    <w:rsid w:val="001F242B"/>
    <w:rPr>
      <w:color w:val="0000FF"/>
      <w:u w:val="single"/>
    </w:rPr>
  </w:style>
  <w:style w:type="character" w:styleId="PageNumber">
    <w:name w:val="page number"/>
    <w:basedOn w:val="DefaultParagraphFont"/>
    <w:rsid w:val="001F242B"/>
  </w:style>
  <w:style w:type="paragraph" w:styleId="BodyText">
    <w:name w:val="Body Text"/>
    <w:basedOn w:val="Normal"/>
    <w:link w:val="BodyTextChar"/>
    <w:rsid w:val="001F242B"/>
    <w:pPr>
      <w:spacing w:after="120"/>
    </w:pPr>
  </w:style>
  <w:style w:type="character" w:customStyle="1" w:styleId="BodyTextChar">
    <w:name w:val="Body Text Char"/>
    <w:basedOn w:val="DefaultParagraphFont"/>
    <w:link w:val="BodyText"/>
    <w:rsid w:val="001F242B"/>
    <w:rPr>
      <w:rFonts w:ascii="Times New Roman" w:eastAsia="Times New Roman" w:hAnsi="Times New Roman" w:cs="Times New Roman"/>
      <w:sz w:val="24"/>
      <w:szCs w:val="24"/>
      <w:lang w:eastAsia="lv-LV"/>
    </w:rPr>
  </w:style>
  <w:style w:type="paragraph" w:customStyle="1" w:styleId="tv2131">
    <w:name w:val="tv2131"/>
    <w:basedOn w:val="Normal"/>
    <w:rsid w:val="001F242B"/>
    <w:pPr>
      <w:spacing w:before="240" w:line="360" w:lineRule="auto"/>
      <w:ind w:firstLine="300"/>
      <w:jc w:val="both"/>
    </w:pPr>
    <w:rPr>
      <w:rFonts w:ascii="Verdana" w:hAnsi="Verdana"/>
      <w:sz w:val="18"/>
      <w:szCs w:val="18"/>
    </w:rPr>
  </w:style>
  <w:style w:type="paragraph" w:customStyle="1" w:styleId="naisf">
    <w:name w:val="naisf"/>
    <w:basedOn w:val="Normal"/>
    <w:rsid w:val="006743F2"/>
    <w:pPr>
      <w:spacing w:before="75" w:after="75"/>
      <w:ind w:firstLine="375"/>
      <w:jc w:val="both"/>
    </w:pPr>
  </w:style>
  <w:style w:type="paragraph" w:styleId="Footer">
    <w:name w:val="footer"/>
    <w:basedOn w:val="Normal"/>
    <w:link w:val="FooterChar"/>
    <w:uiPriority w:val="99"/>
    <w:unhideWhenUsed/>
    <w:rsid w:val="00D61DE6"/>
    <w:pPr>
      <w:tabs>
        <w:tab w:val="center" w:pos="4153"/>
        <w:tab w:val="right" w:pos="8306"/>
      </w:tabs>
    </w:pPr>
  </w:style>
  <w:style w:type="character" w:customStyle="1" w:styleId="FooterChar">
    <w:name w:val="Footer Char"/>
    <w:basedOn w:val="DefaultParagraphFont"/>
    <w:link w:val="Footer"/>
    <w:uiPriority w:val="99"/>
    <w:rsid w:val="00D61D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06D2F"/>
    <w:rPr>
      <w:rFonts w:ascii="Tahoma" w:hAnsi="Tahoma" w:cs="Tahoma"/>
      <w:sz w:val="16"/>
      <w:szCs w:val="16"/>
    </w:rPr>
  </w:style>
  <w:style w:type="character" w:customStyle="1" w:styleId="BalloonTextChar">
    <w:name w:val="Balloon Text Char"/>
    <w:basedOn w:val="DefaultParagraphFont"/>
    <w:link w:val="BalloonText"/>
    <w:uiPriority w:val="99"/>
    <w:semiHidden/>
    <w:rsid w:val="00C06D2F"/>
    <w:rPr>
      <w:rFonts w:ascii="Tahoma" w:eastAsia="Times New Roman" w:hAnsi="Tahoma" w:cs="Tahoma"/>
      <w:sz w:val="16"/>
      <w:szCs w:val="16"/>
      <w:lang w:eastAsia="lv-LV"/>
    </w:rPr>
  </w:style>
  <w:style w:type="paragraph" w:styleId="ListParagraph">
    <w:name w:val="List Paragraph"/>
    <w:basedOn w:val="Normal"/>
    <w:uiPriority w:val="34"/>
    <w:qFormat/>
    <w:rsid w:val="00BA0477"/>
    <w:pPr>
      <w:ind w:left="720"/>
    </w:pPr>
    <w:rPr>
      <w:rFonts w:ascii="Calibri" w:eastAsiaTheme="minorHAnsi" w:hAnsi="Calibri"/>
      <w:sz w:val="22"/>
      <w:szCs w:val="22"/>
      <w:lang w:eastAsia="en-US"/>
    </w:rPr>
  </w:style>
  <w:style w:type="paragraph" w:styleId="NoSpacing">
    <w:name w:val="No Spacing"/>
    <w:uiPriority w:val="1"/>
    <w:qFormat/>
    <w:rsid w:val="00BA0477"/>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15543"/>
    <w:rPr>
      <w:b/>
      <w:bCs/>
    </w:rPr>
  </w:style>
  <w:style w:type="character" w:styleId="CommentReference">
    <w:name w:val="annotation reference"/>
    <w:basedOn w:val="DefaultParagraphFont"/>
    <w:uiPriority w:val="99"/>
    <w:semiHidden/>
    <w:unhideWhenUsed/>
    <w:rsid w:val="00736B27"/>
    <w:rPr>
      <w:sz w:val="16"/>
      <w:szCs w:val="16"/>
    </w:rPr>
  </w:style>
  <w:style w:type="paragraph" w:styleId="CommentText">
    <w:name w:val="annotation text"/>
    <w:basedOn w:val="Normal"/>
    <w:link w:val="CommentTextChar"/>
    <w:uiPriority w:val="99"/>
    <w:semiHidden/>
    <w:unhideWhenUsed/>
    <w:rsid w:val="00736B27"/>
    <w:rPr>
      <w:sz w:val="20"/>
      <w:szCs w:val="20"/>
    </w:rPr>
  </w:style>
  <w:style w:type="character" w:customStyle="1" w:styleId="CommentTextChar">
    <w:name w:val="Comment Text Char"/>
    <w:basedOn w:val="DefaultParagraphFont"/>
    <w:link w:val="CommentText"/>
    <w:uiPriority w:val="99"/>
    <w:semiHidden/>
    <w:rsid w:val="00736B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36B27"/>
    <w:rPr>
      <w:b/>
      <w:bCs/>
    </w:rPr>
  </w:style>
  <w:style w:type="character" w:customStyle="1" w:styleId="CommentSubjectChar">
    <w:name w:val="Comment Subject Char"/>
    <w:basedOn w:val="CommentTextChar"/>
    <w:link w:val="CommentSubject"/>
    <w:uiPriority w:val="99"/>
    <w:semiHidden/>
    <w:rsid w:val="00736B27"/>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42B"/>
    <w:pPr>
      <w:tabs>
        <w:tab w:val="center" w:pos="4153"/>
        <w:tab w:val="right" w:pos="8306"/>
      </w:tabs>
    </w:pPr>
  </w:style>
  <w:style w:type="character" w:customStyle="1" w:styleId="HeaderChar">
    <w:name w:val="Header Char"/>
    <w:basedOn w:val="DefaultParagraphFont"/>
    <w:link w:val="Header"/>
    <w:rsid w:val="001F242B"/>
    <w:rPr>
      <w:rFonts w:ascii="Times New Roman" w:eastAsia="Times New Roman" w:hAnsi="Times New Roman" w:cs="Times New Roman"/>
      <w:sz w:val="24"/>
      <w:szCs w:val="24"/>
      <w:lang w:eastAsia="lv-LV"/>
    </w:rPr>
  </w:style>
  <w:style w:type="paragraph" w:styleId="NormalWeb">
    <w:name w:val="Normal (Web)"/>
    <w:basedOn w:val="Normal"/>
    <w:rsid w:val="001F242B"/>
    <w:pPr>
      <w:spacing w:before="100" w:beforeAutospacing="1" w:after="100" w:afterAutospacing="1"/>
    </w:pPr>
    <w:rPr>
      <w:szCs w:val="20"/>
      <w:lang w:eastAsia="en-US"/>
    </w:rPr>
  </w:style>
  <w:style w:type="paragraph" w:styleId="BodyTextIndent">
    <w:name w:val="Body Text Indent"/>
    <w:basedOn w:val="Normal"/>
    <w:link w:val="BodyTextIndentChar"/>
    <w:rsid w:val="001F242B"/>
    <w:pPr>
      <w:spacing w:after="120"/>
      <w:ind w:left="283"/>
    </w:pPr>
  </w:style>
  <w:style w:type="character" w:customStyle="1" w:styleId="BodyTextIndentChar">
    <w:name w:val="Body Text Indent Char"/>
    <w:basedOn w:val="DefaultParagraphFont"/>
    <w:link w:val="BodyTextIndent"/>
    <w:rsid w:val="001F242B"/>
    <w:rPr>
      <w:rFonts w:ascii="Times New Roman" w:eastAsia="Times New Roman" w:hAnsi="Times New Roman" w:cs="Times New Roman"/>
      <w:sz w:val="24"/>
      <w:szCs w:val="24"/>
      <w:lang w:eastAsia="lv-LV"/>
    </w:rPr>
  </w:style>
  <w:style w:type="character" w:styleId="Hyperlink">
    <w:name w:val="Hyperlink"/>
    <w:rsid w:val="001F242B"/>
    <w:rPr>
      <w:color w:val="0000FF"/>
      <w:u w:val="single"/>
    </w:rPr>
  </w:style>
  <w:style w:type="character" w:styleId="PageNumber">
    <w:name w:val="page number"/>
    <w:basedOn w:val="DefaultParagraphFont"/>
    <w:rsid w:val="001F242B"/>
  </w:style>
  <w:style w:type="paragraph" w:styleId="BodyText">
    <w:name w:val="Body Text"/>
    <w:basedOn w:val="Normal"/>
    <w:link w:val="BodyTextChar"/>
    <w:rsid w:val="001F242B"/>
    <w:pPr>
      <w:spacing w:after="120"/>
    </w:pPr>
  </w:style>
  <w:style w:type="character" w:customStyle="1" w:styleId="BodyTextChar">
    <w:name w:val="Body Text Char"/>
    <w:basedOn w:val="DefaultParagraphFont"/>
    <w:link w:val="BodyText"/>
    <w:rsid w:val="001F242B"/>
    <w:rPr>
      <w:rFonts w:ascii="Times New Roman" w:eastAsia="Times New Roman" w:hAnsi="Times New Roman" w:cs="Times New Roman"/>
      <w:sz w:val="24"/>
      <w:szCs w:val="24"/>
      <w:lang w:eastAsia="lv-LV"/>
    </w:rPr>
  </w:style>
  <w:style w:type="paragraph" w:customStyle="1" w:styleId="tv2131">
    <w:name w:val="tv2131"/>
    <w:basedOn w:val="Normal"/>
    <w:rsid w:val="001F242B"/>
    <w:pPr>
      <w:spacing w:before="240" w:line="360" w:lineRule="auto"/>
      <w:ind w:firstLine="300"/>
      <w:jc w:val="both"/>
    </w:pPr>
    <w:rPr>
      <w:rFonts w:ascii="Verdana" w:hAnsi="Verdana"/>
      <w:sz w:val="18"/>
      <w:szCs w:val="18"/>
    </w:rPr>
  </w:style>
  <w:style w:type="paragraph" w:customStyle="1" w:styleId="naisf">
    <w:name w:val="naisf"/>
    <w:basedOn w:val="Normal"/>
    <w:rsid w:val="006743F2"/>
    <w:pPr>
      <w:spacing w:before="75" w:after="75"/>
      <w:ind w:firstLine="375"/>
      <w:jc w:val="both"/>
    </w:pPr>
  </w:style>
  <w:style w:type="paragraph" w:styleId="Footer">
    <w:name w:val="footer"/>
    <w:basedOn w:val="Normal"/>
    <w:link w:val="FooterChar"/>
    <w:uiPriority w:val="99"/>
    <w:unhideWhenUsed/>
    <w:rsid w:val="00D61DE6"/>
    <w:pPr>
      <w:tabs>
        <w:tab w:val="center" w:pos="4153"/>
        <w:tab w:val="right" w:pos="8306"/>
      </w:tabs>
    </w:pPr>
  </w:style>
  <w:style w:type="character" w:customStyle="1" w:styleId="FooterChar">
    <w:name w:val="Footer Char"/>
    <w:basedOn w:val="DefaultParagraphFont"/>
    <w:link w:val="Footer"/>
    <w:uiPriority w:val="99"/>
    <w:rsid w:val="00D61D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06D2F"/>
    <w:rPr>
      <w:rFonts w:ascii="Tahoma" w:hAnsi="Tahoma" w:cs="Tahoma"/>
      <w:sz w:val="16"/>
      <w:szCs w:val="16"/>
    </w:rPr>
  </w:style>
  <w:style w:type="character" w:customStyle="1" w:styleId="BalloonTextChar">
    <w:name w:val="Balloon Text Char"/>
    <w:basedOn w:val="DefaultParagraphFont"/>
    <w:link w:val="BalloonText"/>
    <w:uiPriority w:val="99"/>
    <w:semiHidden/>
    <w:rsid w:val="00C06D2F"/>
    <w:rPr>
      <w:rFonts w:ascii="Tahoma" w:eastAsia="Times New Roman" w:hAnsi="Tahoma" w:cs="Tahoma"/>
      <w:sz w:val="16"/>
      <w:szCs w:val="16"/>
      <w:lang w:eastAsia="lv-LV"/>
    </w:rPr>
  </w:style>
  <w:style w:type="paragraph" w:styleId="ListParagraph">
    <w:name w:val="List Paragraph"/>
    <w:basedOn w:val="Normal"/>
    <w:uiPriority w:val="34"/>
    <w:qFormat/>
    <w:rsid w:val="00BA0477"/>
    <w:pPr>
      <w:ind w:left="720"/>
    </w:pPr>
    <w:rPr>
      <w:rFonts w:ascii="Calibri" w:eastAsiaTheme="minorHAnsi" w:hAnsi="Calibri"/>
      <w:sz w:val="22"/>
      <w:szCs w:val="22"/>
      <w:lang w:eastAsia="en-US"/>
    </w:rPr>
  </w:style>
  <w:style w:type="paragraph" w:styleId="NoSpacing">
    <w:name w:val="No Spacing"/>
    <w:uiPriority w:val="1"/>
    <w:qFormat/>
    <w:rsid w:val="00BA0477"/>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15543"/>
    <w:rPr>
      <w:b/>
      <w:bCs/>
    </w:rPr>
  </w:style>
  <w:style w:type="character" w:styleId="CommentReference">
    <w:name w:val="annotation reference"/>
    <w:basedOn w:val="DefaultParagraphFont"/>
    <w:uiPriority w:val="99"/>
    <w:semiHidden/>
    <w:unhideWhenUsed/>
    <w:rsid w:val="00736B27"/>
    <w:rPr>
      <w:sz w:val="16"/>
      <w:szCs w:val="16"/>
    </w:rPr>
  </w:style>
  <w:style w:type="paragraph" w:styleId="CommentText">
    <w:name w:val="annotation text"/>
    <w:basedOn w:val="Normal"/>
    <w:link w:val="CommentTextChar"/>
    <w:uiPriority w:val="99"/>
    <w:semiHidden/>
    <w:unhideWhenUsed/>
    <w:rsid w:val="00736B27"/>
    <w:rPr>
      <w:sz w:val="20"/>
      <w:szCs w:val="20"/>
    </w:rPr>
  </w:style>
  <w:style w:type="character" w:customStyle="1" w:styleId="CommentTextChar">
    <w:name w:val="Comment Text Char"/>
    <w:basedOn w:val="DefaultParagraphFont"/>
    <w:link w:val="CommentText"/>
    <w:uiPriority w:val="99"/>
    <w:semiHidden/>
    <w:rsid w:val="00736B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36B27"/>
    <w:rPr>
      <w:b/>
      <w:bCs/>
    </w:rPr>
  </w:style>
  <w:style w:type="character" w:customStyle="1" w:styleId="CommentSubjectChar">
    <w:name w:val="Comment Subject Char"/>
    <w:basedOn w:val="CommentTextChar"/>
    <w:link w:val="CommentSubject"/>
    <w:uiPriority w:val="99"/>
    <w:semiHidden/>
    <w:rsid w:val="00736B2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752">
      <w:bodyDiv w:val="1"/>
      <w:marLeft w:val="0"/>
      <w:marRight w:val="0"/>
      <w:marTop w:val="0"/>
      <w:marBottom w:val="0"/>
      <w:divBdr>
        <w:top w:val="none" w:sz="0" w:space="0" w:color="auto"/>
        <w:left w:val="none" w:sz="0" w:space="0" w:color="auto"/>
        <w:bottom w:val="none" w:sz="0" w:space="0" w:color="auto"/>
        <w:right w:val="none" w:sz="0" w:space="0" w:color="auto"/>
      </w:divBdr>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573004671">
      <w:bodyDiv w:val="1"/>
      <w:marLeft w:val="0"/>
      <w:marRight w:val="0"/>
      <w:marTop w:val="0"/>
      <w:marBottom w:val="0"/>
      <w:divBdr>
        <w:top w:val="none" w:sz="0" w:space="0" w:color="auto"/>
        <w:left w:val="none" w:sz="0" w:space="0" w:color="auto"/>
        <w:bottom w:val="none" w:sz="0" w:space="0" w:color="auto"/>
        <w:right w:val="none" w:sz="0" w:space="0" w:color="auto"/>
      </w:divBdr>
    </w:div>
    <w:div w:id="857349435">
      <w:bodyDiv w:val="1"/>
      <w:marLeft w:val="0"/>
      <w:marRight w:val="0"/>
      <w:marTop w:val="0"/>
      <w:marBottom w:val="0"/>
      <w:divBdr>
        <w:top w:val="none" w:sz="0" w:space="0" w:color="auto"/>
        <w:left w:val="none" w:sz="0" w:space="0" w:color="auto"/>
        <w:bottom w:val="none" w:sz="0" w:space="0" w:color="auto"/>
        <w:right w:val="none" w:sz="0" w:space="0" w:color="auto"/>
      </w:divBdr>
    </w:div>
    <w:div w:id="1110783549">
      <w:bodyDiv w:val="1"/>
      <w:marLeft w:val="0"/>
      <w:marRight w:val="0"/>
      <w:marTop w:val="0"/>
      <w:marBottom w:val="0"/>
      <w:divBdr>
        <w:top w:val="none" w:sz="0" w:space="0" w:color="auto"/>
        <w:left w:val="none" w:sz="0" w:space="0" w:color="auto"/>
        <w:bottom w:val="none" w:sz="0" w:space="0" w:color="auto"/>
        <w:right w:val="none" w:sz="0" w:space="0" w:color="auto"/>
      </w:divBdr>
    </w:div>
    <w:div w:id="1481461265">
      <w:bodyDiv w:val="1"/>
      <w:marLeft w:val="0"/>
      <w:marRight w:val="0"/>
      <w:marTop w:val="0"/>
      <w:marBottom w:val="0"/>
      <w:divBdr>
        <w:top w:val="none" w:sz="0" w:space="0" w:color="auto"/>
        <w:left w:val="none" w:sz="0" w:space="0" w:color="auto"/>
        <w:bottom w:val="none" w:sz="0" w:space="0" w:color="auto"/>
        <w:right w:val="none" w:sz="0" w:space="0" w:color="auto"/>
      </w:divBdr>
    </w:div>
    <w:div w:id="1726945467">
      <w:bodyDiv w:val="1"/>
      <w:marLeft w:val="0"/>
      <w:marRight w:val="0"/>
      <w:marTop w:val="0"/>
      <w:marBottom w:val="0"/>
      <w:divBdr>
        <w:top w:val="none" w:sz="0" w:space="0" w:color="auto"/>
        <w:left w:val="none" w:sz="0" w:space="0" w:color="auto"/>
        <w:bottom w:val="none" w:sz="0" w:space="0" w:color="auto"/>
        <w:right w:val="none" w:sz="0" w:space="0" w:color="auto"/>
      </w:divBdr>
    </w:div>
    <w:div w:id="1738360453">
      <w:bodyDiv w:val="1"/>
      <w:marLeft w:val="0"/>
      <w:marRight w:val="0"/>
      <w:marTop w:val="0"/>
      <w:marBottom w:val="0"/>
      <w:divBdr>
        <w:top w:val="none" w:sz="0" w:space="0" w:color="auto"/>
        <w:left w:val="none" w:sz="0" w:space="0" w:color="auto"/>
        <w:bottom w:val="none" w:sz="0" w:space="0" w:color="auto"/>
        <w:right w:val="none" w:sz="0" w:space="0" w:color="auto"/>
      </w:divBdr>
    </w:div>
    <w:div w:id="1855805704">
      <w:bodyDiv w:val="1"/>
      <w:marLeft w:val="0"/>
      <w:marRight w:val="0"/>
      <w:marTop w:val="0"/>
      <w:marBottom w:val="0"/>
      <w:divBdr>
        <w:top w:val="none" w:sz="0" w:space="0" w:color="auto"/>
        <w:left w:val="none" w:sz="0" w:space="0" w:color="auto"/>
        <w:bottom w:val="none" w:sz="0" w:space="0" w:color="auto"/>
        <w:right w:val="none" w:sz="0" w:space="0" w:color="auto"/>
      </w:divBdr>
    </w:div>
    <w:div w:id="19004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a.Upeniece@vni.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2BA7-8A7F-415D-B483-E48B820D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11440</Words>
  <Characters>6521</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"Grozījums Ministru kabineta 2010.gada 6.decembra rīkojumā Nr.702 "Par finansējuma piešķiršanu Rīgas pils Priekšpils projekta izdevumu segšanai""</vt:lpstr>
      <vt:lpstr>MK rīkojuma projekts "Grozījums Ministru kabineta 2010.gada 6.decembra rīkojumā Nr.702 "Par finansējuma piešķiršanu Rīgas pils Priekšpils projekta izdevumu segšanai""</vt:lpstr>
    </vt:vector>
  </TitlesOfParts>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2010.gada 6.decembra rīkojumā Nr.702 "Par finansējuma piešķiršanu Rīgas pils Priekšpils projekta izdevumu segšanai""</dc:title>
  <dc:subject>Sākotnējās ietekmes novērtējuma ziņojums (anotācija)</dc:subject>
  <dc:creator>Jana Upeniece</dc:creator>
  <dc:description>67024922
Jana.Upeniece@vni.lv</dc:description>
  <cp:lastModifiedBy>Santa Lūse</cp:lastModifiedBy>
  <cp:revision>33</cp:revision>
  <cp:lastPrinted>2013-10-15T08:02:00Z</cp:lastPrinted>
  <dcterms:created xsi:type="dcterms:W3CDTF">2013-10-04T14:48:00Z</dcterms:created>
  <dcterms:modified xsi:type="dcterms:W3CDTF">2013-11-11T13:56:00Z</dcterms:modified>
  <cp:contentStatus>Projekts</cp:contentStatus>
</cp:coreProperties>
</file>