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497"/>
      </w:tblGrid>
      <w:tr w:rsidR="00710872" w:rsidRPr="00150761" w:rsidTr="003B1CE8">
        <w:trPr>
          <w:trHeight w:val="987"/>
          <w:tblCellSpacing w:w="0" w:type="dxa"/>
        </w:trPr>
        <w:tc>
          <w:tcPr>
            <w:tcW w:w="0" w:type="auto"/>
            <w:vAlign w:val="center"/>
          </w:tcPr>
          <w:p w:rsidR="00710872" w:rsidRPr="00150761" w:rsidRDefault="00710872" w:rsidP="003B1CE8">
            <w:pPr>
              <w:jc w:val="center"/>
            </w:pPr>
            <w:bookmarkStart w:id="0" w:name="OLE_LINK1"/>
            <w:bookmarkStart w:id="1" w:name="OLE_LINK2"/>
            <w:bookmarkStart w:id="2" w:name="_GoBack"/>
            <w:bookmarkEnd w:id="2"/>
            <w:r w:rsidRPr="00150761">
              <w:t>Ministru kabineta rīkojuma projekta</w:t>
            </w:r>
          </w:p>
          <w:p w:rsidR="00710872" w:rsidRPr="00150761" w:rsidRDefault="00710872" w:rsidP="00C8214D">
            <w:pPr>
              <w:pStyle w:val="Heading2"/>
              <w:rPr>
                <w:sz w:val="24"/>
                <w:szCs w:val="24"/>
              </w:rPr>
            </w:pPr>
            <w:bookmarkStart w:id="3" w:name="OLE_LINK3"/>
            <w:bookmarkStart w:id="4" w:name="OLE_LINK4"/>
            <w:r w:rsidRPr="00150761">
              <w:rPr>
                <w:sz w:val="24"/>
                <w:szCs w:val="24"/>
              </w:rPr>
              <w:t>„</w:t>
            </w:r>
            <w:bookmarkEnd w:id="3"/>
            <w:bookmarkEnd w:id="4"/>
            <w:r w:rsidR="00C8214D" w:rsidRPr="00150761">
              <w:rPr>
                <w:sz w:val="24"/>
                <w:szCs w:val="24"/>
              </w:rPr>
              <w:t xml:space="preserve">Par valsts nekustamā īpašuma </w:t>
            </w:r>
            <w:r w:rsidR="00C8214D" w:rsidRPr="00150761">
              <w:rPr>
                <w:sz w:val="24"/>
                <w:szCs w:val="24"/>
                <w:lang w:eastAsia="lv-LV"/>
              </w:rPr>
              <w:t>Aspazijas bulvārī 7</w:t>
            </w:r>
            <w:r w:rsidR="00C8214D" w:rsidRPr="00150761">
              <w:rPr>
                <w:sz w:val="24"/>
                <w:szCs w:val="24"/>
              </w:rPr>
              <w:t>, Rīgā, ieguldīšanu valsts akciju sabiedrības „Valsts nekustamie īpašumi” pamatkapitālā</w:t>
            </w:r>
            <w:r w:rsidRPr="00150761">
              <w:rPr>
                <w:sz w:val="24"/>
                <w:szCs w:val="24"/>
              </w:rPr>
              <w:t>”</w:t>
            </w:r>
          </w:p>
          <w:p w:rsidR="00710872" w:rsidRPr="00150761" w:rsidRDefault="002D5BFA" w:rsidP="003B1CE8">
            <w:pPr>
              <w:spacing w:after="120"/>
              <w:jc w:val="center"/>
              <w:rPr>
                <w:rFonts w:ascii="Arial" w:hAnsi="Arial" w:cs="Arial"/>
                <w:color w:val="000000"/>
              </w:rPr>
            </w:pPr>
            <w:r w:rsidRPr="002D5BFA">
              <w:rPr>
                <w:u w:val="single"/>
              </w:rPr>
              <w:t>precizētais</w:t>
            </w:r>
            <w:r>
              <w:t xml:space="preserve"> </w:t>
            </w:r>
            <w:r w:rsidR="00710872" w:rsidRPr="00150761">
              <w:t>sākotnējās ietekmes novērtējuma ziņojums (anotācija)</w:t>
            </w:r>
            <w:r w:rsidR="00710872" w:rsidRPr="00150761">
              <w:rPr>
                <w:rFonts w:ascii="Arial" w:hAnsi="Arial" w:cs="Arial"/>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1857"/>
              <w:gridCol w:w="7201"/>
            </w:tblGrid>
            <w:tr w:rsidR="00710872" w:rsidRPr="00150761" w:rsidTr="003B1CE8">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710872" w:rsidRPr="00150761" w:rsidRDefault="00710872" w:rsidP="003B1CE8">
                  <w:pPr>
                    <w:jc w:val="center"/>
                    <w:rPr>
                      <w:b/>
                    </w:rPr>
                  </w:pPr>
                  <w:r w:rsidRPr="00150761">
                    <w:rPr>
                      <w:b/>
                    </w:rPr>
                    <w:t>I. Tiesību akta projekta izstrādes nepieciešamība</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1.</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Pamatojums</w:t>
                  </w:r>
                </w:p>
              </w:tc>
              <w:tc>
                <w:tcPr>
                  <w:tcW w:w="3773" w:type="pct"/>
                  <w:tcBorders>
                    <w:top w:val="outset" w:sz="6" w:space="0" w:color="auto"/>
                    <w:left w:val="outset" w:sz="6" w:space="0" w:color="auto"/>
                    <w:bottom w:val="outset" w:sz="6" w:space="0" w:color="auto"/>
                    <w:right w:val="outset" w:sz="6" w:space="0" w:color="auto"/>
                  </w:tcBorders>
                </w:tcPr>
                <w:p w:rsidR="00710872" w:rsidRPr="00150761" w:rsidRDefault="00710872" w:rsidP="00C8214D">
                  <w:pPr>
                    <w:ind w:firstLine="131"/>
                    <w:jc w:val="both"/>
                  </w:pPr>
                  <w:r w:rsidRPr="00150761">
                    <w:t xml:space="preserve"> Rīkojuma projekts izstrādāts saskaņā ar Publiskas personas mantas atsavināšanas likuma 40.pantu, kas noteic, ka lēmumu par valsts mantas ieguldīšanu kapitālsabiedrības pamatkapitālā pieņem Ministru kabinets, un saskaņā ar Valsts pārvaldes iekārtas liku</w:t>
                  </w:r>
                  <w:r w:rsidR="00C8214D" w:rsidRPr="00150761">
                    <w:t>ma 88.panta pirmās daļas 5.</w:t>
                  </w:r>
                  <w:r w:rsidRPr="00150761">
                    <w:t>punktu, kas noteic, ka publiska persona komercdarbību var veikt nozarē, kuras infrastruktūras attīstībai nepieciešami lieli kapitālieguldījumi</w:t>
                  </w:r>
                  <w:r w:rsidR="00C8214D" w:rsidRPr="00150761">
                    <w:t>.</w:t>
                  </w:r>
                </w:p>
                <w:p w:rsidR="000B449B" w:rsidRPr="00150761" w:rsidRDefault="000B449B" w:rsidP="00C8214D">
                  <w:pPr>
                    <w:ind w:firstLine="131"/>
                    <w:jc w:val="both"/>
                  </w:pPr>
                  <w:r w:rsidRPr="00150761">
                    <w:t>Ministru prezidenta 2011.gada 13.aprīļa rīkojums Nr.140 „Par darba grupu koncepcijas projekta izstrādei par prokuratūras iestāžu izvietošanu Rīgā”.</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2.</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9D6CCC" w:rsidRPr="00150761" w:rsidRDefault="0027051C" w:rsidP="009D6CCC">
                  <w:pPr>
                    <w:jc w:val="both"/>
                  </w:pPr>
                  <w:r w:rsidRPr="00150761">
                    <w:rPr>
                      <w:bCs/>
                    </w:rPr>
                    <w:t xml:space="preserve"> </w:t>
                  </w:r>
                  <w:r w:rsidR="009D6CCC" w:rsidRPr="00150761">
                    <w:rPr>
                      <w:bCs/>
                    </w:rPr>
                    <w:t xml:space="preserve">Pamatojoties uz valsts akciju sabiedrības „Valsts nekustamie īpašumi” (turpmāk – VNĪ) </w:t>
                  </w:r>
                  <w:r w:rsidR="009D6CCC" w:rsidRPr="00150761">
                    <w:t>Valdes ziņojumu par nekustamā īpašuma Aspazijas bulvārī 7, Rīgā (nekustamā īpašuma kadastra Nr. 0100 005 0090), kas ierakstīts zemesgrāmatā uz valsts vārda Finanšu minis</w:t>
                  </w:r>
                  <w:r w:rsidR="009D6CCC" w:rsidRPr="00150761">
                    <w:softHyphen/>
                    <w:t>trijas personā, ieguldīšanu valsts akciju sabiedrības „Valsts nekustamie īpašumi” pamatkapitālā, tā ietekmi uz valsts akciju sabiedrības „Valsts nekustamie īpašumi” budžetu un plānotajiem finanšu rādītājiem VNĪ ārkārtas akcionāru sapulcē 2013.gada 4.jūlijā (prot.Nr.2) ir nolemts atbalstīt nekustamā īpašuma Aspazijas bulvārī 7, Rīgā (nekustamā īpašuma kadastra Nr.0100 005 0090) ieguldīšanu VNĪ pamatkapitālā.</w:t>
                  </w:r>
                </w:p>
                <w:p w:rsidR="00710872" w:rsidRPr="00150761" w:rsidRDefault="0027051C" w:rsidP="003B1CE8">
                  <w:pPr>
                    <w:spacing w:before="75" w:after="75"/>
                    <w:jc w:val="both"/>
                  </w:pPr>
                  <w:r w:rsidRPr="00150761">
                    <w:rPr>
                      <w:bCs/>
                    </w:rPr>
                    <w:t xml:space="preserve"> </w:t>
                  </w:r>
                  <w:r w:rsidR="009972A3" w:rsidRPr="00150761">
                    <w:rPr>
                      <w:bCs/>
                    </w:rPr>
                    <w:t>N</w:t>
                  </w:r>
                  <w:r w:rsidR="00C8214D" w:rsidRPr="00150761">
                    <w:rPr>
                      <w:bCs/>
                    </w:rPr>
                    <w:t xml:space="preserve">ekustamais īpašums </w:t>
                  </w:r>
                  <w:r w:rsidR="00C8214D" w:rsidRPr="00150761">
                    <w:rPr>
                      <w:b/>
                      <w:bCs/>
                    </w:rPr>
                    <w:t xml:space="preserve">Aspazijas bulvārī 7, Rīgā </w:t>
                  </w:r>
                  <w:r w:rsidR="00C8214D" w:rsidRPr="00150761">
                    <w:t>(nekustamā īpaš</w:t>
                  </w:r>
                  <w:r w:rsidR="009972A3" w:rsidRPr="00150761">
                    <w:t xml:space="preserve">uma kadastra Nr.0100 005 0090) </w:t>
                  </w:r>
                  <w:r w:rsidR="00C8214D" w:rsidRPr="00150761">
                    <w:t>sastāv no būves – administratīvās ēkas (būves kadastra apzīmējums 0100 005 0090 001) un zemes vienības 2692 m² platībā (zemes vienības kadastra apzīmējums 0100 005 0090).</w:t>
                  </w:r>
                </w:p>
                <w:p w:rsidR="00DC385D" w:rsidRPr="00150761" w:rsidRDefault="00DC385D" w:rsidP="00DC385D">
                  <w:pPr>
                    <w:spacing w:before="75" w:after="75"/>
                    <w:ind w:firstLine="161"/>
                    <w:jc w:val="both"/>
                  </w:pPr>
                  <w:r w:rsidRPr="00150761">
                    <w:t>Īpašuma tiesības uz nekustamo īpašumu ir nostiprinātas Rīgas pilsētas zemesgrāmatas nodalījumā Nr.3083 uz valsts vārda Finanšu ministrijas personā.</w:t>
                  </w:r>
                </w:p>
                <w:p w:rsidR="0027051C" w:rsidRPr="00150761" w:rsidRDefault="0027051C" w:rsidP="0027051C">
                  <w:pPr>
                    <w:spacing w:before="75" w:after="75"/>
                    <w:ind w:firstLine="161"/>
                    <w:jc w:val="both"/>
                  </w:pPr>
                  <w:r w:rsidRPr="00150761">
                    <w:t>Nekustamā īpašuma novērtējums kadastrā uz 2013.gada 1.janvāri sastāda 2 680 368 latus.</w:t>
                  </w:r>
                  <w:r w:rsidR="00EB3835" w:rsidRPr="00150761">
                    <w:t xml:space="preserve"> </w:t>
                  </w:r>
                </w:p>
                <w:p w:rsidR="00C14311" w:rsidRPr="00150761" w:rsidRDefault="00EB3835" w:rsidP="0027051C">
                  <w:pPr>
                    <w:spacing w:before="75" w:after="75"/>
                    <w:ind w:firstLine="161"/>
                    <w:jc w:val="both"/>
                  </w:pPr>
                  <w:r w:rsidRPr="00150761">
                    <w:t xml:space="preserve">Saskaņā ar Valsts zemes dienesta Kadastra informācijas sistēmas datiem </w:t>
                  </w:r>
                  <w:r w:rsidR="00E657B8" w:rsidRPr="00150761">
                    <w:t>būves kopējā platība ir 6408,30 m², tās galvenais lietošanas veids - biroju ēkas (1220), ekspluatācijā uzsākšanas gads ir 1900.</w:t>
                  </w:r>
                  <w:r w:rsidR="00BE0A96" w:rsidRPr="00150761">
                    <w:t xml:space="preserve"> </w:t>
                  </w:r>
                  <w:r w:rsidR="00C14311" w:rsidRPr="00150761">
                    <w:t>Būves ārsienu materiāls – silikātķieģeļi, virszemes stāvu skaits – 5, pazemes stāvu skaits – 1. Būvei ir betona pamati un metāla jumts, tai ir centralizētā apkure, siltā un aukstā ūdens apgāde, elektroapgāde, kanalizācija.</w:t>
                  </w:r>
                </w:p>
                <w:p w:rsidR="00EB3835" w:rsidRPr="00150761" w:rsidRDefault="00150761" w:rsidP="0027051C">
                  <w:pPr>
                    <w:spacing w:before="75" w:after="75"/>
                    <w:ind w:firstLine="161"/>
                    <w:jc w:val="both"/>
                  </w:pPr>
                  <w:r>
                    <w:t>Nekustamais īpašums Aspazijas bulvārī 7, Rīgā,</w:t>
                  </w:r>
                  <w:r w:rsidRPr="00150761">
                    <w:t xml:space="preserve"> nav iekļaut</w:t>
                  </w:r>
                  <w:r>
                    <w:t>s</w:t>
                  </w:r>
                  <w:r w:rsidRPr="00150761">
                    <w:t xml:space="preserve"> valsts aizsargājamo kultūras pieminekļu sarakstā</w:t>
                  </w:r>
                  <w:r>
                    <w:t xml:space="preserve"> (atbilstoši Valsts kultūras pieminekļu aizsardzības inspekcijas mājas lapā publiski pieejamai informācijai). </w:t>
                  </w:r>
                  <w:r w:rsidR="00EB2F72">
                    <w:t xml:space="preserve">Atbilstoši informācijai </w:t>
                  </w:r>
                  <w:r w:rsidR="00EB2F72" w:rsidRPr="00150761">
                    <w:t>Valsts zemes dienesta Kadastra informācijas sistēm</w:t>
                  </w:r>
                  <w:r w:rsidR="00EB2F72">
                    <w:t>ā</w:t>
                  </w:r>
                  <w:r w:rsidR="00EB2F72" w:rsidRPr="00150761">
                    <w:t xml:space="preserve"> </w:t>
                  </w:r>
                  <w:r w:rsidR="00EB2F72">
                    <w:t>n</w:t>
                  </w:r>
                  <w:r>
                    <w:t>ekustamajam īpašumam</w:t>
                  </w:r>
                  <w:r w:rsidR="00BE0A96" w:rsidRPr="00150761">
                    <w:t xml:space="preserve"> noteikts </w:t>
                  </w:r>
                  <w:r w:rsidRPr="00150761">
                    <w:t xml:space="preserve">apgrūtinājums </w:t>
                  </w:r>
                  <w:r w:rsidR="00BE0A96" w:rsidRPr="00150761">
                    <w:t xml:space="preserve">– Rīgas vēsturiskais centrs – valsts nozīmes pilsētbūvniecības pieminekļa </w:t>
                  </w:r>
                  <w:r w:rsidR="00BE0A96" w:rsidRPr="00150761">
                    <w:lastRenderedPageBreak/>
                    <w:t>teritorija (140101).</w:t>
                  </w:r>
                  <w:r w:rsidR="00EB2F72">
                    <w:t xml:space="preserve"> Valsts kultūras pieminekļu aizsardzības inspekcija </w:t>
                  </w:r>
                  <w:r w:rsidR="00486F54">
                    <w:t>līdzīg</w:t>
                  </w:r>
                  <w:r w:rsidR="00F14756">
                    <w:t>os</w:t>
                  </w:r>
                  <w:r w:rsidR="00486F54">
                    <w:t xml:space="preserve"> gadījum</w:t>
                  </w:r>
                  <w:r w:rsidR="00F14756">
                    <w:t>os</w:t>
                  </w:r>
                  <w:r w:rsidR="00486F54">
                    <w:t xml:space="preserve"> </w:t>
                  </w:r>
                  <w:r w:rsidR="00EB2F72">
                    <w:t>sniegusi skaidrojumu, ka likuma „Par kultūras pieminekļu aizsardzību” 8.pant</w:t>
                  </w:r>
                  <w:r w:rsidR="00014708">
                    <w:t>s, tostarp</w:t>
                  </w:r>
                  <w:r w:rsidR="00EB2F72">
                    <w:t xml:space="preserve"> </w:t>
                  </w:r>
                  <w:r w:rsidR="00014708">
                    <w:t xml:space="preserve">tā </w:t>
                  </w:r>
                  <w:r w:rsidR="00EB2F72">
                    <w:t>trešā daļa</w:t>
                  </w:r>
                  <w:r w:rsidR="00486F54">
                    <w:t xml:space="preserve">, </w:t>
                  </w:r>
                  <w:r w:rsidR="00486F54" w:rsidRPr="00486F54">
                    <w:rPr>
                      <w:i/>
                    </w:rPr>
                    <w:t>kas noteic, ka kultūras pieminekļa atsavināšana var notikt, ja par nodomu to atsavināt īpašnieks ir paziņojis inspekcijai, attiecīgās reģionālās nodaļas inspektors ir apsekojis kultūras pieminekli un nākamajam tā īpašniekam ir nosūtīti norādījumi par šā kultūras pieminekļa izmantošanu un saglabāšanu,</w:t>
                  </w:r>
                  <w:r w:rsidR="00EB2F72">
                    <w:t xml:space="preserve"> attiecas uz gadījumiem, kad tiek atsavināts kultūras piemineklis kā vienots, patstāvīgs objekts vai tā daļa, savukārt tas neregulē gadījumus, kad tiek atsavināts īpašums pilsētbūvniecības pieminekļa teritorijā</w:t>
                  </w:r>
                  <w:r w:rsidR="00486F54">
                    <w:t>, kurš nav iekļauts Valsts aizsargājamo kultūras pieminekļu sarakstā kā atsevišķs objekts.</w:t>
                  </w:r>
                  <w:r w:rsidR="00EB2F72">
                    <w:t xml:space="preserve"> </w:t>
                  </w:r>
                </w:p>
                <w:p w:rsidR="00DC385D" w:rsidRPr="00150761" w:rsidRDefault="00DC385D" w:rsidP="0027051C">
                  <w:pPr>
                    <w:spacing w:before="75" w:after="75"/>
                    <w:ind w:firstLine="161"/>
                    <w:jc w:val="both"/>
                  </w:pPr>
                  <w:r w:rsidRPr="00150761">
                    <w:t>Nordea Bank Finland Plc 2013.gada 11.septembrī ir piekritusi (</w:t>
                  </w:r>
                  <w:r w:rsidR="003A356D" w:rsidRPr="00150761">
                    <w:t xml:space="preserve">piekrišana </w:t>
                  </w:r>
                  <w:r w:rsidRPr="00150761">
                    <w:t>Nr.IZ/7330/2013</w:t>
                  </w:r>
                  <w:r w:rsidR="009D6CCC" w:rsidRPr="00150761">
                    <w:t>)</w:t>
                  </w:r>
                  <w:r w:rsidRPr="00150761">
                    <w:t xml:space="preserve"> nekustamā īpašuma Aspazijas bulvāris 7, Rīgā, ieguldīšanai </w:t>
                  </w:r>
                  <w:r w:rsidR="009D6CCC" w:rsidRPr="00150761">
                    <w:t>VNĪ</w:t>
                  </w:r>
                  <w:r w:rsidRPr="00150761">
                    <w:t xml:space="preserve"> pamatkapitālā.</w:t>
                  </w:r>
                </w:p>
                <w:p w:rsidR="00710872" w:rsidRPr="00150761" w:rsidRDefault="003A356D" w:rsidP="003A356D">
                  <w:pPr>
                    <w:spacing w:before="75" w:after="75"/>
                    <w:ind w:firstLine="161"/>
                    <w:jc w:val="both"/>
                  </w:pPr>
                  <w:r w:rsidRPr="00150761">
                    <w:t xml:space="preserve">Starp VNĪ un sabiedrību ar ierobežotu atbildību „IZZI” 2009.gada 30.novembrī ir noslēgts telpu nomas līgums Nr.3008 (ar 07.01.2011. grozījumiem Nr.3225v, 06.02.2012.grozījumiem Nr.3585V un </w:t>
                  </w:r>
                  <w:r w:rsidR="00282B10" w:rsidRPr="00150761">
                    <w:t>04.01.2013</w:t>
                  </w:r>
                  <w:r w:rsidRPr="00150761">
                    <w:t>. grozījumiem Nr.3008-1</w:t>
                  </w:r>
                  <w:r w:rsidR="000126D0" w:rsidRPr="00150761">
                    <w:t>)</w:t>
                  </w:r>
                  <w:r w:rsidRPr="00150761">
                    <w:t xml:space="preserve"> par administratīvās ēkas ceturtā stāva neizbūvēto bēniņu nenorobežotās telpas daļu 4,0 m² platībā elektronisko sakaru tīkla un kabeļu izvietošanai elektronisko sakaru pakalpojumu – interneta pieslēgumu nodrošināšanai.</w:t>
                  </w:r>
                  <w:r w:rsidR="000126D0" w:rsidRPr="00150761">
                    <w:t xml:space="preserve"> Līgums ir spēkā līdz īpašuma atsavināšanai, bet ne ilgāk kā līdz 2014.gada 31.decembrim.</w:t>
                  </w:r>
                  <w:r w:rsidR="00641947" w:rsidRPr="00150761">
                    <w:t xml:space="preserve"> Pārējās telpas netiek izmantotas.</w:t>
                  </w:r>
                  <w:r w:rsidR="00BB6C6D">
                    <w:t xml:space="preserve"> Tā kā nomas līgumā ir ietverts nosacījums, ka tas ir noslēgts uz laiku līdz īpašuma atsavināšanai un līgumā nav noteikti nosacījumi, kas paredzētu uzdevumu iznomātājam rakstiski informēt nomnieku par iespējamo nomas līguma izbeigšanu, nav nepieciešams veikt nekādas darbības, lai nomnieks tiktu informēts par iespējamo nomas līguma izbeigšanu.</w:t>
                  </w:r>
                </w:p>
                <w:p w:rsidR="00D33F01" w:rsidRPr="00150761" w:rsidRDefault="00D33F01" w:rsidP="00D33F01">
                  <w:pPr>
                    <w:spacing w:before="75" w:after="75"/>
                    <w:ind w:firstLine="161"/>
                    <w:jc w:val="both"/>
                  </w:pPr>
                  <w:r w:rsidRPr="00150761">
                    <w:t>Sabiedrība ar ierobežotu atbildību „Eiroeksperts” ir veikuši nekustamā īpašuma – zemes un būves</w:t>
                  </w:r>
                  <w:r w:rsidR="00F14756">
                    <w:t xml:space="preserve"> -</w:t>
                  </w:r>
                  <w:r w:rsidRPr="00150761">
                    <w:t xml:space="preserve"> Aspazijas bulvārī 7, Rīgā, novērtēšanu ieguldīšanai pamatkapitālā. Minētā nekustamā īpašuma tirgus vērtība 2013.gada 12.augustā ir Ls 2 640 000 (divi miljoni seši simti četrdesmit tūkstoši latu).</w:t>
                  </w:r>
                </w:p>
                <w:p w:rsidR="00550554" w:rsidRPr="00150761" w:rsidRDefault="00282B10" w:rsidP="00B27946">
                  <w:pPr>
                    <w:spacing w:before="75" w:after="75"/>
                    <w:ind w:firstLine="161"/>
                    <w:jc w:val="both"/>
                  </w:pPr>
                  <w:r w:rsidRPr="00150761">
                    <w:t>Ar</w:t>
                  </w:r>
                  <w:r w:rsidR="00B918E6" w:rsidRPr="00150761">
                    <w:t xml:space="preserve"> </w:t>
                  </w:r>
                  <w:r w:rsidR="00811F7D" w:rsidRPr="00150761">
                    <w:t xml:space="preserve">Ministru prezidenta 2011.gada 13.aprīļa </w:t>
                  </w:r>
                  <w:r w:rsidRPr="00150761">
                    <w:t>rīkojumu</w:t>
                  </w:r>
                  <w:r w:rsidR="00811F7D" w:rsidRPr="00150761">
                    <w:t xml:space="preserve"> Nr.140 „</w:t>
                  </w:r>
                  <w:r w:rsidR="007D3263" w:rsidRPr="00150761">
                    <w:t>P</w:t>
                  </w:r>
                  <w:r w:rsidR="00811F7D" w:rsidRPr="00150761">
                    <w:t>ar darba grupu koncepcijas projekta izstrādei par prokuratūras iestāžu izvietošanu Rīgā”</w:t>
                  </w:r>
                  <w:r w:rsidR="007D3263" w:rsidRPr="00150761">
                    <w:t xml:space="preserve"> </w:t>
                  </w:r>
                  <w:r w:rsidRPr="00150761">
                    <w:t>i</w:t>
                  </w:r>
                  <w:r w:rsidR="00FA097D" w:rsidRPr="00150761">
                    <w:t>zveidotā darba grupa ir secinājusi, ka š</w:t>
                  </w:r>
                  <w:r w:rsidR="007D3263" w:rsidRPr="00150761">
                    <w:t>obrīd prokuratūras iestādes ir izvietotas sešos dažādos nekustamajos īpašumos Rīgā, ar atšķirīgu ēku un telpu stāvokli, plānojumu un funkcionalitāti, kas apgrūtina pilnvērtīgu prokuratūras funkciju izpildi</w:t>
                  </w:r>
                  <w:r w:rsidR="00FA097D" w:rsidRPr="00150761">
                    <w:t>, un, ka p</w:t>
                  </w:r>
                  <w:r w:rsidR="005818C7" w:rsidRPr="00150761">
                    <w:t>rokuratūras struktūrvienību izvietojums vienkopus ievērojami atvieglotu prokuratūras tiešo funkciju izpildi.</w:t>
                  </w:r>
                  <w:r w:rsidR="00FA097D" w:rsidRPr="00150761">
                    <w:t xml:space="preserve"> Atbilstoši darba grupas izvirzītajiem pamata kritērijiem telpu risinājumu variantu izvērtēšanā un, galvenokārt, ņemot vērā telpu platības, kuras būtu iespējams pielāgot prokuratūras iestāžu vajadzībām, darba grupa par piemērotāko no visiem izvērtētajiem variantiem prokuratūras iestāžu izvietošanai, ir atzinusi ēku Aspazijas bulvārī 7, Rīgā, kuru būtu nepieciešams pielāgot </w:t>
                  </w:r>
                  <w:r w:rsidR="00550554" w:rsidRPr="00150761">
                    <w:t xml:space="preserve">prokuratūras iestāžu vajadzībām, proti, </w:t>
                  </w:r>
                  <w:r w:rsidR="00B27946" w:rsidRPr="00150761">
                    <w:t>būs</w:t>
                  </w:r>
                  <w:r w:rsidR="00550554" w:rsidRPr="00150761">
                    <w:t xml:space="preserve"> nepieciešama ēkas rekonstrukcija.</w:t>
                  </w:r>
                </w:p>
                <w:p w:rsidR="00912D95" w:rsidRPr="00150761" w:rsidRDefault="00E4367A" w:rsidP="00912D95">
                  <w:pPr>
                    <w:spacing w:before="75" w:after="75"/>
                    <w:ind w:firstLine="161"/>
                    <w:jc w:val="both"/>
                  </w:pPr>
                  <w:r w:rsidRPr="00150761">
                    <w:lastRenderedPageBreak/>
                    <w:t xml:space="preserve">Izvērtējot līdz šim VNĪ īstenoto praksi attīstības projektu virzīšanā, ir lietderīgi ieguldīt VNĪ pamatkapitālā nekustamos īpašumus, kuros </w:t>
                  </w:r>
                  <w:r w:rsidR="00282B10" w:rsidRPr="00150761">
                    <w:t>var tikt</w:t>
                  </w:r>
                  <w:r w:rsidRPr="00150761">
                    <w:t xml:space="preserve"> veikta saimnieciskā darbība un tie uz nomas vai apsaimniekošanas un lietošanas līguma pamata tiek lietoti vai plānots nodot lietošanā valsts institūcijām</w:t>
                  </w:r>
                  <w:r w:rsidR="009B0BBE" w:rsidRPr="00150761">
                    <w:t>, kā arī</w:t>
                  </w:r>
                  <w:r w:rsidRPr="00150761">
                    <w:t xml:space="preserve"> īpašums pamatā satur biroja ēku funkcijas, kas nepieciešamības gadījumā īsā laika posmā ir pielāgojam</w:t>
                  </w:r>
                  <w:r w:rsidR="00F14756">
                    <w:t>a</w:t>
                  </w:r>
                  <w:r w:rsidRPr="00150761">
                    <w:t>s citu valsts ins</w:t>
                  </w:r>
                  <w:r w:rsidR="00282B10" w:rsidRPr="00150761">
                    <w:t>titūciju vajadzībām vai iznomājam</w:t>
                  </w:r>
                  <w:r w:rsidR="00F14756">
                    <w:t>as</w:t>
                  </w:r>
                  <w:r w:rsidRPr="00150761">
                    <w:t xml:space="preserve"> privātpersonām atbilstoši nekustamo īpašumu tirgus nosacījumiem.</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lastRenderedPageBreak/>
                    <w:t>3.</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710872" w:rsidRPr="00150761" w:rsidRDefault="00B27946" w:rsidP="003B1CE8">
                  <w:pPr>
                    <w:ind w:firstLine="131"/>
                    <w:jc w:val="both"/>
                  </w:pPr>
                  <w:r w:rsidRPr="00150761">
                    <w:t>Projekts šo jomu neskar.</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4.</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B27946" w:rsidRPr="00150761" w:rsidRDefault="00B27946" w:rsidP="003F0664">
                  <w:pPr>
                    <w:pStyle w:val="NormalWeb"/>
                    <w:spacing w:before="0" w:beforeAutospacing="0" w:after="120" w:afterAutospacing="0"/>
                    <w:jc w:val="both"/>
                    <w:rPr>
                      <w:szCs w:val="24"/>
                    </w:rPr>
                  </w:pPr>
                  <w:r w:rsidRPr="00150761">
                    <w:rPr>
                      <w:szCs w:val="24"/>
                    </w:rPr>
                    <w:t xml:space="preserve"> Lai iespējami īsākā laika posmā nodrošinātu nepieciešamo finansējumu attiecīgo būvda</w:t>
                  </w:r>
                  <w:r w:rsidR="007D0943" w:rsidRPr="00150761">
                    <w:rPr>
                      <w:szCs w:val="24"/>
                    </w:rPr>
                    <w:t>rbu (rekonstrukcijas) uzsākšanai</w:t>
                  </w:r>
                  <w:r w:rsidRPr="00150761">
                    <w:rPr>
                      <w:szCs w:val="24"/>
                    </w:rPr>
                    <w:t xml:space="preserve">, optimāls risinājums būtu nekustamā īpašuma Aspazijas bulvārī 7, Rīgā, ieguldīšana VNĪ pamatkapitālā, </w:t>
                  </w:r>
                  <w:r w:rsidR="00F14756">
                    <w:rPr>
                      <w:szCs w:val="24"/>
                    </w:rPr>
                    <w:t xml:space="preserve">tādējādi </w:t>
                  </w:r>
                  <w:r w:rsidRPr="00150761">
                    <w:rPr>
                      <w:szCs w:val="24"/>
                    </w:rPr>
                    <w:t>būvniecības darbu kapitālieguldījumi t</w:t>
                  </w:r>
                  <w:r w:rsidR="00F14756">
                    <w:rPr>
                      <w:szCs w:val="24"/>
                    </w:rPr>
                    <w:t>iktu</w:t>
                  </w:r>
                  <w:r w:rsidRPr="00150761">
                    <w:rPr>
                      <w:szCs w:val="24"/>
                    </w:rPr>
                    <w:t xml:space="preserve"> finansēti no VNĪ piesaistītajiem finanšu resursiem. Nekustamā īpašuma iekļaušana VNĪ pamatka</w:t>
                  </w:r>
                  <w:r w:rsidR="00353519" w:rsidRPr="00150761">
                    <w:rPr>
                      <w:szCs w:val="24"/>
                    </w:rPr>
                    <w:t xml:space="preserve">pitālā ir pamatojama ar to, ka </w:t>
                  </w:r>
                  <w:r w:rsidRPr="00150761">
                    <w:rPr>
                      <w:szCs w:val="24"/>
                    </w:rPr>
                    <w:t>pēc kapitālieguldījumu veikšanas tas tiks nodots nomā valsts pārvaldes iestādei un līdz ar to būs iespējams izveidot uzkrājumus kārtējie</w:t>
                  </w:r>
                  <w:r w:rsidR="00CE76E5" w:rsidRPr="00150761">
                    <w:rPr>
                      <w:szCs w:val="24"/>
                    </w:rPr>
                    <w:t>m un kapitālajiem remontdarbiem, kā arī, lai</w:t>
                  </w:r>
                  <w:r w:rsidRPr="00150761">
                    <w:rPr>
                      <w:szCs w:val="24"/>
                    </w:rPr>
                    <w:t xml:space="preserve"> paaugstinātu VNĪ kredīttic</w:t>
                  </w:r>
                  <w:r w:rsidR="00353519" w:rsidRPr="00150761">
                    <w:rPr>
                      <w:szCs w:val="24"/>
                    </w:rPr>
                    <w:t>a</w:t>
                  </w:r>
                  <w:r w:rsidR="00CE76E5" w:rsidRPr="00150761">
                    <w:rPr>
                      <w:szCs w:val="24"/>
                    </w:rPr>
                    <w:t>mības (likviditātes) rādītājus. Arī</w:t>
                  </w:r>
                  <w:r w:rsidR="00353519" w:rsidRPr="00150761">
                    <w:rPr>
                      <w:szCs w:val="24"/>
                    </w:rPr>
                    <w:t xml:space="preserve"> </w:t>
                  </w:r>
                  <w:r w:rsidRPr="00150761">
                    <w:rPr>
                      <w:szCs w:val="24"/>
                    </w:rPr>
                    <w:t>pēc ēkas Aspazijas bulvārī 7, Rīgā, rekonstrukcijas prokuratūras iestāžu vajadzībām, tā saglabās klasiskas biroju ēku funkcijas, kura samērā</w:t>
                  </w:r>
                  <w:r w:rsidR="00F14756">
                    <w:rPr>
                      <w:szCs w:val="24"/>
                    </w:rPr>
                    <w:t xml:space="preserve"> īsā laika posmā ir pielāgojama</w:t>
                  </w:r>
                  <w:r w:rsidRPr="00150761">
                    <w:rPr>
                      <w:szCs w:val="24"/>
                    </w:rPr>
                    <w:t xml:space="preserve"> arī citu valsts iestāžu vajadzībām, ja tas būs nepieciešams, vai, ja n</w:t>
                  </w:r>
                  <w:r w:rsidR="00F14756">
                    <w:rPr>
                      <w:szCs w:val="24"/>
                    </w:rPr>
                    <w:t>ebūs</w:t>
                  </w:r>
                  <w:r w:rsidRPr="00150761">
                    <w:rPr>
                      <w:szCs w:val="24"/>
                    </w:rPr>
                    <w:t xml:space="preserve"> valsts iestāžu pieprasījuma, tā ti</w:t>
                  </w:r>
                  <w:r w:rsidR="00F14756">
                    <w:rPr>
                      <w:szCs w:val="24"/>
                    </w:rPr>
                    <w:t>ks</w:t>
                  </w:r>
                  <w:r w:rsidRPr="00150761">
                    <w:rPr>
                      <w:szCs w:val="24"/>
                    </w:rPr>
                    <w:t xml:space="preserve"> iznomāta privātpersonām ar nosacījumu, ja konkrētā laika posmā būs adekvāts tirgus pieprasījums pēc šāda r</w:t>
                  </w:r>
                  <w:r w:rsidR="00353519" w:rsidRPr="00150761">
                    <w:rPr>
                      <w:szCs w:val="24"/>
                    </w:rPr>
                    <w:t>akstura un apjoma biroja telpām.</w:t>
                  </w:r>
                </w:p>
                <w:p w:rsidR="00B27946" w:rsidRPr="00150761" w:rsidRDefault="00AC2395" w:rsidP="00B27946">
                  <w:pPr>
                    <w:ind w:firstLine="131"/>
                    <w:jc w:val="both"/>
                  </w:pPr>
                  <w:r w:rsidRPr="00150761">
                    <w:t>Tātad, j</w:t>
                  </w:r>
                  <w:r w:rsidR="00FD1E02" w:rsidRPr="00150761">
                    <w:t>a nekustamais īpašums tiks ieguldīts VNĪ pamatkapitālā, būvniecības projekta finansēšanu varēs īstenot</w:t>
                  </w:r>
                  <w:r w:rsidR="00F14756">
                    <w:t>,</w:t>
                  </w:r>
                  <w:r w:rsidR="00FD1E02" w:rsidRPr="00150761">
                    <w:t xml:space="preserve"> kapitālieguldījumus finansējot no VNĪ piesaistītiem finanšu līdzekļiem</w:t>
                  </w:r>
                  <w:r w:rsidR="00C24B64" w:rsidRPr="00150761">
                    <w:t xml:space="preserve">. </w:t>
                  </w:r>
                  <w:r w:rsidR="00F14756">
                    <w:t>K</w:t>
                  </w:r>
                  <w:r w:rsidR="00F14756" w:rsidRPr="00150761">
                    <w:t xml:space="preserve">apitālieguldījumi </w:t>
                  </w:r>
                  <w:r w:rsidR="00C24B64" w:rsidRPr="00150761">
                    <w:t>tiks ietverti</w:t>
                  </w:r>
                  <w:r w:rsidR="00F14756" w:rsidRPr="00150761">
                    <w:t xml:space="preserve"> </w:t>
                  </w:r>
                  <w:r w:rsidR="00F14756">
                    <w:t>n</w:t>
                  </w:r>
                  <w:r w:rsidR="00F14756" w:rsidRPr="00150761">
                    <w:t>omas maksā</w:t>
                  </w:r>
                  <w:r w:rsidR="00BB0E90" w:rsidRPr="00150761">
                    <w:t xml:space="preserve">, kas </w:t>
                  </w:r>
                  <w:r w:rsidR="00C24B64" w:rsidRPr="00150761">
                    <w:t>tiks</w:t>
                  </w:r>
                  <w:r w:rsidR="00BB0E90" w:rsidRPr="00150761">
                    <w:t xml:space="preserve"> segti </w:t>
                  </w:r>
                  <w:r w:rsidR="00C24B64" w:rsidRPr="00150761">
                    <w:t>aptuveni</w:t>
                  </w:r>
                  <w:r w:rsidR="00BB0E90" w:rsidRPr="00150761">
                    <w:t xml:space="preserve"> 20 gados.</w:t>
                  </w:r>
                </w:p>
                <w:p w:rsidR="003F0664" w:rsidRPr="007A0508" w:rsidRDefault="003F0664" w:rsidP="007A0508">
                  <w:pPr>
                    <w:ind w:firstLine="131"/>
                    <w:jc w:val="both"/>
                  </w:pPr>
                  <w:r w:rsidRPr="00150761">
                    <w:t xml:space="preserve">Sagatavotais rīkojuma projekts paredz atļaut Finanšu ministrijai ieguldīt VNĪ pamatkapitālā kā mantisko ieguldījumu valsts nekustamo īpašumu 2 640 000 latu vērtībā Aspazijas bulvārī 7, Rīgā, kas ierakstīts zemesgrāmatā uz valsts vārda Finanšu ministrijas personā. Tāpat rīkojuma projektā noteikts, ka Finanšu ministrijai kā valsts </w:t>
                  </w:r>
                  <w:r w:rsidRPr="007A0508">
                    <w:t>kapitāla daļu turētājai ir jānodrošina, ka minētais valsts nekustamais īpašums</w:t>
                  </w:r>
                  <w:r w:rsidR="007A0508" w:rsidRPr="007A0508">
                    <w:t xml:space="preserve"> </w:t>
                  </w:r>
                  <w:r w:rsidR="007A0508" w:rsidRPr="007A0508">
                    <w:rPr>
                      <w:u w:val="single"/>
                    </w:rPr>
                    <w:t>tiek atgūts valsts īpašumā, attiecīgi samazinot  valsts akciju sabiedrības „Valsts nekustamie īpašumi” pamatkapitālu, ja minētais nekustamais īpašums atbilstoši Komerclikumā noteiktajām normām vairs nav nepieciešams kapitālsabiedrības komercdarbības veikšanai.</w:t>
                  </w:r>
                </w:p>
                <w:p w:rsidR="00710872" w:rsidRPr="00150761" w:rsidRDefault="00353519" w:rsidP="00F14756">
                  <w:pPr>
                    <w:pStyle w:val="NormalWeb"/>
                    <w:spacing w:before="0" w:beforeAutospacing="0" w:after="120" w:afterAutospacing="0"/>
                    <w:ind w:firstLine="202"/>
                    <w:jc w:val="both"/>
                    <w:rPr>
                      <w:szCs w:val="24"/>
                    </w:rPr>
                  </w:pPr>
                  <w:r w:rsidRPr="00150761">
                    <w:rPr>
                      <w:szCs w:val="24"/>
                    </w:rPr>
                    <w:t xml:space="preserve"> </w:t>
                  </w:r>
                  <w:r w:rsidR="00710872" w:rsidRPr="00150761">
                    <w:rPr>
                      <w:szCs w:val="24"/>
                    </w:rPr>
                    <w:t xml:space="preserve"> </w:t>
                  </w:r>
                  <w:r w:rsidRPr="00150761">
                    <w:rPr>
                      <w:szCs w:val="24"/>
                    </w:rPr>
                    <w:t xml:space="preserve"> </w:t>
                  </w:r>
                  <w:r w:rsidR="003F0664" w:rsidRPr="00150761">
                    <w:rPr>
                      <w:szCs w:val="24"/>
                    </w:rPr>
                    <w:t>Ar sagatavoto Ministru kabineta rīkojuma projektu šīs anotācijas I sadaļas 2.punktā minētās problēmas tiks atrisinātas pilnībā.</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5.</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710872" w:rsidRPr="00150761" w:rsidRDefault="00353519" w:rsidP="003B1CE8">
                  <w:pPr>
                    <w:ind w:firstLine="113"/>
                    <w:jc w:val="both"/>
                  </w:pPr>
                  <w:r w:rsidRPr="00150761">
                    <w:t>Finanšu</w:t>
                  </w:r>
                  <w:r w:rsidR="00710872" w:rsidRPr="00150761">
                    <w:t xml:space="preserve"> ministrija</w:t>
                  </w:r>
                  <w:r w:rsidRPr="00150761">
                    <w:t xml:space="preserve"> (VNĪ).</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lastRenderedPageBreak/>
                    <w:t>6.</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710872" w:rsidRPr="00150761" w:rsidRDefault="007D0943" w:rsidP="00060F35">
                  <w:pPr>
                    <w:ind w:firstLine="131"/>
                    <w:jc w:val="both"/>
                  </w:pPr>
                  <w:r w:rsidRPr="00150761">
                    <w:t xml:space="preserve">Projekts </w:t>
                  </w:r>
                  <w:r w:rsidR="00060F35">
                    <w:t>neskar plašas sabiedrības intereses.</w:t>
                  </w:r>
                </w:p>
              </w:tc>
            </w:tr>
            <w:tr w:rsidR="00710872" w:rsidRPr="00150761" w:rsidTr="003B1CE8">
              <w:trPr>
                <w:tblCellSpacing w:w="15" w:type="dxa"/>
              </w:trPr>
              <w:tc>
                <w:tcPr>
                  <w:tcW w:w="199"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7.</w:t>
                  </w:r>
                </w:p>
              </w:tc>
              <w:tc>
                <w:tcPr>
                  <w:tcW w:w="964" w:type="pct"/>
                  <w:tcBorders>
                    <w:top w:val="outset" w:sz="6" w:space="0" w:color="auto"/>
                    <w:left w:val="outset" w:sz="6" w:space="0" w:color="auto"/>
                    <w:bottom w:val="outset" w:sz="6" w:space="0" w:color="auto"/>
                    <w:right w:val="outset" w:sz="6" w:space="0" w:color="auto"/>
                  </w:tcBorders>
                </w:tcPr>
                <w:p w:rsidR="00710872" w:rsidRPr="00150761" w:rsidRDefault="00710872" w:rsidP="003B1CE8">
                  <w:r w:rsidRPr="00150761">
                    <w:t>Cita informācija</w:t>
                  </w:r>
                </w:p>
              </w:tc>
              <w:tc>
                <w:tcPr>
                  <w:tcW w:w="3773" w:type="pct"/>
                  <w:tcBorders>
                    <w:top w:val="outset" w:sz="6" w:space="0" w:color="auto"/>
                    <w:left w:val="outset" w:sz="6" w:space="0" w:color="auto"/>
                    <w:bottom w:val="outset" w:sz="6" w:space="0" w:color="auto"/>
                    <w:right w:val="outset" w:sz="6" w:space="0" w:color="auto"/>
                  </w:tcBorders>
                </w:tcPr>
                <w:p w:rsidR="00710872" w:rsidRPr="00150761" w:rsidRDefault="00791916" w:rsidP="008A041A">
                  <w:pPr>
                    <w:jc w:val="both"/>
                  </w:pPr>
                  <w:r w:rsidRPr="00150761">
                    <w:t>Projekts saistīts ar Tieslietu ministrijas izstrād</w:t>
                  </w:r>
                  <w:r w:rsidR="00150761">
                    <w:t xml:space="preserve">āto </w:t>
                  </w:r>
                  <w:r w:rsidRPr="00150761">
                    <w:t>Informatīvo ziņojumu „Par optimālu prokuratūras iestāžu izvietošanu darbam piemērotās telpās Rīgā”</w:t>
                  </w:r>
                  <w:r w:rsidR="00150761">
                    <w:t xml:space="preserve"> un Ministru kabineta sēdes protokollēmuma projektu</w:t>
                  </w:r>
                  <w:r w:rsidR="008A041A">
                    <w:t>.</w:t>
                  </w:r>
                </w:p>
              </w:tc>
            </w:tr>
          </w:tbl>
          <w:p w:rsidR="00710872" w:rsidRPr="00150761" w:rsidRDefault="00710872" w:rsidP="003B1CE8">
            <w:pPr>
              <w:pStyle w:val="NormalWeb"/>
              <w:rPr>
                <w:szCs w:val="24"/>
              </w:rPr>
            </w:pPr>
          </w:p>
        </w:tc>
      </w:tr>
    </w:tbl>
    <w:p w:rsidR="003C52A4" w:rsidRPr="00150761" w:rsidRDefault="003C52A4" w:rsidP="00710872">
      <w:pPr>
        <w:pStyle w:val="BodyTextIndent"/>
        <w:ind w:left="0"/>
      </w:pPr>
      <w:r w:rsidRPr="00150761">
        <w:lastRenderedPageBreak/>
        <w:t>Anotācijas II, III, IV, V un VI sadaļa – rīkojuma projekts šīs jomas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06"/>
        <w:gridCol w:w="6826"/>
      </w:tblGrid>
      <w:tr w:rsidR="00710872" w:rsidRPr="00150761" w:rsidTr="003B1CE8">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jc w:val="center"/>
              <w:rPr>
                <w:b/>
                <w:bCs/>
                <w:szCs w:val="24"/>
              </w:rPr>
            </w:pPr>
            <w:r w:rsidRPr="00150761">
              <w:rPr>
                <w:b/>
                <w:bCs/>
                <w:szCs w:val="24"/>
              </w:rPr>
              <w:t>VII. Tiesību akta projekta izpildes nodrošināšana un tās ietekme uz institūcijām</w:t>
            </w:r>
          </w:p>
        </w:tc>
      </w:tr>
      <w:tr w:rsidR="00710872" w:rsidRPr="00150761" w:rsidTr="003B1CE8">
        <w:trPr>
          <w:tblCellSpacing w:w="15" w:type="dxa"/>
        </w:trPr>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1.</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D0943" w:rsidP="003B1CE8">
            <w:pPr>
              <w:pStyle w:val="NormalWeb"/>
              <w:ind w:firstLine="113"/>
              <w:jc w:val="both"/>
              <w:rPr>
                <w:szCs w:val="24"/>
              </w:rPr>
            </w:pPr>
            <w:r w:rsidRPr="00150761">
              <w:rPr>
                <w:szCs w:val="24"/>
                <w:lang w:eastAsia="lv-LV"/>
              </w:rPr>
              <w:t>Projekts šo jomu neskar.</w:t>
            </w:r>
          </w:p>
        </w:tc>
      </w:tr>
      <w:tr w:rsidR="00710872" w:rsidRPr="00150761" w:rsidTr="003B1CE8">
        <w:trPr>
          <w:tblCellSpacing w:w="15" w:type="dxa"/>
        </w:trPr>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2.</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ind w:firstLine="113"/>
              <w:rPr>
                <w:szCs w:val="24"/>
              </w:rPr>
            </w:pPr>
            <w:r w:rsidRPr="00150761">
              <w:rPr>
                <w:szCs w:val="24"/>
                <w:lang w:eastAsia="lv-LV"/>
              </w:rPr>
              <w:t>Projekts šo jomu neskar.</w:t>
            </w:r>
          </w:p>
        </w:tc>
      </w:tr>
      <w:tr w:rsidR="00710872" w:rsidRPr="00150761" w:rsidTr="003B1CE8">
        <w:trPr>
          <w:tblCellSpacing w:w="15" w:type="dxa"/>
        </w:trPr>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3.</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Projekta izpildes ietekme uz pārvaldes institucionālo struktūru.</w:t>
            </w:r>
          </w:p>
          <w:p w:rsidR="00710872" w:rsidRPr="00150761" w:rsidRDefault="00710872" w:rsidP="003B1CE8">
            <w:pPr>
              <w:pStyle w:val="NormalWeb"/>
              <w:rPr>
                <w:szCs w:val="24"/>
              </w:rPr>
            </w:pPr>
            <w:r w:rsidRPr="00150761">
              <w:rPr>
                <w:szCs w:val="24"/>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ind w:firstLine="113"/>
              <w:rPr>
                <w:szCs w:val="24"/>
              </w:rPr>
            </w:pPr>
            <w:r w:rsidRPr="00150761">
              <w:rPr>
                <w:szCs w:val="24"/>
                <w:lang w:eastAsia="lv-LV"/>
              </w:rPr>
              <w:t>Projekts šo jomu neskar.</w:t>
            </w:r>
          </w:p>
        </w:tc>
      </w:tr>
      <w:tr w:rsidR="00710872" w:rsidRPr="00150761" w:rsidTr="003B1CE8">
        <w:trPr>
          <w:tblCellSpacing w:w="15" w:type="dxa"/>
        </w:trPr>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4.</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Projekta izpildes ietekme uz pārvaldes institucionālo struktūru.</w:t>
            </w:r>
          </w:p>
          <w:p w:rsidR="00710872" w:rsidRPr="00150761" w:rsidRDefault="00710872" w:rsidP="003B1CE8">
            <w:pPr>
              <w:pStyle w:val="NormalWeb"/>
              <w:rPr>
                <w:szCs w:val="24"/>
              </w:rPr>
            </w:pPr>
            <w:r w:rsidRPr="00150761">
              <w:rPr>
                <w:szCs w:val="24"/>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ind w:firstLine="113"/>
              <w:rPr>
                <w:szCs w:val="24"/>
              </w:rPr>
            </w:pPr>
            <w:r w:rsidRPr="00150761">
              <w:rPr>
                <w:szCs w:val="24"/>
                <w:lang w:eastAsia="lv-LV"/>
              </w:rPr>
              <w:t>Projekts šo jomu neskar.</w:t>
            </w:r>
          </w:p>
        </w:tc>
      </w:tr>
      <w:tr w:rsidR="00710872" w:rsidRPr="00150761" w:rsidTr="003B1CE8">
        <w:trPr>
          <w:tblCellSpacing w:w="15" w:type="dxa"/>
        </w:trPr>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5.</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Projekta izpildes ietekme uz pārvaldes institucionālo struktūru.</w:t>
            </w:r>
          </w:p>
          <w:p w:rsidR="00710872" w:rsidRPr="00150761" w:rsidRDefault="00710872" w:rsidP="003B1CE8">
            <w:pPr>
              <w:pStyle w:val="NormalWeb"/>
              <w:rPr>
                <w:szCs w:val="24"/>
              </w:rPr>
            </w:pPr>
            <w:r w:rsidRPr="00150761">
              <w:rPr>
                <w:szCs w:val="24"/>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ind w:firstLine="113"/>
              <w:rPr>
                <w:szCs w:val="24"/>
              </w:rPr>
            </w:pPr>
            <w:r w:rsidRPr="00150761">
              <w:rPr>
                <w:szCs w:val="24"/>
                <w:lang w:eastAsia="lv-LV"/>
              </w:rPr>
              <w:t>Projekts šo jomu neskar.</w:t>
            </w:r>
          </w:p>
        </w:tc>
      </w:tr>
      <w:tr w:rsidR="00710872" w:rsidRPr="00150761" w:rsidTr="003B1CE8">
        <w:trPr>
          <w:tblCellSpacing w:w="15" w:type="dxa"/>
        </w:trPr>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6.</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rPr>
                <w:szCs w:val="24"/>
              </w:rPr>
            </w:pPr>
            <w:r w:rsidRPr="00150761">
              <w:rPr>
                <w:szCs w:val="24"/>
              </w:rPr>
              <w:t>Cita informācija</w:t>
            </w:r>
          </w:p>
        </w:tc>
        <w:tc>
          <w:tcPr>
            <w:tcW w:w="0" w:type="auto"/>
            <w:tcBorders>
              <w:top w:val="outset" w:sz="6" w:space="0" w:color="auto"/>
              <w:left w:val="outset" w:sz="6" w:space="0" w:color="auto"/>
              <w:bottom w:val="outset" w:sz="6" w:space="0" w:color="auto"/>
              <w:right w:val="outset" w:sz="6" w:space="0" w:color="auto"/>
            </w:tcBorders>
          </w:tcPr>
          <w:p w:rsidR="00710872" w:rsidRPr="00150761" w:rsidRDefault="00710872" w:rsidP="003B1CE8">
            <w:pPr>
              <w:pStyle w:val="NormalWeb"/>
              <w:ind w:firstLine="113"/>
              <w:jc w:val="both"/>
              <w:rPr>
                <w:szCs w:val="24"/>
              </w:rPr>
            </w:pPr>
            <w:r w:rsidRPr="00150761">
              <w:rPr>
                <w:rFonts w:asciiTheme="majorHAnsi" w:hAnsiTheme="majorHAnsi" w:cstheme="majorHAnsi"/>
                <w:szCs w:val="24"/>
                <w:lang w:eastAsia="lv-LV"/>
              </w:rPr>
              <w:t xml:space="preserve">Ministru kabineta </w:t>
            </w:r>
            <w:smartTag w:uri="schemas-tilde-lv/tildestengine" w:element="veidnes">
              <w:smartTagPr>
                <w:attr w:name="id" w:val="-1"/>
                <w:attr w:name="baseform" w:val="rīkojums"/>
                <w:attr w:name="text" w:val="rīkojums"/>
              </w:smartTagPr>
              <w:r w:rsidRPr="00150761">
                <w:rPr>
                  <w:rFonts w:asciiTheme="majorHAnsi" w:hAnsiTheme="majorHAnsi" w:cstheme="majorHAnsi"/>
                  <w:szCs w:val="24"/>
                  <w:lang w:eastAsia="lv-LV"/>
                </w:rPr>
                <w:t>rīkojums</w:t>
              </w:r>
            </w:smartTag>
            <w:r w:rsidRPr="00150761">
              <w:rPr>
                <w:rFonts w:asciiTheme="majorHAnsi" w:hAnsiTheme="majorHAnsi" w:cstheme="majorHAnsi"/>
                <w:szCs w:val="24"/>
                <w:lang w:eastAsia="lv-LV"/>
              </w:rPr>
              <w:t xml:space="preserve"> tiks publicēts Latvijas Republikas oficiālajā izdevumā „Latvijas Vēstnesis” </w:t>
            </w:r>
            <w:hyperlink r:id="rId8" w:history="1">
              <w:r w:rsidRPr="00150761">
                <w:rPr>
                  <w:rStyle w:val="Hyperlink"/>
                  <w:rFonts w:asciiTheme="majorHAnsi" w:hAnsiTheme="majorHAnsi" w:cstheme="majorHAnsi"/>
                  <w:szCs w:val="24"/>
                </w:rPr>
                <w:t>www.vestnesis.lv</w:t>
              </w:r>
            </w:hyperlink>
            <w:r w:rsidRPr="00150761">
              <w:rPr>
                <w:rFonts w:asciiTheme="majorHAnsi" w:hAnsiTheme="majorHAnsi" w:cstheme="majorHAnsi"/>
                <w:szCs w:val="24"/>
                <w:lang w:eastAsia="lv-LV"/>
              </w:rPr>
              <w:t xml:space="preserve"> , kā arī būs pieejams interneta tīklā: Normatīvo aktu informācijas sistēmā (NAIS) un bezmaksas normatīvo aktu bāzē </w:t>
            </w:r>
            <w:hyperlink r:id="rId9" w:history="1">
              <w:r w:rsidRPr="00150761">
                <w:rPr>
                  <w:rFonts w:asciiTheme="majorHAnsi" w:hAnsiTheme="majorHAnsi" w:cstheme="majorHAnsi"/>
                  <w:szCs w:val="24"/>
                  <w:lang w:eastAsia="lv-LV"/>
                </w:rPr>
                <w:t>www.likumi.lv</w:t>
              </w:r>
            </w:hyperlink>
            <w:r w:rsidRPr="00150761">
              <w:rPr>
                <w:rFonts w:asciiTheme="majorHAnsi" w:hAnsiTheme="majorHAnsi" w:cstheme="majorHAnsi"/>
                <w:szCs w:val="24"/>
                <w:lang w:eastAsia="lv-LV"/>
              </w:rPr>
              <w:t>.</w:t>
            </w:r>
          </w:p>
        </w:tc>
      </w:tr>
    </w:tbl>
    <w:p w:rsidR="00710872" w:rsidRPr="00150761" w:rsidRDefault="00710872" w:rsidP="00710872">
      <w:pPr>
        <w:pStyle w:val="BodyTextIndent"/>
      </w:pPr>
    </w:p>
    <w:p w:rsidR="00710872" w:rsidRPr="00150761" w:rsidRDefault="00710872" w:rsidP="00710872">
      <w:pPr>
        <w:pStyle w:val="BodyTextIndent"/>
        <w:ind w:left="0"/>
        <w:rPr>
          <w:rFonts w:asciiTheme="majorHAnsi" w:hAnsiTheme="majorHAnsi" w:cstheme="majorHAnsi"/>
        </w:rPr>
      </w:pPr>
    </w:p>
    <w:p w:rsidR="00710872" w:rsidRPr="00150761" w:rsidRDefault="00710872" w:rsidP="00710872">
      <w:pPr>
        <w:pStyle w:val="BodyTextIndent"/>
        <w:ind w:left="0"/>
      </w:pPr>
      <w:r w:rsidRPr="00150761">
        <w:t>Finanšu ministrs</w:t>
      </w:r>
      <w:r w:rsidRPr="00150761">
        <w:tab/>
      </w:r>
      <w:r w:rsidRPr="00150761">
        <w:tab/>
      </w:r>
      <w:r w:rsidRPr="00150761">
        <w:tab/>
      </w:r>
      <w:r w:rsidRPr="00150761">
        <w:tab/>
      </w:r>
      <w:r w:rsidRPr="00150761">
        <w:tab/>
      </w:r>
      <w:r w:rsidRPr="00150761">
        <w:tab/>
      </w:r>
      <w:r w:rsidRPr="00150761">
        <w:tab/>
        <w:t>A.Vilks</w:t>
      </w:r>
    </w:p>
    <w:p w:rsidR="00710872" w:rsidRPr="00150761" w:rsidRDefault="00710872" w:rsidP="00710872">
      <w:pPr>
        <w:ind w:right="611"/>
      </w:pPr>
    </w:p>
    <w:p w:rsidR="00710872" w:rsidRPr="00476006" w:rsidRDefault="00501F3A" w:rsidP="00710872">
      <w:pPr>
        <w:ind w:right="611"/>
        <w:rPr>
          <w:sz w:val="20"/>
          <w:szCs w:val="20"/>
        </w:rPr>
      </w:pPr>
      <w:r>
        <w:rPr>
          <w:sz w:val="20"/>
          <w:szCs w:val="20"/>
        </w:rPr>
        <w:t>25</w:t>
      </w:r>
      <w:r w:rsidR="006339B4" w:rsidRPr="00476006">
        <w:rPr>
          <w:sz w:val="20"/>
          <w:szCs w:val="20"/>
        </w:rPr>
        <w:t>.10</w:t>
      </w:r>
      <w:r w:rsidR="00090CE8" w:rsidRPr="00476006">
        <w:rPr>
          <w:sz w:val="20"/>
          <w:szCs w:val="20"/>
        </w:rPr>
        <w:t>.2013.</w:t>
      </w:r>
      <w:r w:rsidR="00D9067D">
        <w:rPr>
          <w:sz w:val="20"/>
          <w:szCs w:val="20"/>
        </w:rPr>
        <w:tab/>
        <w:t>11:26</w:t>
      </w:r>
    </w:p>
    <w:p w:rsidR="00710872" w:rsidRPr="00476006" w:rsidRDefault="00090CE8" w:rsidP="00710872">
      <w:pPr>
        <w:ind w:right="611"/>
        <w:rPr>
          <w:sz w:val="20"/>
          <w:szCs w:val="20"/>
        </w:rPr>
      </w:pPr>
      <w:r w:rsidRPr="00476006">
        <w:rPr>
          <w:sz w:val="20"/>
          <w:szCs w:val="20"/>
        </w:rPr>
        <w:t>1</w:t>
      </w:r>
      <w:r w:rsidR="00CD449F">
        <w:rPr>
          <w:sz w:val="20"/>
          <w:szCs w:val="20"/>
        </w:rPr>
        <w:t>265</w:t>
      </w:r>
    </w:p>
    <w:p w:rsidR="00710872" w:rsidRPr="00476006" w:rsidRDefault="00710872" w:rsidP="00710872">
      <w:pPr>
        <w:ind w:right="611"/>
        <w:rPr>
          <w:sz w:val="20"/>
          <w:szCs w:val="20"/>
        </w:rPr>
      </w:pPr>
      <w:r w:rsidRPr="00476006">
        <w:rPr>
          <w:sz w:val="20"/>
          <w:szCs w:val="20"/>
        </w:rPr>
        <w:t>S.Lūse 67024904</w:t>
      </w:r>
    </w:p>
    <w:p w:rsidR="00710872" w:rsidRPr="00150761" w:rsidRDefault="006A4EF4" w:rsidP="00710872">
      <w:pPr>
        <w:ind w:right="611"/>
      </w:pPr>
      <w:hyperlink r:id="rId10" w:history="1">
        <w:r w:rsidR="00710872" w:rsidRPr="00476006">
          <w:rPr>
            <w:rStyle w:val="Hyperlink"/>
            <w:sz w:val="20"/>
            <w:szCs w:val="20"/>
          </w:rPr>
          <w:t>Santa.Luse@vni.lv</w:t>
        </w:r>
      </w:hyperlink>
      <w:r w:rsidR="00710872" w:rsidRPr="00150761">
        <w:tab/>
      </w:r>
      <w:r w:rsidR="00710872" w:rsidRPr="00150761">
        <w:tab/>
      </w:r>
    </w:p>
    <w:p w:rsidR="00F523B1" w:rsidRPr="00150761" w:rsidRDefault="00F523B1"/>
    <w:sectPr w:rsidR="00F523B1" w:rsidRPr="00150761" w:rsidSect="009A7FD0">
      <w:headerReference w:type="even" r:id="rId11"/>
      <w:headerReference w:type="default" r:id="rId12"/>
      <w:footerReference w:type="default" r:id="rId13"/>
      <w:footerReference w:type="first" r:id="rId14"/>
      <w:pgSz w:w="11906" w:h="16838" w:code="9"/>
      <w:pgMar w:top="1418" w:right="99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F4" w:rsidRDefault="006A4EF4">
      <w:r>
        <w:separator/>
      </w:r>
    </w:p>
  </w:endnote>
  <w:endnote w:type="continuationSeparator" w:id="0">
    <w:p w:rsidR="006A4EF4" w:rsidRDefault="006A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22" w:rsidRPr="00635F22" w:rsidRDefault="002D57C4" w:rsidP="00635F22">
    <w:pPr>
      <w:jc w:val="center"/>
      <w:rPr>
        <w:sz w:val="20"/>
        <w:szCs w:val="20"/>
      </w:rPr>
    </w:pPr>
    <w:r>
      <w:rPr>
        <w:sz w:val="20"/>
        <w:szCs w:val="20"/>
      </w:rPr>
      <w:t>F</w:t>
    </w:r>
    <w:r w:rsidR="00635F22" w:rsidRPr="00635F22">
      <w:rPr>
        <w:sz w:val="20"/>
        <w:szCs w:val="20"/>
      </w:rPr>
      <w:t>Manot_160913_RAspazijas7; Ministru kabineta rīkojuma projekta</w:t>
    </w:r>
  </w:p>
  <w:p w:rsidR="00DF46D8" w:rsidRPr="00635F22" w:rsidRDefault="00635F22" w:rsidP="00635F22">
    <w:pPr>
      <w:pStyle w:val="Heading2"/>
      <w:rPr>
        <w:b w:val="0"/>
        <w:sz w:val="20"/>
      </w:rPr>
    </w:pPr>
    <w:r w:rsidRPr="00635F22">
      <w:rPr>
        <w:b w:val="0"/>
        <w:sz w:val="20"/>
      </w:rPr>
      <w:t xml:space="preserve">„Par valsts nekustamā īpašuma </w:t>
    </w:r>
    <w:r w:rsidRPr="00635F22">
      <w:rPr>
        <w:b w:val="0"/>
        <w:sz w:val="20"/>
        <w:lang w:eastAsia="lv-LV"/>
      </w:rPr>
      <w:t>Aspazijas bulvārī 7</w:t>
    </w:r>
    <w:r w:rsidRPr="00635F22">
      <w:rPr>
        <w:b w:val="0"/>
        <w:sz w:val="20"/>
      </w:rPr>
      <w:t>, Rīgā, ieguldīšanu valsts akciju sabiedrības „Valsts nekustamie īpašumi” pamatkapitālā” sākotnējās ietekmes novērtējuma ziņojums (anotācija)</w:t>
    </w:r>
    <w:r w:rsidRPr="00635F22">
      <w:rPr>
        <w:rFonts w:ascii="Arial" w:hAnsi="Arial" w:cs="Arial"/>
        <w:b w:val="0"/>
        <w:color w:val="00000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F4" w:rsidRPr="00635F22" w:rsidRDefault="002D57C4" w:rsidP="00E923F4">
    <w:pPr>
      <w:jc w:val="center"/>
      <w:rPr>
        <w:sz w:val="20"/>
        <w:szCs w:val="20"/>
      </w:rPr>
    </w:pPr>
    <w:r>
      <w:rPr>
        <w:sz w:val="20"/>
        <w:szCs w:val="20"/>
      </w:rPr>
      <w:t>F</w:t>
    </w:r>
    <w:r w:rsidR="00223015" w:rsidRPr="00635F22">
      <w:rPr>
        <w:sz w:val="20"/>
        <w:szCs w:val="20"/>
      </w:rPr>
      <w:t>Manot_</w:t>
    </w:r>
    <w:r w:rsidR="00635F22" w:rsidRPr="00635F22">
      <w:rPr>
        <w:sz w:val="20"/>
        <w:szCs w:val="20"/>
      </w:rPr>
      <w:t>160913_RAspazijas7</w:t>
    </w:r>
    <w:r w:rsidR="00223015" w:rsidRPr="00635F22">
      <w:rPr>
        <w:sz w:val="20"/>
        <w:szCs w:val="20"/>
      </w:rPr>
      <w:t>; Ministru kabineta rīkojuma projekta</w:t>
    </w:r>
  </w:p>
  <w:p w:rsidR="00DF46D8" w:rsidRPr="00635F22" w:rsidRDefault="00223015" w:rsidP="00635F22">
    <w:pPr>
      <w:pStyle w:val="Heading2"/>
      <w:rPr>
        <w:b w:val="0"/>
        <w:sz w:val="20"/>
      </w:rPr>
    </w:pPr>
    <w:r w:rsidRPr="00635F22">
      <w:rPr>
        <w:b w:val="0"/>
        <w:sz w:val="20"/>
      </w:rPr>
      <w:t>„</w:t>
    </w:r>
    <w:r w:rsidR="00635F22" w:rsidRPr="00635F22">
      <w:rPr>
        <w:b w:val="0"/>
        <w:sz w:val="20"/>
      </w:rPr>
      <w:t xml:space="preserve">Par valsts nekustamā īpašuma </w:t>
    </w:r>
    <w:r w:rsidR="00635F22" w:rsidRPr="00635F22">
      <w:rPr>
        <w:b w:val="0"/>
        <w:sz w:val="20"/>
        <w:lang w:eastAsia="lv-LV"/>
      </w:rPr>
      <w:t>Aspazijas bulvārī 7</w:t>
    </w:r>
    <w:r w:rsidR="00635F22" w:rsidRPr="00635F22">
      <w:rPr>
        <w:b w:val="0"/>
        <w:sz w:val="20"/>
      </w:rPr>
      <w:t>, Rīgā, ieguldīšanu valsts akciju sabiedrības „Valsts nekustamie īpašumi” pamatkapitālā</w:t>
    </w:r>
    <w:r w:rsidRPr="00635F22">
      <w:rPr>
        <w:b w:val="0"/>
        <w:sz w:val="20"/>
      </w:rPr>
      <w:t>” sākotnējās ietekmes novērtējuma ziņojums (anotācija)</w:t>
    </w:r>
    <w:r w:rsidRPr="00635F22">
      <w:rPr>
        <w:rFonts w:ascii="Arial" w:hAnsi="Arial" w:cs="Arial"/>
        <w:b w:val="0"/>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F4" w:rsidRDefault="006A4EF4">
      <w:r>
        <w:separator/>
      </w:r>
    </w:p>
  </w:footnote>
  <w:footnote w:type="continuationSeparator" w:id="0">
    <w:p w:rsidR="006A4EF4" w:rsidRDefault="006A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D8" w:rsidRDefault="009E628B" w:rsidP="00C23CC6">
    <w:pPr>
      <w:pStyle w:val="Header"/>
      <w:framePr w:wrap="around" w:vAnchor="text" w:hAnchor="margin" w:xAlign="center" w:y="1"/>
      <w:rPr>
        <w:rStyle w:val="PageNumber"/>
      </w:rPr>
    </w:pPr>
    <w:r>
      <w:rPr>
        <w:rStyle w:val="PageNumber"/>
      </w:rPr>
      <w:fldChar w:fldCharType="begin"/>
    </w:r>
    <w:r w:rsidR="00223015">
      <w:rPr>
        <w:rStyle w:val="PageNumber"/>
      </w:rPr>
      <w:instrText xml:space="preserve">PAGE  </w:instrText>
    </w:r>
    <w:r>
      <w:rPr>
        <w:rStyle w:val="PageNumber"/>
      </w:rPr>
      <w:fldChar w:fldCharType="end"/>
    </w:r>
  </w:p>
  <w:p w:rsidR="00DF46D8" w:rsidRDefault="006A4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D8" w:rsidRDefault="009E628B" w:rsidP="00C23CC6">
    <w:pPr>
      <w:pStyle w:val="Header"/>
      <w:framePr w:wrap="around" w:vAnchor="text" w:hAnchor="margin" w:xAlign="center" w:y="1"/>
      <w:rPr>
        <w:rStyle w:val="PageNumber"/>
      </w:rPr>
    </w:pPr>
    <w:r>
      <w:rPr>
        <w:rStyle w:val="PageNumber"/>
      </w:rPr>
      <w:fldChar w:fldCharType="begin"/>
    </w:r>
    <w:r w:rsidR="00223015">
      <w:rPr>
        <w:rStyle w:val="PageNumber"/>
      </w:rPr>
      <w:instrText xml:space="preserve">PAGE  </w:instrText>
    </w:r>
    <w:r>
      <w:rPr>
        <w:rStyle w:val="PageNumber"/>
      </w:rPr>
      <w:fldChar w:fldCharType="separate"/>
    </w:r>
    <w:r w:rsidR="00C92D2E">
      <w:rPr>
        <w:rStyle w:val="PageNumber"/>
        <w:noProof/>
      </w:rPr>
      <w:t>4</w:t>
    </w:r>
    <w:r>
      <w:rPr>
        <w:rStyle w:val="PageNumber"/>
      </w:rPr>
      <w:fldChar w:fldCharType="end"/>
    </w:r>
  </w:p>
  <w:p w:rsidR="00DF46D8" w:rsidRDefault="006A4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056E"/>
    <w:multiLevelType w:val="hybridMultilevel"/>
    <w:tmpl w:val="D9B698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0714439"/>
    <w:multiLevelType w:val="hybridMultilevel"/>
    <w:tmpl w:val="40F2D5B4"/>
    <w:lvl w:ilvl="0" w:tplc="8FAE67F2">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72"/>
    <w:rsid w:val="000126D0"/>
    <w:rsid w:val="00014708"/>
    <w:rsid w:val="00060F35"/>
    <w:rsid w:val="00090CE8"/>
    <w:rsid w:val="000936E3"/>
    <w:rsid w:val="000B449B"/>
    <w:rsid w:val="000B72ED"/>
    <w:rsid w:val="00150761"/>
    <w:rsid w:val="00157AF4"/>
    <w:rsid w:val="0018254C"/>
    <w:rsid w:val="001F5BAB"/>
    <w:rsid w:val="00223015"/>
    <w:rsid w:val="00233BA8"/>
    <w:rsid w:val="0027051C"/>
    <w:rsid w:val="00282B10"/>
    <w:rsid w:val="002D57C4"/>
    <w:rsid w:val="002D5BFA"/>
    <w:rsid w:val="00353519"/>
    <w:rsid w:val="003A356D"/>
    <w:rsid w:val="003C52A4"/>
    <w:rsid w:val="003F0664"/>
    <w:rsid w:val="00476006"/>
    <w:rsid w:val="00477043"/>
    <w:rsid w:val="00486F54"/>
    <w:rsid w:val="00501F3A"/>
    <w:rsid w:val="00540FD2"/>
    <w:rsid w:val="00550554"/>
    <w:rsid w:val="005818C7"/>
    <w:rsid w:val="00613570"/>
    <w:rsid w:val="006339B4"/>
    <w:rsid w:val="00635F22"/>
    <w:rsid w:val="00641947"/>
    <w:rsid w:val="00652658"/>
    <w:rsid w:val="006A4EF4"/>
    <w:rsid w:val="00710872"/>
    <w:rsid w:val="00791916"/>
    <w:rsid w:val="007A0508"/>
    <w:rsid w:val="007D0943"/>
    <w:rsid w:val="007D3263"/>
    <w:rsid w:val="00811F7D"/>
    <w:rsid w:val="008227D2"/>
    <w:rsid w:val="008A041A"/>
    <w:rsid w:val="008F3596"/>
    <w:rsid w:val="00912D95"/>
    <w:rsid w:val="009244C4"/>
    <w:rsid w:val="00956DF2"/>
    <w:rsid w:val="0096497E"/>
    <w:rsid w:val="009972A3"/>
    <w:rsid w:val="009A7FD0"/>
    <w:rsid w:val="009B0BBE"/>
    <w:rsid w:val="009D1B67"/>
    <w:rsid w:val="009D6CCC"/>
    <w:rsid w:val="009E628B"/>
    <w:rsid w:val="00AB75B6"/>
    <w:rsid w:val="00AC2395"/>
    <w:rsid w:val="00AC7BF2"/>
    <w:rsid w:val="00B27946"/>
    <w:rsid w:val="00B918E6"/>
    <w:rsid w:val="00BB0E90"/>
    <w:rsid w:val="00BB6C6D"/>
    <w:rsid w:val="00BE0A96"/>
    <w:rsid w:val="00C14311"/>
    <w:rsid w:val="00C24B64"/>
    <w:rsid w:val="00C8214D"/>
    <w:rsid w:val="00C92D2E"/>
    <w:rsid w:val="00CD449F"/>
    <w:rsid w:val="00CE76E5"/>
    <w:rsid w:val="00D33F01"/>
    <w:rsid w:val="00D9067D"/>
    <w:rsid w:val="00DC385D"/>
    <w:rsid w:val="00E4367A"/>
    <w:rsid w:val="00E45CAE"/>
    <w:rsid w:val="00E55593"/>
    <w:rsid w:val="00E657B8"/>
    <w:rsid w:val="00EB2F72"/>
    <w:rsid w:val="00EB3835"/>
    <w:rsid w:val="00F14756"/>
    <w:rsid w:val="00F523B1"/>
    <w:rsid w:val="00F600B3"/>
    <w:rsid w:val="00FA097D"/>
    <w:rsid w:val="00FC3201"/>
    <w:rsid w:val="00FD1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717E2B1-2986-4427-81BD-2F5D5A2B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7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10872"/>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0872"/>
    <w:rPr>
      <w:rFonts w:ascii="Times New Roman" w:eastAsia="Times New Roman" w:hAnsi="Times New Roman" w:cs="Times New Roman"/>
      <w:b/>
      <w:bCs/>
      <w:sz w:val="28"/>
      <w:szCs w:val="20"/>
    </w:rPr>
  </w:style>
  <w:style w:type="paragraph" w:styleId="Header">
    <w:name w:val="header"/>
    <w:basedOn w:val="Normal"/>
    <w:link w:val="HeaderChar"/>
    <w:rsid w:val="00710872"/>
    <w:pPr>
      <w:tabs>
        <w:tab w:val="center" w:pos="4153"/>
        <w:tab w:val="right" w:pos="8306"/>
      </w:tabs>
    </w:pPr>
  </w:style>
  <w:style w:type="character" w:customStyle="1" w:styleId="HeaderChar">
    <w:name w:val="Header Char"/>
    <w:basedOn w:val="DefaultParagraphFont"/>
    <w:link w:val="Header"/>
    <w:rsid w:val="00710872"/>
    <w:rPr>
      <w:rFonts w:ascii="Times New Roman" w:eastAsia="Times New Roman" w:hAnsi="Times New Roman" w:cs="Times New Roman"/>
      <w:sz w:val="24"/>
      <w:szCs w:val="24"/>
      <w:lang w:eastAsia="lv-LV"/>
    </w:rPr>
  </w:style>
  <w:style w:type="paragraph" w:styleId="NormalWeb">
    <w:name w:val="Normal (Web)"/>
    <w:basedOn w:val="Normal"/>
    <w:uiPriority w:val="99"/>
    <w:rsid w:val="00710872"/>
    <w:pPr>
      <w:spacing w:before="100" w:beforeAutospacing="1" w:after="100" w:afterAutospacing="1"/>
    </w:pPr>
    <w:rPr>
      <w:szCs w:val="20"/>
      <w:lang w:eastAsia="en-US"/>
    </w:rPr>
  </w:style>
  <w:style w:type="paragraph" w:styleId="BodyTextIndent">
    <w:name w:val="Body Text Indent"/>
    <w:basedOn w:val="Normal"/>
    <w:link w:val="BodyTextIndentChar"/>
    <w:rsid w:val="00710872"/>
    <w:pPr>
      <w:spacing w:after="120"/>
      <w:ind w:left="283"/>
    </w:pPr>
  </w:style>
  <w:style w:type="character" w:customStyle="1" w:styleId="BodyTextIndentChar">
    <w:name w:val="Body Text Indent Char"/>
    <w:basedOn w:val="DefaultParagraphFont"/>
    <w:link w:val="BodyTextIndent"/>
    <w:rsid w:val="00710872"/>
    <w:rPr>
      <w:rFonts w:ascii="Times New Roman" w:eastAsia="Times New Roman" w:hAnsi="Times New Roman" w:cs="Times New Roman"/>
      <w:sz w:val="24"/>
      <w:szCs w:val="24"/>
      <w:lang w:eastAsia="lv-LV"/>
    </w:rPr>
  </w:style>
  <w:style w:type="character" w:styleId="Hyperlink">
    <w:name w:val="Hyperlink"/>
    <w:rsid w:val="00710872"/>
    <w:rPr>
      <w:color w:val="0000FF"/>
      <w:u w:val="single"/>
    </w:rPr>
  </w:style>
  <w:style w:type="character" w:styleId="PageNumber">
    <w:name w:val="page number"/>
    <w:basedOn w:val="DefaultParagraphFont"/>
    <w:rsid w:val="00710872"/>
  </w:style>
  <w:style w:type="paragraph" w:styleId="Footer">
    <w:name w:val="footer"/>
    <w:basedOn w:val="Normal"/>
    <w:link w:val="FooterChar"/>
    <w:uiPriority w:val="99"/>
    <w:unhideWhenUsed/>
    <w:rsid w:val="00635F22"/>
    <w:pPr>
      <w:tabs>
        <w:tab w:val="center" w:pos="4153"/>
        <w:tab w:val="right" w:pos="8306"/>
      </w:tabs>
    </w:pPr>
  </w:style>
  <w:style w:type="character" w:customStyle="1" w:styleId="FooterChar">
    <w:name w:val="Footer Char"/>
    <w:basedOn w:val="DefaultParagraphFont"/>
    <w:link w:val="Footer"/>
    <w:uiPriority w:val="99"/>
    <w:rsid w:val="00635F2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33F01"/>
    <w:rPr>
      <w:rFonts w:ascii="Arial" w:hAnsi="Arial" w:cs="Arial"/>
      <w:sz w:val="16"/>
      <w:szCs w:val="16"/>
    </w:rPr>
  </w:style>
  <w:style w:type="character" w:customStyle="1" w:styleId="BalloonTextChar">
    <w:name w:val="Balloon Text Char"/>
    <w:basedOn w:val="DefaultParagraphFont"/>
    <w:link w:val="BalloonText"/>
    <w:uiPriority w:val="99"/>
    <w:semiHidden/>
    <w:rsid w:val="00D33F01"/>
    <w:rPr>
      <w:rFonts w:ascii="Arial" w:eastAsia="Times New Roman" w:hAnsi="Arial" w:cs="Arial"/>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77345">
      <w:bodyDiv w:val="1"/>
      <w:marLeft w:val="0"/>
      <w:marRight w:val="0"/>
      <w:marTop w:val="0"/>
      <w:marBottom w:val="0"/>
      <w:divBdr>
        <w:top w:val="none" w:sz="0" w:space="0" w:color="auto"/>
        <w:left w:val="none" w:sz="0" w:space="0" w:color="auto"/>
        <w:bottom w:val="none" w:sz="0" w:space="0" w:color="auto"/>
        <w:right w:val="none" w:sz="0" w:space="0" w:color="auto"/>
      </w:divBdr>
    </w:div>
    <w:div w:id="18825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a.Luse@vni.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8E16-5FA7-4FC8-B24B-85DF4240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6627</Words>
  <Characters>3778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Santa Lūse</dc:creator>
  <dc:description>S.Lūse 67024904
Santa.Luse@vni.lv              </dc:description>
  <cp:lastModifiedBy>Lagzdiņa Lelde</cp:lastModifiedBy>
  <cp:revision>16</cp:revision>
  <cp:lastPrinted>2013-09-23T08:10:00Z</cp:lastPrinted>
  <dcterms:created xsi:type="dcterms:W3CDTF">2013-10-07T06:54:00Z</dcterms:created>
  <dcterms:modified xsi:type="dcterms:W3CDTF">2013-10-28T14:33:00Z</dcterms:modified>
</cp:coreProperties>
</file>