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0" w:rsidRDefault="001562A0" w:rsidP="001562A0">
      <w:pPr>
        <w:jc w:val="center"/>
        <w:rPr>
          <w:b/>
          <w:szCs w:val="28"/>
        </w:rPr>
      </w:pPr>
      <w:bookmarkStart w:id="0" w:name="OLE_LINK7"/>
      <w:bookmarkStart w:id="1" w:name="OLE_LINK8"/>
      <w:bookmarkStart w:id="2" w:name="OLE_LINK2"/>
      <w:bookmarkStart w:id="3" w:name="OLE_LINK1"/>
      <w:r>
        <w:rPr>
          <w:b/>
          <w:szCs w:val="28"/>
        </w:rPr>
        <w:t>Ministru kabineta noteikumu projekta</w:t>
      </w:r>
    </w:p>
    <w:p w:rsidR="001562A0" w:rsidRDefault="001562A0" w:rsidP="001562A0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b/>
          <w:szCs w:val="28"/>
        </w:rPr>
        <w:t>„</w:t>
      </w:r>
      <w:r>
        <w:rPr>
          <w:b/>
          <w:bCs/>
          <w:szCs w:val="28"/>
        </w:rPr>
        <w:t>Grozījums Ministru kabineta 2009.gada 15.decembra noteikumos Nr.1471 „</w:t>
      </w:r>
      <w:r>
        <w:rPr>
          <w:rFonts w:eastAsia="Times New Roman" w:cs="Times New Roman"/>
          <w:b/>
          <w:bCs/>
          <w:szCs w:val="28"/>
          <w:lang w:eastAsia="lv-LV"/>
        </w:rPr>
        <w:t>Kārtība, kādā tiek noteikta un ieskaitīta valsts budžetā izmaksājamā peļņas daļa par valsts kapitāla izmantošanu</w:t>
      </w:r>
      <w:r>
        <w:rPr>
          <w:b/>
          <w:bCs/>
          <w:szCs w:val="28"/>
        </w:rPr>
        <w:t>””</w:t>
      </w:r>
    </w:p>
    <w:p w:rsidR="001562A0" w:rsidRDefault="001562A0" w:rsidP="001562A0">
      <w:pPr>
        <w:jc w:val="center"/>
        <w:rPr>
          <w:rFonts w:eastAsia="Times New Roman"/>
          <w:b/>
          <w:bCs/>
          <w:szCs w:val="28"/>
          <w:lang w:eastAsia="lv-LV"/>
        </w:rPr>
      </w:pPr>
      <w:r>
        <w:rPr>
          <w:rFonts w:eastAsia="Times New Roman"/>
          <w:b/>
          <w:bCs/>
          <w:szCs w:val="28"/>
          <w:lang w:eastAsia="lv-LV"/>
        </w:rPr>
        <w:t>sākotnējās ietekmes novērtējuma ziņojums (anotācija)</w:t>
      </w:r>
      <w:bookmarkEnd w:id="0"/>
      <w:bookmarkEnd w:id="1"/>
    </w:p>
    <w:p w:rsidR="001562A0" w:rsidRDefault="001562A0" w:rsidP="001562A0">
      <w:pPr>
        <w:jc w:val="center"/>
        <w:rPr>
          <w:sz w:val="16"/>
          <w:szCs w:val="16"/>
          <w:lang w:eastAsia="lv-LV"/>
        </w:rPr>
      </w:pPr>
    </w:p>
    <w:p w:rsidR="000125DA" w:rsidRDefault="000125DA" w:rsidP="001562A0">
      <w:pPr>
        <w:jc w:val="center"/>
        <w:rPr>
          <w:sz w:val="16"/>
          <w:szCs w:val="16"/>
          <w:lang w:eastAsia="lv-LV"/>
        </w:rPr>
      </w:pPr>
    </w:p>
    <w:tbl>
      <w:tblPr>
        <w:tblW w:w="92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08"/>
        <w:gridCol w:w="567"/>
        <w:gridCol w:w="5811"/>
      </w:tblGrid>
      <w:tr w:rsidR="001562A0" w:rsidTr="001562A0">
        <w:trPr>
          <w:tblCellSpacing w:w="0" w:type="dxa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2"/>
          <w:bookmarkEnd w:id="3"/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184" w:rsidRDefault="00135184" w:rsidP="00135184">
            <w:pPr>
              <w:jc w:val="both"/>
            </w:pPr>
            <w:r w:rsidRPr="00135184">
              <w:rPr>
                <w:sz w:val="24"/>
                <w:szCs w:val="24"/>
                <w:lang w:eastAsia="lv-LV"/>
              </w:rPr>
              <w:t xml:space="preserve">2010. gada 25. novembrī tika pieņemti grozījumi </w:t>
            </w:r>
            <w:r w:rsidRPr="00135184">
              <w:rPr>
                <w:sz w:val="24"/>
                <w:szCs w:val="24"/>
              </w:rPr>
              <w:t>Ministru kabineta 2009.gada 15.decembra noteikumos Nr.1471 „</w:t>
            </w:r>
            <w:r w:rsidRPr="00135184">
              <w:rPr>
                <w:sz w:val="24"/>
                <w:szCs w:val="24"/>
                <w:lang w:eastAsia="lv-LV"/>
              </w:rPr>
              <w:t>Kārtība, kādā tiek noteikta un ieskaitīta valsts budžetā izmaksājamā peļņas daļa par valsts kapitāla izmantošanu</w:t>
            </w:r>
            <w:r w:rsidRPr="00135184">
              <w:rPr>
                <w:sz w:val="24"/>
                <w:szCs w:val="24"/>
              </w:rPr>
              <w:t>”, saskaņā ar kuriem noteikumi tika papildināti ar 4.</w:t>
            </w:r>
            <w:r w:rsidRPr="00135184">
              <w:rPr>
                <w:sz w:val="24"/>
                <w:szCs w:val="24"/>
                <w:vertAlign w:val="superscript"/>
              </w:rPr>
              <w:t xml:space="preserve">1 </w:t>
            </w:r>
            <w:r w:rsidRPr="00135184">
              <w:rPr>
                <w:sz w:val="24"/>
                <w:szCs w:val="24"/>
              </w:rPr>
              <w:t xml:space="preserve"> punktu, kas nosaka minimālo dividendēs izmaksājamo peļņas daļu par 2010., 2011. un 2012.gada pārskata gadu, bet neparedz iespēju noteikt atšķirīgu dividendēs izmaksājamo minimālo peļņas daļu. </w:t>
            </w:r>
            <w:r w:rsidRPr="00135184">
              <w:rPr>
                <w:sz w:val="24"/>
                <w:szCs w:val="24"/>
                <w:lang w:eastAsia="lv-LV"/>
              </w:rPr>
              <w:t xml:space="preserve">Noteikumu projekts </w:t>
            </w:r>
            <w:r w:rsidRPr="00135184">
              <w:rPr>
                <w:sz w:val="24"/>
                <w:szCs w:val="24"/>
              </w:rPr>
              <w:t>„Grozījums Ministru kabineta 2009. gada 15. decembra noteikumos Nr.1471 „</w:t>
            </w:r>
            <w:r w:rsidRPr="00135184">
              <w:rPr>
                <w:sz w:val="24"/>
                <w:szCs w:val="24"/>
                <w:lang w:eastAsia="lv-LV"/>
              </w:rPr>
              <w:t>Kārtība, kādā tiek noteikta un ieskaitīta valsts budžetā izmaksājamā peļņas daļa par valsts kapitāla izmantošanu</w:t>
            </w:r>
            <w:r w:rsidRPr="00135184">
              <w:rPr>
                <w:sz w:val="24"/>
                <w:szCs w:val="24"/>
              </w:rPr>
              <w:t xml:space="preserve">”” izstrādāts, lai nodrošinātu Ministru kabinetam, pamatojoties uz ekonomiskiem, tiesiskiem vai citiem apsvērumiem,  iespēju valsts kapitālsabiedrībām vai valsts izšķirošajā ietekmē esošajām kapitālsabiedrībām noteikt atšķirīgu dividendēs izmaksājamo minimālo peļņas daļu par </w:t>
            </w:r>
            <w:r w:rsidRPr="00135184">
              <w:rPr>
                <w:sz w:val="24"/>
                <w:szCs w:val="24"/>
                <w:lang w:eastAsia="lv-LV"/>
              </w:rPr>
              <w:t>2010., 2011. un 2012. gada pārskata gadu.</w:t>
            </w:r>
            <w:r w:rsidRPr="00135184">
              <w:rPr>
                <w:sz w:val="24"/>
                <w:szCs w:val="24"/>
              </w:rPr>
              <w:t xml:space="preserve"> </w:t>
            </w:r>
          </w:p>
          <w:p w:rsidR="001562A0" w:rsidRDefault="001562A0" w:rsidP="00135184">
            <w:pPr>
              <w:tabs>
                <w:tab w:val="left" w:pos="306"/>
                <w:tab w:val="left" w:pos="977"/>
                <w:tab w:val="left" w:pos="1431"/>
              </w:tabs>
              <w:ind w:left="126" w:right="52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2.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2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   problēmas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840D7D" w:rsidP="00323424">
            <w:pPr>
              <w:tabs>
                <w:tab w:val="left" w:pos="693"/>
              </w:tabs>
              <w:ind w:right="52"/>
              <w:jc w:val="both"/>
              <w:rPr>
                <w:sz w:val="24"/>
                <w:szCs w:val="24"/>
              </w:rPr>
            </w:pPr>
            <w:r w:rsidRPr="00840D7D">
              <w:rPr>
                <w:rFonts w:cs="Times New Roman"/>
                <w:sz w:val="24"/>
                <w:szCs w:val="24"/>
              </w:rPr>
              <w:t>Šobrīd n</w:t>
            </w:r>
            <w:r w:rsidR="001562A0" w:rsidRPr="00840D7D">
              <w:rPr>
                <w:rFonts w:cs="Times New Roman"/>
                <w:sz w:val="24"/>
                <w:szCs w:val="24"/>
              </w:rPr>
              <w:t xml:space="preserve">oteikumi neparedz, ka Ministru kabinets pēc kapitāla daļas turētāja pamatota priekšlikuma valsts kapitālsabiedrībai vai valsts izšķirošajā ietekmē esošai kapitālsabiedrībai var noteikt atšķirīgu dividendēs izmaksājamo minimālo peļņas daļu par </w:t>
            </w:r>
            <w:r w:rsidR="001562A0" w:rsidRPr="00840D7D">
              <w:rPr>
                <w:rFonts w:cs="Times New Roman"/>
                <w:bCs/>
                <w:sz w:val="24"/>
                <w:szCs w:val="24"/>
                <w:lang w:eastAsia="lv-LV"/>
              </w:rPr>
              <w:t>2010., 2011. un 2012. gada pārskata gadu.</w:t>
            </w:r>
            <w:r w:rsidRPr="00840D7D">
              <w:rPr>
                <w:rFonts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2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Saistītie politikas  ietekmes novērtējumi un pētījumi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right="52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 attiecināms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62A0" w:rsidTr="001562A0">
        <w:trPr>
          <w:trHeight w:val="230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25" w:hanging="25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Pr="002A42D6" w:rsidRDefault="001562A0" w:rsidP="00FD3A8E">
            <w:pPr>
              <w:jc w:val="both"/>
              <w:rPr>
                <w:rFonts w:cs="Times New Roman"/>
                <w:bCs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Noteikumu projekts paredz</w:t>
            </w:r>
            <w:r w:rsidR="002A42D6">
              <w:rPr>
                <w:sz w:val="24"/>
                <w:szCs w:val="24"/>
              </w:rPr>
              <w:t>,</w:t>
            </w:r>
            <w:r w:rsidR="00840D7D">
              <w:rPr>
                <w:sz w:val="24"/>
                <w:szCs w:val="24"/>
              </w:rPr>
              <w:t xml:space="preserve"> </w:t>
            </w:r>
            <w:r w:rsidR="00840D7D" w:rsidRPr="00840D7D">
              <w:rPr>
                <w:rFonts w:cs="Times New Roman"/>
                <w:sz w:val="24"/>
                <w:szCs w:val="24"/>
              </w:rPr>
              <w:t xml:space="preserve">ka Ministru kabinets pēc kapitāla daļas turētāja pamatota priekšlikuma </w:t>
            </w:r>
            <w:r w:rsidR="002A42D6">
              <w:rPr>
                <w:rFonts w:cs="Times New Roman"/>
                <w:sz w:val="24"/>
                <w:szCs w:val="24"/>
              </w:rPr>
              <w:t xml:space="preserve">un kapitālsabiedrības tīrās peļņas izlietojuma pamatojuma </w:t>
            </w:r>
            <w:r w:rsidR="00840D7D" w:rsidRPr="00840D7D">
              <w:rPr>
                <w:rFonts w:cs="Times New Roman"/>
                <w:sz w:val="24"/>
                <w:szCs w:val="24"/>
              </w:rPr>
              <w:t xml:space="preserve">valsts kapitālsabiedrībai vai valsts izšķirošajā ietekmē esošai kapitālsabiedrībai var noteikt atšķirīgu dividendēs izmaksājamo minimālo peļņas daļu par </w:t>
            </w:r>
            <w:r w:rsidR="00840D7D" w:rsidRPr="00840D7D">
              <w:rPr>
                <w:rFonts w:cs="Times New Roman"/>
                <w:bCs/>
                <w:sz w:val="24"/>
                <w:szCs w:val="24"/>
                <w:lang w:eastAsia="lv-LV"/>
              </w:rPr>
              <w:t>2010., 2011. un 2012. gada pārskata gadu</w:t>
            </w:r>
            <w:r w:rsidR="002A42D6">
              <w:rPr>
                <w:rFonts w:cs="Times New Roman"/>
                <w:bCs/>
                <w:sz w:val="24"/>
                <w:szCs w:val="24"/>
                <w:lang w:eastAsia="lv-LV"/>
              </w:rPr>
              <w:t>.</w:t>
            </w:r>
            <w:r w:rsidR="00323424">
              <w:rPr>
                <w:rFonts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126" w:hanging="126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 </w:t>
            </w:r>
            <w:r w:rsidR="002A42D6">
              <w:rPr>
                <w:rFonts w:eastAsia="Times New Roman" w:cs="Times New Roman"/>
                <w:sz w:val="24"/>
                <w:szCs w:val="24"/>
                <w:lang w:eastAsia="lv-LV"/>
              </w:rPr>
              <w:t>Nav attiecināms</w:t>
            </w:r>
          </w:p>
          <w:p w:rsidR="001562A0" w:rsidRDefault="001562A0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40D7D">
              <w:rPr>
                <w:rFonts w:eastAsia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Nav</w:t>
            </w:r>
          </w:p>
        </w:tc>
      </w:tr>
      <w:tr w:rsidR="001562A0" w:rsidTr="001562A0">
        <w:trPr>
          <w:tblCellSpacing w:w="0" w:type="dxa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lastRenderedPageBreak/>
              <w:t>II. Tiesību akta projekta ietekme uz sabiedrību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Sabiedrības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mērķgrupa</w:t>
            </w:r>
            <w:proofErr w:type="spell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right="52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Citas sabiedrības grupas (bez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tabs>
                <w:tab w:val="left" w:pos="19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finansiālā ietekme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nefinansiālā ietekme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Administratīvās procedūras raksturojums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126" w:right="52" w:hanging="126"/>
              <w:jc w:val="both"/>
              <w:rPr>
                <w:rFonts w:eastAsia="Times New Roman" w:cs="Times New Roman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  <w:r>
              <w:rPr>
                <w:rFonts w:eastAsia="Times New Roman" w:cs="Times New Roman"/>
                <w:lang w:eastAsia="lv-LV"/>
              </w:rPr>
              <w:t xml:space="preserve"> 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Administratīvo izmaksu monetārs novērtējums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Nav attiecināms</w:t>
            </w:r>
          </w:p>
        </w:tc>
      </w:tr>
      <w:tr w:rsidR="001562A0" w:rsidTr="001562A0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ind w:left="126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attiecināms</w:t>
            </w:r>
          </w:p>
        </w:tc>
      </w:tr>
    </w:tbl>
    <w:tbl>
      <w:tblPr>
        <w:tblpPr w:leftFromText="180" w:rightFromText="180" w:vertAnchor="text" w:horzAnchor="margin" w:tblpX="-127" w:tblpY="371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234"/>
        <w:gridCol w:w="1291"/>
        <w:gridCol w:w="1276"/>
        <w:gridCol w:w="1276"/>
        <w:gridCol w:w="964"/>
      </w:tblGrid>
      <w:tr w:rsidR="001562A0" w:rsidTr="001562A0">
        <w:trPr>
          <w:trHeight w:val="50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A0" w:rsidRDefault="001562A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  <w:p w:rsidR="001562A0" w:rsidRDefault="001562A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2010</w:t>
            </w:r>
          </w:p>
        </w:tc>
        <w:tc>
          <w:tcPr>
            <w:tcW w:w="3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tūkst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 latu)</w:t>
            </w:r>
          </w:p>
        </w:tc>
      </w:tr>
      <w:tr w:rsidR="001562A0" w:rsidTr="001562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2013</w:t>
            </w:r>
          </w:p>
        </w:tc>
      </w:tr>
      <w:tr w:rsidR="001562A0" w:rsidTr="001562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ind w:right="68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ind w:left="43" w:hanging="43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>Izmaiņas, salīdzinot ar kārtējo (n) gadu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 Budžeta ieņēmumi: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1.1. valsts pamatbudžets, tai skaitā ieņēmumi no maksas pakalpojumiem un citi pašu ieņēmumi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 w:rsidP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1.2. valsts speciālais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1.3. pašvaldību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2. Budžeta izdevumi: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2.1. valsts pamatbudžets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2.2. valsts speciālais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2.3. pašvaldību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 Finansiālā ietekme: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3.1. valsts pamatbudžets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3.2. speciālais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3.3. pašvaldību budžets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2"/>
                <w:lang w:eastAsia="lv-LV"/>
              </w:rPr>
              <w:t>4. Finanšu līdzekļi papildu izde</w:t>
            </w:r>
            <w:r>
              <w:rPr>
                <w:rFonts w:eastAsia="Times New Roman" w:cs="Times New Roman"/>
                <w:sz w:val="22"/>
                <w:lang w:eastAsia="lv-LV"/>
              </w:rPr>
              <w:softHyphen/>
              <w:t xml:space="preserve">vumu finansēšanai </w:t>
            </w:r>
            <w:r>
              <w:rPr>
                <w:rFonts w:eastAsia="Times New Roman" w:cs="Times New Roman"/>
                <w:sz w:val="22"/>
                <w:lang w:eastAsia="lv-LV"/>
              </w:rPr>
              <w:lastRenderedPageBreak/>
              <w:t>(kompensējošu izdevumu samazinājumu norāda ar "+" zīmi) Finanšu ministrijas budžeta ietvaros tiks pārdalīts finansējums no valsts budžeta apakšprogrammas „31.02.00” „Valsts parāda vadība” uz programmu 33.00.00 „Valsts ieņēmumu un muitas politikas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v-LV"/>
              </w:rPr>
              <w:t>nodrošināšana”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</w:tr>
      <w:tr w:rsidR="001562A0" w:rsidTr="001562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</w:tr>
      <w:tr w:rsidR="001562A0" w:rsidTr="001562A0">
        <w:trPr>
          <w:trHeight w:val="27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5. Precizēta finansiālā ietekme: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2A42D6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562A0" w:rsidTr="001562A0">
        <w:trPr>
          <w:trHeight w:val="1319"/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2"/>
                <w:lang w:eastAsia="lv-LV"/>
              </w:rPr>
              <w:t>6. Detalizēts ieņēmumu un izdevu</w:t>
            </w:r>
            <w:r>
              <w:rPr>
                <w:rFonts w:eastAsia="Times New Roman" w:cs="Times New Roman"/>
                <w:sz w:val="22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04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2"/>
                <w:lang w:eastAsia="lv-LV"/>
              </w:rPr>
              <w:t>6.1. detalizēts ieņēmumu 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562A0" w:rsidTr="001562A0">
        <w:trPr>
          <w:trHeight w:val="525"/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6.2. </w:t>
            </w:r>
            <w:r>
              <w:rPr>
                <w:rFonts w:eastAsia="Times New Roman" w:cs="Times New Roman"/>
                <w:sz w:val="22"/>
                <w:lang w:eastAsia="lv-LV"/>
              </w:rPr>
              <w:t>detalizēts izdevumu aprēķins</w:t>
            </w:r>
          </w:p>
        </w:tc>
        <w:tc>
          <w:tcPr>
            <w:tcW w:w="60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A0" w:rsidRDefault="001562A0"/>
        </w:tc>
      </w:tr>
      <w:tr w:rsidR="001562A0" w:rsidTr="001562A0">
        <w:trPr>
          <w:tblCellSpacing w:w="0" w:type="dxa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0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A0" w:rsidRDefault="001562A0"/>
        </w:tc>
      </w:tr>
    </w:tbl>
    <w:p w:rsidR="001562A0" w:rsidRDefault="001562A0" w:rsidP="001562A0">
      <w:pPr>
        <w:pStyle w:val="BodyTextIndent"/>
        <w:rPr>
          <w:sz w:val="24"/>
          <w:lang w:eastAsia="lv-LV"/>
        </w:rPr>
      </w:pPr>
    </w:p>
    <w:p w:rsidR="001562A0" w:rsidRDefault="001562A0" w:rsidP="001562A0">
      <w:pPr>
        <w:pStyle w:val="BodyTextIndent"/>
        <w:ind w:firstLine="0"/>
        <w:rPr>
          <w:szCs w:val="28"/>
          <w:lang w:eastAsia="lv-LV"/>
        </w:rPr>
      </w:pPr>
    </w:p>
    <w:p w:rsidR="001562A0" w:rsidRDefault="001562A0" w:rsidP="001562A0">
      <w:pPr>
        <w:pStyle w:val="BodyTextIndent"/>
        <w:rPr>
          <w:szCs w:val="28"/>
          <w:lang w:eastAsia="lv-LV"/>
        </w:rPr>
      </w:pPr>
      <w:r>
        <w:rPr>
          <w:szCs w:val="28"/>
          <w:lang w:eastAsia="lv-LV"/>
        </w:rPr>
        <w:t>Anotācijas IV, V, VI, un VII sadaļa – nav attiecināms</w:t>
      </w:r>
    </w:p>
    <w:p w:rsidR="001562A0" w:rsidRDefault="001562A0" w:rsidP="001562A0">
      <w:pPr>
        <w:pStyle w:val="BodyTextIndent"/>
        <w:ind w:firstLine="0"/>
        <w:rPr>
          <w:sz w:val="24"/>
          <w:lang w:eastAsia="lv-LV"/>
        </w:rPr>
      </w:pPr>
    </w:p>
    <w:p w:rsidR="001562A0" w:rsidRDefault="001562A0" w:rsidP="001562A0">
      <w:pPr>
        <w:pStyle w:val="Heading5"/>
        <w:tabs>
          <w:tab w:val="left" w:pos="142"/>
          <w:tab w:val="left" w:pos="7200"/>
        </w:tabs>
        <w:spacing w:before="0" w:after="0"/>
        <w:rPr>
          <w:b w:val="0"/>
          <w:i w:val="0"/>
          <w:sz w:val="28"/>
          <w:szCs w:val="28"/>
        </w:rPr>
      </w:pPr>
    </w:p>
    <w:p w:rsidR="001562A0" w:rsidRDefault="001562A0" w:rsidP="001562A0">
      <w:pPr>
        <w:pStyle w:val="Heading5"/>
        <w:tabs>
          <w:tab w:val="left" w:pos="142"/>
          <w:tab w:val="left" w:pos="7200"/>
        </w:tabs>
        <w:spacing w:before="0" w:after="0"/>
        <w:rPr>
          <w:b w:val="0"/>
          <w:i w:val="0"/>
          <w:sz w:val="28"/>
          <w:szCs w:val="28"/>
        </w:rPr>
      </w:pPr>
    </w:p>
    <w:p w:rsidR="001562A0" w:rsidRDefault="001562A0" w:rsidP="001562A0">
      <w:pPr>
        <w:pStyle w:val="Heading5"/>
        <w:tabs>
          <w:tab w:val="left" w:pos="142"/>
          <w:tab w:val="left" w:pos="7200"/>
        </w:tabs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Finanšu ministrs</w:t>
      </w:r>
      <w:r>
        <w:rPr>
          <w:b w:val="0"/>
          <w:i w:val="0"/>
          <w:sz w:val="28"/>
          <w:szCs w:val="28"/>
        </w:rPr>
        <w:tab/>
        <w:t xml:space="preserve"> A.Vilks</w:t>
      </w:r>
    </w:p>
    <w:p w:rsidR="001562A0" w:rsidRDefault="001562A0" w:rsidP="001562A0">
      <w:pPr>
        <w:rPr>
          <w:rFonts w:cs="Times New Roman"/>
          <w:sz w:val="20"/>
          <w:szCs w:val="20"/>
        </w:rPr>
      </w:pPr>
    </w:p>
    <w:p w:rsidR="001562A0" w:rsidRDefault="001562A0" w:rsidP="001562A0">
      <w:pPr>
        <w:rPr>
          <w:rFonts w:cs="Times New Roman"/>
          <w:sz w:val="20"/>
          <w:szCs w:val="20"/>
        </w:rPr>
      </w:pPr>
    </w:p>
    <w:p w:rsidR="001562A0" w:rsidRDefault="001562A0" w:rsidP="001562A0">
      <w:pPr>
        <w:rPr>
          <w:rFonts w:cs="Times New Roman"/>
          <w:sz w:val="20"/>
          <w:szCs w:val="20"/>
        </w:rPr>
      </w:pPr>
    </w:p>
    <w:p w:rsidR="001562A0" w:rsidRDefault="001562A0" w:rsidP="001562A0">
      <w:pPr>
        <w:rPr>
          <w:rFonts w:cs="Times New Roman"/>
          <w:sz w:val="20"/>
          <w:szCs w:val="20"/>
        </w:rPr>
      </w:pPr>
    </w:p>
    <w:p w:rsidR="001562A0" w:rsidRDefault="001562A0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2010.1</w:t>
      </w:r>
      <w:r w:rsidR="00F649E0">
        <w:rPr>
          <w:rFonts w:cs="Times New Roman"/>
          <w:bCs/>
          <w:sz w:val="20"/>
          <w:szCs w:val="20"/>
        </w:rPr>
        <w:t>2.27</w:t>
      </w:r>
      <w:r>
        <w:rPr>
          <w:rFonts w:cs="Times New Roman"/>
          <w:bCs/>
          <w:sz w:val="20"/>
          <w:szCs w:val="20"/>
        </w:rPr>
        <w:t>. 1</w:t>
      </w:r>
      <w:r w:rsidR="00CA1994">
        <w:rPr>
          <w:rFonts w:cs="Times New Roman"/>
          <w:bCs/>
          <w:sz w:val="20"/>
          <w:szCs w:val="20"/>
        </w:rPr>
        <w:t>1:05</w:t>
      </w:r>
    </w:p>
    <w:p w:rsidR="001562A0" w:rsidRDefault="00CA1994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635</w:t>
      </w:r>
      <w:bookmarkStart w:id="4" w:name="_GoBack"/>
      <w:bookmarkEnd w:id="4"/>
    </w:p>
    <w:p w:rsidR="001562A0" w:rsidRDefault="001562A0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I.</w:t>
      </w:r>
      <w:r w:rsidR="00F649E0">
        <w:rPr>
          <w:rFonts w:cs="Times New Roman"/>
          <w:bCs/>
          <w:sz w:val="20"/>
          <w:szCs w:val="20"/>
        </w:rPr>
        <w:t>Spalle</w:t>
      </w:r>
    </w:p>
    <w:p w:rsidR="001562A0" w:rsidRDefault="001562A0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Finanšu ministrijas</w:t>
      </w:r>
    </w:p>
    <w:p w:rsidR="001562A0" w:rsidRDefault="00F649E0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Tiesību aktu </w:t>
      </w:r>
      <w:r w:rsidR="001562A0">
        <w:rPr>
          <w:rFonts w:cs="Times New Roman"/>
          <w:bCs/>
          <w:sz w:val="20"/>
          <w:szCs w:val="20"/>
        </w:rPr>
        <w:t>departamenta</w:t>
      </w:r>
    </w:p>
    <w:p w:rsidR="001562A0" w:rsidRDefault="00F649E0" w:rsidP="001562A0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Valsts resursu politikas </w:t>
      </w:r>
      <w:r w:rsidR="001562A0">
        <w:rPr>
          <w:rFonts w:cs="Times New Roman"/>
          <w:bCs/>
          <w:sz w:val="20"/>
          <w:szCs w:val="20"/>
        </w:rPr>
        <w:t xml:space="preserve">nodaļas </w:t>
      </w:r>
      <w:r>
        <w:rPr>
          <w:rFonts w:cs="Times New Roman"/>
          <w:bCs/>
          <w:sz w:val="20"/>
          <w:szCs w:val="20"/>
        </w:rPr>
        <w:t>juriskonsulte</w:t>
      </w:r>
    </w:p>
    <w:p w:rsidR="001562A0" w:rsidRDefault="001562A0" w:rsidP="001562A0">
      <w:pPr>
        <w:rPr>
          <w:rFonts w:cs="Times New Roman"/>
          <w:bCs/>
          <w:sz w:val="20"/>
          <w:szCs w:val="20"/>
        </w:rPr>
      </w:pPr>
      <w:proofErr w:type="spellStart"/>
      <w:r>
        <w:rPr>
          <w:rFonts w:cs="Times New Roman"/>
          <w:bCs/>
          <w:sz w:val="20"/>
          <w:szCs w:val="20"/>
        </w:rPr>
        <w:t>tālr</w:t>
      </w:r>
      <w:proofErr w:type="spellEnd"/>
      <w:r>
        <w:rPr>
          <w:rFonts w:cs="Times New Roman"/>
          <w:bCs/>
          <w:sz w:val="20"/>
          <w:szCs w:val="20"/>
        </w:rPr>
        <w:t>. 67083901,fakss 67095497</w:t>
      </w:r>
    </w:p>
    <w:p w:rsidR="001562A0" w:rsidRDefault="000B3D64" w:rsidP="001562A0">
      <w:pPr>
        <w:rPr>
          <w:rFonts w:cs="Times New Roman"/>
          <w:bCs/>
          <w:sz w:val="20"/>
          <w:szCs w:val="20"/>
        </w:rPr>
      </w:pPr>
      <w:hyperlink r:id="rId9" w:history="1">
        <w:proofErr w:type="spellStart"/>
        <w:r w:rsidR="001562A0">
          <w:rPr>
            <w:rStyle w:val="Hyperlink"/>
            <w:bCs/>
            <w:sz w:val="20"/>
            <w:szCs w:val="20"/>
          </w:rPr>
          <w:t>inese.</w:t>
        </w:r>
        <w:r w:rsidR="00F649E0">
          <w:rPr>
            <w:rStyle w:val="Hyperlink"/>
            <w:bCs/>
            <w:sz w:val="20"/>
            <w:szCs w:val="20"/>
          </w:rPr>
          <w:t>spalle</w:t>
        </w:r>
        <w:proofErr w:type="spellEnd"/>
        <w:r w:rsidR="00F649E0">
          <w:rPr>
            <w:rStyle w:val="Hyperlink"/>
            <w:bCs/>
            <w:sz w:val="20"/>
            <w:szCs w:val="20"/>
          </w:rPr>
          <w:t xml:space="preserve"> </w:t>
        </w:r>
        <w:r w:rsidR="001562A0">
          <w:rPr>
            <w:rStyle w:val="Hyperlink"/>
            <w:bCs/>
            <w:sz w:val="20"/>
            <w:szCs w:val="20"/>
          </w:rPr>
          <w:t>@</w:t>
        </w:r>
        <w:proofErr w:type="spellStart"/>
        <w:r w:rsidR="001562A0">
          <w:rPr>
            <w:rStyle w:val="Hyperlink"/>
            <w:bCs/>
            <w:sz w:val="20"/>
            <w:szCs w:val="20"/>
          </w:rPr>
          <w:t>fm.gov.lv</w:t>
        </w:r>
        <w:proofErr w:type="spellEnd"/>
      </w:hyperlink>
    </w:p>
    <w:p w:rsidR="00780F6E" w:rsidRDefault="00780F6E"/>
    <w:p w:rsidR="00CA1994" w:rsidRDefault="00CA1994"/>
    <w:sectPr w:rsidR="00CA199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64" w:rsidRDefault="000B3D64" w:rsidP="00CA1994">
      <w:r>
        <w:separator/>
      </w:r>
    </w:p>
  </w:endnote>
  <w:endnote w:type="continuationSeparator" w:id="0">
    <w:p w:rsidR="000B3D64" w:rsidRDefault="000B3D64" w:rsidP="00CA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4" w:rsidRPr="00CA1994" w:rsidRDefault="00CA1994" w:rsidP="00CA199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both"/>
      <w:rPr>
        <w:rFonts w:eastAsia="Times New Roman" w:cs="Times New Roman"/>
        <w:bCs/>
        <w:sz w:val="20"/>
        <w:szCs w:val="20"/>
      </w:rPr>
    </w:pPr>
    <w:r w:rsidRPr="00CA1994">
      <w:rPr>
        <w:rFonts w:eastAsia="Times New Roman" w:cs="Times New Roman"/>
        <w:bCs/>
        <w:sz w:val="20"/>
        <w:szCs w:val="20"/>
      </w:rPr>
      <w:t>FM</w:t>
    </w:r>
    <w:r>
      <w:rPr>
        <w:rFonts w:eastAsia="Times New Roman" w:cs="Times New Roman"/>
        <w:bCs/>
        <w:sz w:val="20"/>
        <w:szCs w:val="20"/>
      </w:rPr>
      <w:t>an</w:t>
    </w:r>
    <w:r w:rsidRPr="00CA1994">
      <w:rPr>
        <w:rFonts w:eastAsia="Times New Roman" w:cs="Times New Roman"/>
        <w:bCs/>
        <w:sz w:val="20"/>
        <w:szCs w:val="20"/>
      </w:rPr>
      <w:t>ot_271210_groz_1471; Ministru kabineta noteikumu projekts „Grozījums Ministru kabineta noteikumos Nr.1471 „Kārtība, kādā tiek noteikta un ieskaitīta valsts budžetā izmaksājamā peļņas daļa par valsts kapitāla izmantošanu””</w:t>
    </w:r>
  </w:p>
  <w:p w:rsidR="00CA1994" w:rsidRDefault="00CA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64" w:rsidRDefault="000B3D64" w:rsidP="00CA1994">
      <w:r>
        <w:separator/>
      </w:r>
    </w:p>
  </w:footnote>
  <w:footnote w:type="continuationSeparator" w:id="0">
    <w:p w:rsidR="000B3D64" w:rsidRDefault="000B3D64" w:rsidP="00CA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BC5"/>
    <w:multiLevelType w:val="hybridMultilevel"/>
    <w:tmpl w:val="685ADD4C"/>
    <w:lvl w:ilvl="0" w:tplc="13DE89A8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C"/>
    <w:rsid w:val="000125DA"/>
    <w:rsid w:val="000B3D64"/>
    <w:rsid w:val="00135184"/>
    <w:rsid w:val="001562A0"/>
    <w:rsid w:val="002023E2"/>
    <w:rsid w:val="002A42D6"/>
    <w:rsid w:val="00323424"/>
    <w:rsid w:val="004B0A26"/>
    <w:rsid w:val="00525F7B"/>
    <w:rsid w:val="00780F6E"/>
    <w:rsid w:val="00840D7D"/>
    <w:rsid w:val="00BD050F"/>
    <w:rsid w:val="00CA1994"/>
    <w:rsid w:val="00CD772C"/>
    <w:rsid w:val="00E73491"/>
    <w:rsid w:val="00F649E0"/>
    <w:rsid w:val="00F84D1F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0"/>
    <w:pPr>
      <w:spacing w:after="0" w:line="240" w:lineRule="auto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62A0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562A0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1562A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2A0"/>
    <w:pPr>
      <w:ind w:firstLine="70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2A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562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9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A1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94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0"/>
    <w:pPr>
      <w:spacing w:after="0" w:line="240" w:lineRule="auto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62A0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562A0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1562A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2A0"/>
    <w:pPr>
      <w:ind w:firstLine="70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2A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562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9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A1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94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ese.vanag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D3BB-0D59-432E-A31F-050E0BCC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projekta„Grozījums Ministru kabineta 2009.gada 15.decembra noteikumos Nr.1471 „Kārtība, kādā tiek noteikta un ieskaitīta valsts budžetā izmaksājamā peļņas daļa par valsts kapitāla izmantošanu””sākotnējās ietekmes novērtējuma ziņojums (anotācija)</dc:title>
  <dc:subject>anotācija</dc:subject>
  <dc:creator>Finanšu ministrija</dc:creator>
  <cp:keywords/>
  <dc:description>Inese Spalle, inese.spalle@fm.gov.lv</dc:description>
  <cp:lastModifiedBy>inese</cp:lastModifiedBy>
  <cp:revision>6</cp:revision>
  <dcterms:created xsi:type="dcterms:W3CDTF">2010-12-27T10:23:00Z</dcterms:created>
  <dcterms:modified xsi:type="dcterms:W3CDTF">2010-12-28T09:08:00Z</dcterms:modified>
</cp:coreProperties>
</file>