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7F" w:rsidRPr="00585F58" w:rsidRDefault="0083567F" w:rsidP="00E70DBC">
      <w:pPr>
        <w:spacing w:line="20" w:lineRule="atLeast"/>
        <w:jc w:val="center"/>
        <w:rPr>
          <w:rFonts w:cs="Times New Roman"/>
          <w:b/>
          <w:sz w:val="28"/>
          <w:szCs w:val="28"/>
        </w:rPr>
      </w:pPr>
      <w:r w:rsidRPr="00585F58">
        <w:rPr>
          <w:rFonts w:cs="Times New Roman"/>
          <w:b/>
          <w:sz w:val="28"/>
          <w:szCs w:val="28"/>
        </w:rPr>
        <w:t>Infor</w:t>
      </w:r>
      <w:r w:rsidR="00BF53C2" w:rsidRPr="00585F58">
        <w:rPr>
          <w:rFonts w:cs="Times New Roman"/>
          <w:b/>
          <w:sz w:val="28"/>
          <w:szCs w:val="28"/>
        </w:rPr>
        <w:t xml:space="preserve">matīvais ziņojums par </w:t>
      </w:r>
      <w:r w:rsidR="008C591E" w:rsidRPr="00585F58">
        <w:rPr>
          <w:rFonts w:cs="Times New Roman"/>
          <w:b/>
          <w:sz w:val="28"/>
          <w:szCs w:val="28"/>
        </w:rPr>
        <w:t>uzņēmumu ienākuma nodokļa atvieglojumu fiskālo un ekonomisko ietekmi uz tautsaimniecību un to efektivitāti</w:t>
      </w:r>
      <w:r w:rsidRPr="00585F58">
        <w:rPr>
          <w:rFonts w:cs="Times New Roman"/>
          <w:b/>
          <w:sz w:val="28"/>
          <w:szCs w:val="28"/>
        </w:rPr>
        <w:t xml:space="preserve"> </w:t>
      </w:r>
    </w:p>
    <w:p w:rsidR="006965EA" w:rsidRPr="00585F58" w:rsidRDefault="006965EA" w:rsidP="00425BE2">
      <w:pPr>
        <w:spacing w:after="0" w:line="240" w:lineRule="auto"/>
        <w:ind w:firstLine="720"/>
        <w:contextualSpacing/>
        <w:jc w:val="both"/>
        <w:rPr>
          <w:rFonts w:cs="Times New Roman"/>
          <w:szCs w:val="24"/>
        </w:rPr>
      </w:pPr>
      <w:r w:rsidRPr="00585F58">
        <w:rPr>
          <w:rFonts w:cs="Times New Roman"/>
          <w:szCs w:val="24"/>
        </w:rPr>
        <w:t>Atbilstoši Ministru kabineta</w:t>
      </w:r>
      <w:r w:rsidR="00425BE2" w:rsidRPr="00585F58">
        <w:rPr>
          <w:rFonts w:cs="Times New Roman"/>
          <w:szCs w:val="24"/>
        </w:rPr>
        <w:t xml:space="preserve"> 2013.gada 3.janvāra </w:t>
      </w:r>
      <w:r w:rsidR="00D045D8" w:rsidRPr="00585F58">
        <w:rPr>
          <w:rFonts w:cs="Times New Roman"/>
          <w:szCs w:val="24"/>
        </w:rPr>
        <w:t xml:space="preserve">sēdes </w:t>
      </w:r>
      <w:proofErr w:type="spellStart"/>
      <w:r w:rsidR="00D045D8" w:rsidRPr="00585F58">
        <w:rPr>
          <w:rFonts w:cs="Times New Roman"/>
          <w:szCs w:val="24"/>
        </w:rPr>
        <w:t>protokollēmuma</w:t>
      </w:r>
      <w:proofErr w:type="spellEnd"/>
      <w:r w:rsidR="00D045D8" w:rsidRPr="00585F58">
        <w:rPr>
          <w:rFonts w:cs="Times New Roman"/>
          <w:szCs w:val="24"/>
        </w:rPr>
        <w:t xml:space="preserve"> 3.punkta dotajam uzdevumam (</w:t>
      </w:r>
      <w:r w:rsidR="00425BE2" w:rsidRPr="00585F58">
        <w:rPr>
          <w:rFonts w:cs="Times New Roman"/>
          <w:szCs w:val="24"/>
        </w:rPr>
        <w:t>protokola Nr.1 31</w:t>
      </w:r>
      <w:r w:rsidR="00D045D8" w:rsidRPr="00585F58">
        <w:rPr>
          <w:rFonts w:cs="Times New Roman"/>
          <w:szCs w:val="24"/>
        </w:rPr>
        <w:t>.</w:t>
      </w:r>
      <w:r w:rsidR="006B2979" w:rsidRPr="00585F58">
        <w:rPr>
          <w:rFonts w:cs="Times New Roman"/>
          <w:szCs w:val="24"/>
        </w:rPr>
        <w:t>§</w:t>
      </w:r>
      <w:r w:rsidR="00D045D8" w:rsidRPr="00585F58">
        <w:rPr>
          <w:rFonts w:cs="Times New Roman"/>
          <w:szCs w:val="24"/>
        </w:rPr>
        <w:t>)</w:t>
      </w:r>
      <w:r w:rsidR="006B2979" w:rsidRPr="00585F58">
        <w:rPr>
          <w:rFonts w:cs="Times New Roman"/>
          <w:szCs w:val="24"/>
        </w:rPr>
        <w:t xml:space="preserve"> ir sagatavota informācija par </w:t>
      </w:r>
      <w:r w:rsidR="00425BE2" w:rsidRPr="00585F58">
        <w:rPr>
          <w:rFonts w:cs="Times New Roman"/>
          <w:szCs w:val="24"/>
        </w:rPr>
        <w:t>šādu uzņēmumu ienākuma nodokļa (turpmāk - UIN) atvieglojumu fiskālo un ekonomisko ietekmi uz tautsaimniecību un to efektivitāti:</w:t>
      </w:r>
    </w:p>
    <w:p w:rsidR="00425BE2" w:rsidRPr="00585F58" w:rsidRDefault="00425BE2" w:rsidP="001327C6">
      <w:pPr>
        <w:pStyle w:val="ListParagraph"/>
        <w:numPr>
          <w:ilvl w:val="0"/>
          <w:numId w:val="5"/>
        </w:numPr>
        <w:spacing w:after="0" w:line="240" w:lineRule="auto"/>
        <w:jc w:val="both"/>
        <w:rPr>
          <w:rFonts w:cs="Times New Roman"/>
          <w:szCs w:val="24"/>
        </w:rPr>
      </w:pPr>
      <w:r w:rsidRPr="00585F58">
        <w:rPr>
          <w:rFonts w:cs="Times New Roman"/>
          <w:szCs w:val="24"/>
        </w:rPr>
        <w:t>atvieglojuma par jaunajām ražošanas tehnoloģiskajām iekārtām termiņa pagarināšanu līdz 2020.gadam;</w:t>
      </w:r>
    </w:p>
    <w:p w:rsidR="00425BE2" w:rsidRPr="00585F58" w:rsidRDefault="00425BE2" w:rsidP="001327C6">
      <w:pPr>
        <w:pStyle w:val="ListParagraph"/>
        <w:numPr>
          <w:ilvl w:val="0"/>
          <w:numId w:val="5"/>
        </w:numPr>
        <w:spacing w:after="0" w:line="240" w:lineRule="auto"/>
        <w:jc w:val="both"/>
        <w:rPr>
          <w:rFonts w:cs="Times New Roman"/>
          <w:szCs w:val="24"/>
        </w:rPr>
      </w:pPr>
      <w:r w:rsidRPr="00585F58">
        <w:rPr>
          <w:rFonts w:cs="Times New Roman"/>
          <w:szCs w:val="24"/>
        </w:rPr>
        <w:t>atvieglojumu pētniecības un attīstības izmaksām, piemērojot koeficientu 3;</w:t>
      </w:r>
    </w:p>
    <w:p w:rsidR="00425BE2" w:rsidRPr="00585F58" w:rsidRDefault="00425BE2" w:rsidP="001327C6">
      <w:pPr>
        <w:pStyle w:val="ListParagraph"/>
        <w:numPr>
          <w:ilvl w:val="0"/>
          <w:numId w:val="5"/>
        </w:numPr>
        <w:spacing w:after="0" w:line="240" w:lineRule="auto"/>
        <w:jc w:val="both"/>
        <w:rPr>
          <w:rFonts w:cs="Times New Roman"/>
          <w:szCs w:val="24"/>
        </w:rPr>
      </w:pPr>
      <w:r w:rsidRPr="00585F58">
        <w:rPr>
          <w:rFonts w:cs="Times New Roman"/>
          <w:szCs w:val="24"/>
        </w:rPr>
        <w:t>nodokļa atlaides par atbalstāmo investīciju projektiem piemērošanas termiņu pagarināšanu.</w:t>
      </w:r>
    </w:p>
    <w:p w:rsidR="000F2CBE" w:rsidRPr="00585F58" w:rsidRDefault="00545347" w:rsidP="00425BE2">
      <w:pPr>
        <w:spacing w:after="0" w:line="240" w:lineRule="auto"/>
        <w:ind w:firstLine="720"/>
        <w:contextualSpacing/>
        <w:jc w:val="both"/>
        <w:rPr>
          <w:rFonts w:cs="Times New Roman"/>
          <w:szCs w:val="24"/>
        </w:rPr>
      </w:pPr>
      <w:r w:rsidRPr="00585F58">
        <w:rPr>
          <w:rFonts w:cs="Times New Roman"/>
          <w:szCs w:val="24"/>
        </w:rPr>
        <w:t xml:space="preserve">Nodokļu atvieglojumu izvērtēšana sniedz iespēju apzināt valsts nesaņemtos nodokļu ieņēmumus un </w:t>
      </w:r>
      <w:r w:rsidR="00773199" w:rsidRPr="00585F58">
        <w:rPr>
          <w:rFonts w:cs="Times New Roman"/>
          <w:szCs w:val="24"/>
        </w:rPr>
        <w:t xml:space="preserve">aprēķināt sniegto </w:t>
      </w:r>
      <w:r w:rsidRPr="00585F58">
        <w:rPr>
          <w:rFonts w:cs="Times New Roman"/>
          <w:szCs w:val="24"/>
        </w:rPr>
        <w:t>atbalstu attiecīg</w:t>
      </w:r>
      <w:r w:rsidR="007D387B" w:rsidRPr="00585F58">
        <w:rPr>
          <w:rFonts w:cs="Times New Roman"/>
          <w:szCs w:val="24"/>
        </w:rPr>
        <w:t>aj</w:t>
      </w:r>
      <w:r w:rsidRPr="00585F58">
        <w:rPr>
          <w:rFonts w:cs="Times New Roman"/>
          <w:szCs w:val="24"/>
        </w:rPr>
        <w:t xml:space="preserve">ai nodokļu maksātāju grupai. </w:t>
      </w:r>
      <w:r w:rsidR="005E6A49" w:rsidRPr="00585F58">
        <w:rPr>
          <w:rFonts w:cs="Times New Roman"/>
          <w:szCs w:val="24"/>
        </w:rPr>
        <w:t>Jebkurš nodokļu atvieglojums samazina valsts budžetā nomaksāto nodokļu apmēru, sarežģī un sadārdzina nodokļu administrēšanu, līdz ar to ir būtiski pēc noteikta laika perioda izvērtēt šo nodokļu atvieglojumu atbilstību valsts noteiktajām prioritātēm, kā arī to ekonomisko un fiskālo ietekmi uz tautsaimniecību un to efektivitāti.</w:t>
      </w:r>
    </w:p>
    <w:p w:rsidR="00B17AAF" w:rsidRPr="00585F58" w:rsidRDefault="005E6A49" w:rsidP="00C97978">
      <w:pPr>
        <w:spacing w:after="0" w:line="240" w:lineRule="auto"/>
        <w:ind w:firstLine="720"/>
        <w:contextualSpacing/>
        <w:jc w:val="both"/>
        <w:rPr>
          <w:rFonts w:cs="Times New Roman"/>
          <w:szCs w:val="24"/>
        </w:rPr>
      </w:pPr>
      <w:r w:rsidRPr="00585F58">
        <w:rPr>
          <w:rFonts w:cs="Times New Roman"/>
          <w:szCs w:val="24"/>
        </w:rPr>
        <w:t xml:space="preserve">Informatīvais ziņojums sniedz analītisku informāciju par </w:t>
      </w:r>
      <w:r w:rsidR="006B2979" w:rsidRPr="00585F58">
        <w:rPr>
          <w:rFonts w:cs="Times New Roman"/>
          <w:szCs w:val="24"/>
        </w:rPr>
        <w:t xml:space="preserve">iepriekš minēto UIN atvieglojumu </w:t>
      </w:r>
      <w:r w:rsidRPr="00585F58">
        <w:rPr>
          <w:rFonts w:cs="Times New Roman"/>
          <w:szCs w:val="24"/>
        </w:rPr>
        <w:t xml:space="preserve">fiskālo un ekonomisko ietekmi, kā arī to </w:t>
      </w:r>
      <w:r w:rsidR="006B2979" w:rsidRPr="00585F58">
        <w:rPr>
          <w:rFonts w:cs="Times New Roman"/>
          <w:szCs w:val="24"/>
        </w:rPr>
        <w:t xml:space="preserve">efektivitāti. Tajā minētie secinājumi un priekšlikumi var tikt izmantoti turpmākās nodokļu politikas </w:t>
      </w:r>
      <w:r w:rsidR="00C97978" w:rsidRPr="00585F58">
        <w:rPr>
          <w:rFonts w:cs="Times New Roman"/>
          <w:szCs w:val="24"/>
        </w:rPr>
        <w:t>veidošanā un lēmumu pieņemšanā.</w:t>
      </w:r>
    </w:p>
    <w:p w:rsidR="008606E2" w:rsidRPr="00585F58" w:rsidRDefault="008606E2" w:rsidP="00C97978">
      <w:pPr>
        <w:spacing w:after="0" w:line="240" w:lineRule="auto"/>
        <w:ind w:firstLine="720"/>
        <w:contextualSpacing/>
        <w:jc w:val="both"/>
        <w:rPr>
          <w:rFonts w:cs="Times New Roman"/>
          <w:szCs w:val="24"/>
        </w:rPr>
      </w:pPr>
    </w:p>
    <w:p w:rsidR="00C97978" w:rsidRPr="00585F58" w:rsidRDefault="00C97978" w:rsidP="00C97978">
      <w:pPr>
        <w:spacing w:after="0" w:line="240" w:lineRule="auto"/>
        <w:ind w:firstLine="720"/>
        <w:contextualSpacing/>
        <w:jc w:val="both"/>
        <w:rPr>
          <w:rFonts w:cs="Times New Roman"/>
          <w:szCs w:val="24"/>
        </w:rPr>
      </w:pPr>
    </w:p>
    <w:p w:rsidR="00962D22" w:rsidRPr="00585F58" w:rsidRDefault="000921E3" w:rsidP="001327C6">
      <w:pPr>
        <w:pStyle w:val="ListParagraph"/>
        <w:numPr>
          <w:ilvl w:val="0"/>
          <w:numId w:val="4"/>
        </w:numPr>
        <w:spacing w:line="20" w:lineRule="atLeast"/>
        <w:rPr>
          <w:rFonts w:cs="Times New Roman"/>
          <w:b/>
          <w:sz w:val="28"/>
          <w:szCs w:val="28"/>
          <w:u w:val="single"/>
        </w:rPr>
      </w:pPr>
      <w:r w:rsidRPr="00585F58">
        <w:rPr>
          <w:rFonts w:cs="Times New Roman"/>
          <w:b/>
          <w:sz w:val="28"/>
          <w:szCs w:val="28"/>
          <w:u w:val="single"/>
        </w:rPr>
        <w:t xml:space="preserve">Nodokļu atvieglojumu pielietojums un pārskatīšana </w:t>
      </w:r>
    </w:p>
    <w:p w:rsidR="004B0492" w:rsidRPr="00585F58" w:rsidRDefault="004B0492" w:rsidP="009837A7">
      <w:pPr>
        <w:pStyle w:val="ListParagraph"/>
        <w:spacing w:line="20" w:lineRule="atLeast"/>
        <w:ind w:left="142"/>
        <w:rPr>
          <w:rFonts w:cs="Times New Roman"/>
          <w:b/>
          <w:szCs w:val="24"/>
          <w:u w:val="single"/>
        </w:rPr>
      </w:pPr>
    </w:p>
    <w:p w:rsidR="008606E2" w:rsidRPr="00585F58" w:rsidRDefault="00B43B73" w:rsidP="001327C6">
      <w:pPr>
        <w:pStyle w:val="ListParagraph"/>
        <w:numPr>
          <w:ilvl w:val="1"/>
          <w:numId w:val="4"/>
        </w:numPr>
        <w:spacing w:line="20" w:lineRule="atLeast"/>
        <w:ind w:left="714" w:hanging="357"/>
        <w:rPr>
          <w:rFonts w:cs="Times New Roman"/>
          <w:b/>
          <w:szCs w:val="24"/>
          <w:u w:val="single"/>
        </w:rPr>
      </w:pPr>
      <w:r w:rsidRPr="00585F58">
        <w:rPr>
          <w:rFonts w:cs="Times New Roman"/>
          <w:b/>
          <w:szCs w:val="24"/>
        </w:rPr>
        <w:t xml:space="preserve"> </w:t>
      </w:r>
      <w:r w:rsidRPr="00585F58">
        <w:rPr>
          <w:rFonts w:cs="Times New Roman"/>
          <w:b/>
          <w:szCs w:val="24"/>
          <w:u w:val="single"/>
        </w:rPr>
        <w:t>Būtība</w:t>
      </w:r>
    </w:p>
    <w:p w:rsidR="008606E2" w:rsidRPr="00585F58" w:rsidRDefault="008606E2" w:rsidP="008606E2">
      <w:pPr>
        <w:pStyle w:val="ListParagraph"/>
        <w:spacing w:line="20" w:lineRule="atLeast"/>
        <w:ind w:left="714"/>
        <w:rPr>
          <w:rFonts w:cs="Times New Roman"/>
          <w:b/>
          <w:szCs w:val="24"/>
          <w:u w:val="single"/>
        </w:rPr>
      </w:pPr>
    </w:p>
    <w:p w:rsidR="00962D22" w:rsidRPr="00585F58" w:rsidRDefault="00962D22" w:rsidP="007534DB">
      <w:pPr>
        <w:pStyle w:val="ListParagraph"/>
        <w:spacing w:line="20" w:lineRule="atLeast"/>
        <w:ind w:left="0" w:firstLine="720"/>
        <w:jc w:val="both"/>
        <w:rPr>
          <w:rFonts w:cs="Times New Roman"/>
          <w:szCs w:val="24"/>
        </w:rPr>
      </w:pPr>
      <w:r w:rsidRPr="00585F58">
        <w:rPr>
          <w:rFonts w:cs="Times New Roman"/>
          <w:szCs w:val="24"/>
        </w:rPr>
        <w:t>Par nodokļu atvieglojumu var uzskatīt jebkuras novirzes no attiecīgās valsts noteiktā vispārējā nodokļu režīm</w:t>
      </w:r>
      <w:r w:rsidR="00952D65" w:rsidRPr="00585F58">
        <w:rPr>
          <w:rFonts w:cs="Times New Roman"/>
          <w:szCs w:val="24"/>
        </w:rPr>
        <w:t>a, kas kādam nodokļu maksātājam (maksātāju grupai) paredz</w:t>
      </w:r>
      <w:r w:rsidR="00F95AEC" w:rsidRPr="00585F58">
        <w:rPr>
          <w:rFonts w:cs="Times New Roman"/>
          <w:szCs w:val="24"/>
        </w:rPr>
        <w:t xml:space="preserve"> nodokļa sloga samazinājumu vai</w:t>
      </w:r>
      <w:r w:rsidR="00952D65" w:rsidRPr="00585F58">
        <w:rPr>
          <w:rFonts w:cs="Times New Roman"/>
          <w:szCs w:val="24"/>
        </w:rPr>
        <w:t xml:space="preserve"> izdevīgāku nodokļa nomaksas kārtību, vadoties pēc kritērija, ka nodokļu maksātājs (to grupa) atbilst nodokļu likumā noteiktai pazīmei (ienākumu apmērs, ģimenes stāvoklis, saimnieciskās darbības veids, reģions).</w:t>
      </w:r>
    </w:p>
    <w:p w:rsidR="0060037F" w:rsidRPr="00585F58" w:rsidRDefault="00511A09" w:rsidP="007534DB">
      <w:pPr>
        <w:pStyle w:val="ListParagraph"/>
        <w:spacing w:line="20" w:lineRule="atLeast"/>
        <w:ind w:left="0" w:firstLine="720"/>
        <w:jc w:val="both"/>
        <w:rPr>
          <w:rFonts w:cs="Times New Roman"/>
          <w:szCs w:val="24"/>
        </w:rPr>
      </w:pPr>
      <w:r w:rsidRPr="00585F58">
        <w:rPr>
          <w:rFonts w:cs="Times New Roman"/>
          <w:szCs w:val="24"/>
        </w:rPr>
        <w:t>Precīzi mērķēti</w:t>
      </w:r>
      <w:r w:rsidR="00D82C89" w:rsidRPr="00585F58">
        <w:rPr>
          <w:rFonts w:cs="Times New Roman"/>
          <w:szCs w:val="24"/>
        </w:rPr>
        <w:t xml:space="preserve"> n</w:t>
      </w:r>
      <w:r w:rsidR="0060037F" w:rsidRPr="00585F58">
        <w:rPr>
          <w:rFonts w:cs="Times New Roman"/>
          <w:szCs w:val="24"/>
        </w:rPr>
        <w:t xml:space="preserve">odokļu atvieglojumi </w:t>
      </w:r>
      <w:r w:rsidR="002C0EAD" w:rsidRPr="00585F58">
        <w:rPr>
          <w:rFonts w:cs="Times New Roman"/>
          <w:szCs w:val="24"/>
        </w:rPr>
        <w:t>var būtiski palielināt</w:t>
      </w:r>
      <w:r w:rsidR="0060037F" w:rsidRPr="00585F58">
        <w:rPr>
          <w:rFonts w:cs="Times New Roman"/>
          <w:szCs w:val="24"/>
        </w:rPr>
        <w:t xml:space="preserve"> valsts konkurētspēju investīciju piesaistes jomā, jo </w:t>
      </w:r>
      <w:r w:rsidR="00D923F0" w:rsidRPr="00585F58">
        <w:rPr>
          <w:rFonts w:cs="Times New Roman"/>
          <w:szCs w:val="24"/>
        </w:rPr>
        <w:t>viens no faktoriem, kas ietekmē investoru izvēli veikt ieguldījumus konkrētā valstī</w:t>
      </w:r>
      <w:r w:rsidR="00B31B28" w:rsidRPr="00585F58">
        <w:rPr>
          <w:rFonts w:cs="Times New Roman"/>
          <w:szCs w:val="24"/>
        </w:rPr>
        <w:t>,</w:t>
      </w:r>
      <w:r w:rsidR="00D923F0" w:rsidRPr="00585F58">
        <w:rPr>
          <w:rFonts w:cs="Times New Roman"/>
          <w:szCs w:val="24"/>
        </w:rPr>
        <w:t xml:space="preserve"> ir izdevīgākā nodokļu politika</w:t>
      </w:r>
      <w:r w:rsidR="0060037F" w:rsidRPr="00585F58">
        <w:rPr>
          <w:rFonts w:cs="Times New Roman"/>
          <w:szCs w:val="24"/>
        </w:rPr>
        <w:t>, lai uzņēmumu rīcībā paliktu lielāka peļņas daļa, kas sekmētu ātrāku investīciju atdevi.</w:t>
      </w:r>
    </w:p>
    <w:p w:rsidR="00952D65" w:rsidRPr="00585F58" w:rsidRDefault="00952D65" w:rsidP="007534DB">
      <w:pPr>
        <w:pStyle w:val="ListParagraph"/>
        <w:spacing w:line="20" w:lineRule="atLeast"/>
        <w:ind w:left="0" w:firstLine="720"/>
        <w:jc w:val="both"/>
        <w:rPr>
          <w:rFonts w:cs="Times New Roman"/>
          <w:szCs w:val="24"/>
        </w:rPr>
      </w:pPr>
      <w:r w:rsidRPr="00585F58">
        <w:rPr>
          <w:rFonts w:cs="Times New Roman"/>
          <w:szCs w:val="24"/>
        </w:rPr>
        <w:t>Starptautisk</w:t>
      </w:r>
      <w:r w:rsidR="007534DB" w:rsidRPr="00585F58">
        <w:rPr>
          <w:rFonts w:cs="Times New Roman"/>
          <w:szCs w:val="24"/>
        </w:rPr>
        <w:t>aj</w:t>
      </w:r>
      <w:r w:rsidRPr="00585F58">
        <w:rPr>
          <w:rFonts w:cs="Times New Roman"/>
          <w:szCs w:val="24"/>
        </w:rPr>
        <w:t xml:space="preserve">ā praksē izmanto plašāku nodokļu atvieglojumu apzīmējumu „nodokļu izdevumi” </w:t>
      </w:r>
      <w:r w:rsidR="007B125F" w:rsidRPr="00585F58">
        <w:rPr>
          <w:rFonts w:cs="Times New Roman"/>
          <w:i/>
          <w:szCs w:val="24"/>
        </w:rPr>
        <w:t>(</w:t>
      </w:r>
      <w:proofErr w:type="spellStart"/>
      <w:r w:rsidR="007B125F" w:rsidRPr="00585F58">
        <w:rPr>
          <w:rFonts w:cs="Times New Roman"/>
          <w:i/>
          <w:szCs w:val="24"/>
        </w:rPr>
        <w:t>angl</w:t>
      </w:r>
      <w:proofErr w:type="spellEnd"/>
      <w:r w:rsidR="007B125F" w:rsidRPr="00585F58">
        <w:rPr>
          <w:rFonts w:cs="Times New Roman"/>
          <w:i/>
          <w:szCs w:val="24"/>
        </w:rPr>
        <w:t>.</w:t>
      </w:r>
      <w:r w:rsidRPr="00585F58">
        <w:rPr>
          <w:rFonts w:cs="Times New Roman"/>
          <w:i/>
          <w:szCs w:val="24"/>
        </w:rPr>
        <w:t xml:space="preserve"> </w:t>
      </w:r>
      <w:proofErr w:type="spellStart"/>
      <w:r w:rsidRPr="00585F58">
        <w:rPr>
          <w:rFonts w:cs="Times New Roman"/>
          <w:i/>
          <w:szCs w:val="24"/>
        </w:rPr>
        <w:t>tax</w:t>
      </w:r>
      <w:proofErr w:type="spellEnd"/>
      <w:r w:rsidRPr="00585F58">
        <w:rPr>
          <w:rFonts w:cs="Times New Roman"/>
          <w:i/>
          <w:szCs w:val="24"/>
        </w:rPr>
        <w:t xml:space="preserve"> </w:t>
      </w:r>
      <w:proofErr w:type="spellStart"/>
      <w:r w:rsidRPr="00585F58">
        <w:rPr>
          <w:rFonts w:cs="Times New Roman"/>
          <w:i/>
          <w:szCs w:val="24"/>
        </w:rPr>
        <w:t>expenditures</w:t>
      </w:r>
      <w:proofErr w:type="spellEnd"/>
      <w:r w:rsidRPr="00585F58">
        <w:rPr>
          <w:rFonts w:cs="Times New Roman"/>
          <w:i/>
          <w:szCs w:val="24"/>
        </w:rPr>
        <w:t>)</w:t>
      </w:r>
      <w:r w:rsidR="007534DB" w:rsidRPr="00585F58">
        <w:rPr>
          <w:rFonts w:cs="Times New Roman"/>
          <w:i/>
          <w:szCs w:val="24"/>
        </w:rPr>
        <w:t xml:space="preserve"> </w:t>
      </w:r>
      <w:r w:rsidR="002C0EAD" w:rsidRPr="00585F58">
        <w:rPr>
          <w:rFonts w:cs="Times New Roman"/>
          <w:i/>
          <w:szCs w:val="24"/>
        </w:rPr>
        <w:t>–</w:t>
      </w:r>
      <w:r w:rsidR="009E101D" w:rsidRPr="00585F58">
        <w:rPr>
          <w:rFonts w:cs="Times New Roman"/>
          <w:i/>
          <w:szCs w:val="24"/>
        </w:rPr>
        <w:t xml:space="preserve"> </w:t>
      </w:r>
      <w:r w:rsidR="00E65B24" w:rsidRPr="00585F58">
        <w:rPr>
          <w:rFonts w:cs="Times New Roman"/>
          <w:szCs w:val="24"/>
        </w:rPr>
        <w:t>valsts</w:t>
      </w:r>
      <w:r w:rsidR="002C0EAD" w:rsidRPr="00585F58">
        <w:rPr>
          <w:rFonts w:cs="Times New Roman"/>
          <w:szCs w:val="24"/>
        </w:rPr>
        <w:t xml:space="preserve"> </w:t>
      </w:r>
      <w:r w:rsidR="003974EE" w:rsidRPr="00585F58">
        <w:rPr>
          <w:rFonts w:cs="Times New Roman"/>
          <w:szCs w:val="24"/>
        </w:rPr>
        <w:t xml:space="preserve">izdevumi </w:t>
      </w:r>
      <w:r w:rsidR="00511A09" w:rsidRPr="00585F58">
        <w:rPr>
          <w:rFonts w:cs="Times New Roman"/>
          <w:szCs w:val="24"/>
        </w:rPr>
        <w:t xml:space="preserve">jeb </w:t>
      </w:r>
      <w:r w:rsidR="003974EE" w:rsidRPr="00585F58">
        <w:rPr>
          <w:rFonts w:cs="Times New Roman"/>
          <w:szCs w:val="24"/>
        </w:rPr>
        <w:t xml:space="preserve">nesaņemtie </w:t>
      </w:r>
      <w:r w:rsidR="00E65B24" w:rsidRPr="00585F58">
        <w:rPr>
          <w:rFonts w:cs="Times New Roman"/>
          <w:szCs w:val="24"/>
        </w:rPr>
        <w:t>ieņēmumi nodokļa atvieglojumu</w:t>
      </w:r>
      <w:r w:rsidR="003974EE" w:rsidRPr="00585F58">
        <w:rPr>
          <w:rFonts w:cs="Times New Roman"/>
          <w:szCs w:val="24"/>
        </w:rPr>
        <w:t xml:space="preserve"> pastā</w:t>
      </w:r>
      <w:r w:rsidR="00E65B24" w:rsidRPr="00585F58">
        <w:rPr>
          <w:rFonts w:cs="Times New Roman"/>
          <w:szCs w:val="24"/>
        </w:rPr>
        <w:t>vēšanas</w:t>
      </w:r>
      <w:r w:rsidR="005E5C4A" w:rsidRPr="00585F58">
        <w:rPr>
          <w:rFonts w:cs="Times New Roman"/>
          <w:szCs w:val="24"/>
        </w:rPr>
        <w:t xml:space="preserve"> dēļ</w:t>
      </w:r>
      <w:r w:rsidR="00D82C89" w:rsidRPr="00585F58">
        <w:rPr>
          <w:rFonts w:cs="Times New Roman"/>
          <w:szCs w:val="24"/>
        </w:rPr>
        <w:t xml:space="preserve">. </w:t>
      </w:r>
      <w:r w:rsidRPr="00585F58">
        <w:rPr>
          <w:rFonts w:cs="Times New Roman"/>
          <w:szCs w:val="24"/>
        </w:rPr>
        <w:t>Ar nodokļu izdevumiem saprot jebkuras tiesību aktu normas</w:t>
      </w:r>
      <w:r w:rsidR="00F95AEC" w:rsidRPr="00585F58">
        <w:rPr>
          <w:rFonts w:cs="Times New Roman"/>
          <w:szCs w:val="24"/>
        </w:rPr>
        <w:t xml:space="preserve"> vai praksi, kas samazina nodok</w:t>
      </w:r>
      <w:r w:rsidR="003974EE" w:rsidRPr="00585F58">
        <w:rPr>
          <w:rFonts w:cs="Times New Roman"/>
          <w:szCs w:val="24"/>
        </w:rPr>
        <w:t>ļu maks</w:t>
      </w:r>
      <w:r w:rsidR="00F95AEC" w:rsidRPr="00585F58">
        <w:rPr>
          <w:rFonts w:cs="Times New Roman"/>
          <w:szCs w:val="24"/>
        </w:rPr>
        <w:t xml:space="preserve">ājumus kādai nodokļu maksātāju grupai salīdzinājumā ar nodokļa </w:t>
      </w:r>
      <w:r w:rsidR="007534DB" w:rsidRPr="00585F58">
        <w:rPr>
          <w:rFonts w:cs="Times New Roman"/>
          <w:szCs w:val="24"/>
        </w:rPr>
        <w:t>pamatlikmi.</w:t>
      </w:r>
      <w:r w:rsidR="007B125F" w:rsidRPr="00585F58">
        <w:rPr>
          <w:rFonts w:cs="Times New Roman"/>
          <w:szCs w:val="24"/>
        </w:rPr>
        <w:t xml:space="preserve"> </w:t>
      </w:r>
      <w:r w:rsidR="003974EE" w:rsidRPr="00585F58">
        <w:rPr>
          <w:rFonts w:cs="Times New Roman"/>
          <w:szCs w:val="24"/>
        </w:rPr>
        <w:t>Tā kā nodokļu izdevumi nav faktiski budžeta izdevumi, tad izdevumu apmērs ir nosacīts, pieņemot novērtējumu par maksājumiem vispārīgā gadījumā (</w:t>
      </w:r>
      <w:r w:rsidR="00AA2831" w:rsidRPr="00585F58">
        <w:rPr>
          <w:rFonts w:cs="Times New Roman"/>
          <w:szCs w:val="24"/>
        </w:rPr>
        <w:t>ESAO</w:t>
      </w:r>
      <w:r w:rsidR="003974EE" w:rsidRPr="00585F58">
        <w:rPr>
          <w:rFonts w:cs="Times New Roman"/>
          <w:szCs w:val="24"/>
        </w:rPr>
        <w:t>, 2010).</w:t>
      </w:r>
      <w:r w:rsidR="007B125F" w:rsidRPr="00585F58">
        <w:rPr>
          <w:rStyle w:val="FootnoteReference"/>
          <w:rFonts w:cs="Times New Roman"/>
          <w:szCs w:val="24"/>
        </w:rPr>
        <w:footnoteReference w:id="1"/>
      </w:r>
    </w:p>
    <w:p w:rsidR="00F95AEC" w:rsidRPr="00585F58" w:rsidRDefault="00F95AEC" w:rsidP="00EF4314">
      <w:pPr>
        <w:pStyle w:val="ListParagraph"/>
        <w:spacing w:line="20" w:lineRule="atLeast"/>
        <w:ind w:left="0" w:firstLine="720"/>
        <w:jc w:val="both"/>
        <w:rPr>
          <w:rFonts w:cs="Times New Roman"/>
          <w:szCs w:val="24"/>
        </w:rPr>
      </w:pPr>
      <w:r w:rsidRPr="00585F58">
        <w:rPr>
          <w:rFonts w:cs="Times New Roman"/>
          <w:szCs w:val="24"/>
        </w:rPr>
        <w:lastRenderedPageBreak/>
        <w:t xml:space="preserve">Nodokļu izdevumiem var būt dažādas formas: izņēmumi </w:t>
      </w:r>
      <w:r w:rsidR="007534DB" w:rsidRPr="00585F58">
        <w:rPr>
          <w:rFonts w:cs="Times New Roman"/>
          <w:szCs w:val="24"/>
        </w:rPr>
        <w:t xml:space="preserve">ar nodokli </w:t>
      </w:r>
      <w:r w:rsidRPr="00585F58">
        <w:rPr>
          <w:rFonts w:cs="Times New Roman"/>
          <w:szCs w:val="24"/>
        </w:rPr>
        <w:t>apliekamajā bāzē, ar nodok</w:t>
      </w:r>
      <w:r w:rsidR="007534DB" w:rsidRPr="00585F58">
        <w:rPr>
          <w:rFonts w:cs="Times New Roman"/>
          <w:szCs w:val="24"/>
        </w:rPr>
        <w:t xml:space="preserve">li neapliekamā bāzes daļa (piemēram, </w:t>
      </w:r>
      <w:r w:rsidRPr="00585F58">
        <w:rPr>
          <w:rFonts w:cs="Times New Roman"/>
          <w:szCs w:val="24"/>
        </w:rPr>
        <w:t xml:space="preserve">neapliekamais minimums), samazinātas likmes, atlikts </w:t>
      </w:r>
      <w:r w:rsidR="007534DB" w:rsidRPr="00585F58">
        <w:rPr>
          <w:rFonts w:cs="Times New Roman"/>
          <w:szCs w:val="24"/>
        </w:rPr>
        <w:t xml:space="preserve">nodokļa </w:t>
      </w:r>
      <w:r w:rsidRPr="00585F58">
        <w:rPr>
          <w:rFonts w:cs="Times New Roman"/>
          <w:szCs w:val="24"/>
        </w:rPr>
        <w:t>maksājums vai samazinājums nodokļu saistībās.</w:t>
      </w:r>
    </w:p>
    <w:p w:rsidR="00B17AAF" w:rsidRPr="00585F58" w:rsidRDefault="00B17AAF" w:rsidP="00EF4314">
      <w:pPr>
        <w:pStyle w:val="ListParagraph"/>
        <w:spacing w:line="20" w:lineRule="atLeast"/>
        <w:ind w:left="0" w:firstLine="720"/>
        <w:jc w:val="both"/>
        <w:rPr>
          <w:rFonts w:cs="Times New Roman"/>
          <w:szCs w:val="24"/>
        </w:rPr>
      </w:pPr>
    </w:p>
    <w:p w:rsidR="006976E4" w:rsidRPr="00585F58" w:rsidRDefault="00E65B24" w:rsidP="001327C6">
      <w:pPr>
        <w:pStyle w:val="ListParagraph"/>
        <w:numPr>
          <w:ilvl w:val="1"/>
          <w:numId w:val="4"/>
        </w:numPr>
        <w:spacing w:line="20" w:lineRule="atLeast"/>
        <w:ind w:left="714" w:hanging="357"/>
        <w:rPr>
          <w:rFonts w:cs="Times New Roman"/>
          <w:b/>
          <w:szCs w:val="24"/>
          <w:u w:val="single"/>
        </w:rPr>
      </w:pPr>
      <w:r w:rsidRPr="00585F58">
        <w:rPr>
          <w:rFonts w:cs="Times New Roman"/>
          <w:b/>
          <w:szCs w:val="24"/>
        </w:rPr>
        <w:t xml:space="preserve"> </w:t>
      </w:r>
      <w:r w:rsidR="006976E4" w:rsidRPr="00585F58">
        <w:rPr>
          <w:rFonts w:cs="Times New Roman"/>
          <w:b/>
          <w:szCs w:val="24"/>
          <w:u w:val="single"/>
        </w:rPr>
        <w:t>Atvieglojumu piemērošanas priekšrocības un trūkumi</w:t>
      </w:r>
    </w:p>
    <w:p w:rsidR="006976E4" w:rsidRPr="00585F58" w:rsidRDefault="006976E4" w:rsidP="006976E4">
      <w:pPr>
        <w:spacing w:line="20" w:lineRule="atLeast"/>
        <w:ind w:firstLine="720"/>
        <w:contextualSpacing/>
        <w:jc w:val="both"/>
        <w:rPr>
          <w:rFonts w:cs="Times New Roman"/>
        </w:rPr>
      </w:pPr>
      <w:r w:rsidRPr="00585F58">
        <w:rPr>
          <w:rFonts w:cs="Times New Roman"/>
          <w:szCs w:val="24"/>
        </w:rPr>
        <w:t xml:space="preserve">Nodokļu atvieglojumi bieži vien ir radīti, lai zināmā mērā </w:t>
      </w:r>
      <w:r w:rsidRPr="00585F58">
        <w:rPr>
          <w:rFonts w:cs="Times New Roman"/>
          <w:b/>
          <w:szCs w:val="24"/>
        </w:rPr>
        <w:t>kompensētu augstās likmes</w:t>
      </w:r>
      <w:r w:rsidRPr="00585F58">
        <w:rPr>
          <w:rFonts w:cs="Times New Roman"/>
          <w:szCs w:val="24"/>
        </w:rPr>
        <w:t xml:space="preserve"> dažādu nodokļu kategorijās. </w:t>
      </w:r>
      <w:r w:rsidRPr="00585F58">
        <w:rPr>
          <w:rFonts w:cs="Times New Roman"/>
        </w:rPr>
        <w:t>Nodokļu atvieglojumi ir racionāla un laba atbilde nodokļu konkurencei, jo tie ļauj apvienot konkurētspējīgu nodokļu sistēmu mobilajam kapitālam, pi</w:t>
      </w:r>
      <w:r w:rsidR="007D387B" w:rsidRPr="00585F58">
        <w:rPr>
          <w:rFonts w:cs="Times New Roman"/>
        </w:rPr>
        <w:t>emērojot augstākas likmes pārējie</w:t>
      </w:r>
      <w:r w:rsidRPr="00585F58">
        <w:rPr>
          <w:rFonts w:cs="Times New Roman"/>
        </w:rPr>
        <w:t xml:space="preserve">m </w:t>
      </w:r>
      <w:r w:rsidR="003607F6" w:rsidRPr="00585F58">
        <w:rPr>
          <w:rFonts w:cs="Times New Roman"/>
        </w:rPr>
        <w:t>ražošanas faktoriem</w:t>
      </w:r>
      <w:r w:rsidRPr="00585F58">
        <w:rPr>
          <w:rFonts w:cs="Times New Roman"/>
        </w:rPr>
        <w:t xml:space="preserve">. </w:t>
      </w:r>
      <w:r w:rsidRPr="00585F58">
        <w:rPr>
          <w:rFonts w:cs="Times New Roman"/>
          <w:szCs w:val="24"/>
        </w:rPr>
        <w:t xml:space="preserve">Tāpat UIN atvieglojumi </w:t>
      </w:r>
      <w:r w:rsidR="007A15EF" w:rsidRPr="00585F58">
        <w:rPr>
          <w:rFonts w:cs="Times New Roman"/>
          <w:szCs w:val="24"/>
        </w:rPr>
        <w:t xml:space="preserve">var </w:t>
      </w:r>
      <w:r w:rsidRPr="00585F58">
        <w:rPr>
          <w:rFonts w:cs="Times New Roman"/>
          <w:szCs w:val="24"/>
        </w:rPr>
        <w:t>tik</w:t>
      </w:r>
      <w:r w:rsidR="007A15EF" w:rsidRPr="00585F58">
        <w:rPr>
          <w:rFonts w:cs="Times New Roman"/>
          <w:szCs w:val="24"/>
        </w:rPr>
        <w:t>t</w:t>
      </w:r>
      <w:r w:rsidRPr="00585F58">
        <w:rPr>
          <w:rFonts w:cs="Times New Roman"/>
          <w:szCs w:val="24"/>
        </w:rPr>
        <w:t xml:space="preserve"> ieviesti arī sociālajiem mērķiem, atbalstam dažādām nozarēm vai </w:t>
      </w:r>
      <w:r w:rsidRPr="00585F58">
        <w:rPr>
          <w:rFonts w:cs="Times New Roman"/>
        </w:rPr>
        <w:t>ekonomiskās aktivitātes veicināšanai dažādos reģionos.</w:t>
      </w:r>
    </w:p>
    <w:p w:rsidR="006976E4" w:rsidRPr="00585F58" w:rsidRDefault="006976E4" w:rsidP="006976E4">
      <w:pPr>
        <w:spacing w:line="20" w:lineRule="atLeast"/>
        <w:ind w:firstLine="720"/>
        <w:contextualSpacing/>
        <w:jc w:val="both"/>
        <w:rPr>
          <w:rFonts w:cs="Times New Roman"/>
          <w:b/>
        </w:rPr>
      </w:pPr>
      <w:r w:rsidRPr="00585F58">
        <w:rPr>
          <w:rFonts w:cs="Times New Roman"/>
          <w:szCs w:val="24"/>
        </w:rPr>
        <w:t xml:space="preserve">Citi nodokļu atvieglojumu </w:t>
      </w:r>
      <w:r w:rsidR="002C0EAD" w:rsidRPr="00585F58">
        <w:rPr>
          <w:rFonts w:cs="Times New Roman"/>
          <w:szCs w:val="24"/>
        </w:rPr>
        <w:t xml:space="preserve">pastāvēšanas </w:t>
      </w:r>
      <w:r w:rsidRPr="00585F58">
        <w:rPr>
          <w:rFonts w:cs="Times New Roman"/>
          <w:szCs w:val="24"/>
        </w:rPr>
        <w:t xml:space="preserve">būtiskie faktori ir </w:t>
      </w:r>
      <w:r w:rsidRPr="00585F58">
        <w:rPr>
          <w:rFonts w:cs="Times New Roman"/>
          <w:b/>
          <w:szCs w:val="24"/>
        </w:rPr>
        <w:t xml:space="preserve">tirgus nepilnību labošana, ienākumu pārdales veicināšana, atsevišķu nozaru un reģionu ekonomiskā stimulēšana, kā arī </w:t>
      </w:r>
      <w:r w:rsidR="007A15EF" w:rsidRPr="00585F58">
        <w:rPr>
          <w:rFonts w:cs="Times New Roman"/>
          <w:b/>
          <w:szCs w:val="24"/>
        </w:rPr>
        <w:t xml:space="preserve">nodokļu </w:t>
      </w:r>
      <w:r w:rsidRPr="00585F58">
        <w:rPr>
          <w:rFonts w:cs="Times New Roman"/>
          <w:b/>
          <w:szCs w:val="24"/>
        </w:rPr>
        <w:t>sloga samazināšana</w:t>
      </w:r>
      <w:r w:rsidR="007A15EF" w:rsidRPr="00585F58">
        <w:rPr>
          <w:rFonts w:cs="Times New Roman"/>
          <w:b/>
          <w:szCs w:val="24"/>
        </w:rPr>
        <w:t xml:space="preserve"> atsevišķām nodokļu maksātāju grupām</w:t>
      </w:r>
      <w:r w:rsidRPr="00585F58">
        <w:rPr>
          <w:rFonts w:cs="Times New Roman"/>
          <w:b/>
          <w:szCs w:val="24"/>
        </w:rPr>
        <w:t>.</w:t>
      </w:r>
    </w:p>
    <w:p w:rsidR="006976E4" w:rsidRPr="00585F58" w:rsidRDefault="006976E4" w:rsidP="006976E4">
      <w:pPr>
        <w:spacing w:line="20" w:lineRule="atLeast"/>
        <w:ind w:firstLine="720"/>
        <w:contextualSpacing/>
        <w:jc w:val="both"/>
        <w:rPr>
          <w:rFonts w:cs="Times New Roman"/>
        </w:rPr>
      </w:pPr>
      <w:r w:rsidRPr="00585F58">
        <w:rPr>
          <w:rFonts w:cs="Times New Roman"/>
        </w:rPr>
        <w:t>Kā jau iepriekš minēts, viens no būtiskākajiem uzņēmējdarbības attīstības faktoriem ir jaunu investīciju piesaistīšana, tāpēc liela daļa UIN atvieglojumu ir radīti ar mērķi veicināt investīcijas kādā konkrētā uzņēmējdarbības jomā</w:t>
      </w:r>
      <w:r w:rsidR="007A15EF" w:rsidRPr="00585F58">
        <w:rPr>
          <w:rFonts w:cs="Times New Roman"/>
        </w:rPr>
        <w:t xml:space="preserve"> </w:t>
      </w:r>
      <w:r w:rsidR="001915DD" w:rsidRPr="00585F58">
        <w:rPr>
          <w:rFonts w:cs="Times New Roman"/>
        </w:rPr>
        <w:t xml:space="preserve">vai </w:t>
      </w:r>
      <w:r w:rsidRPr="00585F58">
        <w:rPr>
          <w:rFonts w:cs="Times New Roman"/>
        </w:rPr>
        <w:t xml:space="preserve">valsts ekonomikā kopumā. </w:t>
      </w:r>
    </w:p>
    <w:p w:rsidR="006976E4" w:rsidRPr="00585F58" w:rsidRDefault="006976E4" w:rsidP="006976E4">
      <w:pPr>
        <w:spacing w:line="20" w:lineRule="atLeast"/>
        <w:ind w:firstLine="720"/>
        <w:contextualSpacing/>
        <w:jc w:val="both"/>
        <w:rPr>
          <w:rFonts w:cs="Times New Roman"/>
        </w:rPr>
      </w:pPr>
      <w:r w:rsidRPr="00585F58">
        <w:rPr>
          <w:rFonts w:cs="Times New Roman"/>
        </w:rPr>
        <w:t xml:space="preserve">Šajā gadījumā ir nepieciešams sabalansēt nodokļu atvieglojumus ar iespējamo </w:t>
      </w:r>
      <w:r w:rsidR="007A15EF" w:rsidRPr="00585F58">
        <w:rPr>
          <w:rFonts w:cs="Times New Roman"/>
        </w:rPr>
        <w:t xml:space="preserve">ieguvumu no </w:t>
      </w:r>
      <w:r w:rsidRPr="00585F58">
        <w:rPr>
          <w:rFonts w:cs="Times New Roman"/>
        </w:rPr>
        <w:t>investīciju atde</w:t>
      </w:r>
      <w:r w:rsidR="007A15EF" w:rsidRPr="00585F58">
        <w:rPr>
          <w:rFonts w:cs="Times New Roman"/>
        </w:rPr>
        <w:t>ves</w:t>
      </w:r>
      <w:r w:rsidRPr="00585F58">
        <w:rPr>
          <w:rFonts w:cs="Times New Roman"/>
        </w:rPr>
        <w:t xml:space="preserve">. </w:t>
      </w:r>
      <w:r w:rsidR="00B14F7A" w:rsidRPr="00585F58">
        <w:rPr>
          <w:rFonts w:cs="Times New Roman"/>
        </w:rPr>
        <w:t>P</w:t>
      </w:r>
      <w:r w:rsidRPr="00585F58">
        <w:rPr>
          <w:rFonts w:cs="Times New Roman"/>
        </w:rPr>
        <w:t xml:space="preserve">apildus nodokļu likmēm investoriem svarīga ir arī nodokļu </w:t>
      </w:r>
      <w:r w:rsidR="00B14F7A" w:rsidRPr="00585F58">
        <w:rPr>
          <w:rFonts w:cs="Times New Roman"/>
        </w:rPr>
        <w:t xml:space="preserve">normatīvo aktu </w:t>
      </w:r>
      <w:r w:rsidRPr="00585F58">
        <w:rPr>
          <w:rFonts w:cs="Times New Roman"/>
        </w:rPr>
        <w:t>un adm</w:t>
      </w:r>
      <w:r w:rsidR="007D387B" w:rsidRPr="00585F58">
        <w:rPr>
          <w:rFonts w:cs="Times New Roman"/>
        </w:rPr>
        <w:t>inistrēšanas sarežģītība, īpaši</w:t>
      </w:r>
      <w:r w:rsidRPr="00585F58">
        <w:rPr>
          <w:rFonts w:cs="Times New Roman"/>
        </w:rPr>
        <w:t xml:space="preserve"> salīdzinot ar citu valstu nodokļu politiku. Pārlieku sarežģīta nodokļu politika palielina in</w:t>
      </w:r>
      <w:r w:rsidR="001915DD" w:rsidRPr="00585F58">
        <w:rPr>
          <w:rFonts w:cs="Times New Roman"/>
        </w:rPr>
        <w:t>vestoru izdevumus un samazina</w:t>
      </w:r>
      <w:r w:rsidRPr="00585F58">
        <w:rPr>
          <w:rFonts w:cs="Times New Roman"/>
        </w:rPr>
        <w:t xml:space="preserve"> interesi investēt. Jāņem vērā, ka lielāks nodokļu slogs investoriem ir pieņemams pozitīva uzņēmējdarbības vides raksturojuma, izdevīga tirgus un ģeogrāfiskā stāvokļa, kā arī citu faktoru gadījumā.</w:t>
      </w:r>
    </w:p>
    <w:p w:rsidR="006976E4" w:rsidRPr="00585F58" w:rsidRDefault="00B0199A" w:rsidP="006976E4">
      <w:pPr>
        <w:spacing w:line="20" w:lineRule="atLeast"/>
        <w:ind w:firstLine="720"/>
        <w:contextualSpacing/>
        <w:jc w:val="both"/>
        <w:rPr>
          <w:rFonts w:cs="Times New Roman"/>
        </w:rPr>
      </w:pPr>
      <w:r w:rsidRPr="00585F58">
        <w:rPr>
          <w:rFonts w:cs="Times New Roman"/>
        </w:rPr>
        <w:t>Investīciju piesaistes veicināšanā</w:t>
      </w:r>
      <w:r w:rsidR="006976E4" w:rsidRPr="00585F58">
        <w:rPr>
          <w:rFonts w:cs="Times New Roman"/>
        </w:rPr>
        <w:t xml:space="preserve"> ir svarīga </w:t>
      </w:r>
      <w:r w:rsidR="006976E4" w:rsidRPr="00585F58">
        <w:rPr>
          <w:rFonts w:cs="Times New Roman"/>
          <w:b/>
        </w:rPr>
        <w:t>nodokļu politikas stabilitāte</w:t>
      </w:r>
      <w:r w:rsidR="006976E4" w:rsidRPr="00585F58">
        <w:rPr>
          <w:rFonts w:cs="Times New Roman"/>
        </w:rPr>
        <w:t xml:space="preserve">, jo pārāk biežas reformas, pat ja tās ir </w:t>
      </w:r>
      <w:r w:rsidR="00E65B24" w:rsidRPr="00585F58">
        <w:rPr>
          <w:rFonts w:cs="Times New Roman"/>
        </w:rPr>
        <w:t xml:space="preserve">labvēlīgas, </w:t>
      </w:r>
      <w:r w:rsidR="006976E4" w:rsidRPr="00585F58">
        <w:rPr>
          <w:rFonts w:cs="Times New Roman"/>
        </w:rPr>
        <w:t xml:space="preserve">vienkāršas un saprotamas, rada investoriem nedrošību par nākotni. Labas nodokļu politikas principi attiecas arī uz nodokļu atvieglojumiem, ieskaitot to caurskatāmību un </w:t>
      </w:r>
      <w:proofErr w:type="spellStart"/>
      <w:r w:rsidR="006976E4" w:rsidRPr="00585F58">
        <w:rPr>
          <w:rFonts w:cs="Times New Roman"/>
        </w:rPr>
        <w:t>paredzamību</w:t>
      </w:r>
      <w:proofErr w:type="spellEnd"/>
      <w:r w:rsidR="006976E4" w:rsidRPr="00585F58">
        <w:rPr>
          <w:rFonts w:cs="Times New Roman"/>
        </w:rPr>
        <w:t>. Tas ir svarīgi, jo investoriem ir jāsaprot atvieglojumu būtība, jo uz to pamata tiek balstīti investīciju lēmumi. Investoriem ir jāpaļaujas uz noteiktu nodokļu atvieglojumu stabilitāti pirms investīciju veikšanas.</w:t>
      </w:r>
    </w:p>
    <w:p w:rsidR="006976E4" w:rsidRPr="00585F58" w:rsidRDefault="006976E4" w:rsidP="006976E4">
      <w:pPr>
        <w:spacing w:line="20" w:lineRule="atLeast"/>
        <w:ind w:firstLine="720"/>
        <w:contextualSpacing/>
        <w:jc w:val="both"/>
        <w:rPr>
          <w:rFonts w:cs="Times New Roman"/>
        </w:rPr>
      </w:pPr>
      <w:r w:rsidRPr="00585F58">
        <w:rPr>
          <w:rFonts w:cs="Times New Roman"/>
        </w:rPr>
        <w:t xml:space="preserve">Nodokļu atvieglojumi bieži tiek uzskatīti par vienkāršu risinājumu </w:t>
      </w:r>
      <w:r w:rsidR="00615BBE" w:rsidRPr="00585F58">
        <w:rPr>
          <w:rFonts w:cs="Times New Roman"/>
        </w:rPr>
        <w:t>dažādu jomu</w:t>
      </w:r>
      <w:r w:rsidRPr="00585F58">
        <w:rPr>
          <w:rFonts w:cs="Times New Roman"/>
        </w:rPr>
        <w:t xml:space="preserve"> problēmām, jo tos ir samērā viegli iekļaut budžeta projektā, kas šķietami nerada papildus izmaksas atšķirībā no infrastruktūras attīstības, cilvēkresursu apmācības vai citām programmām, kas veicina investīcijas</w:t>
      </w:r>
      <w:r w:rsidR="001915DD" w:rsidRPr="00585F58">
        <w:rPr>
          <w:rFonts w:cs="Times New Roman"/>
        </w:rPr>
        <w:t xml:space="preserve"> ilgtermiņā</w:t>
      </w:r>
      <w:r w:rsidRPr="00585F58">
        <w:rPr>
          <w:rFonts w:cs="Times New Roman"/>
        </w:rPr>
        <w:t xml:space="preserve">. Bet bieži vien šie atvieglojumi </w:t>
      </w:r>
      <w:r w:rsidRPr="00585F58">
        <w:rPr>
          <w:rFonts w:cs="Times New Roman"/>
          <w:b/>
        </w:rPr>
        <w:t>var būtiski samazināt budžeta ieņēmumus</w:t>
      </w:r>
      <w:r w:rsidRPr="00585F58">
        <w:rPr>
          <w:rFonts w:cs="Times New Roman"/>
        </w:rPr>
        <w:t xml:space="preserve">, jo </w:t>
      </w:r>
      <w:r w:rsidR="00B14F7A" w:rsidRPr="00585F58">
        <w:rPr>
          <w:rFonts w:cs="Times New Roman"/>
        </w:rPr>
        <w:t xml:space="preserve">atvieglojumu </w:t>
      </w:r>
      <w:r w:rsidRPr="00585F58">
        <w:rPr>
          <w:rFonts w:cs="Times New Roman"/>
        </w:rPr>
        <w:t>var izmantot arī uzņēmumi ārpus konkrētās mērķa grupas, kas neveicina papild</w:t>
      </w:r>
      <w:r w:rsidR="00615BBE" w:rsidRPr="00585F58">
        <w:rPr>
          <w:rFonts w:cs="Times New Roman"/>
        </w:rPr>
        <w:t xml:space="preserve">us investīciju piesaisti. Tāpēc nepieciešams regulāri </w:t>
      </w:r>
      <w:r w:rsidRPr="00585F58">
        <w:rPr>
          <w:rFonts w:cs="Times New Roman"/>
        </w:rPr>
        <w:t>izvērtē</w:t>
      </w:r>
      <w:r w:rsidR="00615BBE" w:rsidRPr="00585F58">
        <w:rPr>
          <w:rFonts w:cs="Times New Roman"/>
        </w:rPr>
        <w:t>t</w:t>
      </w:r>
      <w:r w:rsidRPr="00585F58">
        <w:rPr>
          <w:rFonts w:cs="Times New Roman"/>
        </w:rPr>
        <w:t xml:space="preserve"> esošo n</w:t>
      </w:r>
      <w:r w:rsidR="00615BBE" w:rsidRPr="00585F58">
        <w:rPr>
          <w:rFonts w:cs="Times New Roman"/>
        </w:rPr>
        <w:t>odokļu atvieglojumu efektivitāti</w:t>
      </w:r>
      <w:r w:rsidRPr="00585F58">
        <w:rPr>
          <w:rFonts w:cs="Times New Roman"/>
        </w:rPr>
        <w:t>, atceļot tos nepietiekamas efektivitātes gadījumā, vienlaikus neapdraudot investoru ilgtermiņa plānošanu, jo nodokļu atvieglojumu atcelšana pat gadījumā, ja tie ir izrādījušies kļūdaini, apdraud valdības politikas uzticamību, kas samazina tās iespējas turpmāk pozitīvi ietekmēt investoru uzvedību.</w:t>
      </w:r>
    </w:p>
    <w:p w:rsidR="006976E4" w:rsidRPr="00585F58" w:rsidRDefault="006976E4" w:rsidP="006976E4">
      <w:pPr>
        <w:spacing w:line="20" w:lineRule="atLeast"/>
        <w:ind w:firstLine="720"/>
        <w:contextualSpacing/>
        <w:jc w:val="both"/>
        <w:rPr>
          <w:rFonts w:cs="Times New Roman"/>
        </w:rPr>
      </w:pPr>
      <w:r w:rsidRPr="00585F58">
        <w:rPr>
          <w:rFonts w:cs="Times New Roman"/>
        </w:rPr>
        <w:t xml:space="preserve">Ja nodokļu politika pieļauj UIN atvieglojumu pastāvēšanu, tās veidotājiem </w:t>
      </w:r>
      <w:r w:rsidRPr="00585F58">
        <w:rPr>
          <w:rFonts w:cs="Times New Roman"/>
          <w:b/>
        </w:rPr>
        <w:t>nepieciešams noteikt atvieglojumu izmaksas un ieguvumus</w:t>
      </w:r>
      <w:r w:rsidRPr="00585F58">
        <w:rPr>
          <w:rFonts w:cs="Times New Roman"/>
        </w:rPr>
        <w:t xml:space="preserve">, jo ir būtiski saprast, vai tās spēj sasniegt iepriekš nospraustos mērķus un vai to izmaksas nav pārāk augstas. Tāpat jāņem vērā, ka atvieglojumu ieviešana </w:t>
      </w:r>
      <w:r w:rsidR="00615BBE" w:rsidRPr="00585F58">
        <w:rPr>
          <w:rFonts w:cs="Times New Roman"/>
        </w:rPr>
        <w:t>papildus</w:t>
      </w:r>
      <w:r w:rsidRPr="00585F58">
        <w:rPr>
          <w:rFonts w:cs="Times New Roman"/>
        </w:rPr>
        <w:t xml:space="preserve"> ieņēmumu </w:t>
      </w:r>
      <w:r w:rsidRPr="00585F58">
        <w:rPr>
          <w:rFonts w:cs="Times New Roman"/>
        </w:rPr>
        <w:lastRenderedPageBreak/>
        <w:t xml:space="preserve">zaudējumiem var radīt arī </w:t>
      </w:r>
      <w:r w:rsidR="00CE08D1" w:rsidRPr="00585F58">
        <w:rPr>
          <w:rFonts w:cs="Times New Roman"/>
        </w:rPr>
        <w:t>citus negatīvus faktorus</w:t>
      </w:r>
      <w:r w:rsidRPr="00585F58">
        <w:rPr>
          <w:rFonts w:cs="Times New Roman"/>
        </w:rPr>
        <w:t xml:space="preserve">, piemēram, ekonomikas izkropļošanu, nosakot labvēlīgāku režīmu noteiktai investīciju grupai, palielināt administratīvās izmaksas, lai novērstu neparedzētu shēmu izmatošanu, radīt sociālās izmaksas, korupcijas </w:t>
      </w:r>
      <w:r w:rsidR="00B14F7A" w:rsidRPr="00585F58">
        <w:rPr>
          <w:rFonts w:cs="Times New Roman"/>
        </w:rPr>
        <w:t xml:space="preserve">risku </w:t>
      </w:r>
      <w:r w:rsidRPr="00585F58">
        <w:rPr>
          <w:rFonts w:cs="Times New Roman"/>
        </w:rPr>
        <w:t>pieaugumu.</w:t>
      </w:r>
    </w:p>
    <w:p w:rsidR="005C0B59" w:rsidRPr="00585F58" w:rsidRDefault="005C0B59" w:rsidP="005C0B59">
      <w:pPr>
        <w:spacing w:line="20" w:lineRule="atLeast"/>
        <w:ind w:firstLine="720"/>
        <w:contextualSpacing/>
        <w:jc w:val="both"/>
        <w:rPr>
          <w:rFonts w:cs="Times New Roman"/>
          <w:szCs w:val="24"/>
        </w:rPr>
      </w:pPr>
      <w:r w:rsidRPr="00585F58">
        <w:rPr>
          <w:rFonts w:cs="Times New Roman"/>
          <w:szCs w:val="24"/>
        </w:rPr>
        <w:t xml:space="preserve">Kā liecina starptautiskā prakse, UIN ietekmē uzņēmumu investīciju plānus, jo samazina ieguldījumu atdevi. Ņemot vērā globālo nodokļu konkurenci, UIN atstāj iespaidu arī uz uzņēmumu darbības vietas izvēli. Tas nosaka, ka UIN likmēm ir jābūt samērīgām reģionā, jo kapitāls ir viens no mobilākajiem un elastīgākajiem ražošanas līdzekļiem. Tomēr būtisku ietekmi uz investīcijām atstāj arī kopējā uzņēmējdarbības vide, </w:t>
      </w:r>
      <w:proofErr w:type="spellStart"/>
      <w:r w:rsidRPr="00585F58">
        <w:rPr>
          <w:rFonts w:cs="Times New Roman"/>
          <w:szCs w:val="24"/>
        </w:rPr>
        <w:t>t.sk</w:t>
      </w:r>
      <w:proofErr w:type="spellEnd"/>
      <w:r w:rsidRPr="00585F58">
        <w:rPr>
          <w:rFonts w:cs="Times New Roman"/>
          <w:szCs w:val="24"/>
        </w:rPr>
        <w:t xml:space="preserve">. valsts infrastruktūras un darbaspēka kvalitātes līmenis, ko savukārt pozitīvi ietekmē valsts budžeta izdevumi, kas var tikt īstenoti, pateicoties nodokļu ieņēmumiem, </w:t>
      </w:r>
      <w:proofErr w:type="spellStart"/>
      <w:r w:rsidRPr="00585F58">
        <w:rPr>
          <w:rFonts w:cs="Times New Roman"/>
          <w:szCs w:val="24"/>
        </w:rPr>
        <w:t>t.sk</w:t>
      </w:r>
      <w:proofErr w:type="spellEnd"/>
      <w:r w:rsidRPr="00585F58">
        <w:rPr>
          <w:rFonts w:cs="Times New Roman"/>
          <w:szCs w:val="24"/>
        </w:rPr>
        <w:t xml:space="preserve">. arī no UIN. </w:t>
      </w:r>
    </w:p>
    <w:p w:rsidR="005C0B59" w:rsidRPr="00585F58" w:rsidRDefault="005C0B59" w:rsidP="005C0B59">
      <w:pPr>
        <w:spacing w:line="20" w:lineRule="atLeast"/>
        <w:ind w:firstLine="720"/>
        <w:contextualSpacing/>
        <w:jc w:val="both"/>
        <w:rPr>
          <w:rFonts w:cs="Times New Roman"/>
          <w:szCs w:val="24"/>
        </w:rPr>
      </w:pPr>
      <w:r w:rsidRPr="00585F58">
        <w:rPr>
          <w:rFonts w:cs="Times New Roman"/>
          <w:szCs w:val="24"/>
        </w:rPr>
        <w:t>Nodokļu ekonomistu vidū pastāv samērā plaša vienotība par to, ka efektīvākā un mazāk kaitējoša konkurencei ir tāda nodokļu sistēma, kas apvieno plašu bāzi un zemu likmi. Jāņem vērā arī, ka atvieglojumu efektivitāte mērķu sasniegšanā samazinās pie zemākas likmes. Tomēr visā pasaulē nodokļu sistēmas tiek veidotas ar dažādiem izņēmumiem un ierobežojumiem, ieviešot dažādus nodokļu atvieglojumus.</w:t>
      </w:r>
    </w:p>
    <w:p w:rsidR="006976E4" w:rsidRPr="00585F58" w:rsidRDefault="006976E4" w:rsidP="006976E4">
      <w:pPr>
        <w:spacing w:line="20" w:lineRule="atLeast"/>
        <w:ind w:firstLine="720"/>
        <w:contextualSpacing/>
        <w:jc w:val="both"/>
        <w:rPr>
          <w:rFonts w:cs="Times New Roman"/>
          <w:szCs w:val="24"/>
        </w:rPr>
      </w:pPr>
      <w:r w:rsidRPr="00585F58">
        <w:rPr>
          <w:rFonts w:cs="Times New Roman"/>
          <w:szCs w:val="24"/>
        </w:rPr>
        <w:t>Pamatā UIN nodokļu atvieglojumi tiek vērtēti pēc zaudēto ieņēmumu metodes (līdzekļi, kuri nenonāk budžetā). Taču iespēju robežās ir jāvērtē to ietekme uz visu ekonomiku kopumā, kas ne vienmēr ir pilnībā identificējams rādītājs.</w:t>
      </w:r>
      <w:r w:rsidRPr="00585F58">
        <w:rPr>
          <w:rStyle w:val="FootnoteReference"/>
          <w:rFonts w:cs="Times New Roman"/>
          <w:szCs w:val="24"/>
        </w:rPr>
        <w:footnoteReference w:id="2"/>
      </w:r>
    </w:p>
    <w:p w:rsidR="00A91F47" w:rsidRPr="00585F58" w:rsidRDefault="006976E4" w:rsidP="006965EA">
      <w:pPr>
        <w:spacing w:line="20" w:lineRule="atLeast"/>
        <w:ind w:firstLine="720"/>
        <w:contextualSpacing/>
        <w:jc w:val="both"/>
        <w:rPr>
          <w:rFonts w:cs="Times New Roman"/>
          <w:szCs w:val="24"/>
        </w:rPr>
      </w:pPr>
      <w:r w:rsidRPr="00585F58">
        <w:rPr>
          <w:rFonts w:cs="Times New Roman"/>
          <w:szCs w:val="24"/>
        </w:rPr>
        <w:t xml:space="preserve">Tāpat daudzas valstis nosaka atvieglojumu ierobežojumu attiecībā pret </w:t>
      </w:r>
      <w:r w:rsidR="00792EA8" w:rsidRPr="00585F58">
        <w:rPr>
          <w:rFonts w:cs="Times New Roman"/>
          <w:szCs w:val="24"/>
        </w:rPr>
        <w:t xml:space="preserve">iekšzemes kopproduktu (turpmāk – </w:t>
      </w:r>
      <w:r w:rsidRPr="00585F58">
        <w:rPr>
          <w:rFonts w:cs="Times New Roman"/>
          <w:szCs w:val="24"/>
        </w:rPr>
        <w:t>IKP</w:t>
      </w:r>
      <w:r w:rsidR="00792EA8" w:rsidRPr="00585F58">
        <w:rPr>
          <w:rFonts w:cs="Times New Roman"/>
          <w:szCs w:val="24"/>
        </w:rPr>
        <w:t>)</w:t>
      </w:r>
      <w:r w:rsidRPr="00585F58">
        <w:rPr>
          <w:rFonts w:cs="Times New Roman"/>
          <w:szCs w:val="24"/>
        </w:rPr>
        <w:t xml:space="preserve"> vai attiecīgā nodokļa ieņēmumiem budžetā.</w:t>
      </w:r>
    </w:p>
    <w:p w:rsidR="00B17AAF" w:rsidRPr="00585F58" w:rsidRDefault="00B17AAF" w:rsidP="006B3459">
      <w:pPr>
        <w:spacing w:after="0" w:line="20" w:lineRule="atLeast"/>
        <w:jc w:val="both"/>
        <w:rPr>
          <w:rFonts w:eastAsia="Times New Roman" w:cs="Times New Roman"/>
          <w:b/>
          <w:bCs/>
          <w:szCs w:val="24"/>
          <w:u w:val="single"/>
          <w:lang w:eastAsia="lv-LV"/>
        </w:rPr>
      </w:pPr>
    </w:p>
    <w:p w:rsidR="006B3459" w:rsidRPr="00585F58" w:rsidRDefault="00D045D8" w:rsidP="001327C6">
      <w:pPr>
        <w:pStyle w:val="ListParagraph"/>
        <w:numPr>
          <w:ilvl w:val="1"/>
          <w:numId w:val="4"/>
        </w:numPr>
        <w:spacing w:line="20" w:lineRule="atLeast"/>
        <w:rPr>
          <w:rFonts w:cs="Times New Roman"/>
          <w:b/>
          <w:szCs w:val="24"/>
          <w:u w:val="single"/>
        </w:rPr>
      </w:pPr>
      <w:r w:rsidRPr="00585F58">
        <w:rPr>
          <w:rFonts w:cs="Times New Roman"/>
          <w:b/>
          <w:szCs w:val="24"/>
        </w:rPr>
        <w:t xml:space="preserve"> </w:t>
      </w:r>
      <w:r w:rsidR="006B3459" w:rsidRPr="00585F58">
        <w:rPr>
          <w:rFonts w:cs="Times New Roman"/>
          <w:b/>
          <w:szCs w:val="24"/>
          <w:u w:val="single"/>
        </w:rPr>
        <w:t>Nodokļu atvieglojumu uzņēmējdarbībai un ekonomikas attīstībai pamatotība</w:t>
      </w:r>
    </w:p>
    <w:p w:rsidR="006B3459" w:rsidRPr="00585F58" w:rsidRDefault="006B3459" w:rsidP="006B3459">
      <w:pPr>
        <w:spacing w:after="0" w:line="20" w:lineRule="atLeast"/>
        <w:ind w:firstLine="567"/>
        <w:jc w:val="both"/>
        <w:rPr>
          <w:rFonts w:eastAsia="Times New Roman" w:cs="Times New Roman"/>
          <w:bCs/>
          <w:szCs w:val="24"/>
          <w:lang w:eastAsia="lv-LV"/>
        </w:rPr>
      </w:pPr>
      <w:r w:rsidRPr="00585F58">
        <w:rPr>
          <w:rFonts w:eastAsia="Times New Roman" w:cs="Times New Roman"/>
          <w:bCs/>
          <w:szCs w:val="24"/>
          <w:lang w:eastAsia="lv-LV"/>
        </w:rPr>
        <w:t xml:space="preserve">UIN piedāvāto stimulu efektivitāte ir atkarīga no atbalstu saņēmušo uzņēmumu darbības jomas, konkurences apstākļiem un </w:t>
      </w:r>
      <w:r w:rsidR="00CE08D1" w:rsidRPr="00585F58">
        <w:rPr>
          <w:rFonts w:eastAsia="Times New Roman" w:cs="Times New Roman"/>
          <w:bCs/>
          <w:szCs w:val="24"/>
          <w:lang w:eastAsia="lv-LV"/>
        </w:rPr>
        <w:t>atrašanās vieta</w:t>
      </w:r>
      <w:r w:rsidR="00A83D09">
        <w:rPr>
          <w:rFonts w:eastAsia="Times New Roman" w:cs="Times New Roman"/>
          <w:bCs/>
          <w:szCs w:val="24"/>
          <w:lang w:eastAsia="lv-LV"/>
        </w:rPr>
        <w:t>s</w:t>
      </w:r>
      <w:r w:rsidRPr="00585F58">
        <w:rPr>
          <w:rFonts w:eastAsia="Times New Roman" w:cs="Times New Roman"/>
          <w:bCs/>
          <w:szCs w:val="24"/>
          <w:lang w:eastAsia="lv-LV"/>
        </w:rPr>
        <w:t xml:space="preserve">. Kopēju analītisku ietvaru dažādu situāciju salīdzinājumam ir piedāvājis </w:t>
      </w:r>
      <w:proofErr w:type="spellStart"/>
      <w:r w:rsidRPr="00585F58">
        <w:rPr>
          <w:rFonts w:eastAsia="Times New Roman" w:cs="Times New Roman"/>
          <w:bCs/>
          <w:szCs w:val="24"/>
          <w:lang w:eastAsia="lv-LV"/>
        </w:rPr>
        <w:t>A.Klemms</w:t>
      </w:r>
      <w:proofErr w:type="spellEnd"/>
      <w:r w:rsidRPr="00585F58">
        <w:rPr>
          <w:rFonts w:eastAsia="Times New Roman" w:cs="Times New Roman"/>
          <w:bCs/>
          <w:szCs w:val="24"/>
          <w:lang w:eastAsia="lv-LV"/>
        </w:rPr>
        <w:t>.</w:t>
      </w:r>
      <w:r w:rsidRPr="00585F58">
        <w:rPr>
          <w:rStyle w:val="FootnoteReference"/>
          <w:rFonts w:eastAsia="Times New Roman" w:cs="Times New Roman"/>
          <w:bCs/>
          <w:szCs w:val="24"/>
          <w:lang w:eastAsia="lv-LV"/>
        </w:rPr>
        <w:footnoteReference w:id="3"/>
      </w:r>
    </w:p>
    <w:p w:rsidR="00CB2D9F" w:rsidRPr="00585F58" w:rsidRDefault="00CB2D9F" w:rsidP="006B3459">
      <w:pPr>
        <w:spacing w:after="0" w:line="20" w:lineRule="atLeast"/>
        <w:jc w:val="both"/>
        <w:rPr>
          <w:rFonts w:eastAsia="Times New Roman" w:cs="Times New Roman"/>
          <w:bCs/>
          <w:szCs w:val="24"/>
          <w:lang w:eastAsia="lv-LV"/>
        </w:rPr>
      </w:pPr>
    </w:p>
    <w:p w:rsidR="006B3459" w:rsidRPr="00585F58" w:rsidRDefault="00CB2D9F" w:rsidP="006B3459">
      <w:pPr>
        <w:spacing w:after="0" w:line="20" w:lineRule="atLeast"/>
        <w:jc w:val="both"/>
        <w:rPr>
          <w:rFonts w:eastAsia="Times New Roman" w:cs="Times New Roman"/>
          <w:b/>
          <w:bCs/>
          <w:szCs w:val="24"/>
          <w:lang w:eastAsia="lv-LV"/>
        </w:rPr>
      </w:pPr>
      <w:r w:rsidRPr="00585F58">
        <w:rPr>
          <w:rFonts w:eastAsia="Times New Roman" w:cs="Times New Roman"/>
          <w:b/>
          <w:bCs/>
          <w:szCs w:val="24"/>
          <w:lang w:eastAsia="lv-LV"/>
        </w:rPr>
        <w:t>1.tab. UIN stimulu efektivitāte</w:t>
      </w:r>
    </w:p>
    <w:tbl>
      <w:tblPr>
        <w:tblStyle w:val="TableGrid"/>
        <w:tblW w:w="0" w:type="auto"/>
        <w:tblLook w:val="04A0" w:firstRow="1" w:lastRow="0" w:firstColumn="1" w:lastColumn="0" w:noHBand="0" w:noVBand="1"/>
      </w:tblPr>
      <w:tblGrid>
        <w:gridCol w:w="2840"/>
        <w:gridCol w:w="2841"/>
        <w:gridCol w:w="2841"/>
      </w:tblGrid>
      <w:tr w:rsidR="00585F58" w:rsidRPr="00585F58" w:rsidTr="001318F9">
        <w:trPr>
          <w:tblHeader/>
        </w:trPr>
        <w:tc>
          <w:tcPr>
            <w:tcW w:w="2840" w:type="dxa"/>
          </w:tcPr>
          <w:p w:rsidR="006B3459" w:rsidRPr="00585F58" w:rsidRDefault="006B3459" w:rsidP="001318F9">
            <w:pPr>
              <w:spacing w:after="200" w:line="20" w:lineRule="atLeast"/>
              <w:jc w:val="both"/>
              <w:rPr>
                <w:rFonts w:ascii="Times New Roman" w:eastAsia="Times New Roman" w:hAnsi="Times New Roman" w:cs="Times New Roman"/>
                <w:b/>
                <w:bCs/>
                <w:szCs w:val="24"/>
                <w:lang w:eastAsia="lv-LV"/>
              </w:rPr>
            </w:pPr>
            <w:r w:rsidRPr="00585F58">
              <w:rPr>
                <w:rFonts w:ascii="Times New Roman" w:eastAsia="Times New Roman" w:hAnsi="Times New Roman" w:cs="Times New Roman"/>
                <w:b/>
                <w:bCs/>
                <w:szCs w:val="24"/>
                <w:lang w:eastAsia="lv-LV"/>
              </w:rPr>
              <w:t>Nodokļu atvieglojumu pamatotība</w:t>
            </w:r>
          </w:p>
        </w:tc>
        <w:tc>
          <w:tcPr>
            <w:tcW w:w="2841" w:type="dxa"/>
          </w:tcPr>
          <w:p w:rsidR="006B3459" w:rsidRPr="00585F58" w:rsidRDefault="006B3459" w:rsidP="001318F9">
            <w:pPr>
              <w:spacing w:after="200" w:line="20" w:lineRule="atLeast"/>
              <w:jc w:val="both"/>
              <w:rPr>
                <w:rFonts w:ascii="Times New Roman" w:eastAsia="Times New Roman" w:hAnsi="Times New Roman" w:cs="Times New Roman"/>
                <w:b/>
                <w:bCs/>
                <w:szCs w:val="24"/>
                <w:lang w:eastAsia="lv-LV"/>
              </w:rPr>
            </w:pPr>
            <w:r w:rsidRPr="00585F58">
              <w:rPr>
                <w:rFonts w:ascii="Times New Roman" w:eastAsia="Times New Roman" w:hAnsi="Times New Roman" w:cs="Times New Roman"/>
                <w:b/>
                <w:bCs/>
                <w:szCs w:val="24"/>
                <w:lang w:eastAsia="lv-LV"/>
              </w:rPr>
              <w:t>Raksturojums</w:t>
            </w:r>
          </w:p>
        </w:tc>
        <w:tc>
          <w:tcPr>
            <w:tcW w:w="2841" w:type="dxa"/>
          </w:tcPr>
          <w:p w:rsidR="006B3459" w:rsidRPr="00585F58" w:rsidRDefault="006B3459" w:rsidP="001318F9">
            <w:pPr>
              <w:spacing w:after="200" w:line="20" w:lineRule="atLeast"/>
              <w:jc w:val="both"/>
              <w:rPr>
                <w:rFonts w:ascii="Times New Roman" w:eastAsia="Times New Roman" w:hAnsi="Times New Roman" w:cs="Times New Roman"/>
                <w:b/>
                <w:bCs/>
                <w:szCs w:val="24"/>
                <w:lang w:eastAsia="lv-LV"/>
              </w:rPr>
            </w:pPr>
            <w:r w:rsidRPr="00585F58">
              <w:rPr>
                <w:rFonts w:ascii="Times New Roman" w:eastAsia="Times New Roman" w:hAnsi="Times New Roman" w:cs="Times New Roman"/>
                <w:b/>
                <w:bCs/>
                <w:szCs w:val="24"/>
                <w:lang w:eastAsia="lv-LV"/>
              </w:rPr>
              <w:t>Piemērotie stimuli</w:t>
            </w:r>
          </w:p>
        </w:tc>
      </w:tr>
      <w:tr w:rsidR="00585F58" w:rsidRPr="00585F58" w:rsidTr="001318F9">
        <w:tc>
          <w:tcPr>
            <w:tcW w:w="2840" w:type="dxa"/>
          </w:tcPr>
          <w:p w:rsidR="006B3459" w:rsidRPr="00585F58" w:rsidRDefault="006B3459" w:rsidP="001318F9">
            <w:pPr>
              <w:spacing w:line="20" w:lineRule="atLeast"/>
              <w:jc w:val="both"/>
              <w:rPr>
                <w:rFonts w:ascii="Times New Roman" w:eastAsia="Times New Roman" w:hAnsi="Times New Roman" w:cs="Times New Roman"/>
                <w:bCs/>
                <w:szCs w:val="24"/>
                <w:lang w:eastAsia="lv-LV"/>
              </w:rPr>
            </w:pPr>
            <w:r w:rsidRPr="00585F58">
              <w:rPr>
                <w:rFonts w:ascii="Times New Roman" w:eastAsia="Times New Roman" w:hAnsi="Times New Roman" w:cs="Times New Roman"/>
                <w:bCs/>
                <w:szCs w:val="24"/>
                <w:lang w:eastAsia="lv-LV"/>
              </w:rPr>
              <w:t>I.Salīdzinoši stipra</w:t>
            </w:r>
          </w:p>
        </w:tc>
        <w:tc>
          <w:tcPr>
            <w:tcW w:w="2841" w:type="dxa"/>
          </w:tcPr>
          <w:p w:rsidR="006B3459" w:rsidRPr="00585F58" w:rsidRDefault="006B3459" w:rsidP="001318F9">
            <w:pPr>
              <w:spacing w:line="20" w:lineRule="atLeast"/>
              <w:jc w:val="both"/>
              <w:rPr>
                <w:rFonts w:ascii="Times New Roman" w:eastAsia="Times New Roman" w:hAnsi="Times New Roman" w:cs="Times New Roman"/>
                <w:bCs/>
                <w:szCs w:val="24"/>
                <w:lang w:eastAsia="lv-LV"/>
              </w:rPr>
            </w:pPr>
            <w:r w:rsidRPr="00585F58">
              <w:rPr>
                <w:rFonts w:ascii="Times New Roman" w:eastAsia="Times New Roman" w:hAnsi="Times New Roman" w:cs="Times New Roman"/>
                <w:bCs/>
                <w:szCs w:val="24"/>
                <w:lang w:eastAsia="lv-LV"/>
              </w:rPr>
              <w:t>a) starptautiski mobila uzņēmējdarbība</w:t>
            </w:r>
          </w:p>
        </w:tc>
        <w:tc>
          <w:tcPr>
            <w:tcW w:w="2841" w:type="dxa"/>
          </w:tcPr>
          <w:p w:rsidR="006B3459" w:rsidRPr="00585F58" w:rsidRDefault="006B3459" w:rsidP="001318F9">
            <w:pPr>
              <w:spacing w:line="20" w:lineRule="atLeast"/>
              <w:jc w:val="both"/>
              <w:rPr>
                <w:rFonts w:ascii="Times New Roman" w:eastAsia="Times New Roman" w:hAnsi="Times New Roman" w:cs="Times New Roman"/>
                <w:bCs/>
                <w:szCs w:val="24"/>
                <w:lang w:eastAsia="lv-LV"/>
              </w:rPr>
            </w:pPr>
            <w:r w:rsidRPr="00585F58">
              <w:rPr>
                <w:rFonts w:ascii="Times New Roman" w:eastAsia="Times New Roman" w:hAnsi="Times New Roman" w:cs="Times New Roman"/>
                <w:bCs/>
                <w:szCs w:val="24"/>
                <w:lang w:eastAsia="lv-LV"/>
              </w:rPr>
              <w:t>Pilnīgas konkurences apstākļos – atvieglojumi investīcijām; uzņēmumam specifiska rente – samazināta nodokļa likme</w:t>
            </w:r>
          </w:p>
        </w:tc>
      </w:tr>
      <w:tr w:rsidR="00585F58" w:rsidRPr="00585F58" w:rsidTr="001318F9">
        <w:tc>
          <w:tcPr>
            <w:tcW w:w="2840" w:type="dxa"/>
          </w:tcPr>
          <w:p w:rsidR="006B3459" w:rsidRPr="00585F58" w:rsidRDefault="006B3459" w:rsidP="001318F9">
            <w:pPr>
              <w:spacing w:line="20" w:lineRule="atLeast"/>
              <w:jc w:val="both"/>
              <w:rPr>
                <w:rFonts w:ascii="Times New Roman" w:eastAsia="Times New Roman" w:hAnsi="Times New Roman" w:cs="Times New Roman"/>
                <w:bCs/>
                <w:szCs w:val="24"/>
                <w:lang w:eastAsia="lv-LV"/>
              </w:rPr>
            </w:pPr>
          </w:p>
        </w:tc>
        <w:tc>
          <w:tcPr>
            <w:tcW w:w="2841" w:type="dxa"/>
          </w:tcPr>
          <w:p w:rsidR="006B3459" w:rsidRPr="00585F58" w:rsidRDefault="006B3459" w:rsidP="001318F9">
            <w:pPr>
              <w:spacing w:line="20" w:lineRule="atLeast"/>
              <w:jc w:val="both"/>
              <w:rPr>
                <w:rFonts w:ascii="Times New Roman" w:eastAsia="Times New Roman" w:hAnsi="Times New Roman" w:cs="Times New Roman"/>
                <w:bCs/>
                <w:szCs w:val="24"/>
                <w:lang w:eastAsia="lv-LV"/>
              </w:rPr>
            </w:pPr>
            <w:r w:rsidRPr="00585F58">
              <w:rPr>
                <w:rFonts w:ascii="Times New Roman" w:eastAsia="Times New Roman" w:hAnsi="Times New Roman" w:cs="Times New Roman"/>
                <w:bCs/>
                <w:szCs w:val="24"/>
                <w:lang w:eastAsia="lv-LV"/>
              </w:rPr>
              <w:t>b) pozitīvi ārējie efekti (</w:t>
            </w:r>
            <w:proofErr w:type="spellStart"/>
            <w:r w:rsidRPr="00585F58">
              <w:rPr>
                <w:rFonts w:ascii="Times New Roman" w:eastAsia="Times New Roman" w:hAnsi="Times New Roman" w:cs="Times New Roman"/>
                <w:bCs/>
                <w:szCs w:val="24"/>
                <w:lang w:eastAsia="lv-LV"/>
              </w:rPr>
              <w:t>eksternalitātes</w:t>
            </w:r>
            <w:proofErr w:type="spellEnd"/>
            <w:r w:rsidRPr="00585F58">
              <w:rPr>
                <w:rFonts w:ascii="Times New Roman" w:eastAsia="Times New Roman" w:hAnsi="Times New Roman" w:cs="Times New Roman"/>
                <w:bCs/>
                <w:szCs w:val="24"/>
                <w:lang w:eastAsia="lv-LV"/>
              </w:rPr>
              <w:t>)</w:t>
            </w:r>
          </w:p>
        </w:tc>
        <w:tc>
          <w:tcPr>
            <w:tcW w:w="2841" w:type="dxa"/>
          </w:tcPr>
          <w:p w:rsidR="006B3459" w:rsidRPr="00585F58" w:rsidRDefault="006B3459" w:rsidP="003E29E4">
            <w:pPr>
              <w:spacing w:line="20" w:lineRule="atLeast"/>
              <w:jc w:val="both"/>
              <w:rPr>
                <w:rFonts w:ascii="Times New Roman" w:eastAsia="Times New Roman" w:hAnsi="Times New Roman" w:cs="Times New Roman"/>
                <w:bCs/>
                <w:szCs w:val="24"/>
                <w:lang w:eastAsia="lv-LV"/>
              </w:rPr>
            </w:pPr>
            <w:r w:rsidRPr="00585F58">
              <w:rPr>
                <w:rFonts w:ascii="Times New Roman" w:eastAsia="Times New Roman" w:hAnsi="Times New Roman" w:cs="Times New Roman"/>
                <w:bCs/>
                <w:szCs w:val="24"/>
                <w:lang w:eastAsia="lv-LV"/>
              </w:rPr>
              <w:t>Subsīdijas/nodokļu atvieglojumi konkrētām aktivitātēm (piemēram,</w:t>
            </w:r>
            <w:r w:rsidR="003E29E4" w:rsidRPr="00585F58">
              <w:rPr>
                <w:rFonts w:ascii="Times New Roman" w:eastAsia="Times New Roman" w:hAnsi="Times New Roman" w:cs="Times New Roman"/>
                <w:bCs/>
                <w:szCs w:val="24"/>
                <w:lang w:eastAsia="lv-LV"/>
              </w:rPr>
              <w:t xml:space="preserve"> pētniecībai un attīstībai, turpmāk – </w:t>
            </w:r>
            <w:r w:rsidRPr="00585F58">
              <w:rPr>
                <w:rFonts w:ascii="Times New Roman" w:eastAsia="Times New Roman" w:hAnsi="Times New Roman" w:cs="Times New Roman"/>
                <w:bCs/>
                <w:szCs w:val="24"/>
                <w:lang w:eastAsia="lv-LV"/>
              </w:rPr>
              <w:t xml:space="preserve">P&amp;A). Citādi </w:t>
            </w:r>
            <w:proofErr w:type="spellStart"/>
            <w:r w:rsidRPr="00585F58">
              <w:rPr>
                <w:rFonts w:ascii="Times New Roman" w:eastAsia="Times New Roman" w:hAnsi="Times New Roman" w:cs="Times New Roman"/>
                <w:bCs/>
                <w:szCs w:val="24"/>
                <w:lang w:eastAsia="lv-LV"/>
              </w:rPr>
              <w:t>I.a</w:t>
            </w:r>
            <w:proofErr w:type="spellEnd"/>
            <w:r w:rsidRPr="00585F58">
              <w:rPr>
                <w:rFonts w:ascii="Times New Roman" w:eastAsia="Times New Roman" w:hAnsi="Times New Roman" w:cs="Times New Roman"/>
                <w:bCs/>
                <w:szCs w:val="24"/>
                <w:lang w:eastAsia="lv-LV"/>
              </w:rPr>
              <w:t>) situācija.</w:t>
            </w:r>
          </w:p>
        </w:tc>
      </w:tr>
      <w:tr w:rsidR="00585F58" w:rsidRPr="00585F58" w:rsidTr="001318F9">
        <w:tc>
          <w:tcPr>
            <w:tcW w:w="2840" w:type="dxa"/>
          </w:tcPr>
          <w:p w:rsidR="006B3459" w:rsidRPr="00585F58" w:rsidRDefault="006B3459" w:rsidP="001318F9">
            <w:pPr>
              <w:spacing w:line="20" w:lineRule="atLeast"/>
              <w:jc w:val="both"/>
              <w:rPr>
                <w:rFonts w:ascii="Times New Roman" w:eastAsia="Times New Roman" w:hAnsi="Times New Roman" w:cs="Times New Roman"/>
                <w:bCs/>
                <w:szCs w:val="24"/>
                <w:lang w:eastAsia="lv-LV"/>
              </w:rPr>
            </w:pPr>
            <w:r w:rsidRPr="00585F58">
              <w:rPr>
                <w:rFonts w:ascii="Times New Roman" w:eastAsia="Times New Roman" w:hAnsi="Times New Roman" w:cs="Times New Roman"/>
                <w:bCs/>
                <w:szCs w:val="24"/>
                <w:lang w:eastAsia="lv-LV"/>
              </w:rPr>
              <w:t>II. Neskaidra</w:t>
            </w:r>
          </w:p>
        </w:tc>
        <w:tc>
          <w:tcPr>
            <w:tcW w:w="2841" w:type="dxa"/>
          </w:tcPr>
          <w:p w:rsidR="006B3459" w:rsidRPr="00585F58" w:rsidRDefault="006B3459" w:rsidP="00CE08D1">
            <w:pPr>
              <w:spacing w:line="20" w:lineRule="atLeast"/>
              <w:jc w:val="both"/>
              <w:rPr>
                <w:rFonts w:ascii="Times New Roman" w:eastAsia="Times New Roman" w:hAnsi="Times New Roman" w:cs="Times New Roman"/>
                <w:bCs/>
                <w:szCs w:val="24"/>
                <w:lang w:eastAsia="lv-LV"/>
              </w:rPr>
            </w:pPr>
            <w:r w:rsidRPr="00585F58">
              <w:rPr>
                <w:rFonts w:ascii="Times New Roman" w:eastAsia="Times New Roman" w:hAnsi="Times New Roman" w:cs="Times New Roman"/>
                <w:bCs/>
                <w:szCs w:val="24"/>
                <w:lang w:eastAsia="lv-LV"/>
              </w:rPr>
              <w:t xml:space="preserve">a) reģionāla </w:t>
            </w:r>
            <w:r w:rsidR="00CE08D1" w:rsidRPr="00585F58">
              <w:rPr>
                <w:rFonts w:ascii="Times New Roman" w:eastAsia="Times New Roman" w:hAnsi="Times New Roman" w:cs="Times New Roman"/>
                <w:bCs/>
                <w:szCs w:val="24"/>
                <w:lang w:eastAsia="lv-LV"/>
              </w:rPr>
              <w:t>atdeve</w:t>
            </w:r>
          </w:p>
        </w:tc>
        <w:tc>
          <w:tcPr>
            <w:tcW w:w="2841" w:type="dxa"/>
          </w:tcPr>
          <w:p w:rsidR="006B3459" w:rsidRPr="00585F58" w:rsidRDefault="006B3459" w:rsidP="001318F9">
            <w:pPr>
              <w:spacing w:line="20" w:lineRule="atLeast"/>
              <w:jc w:val="both"/>
              <w:rPr>
                <w:rFonts w:ascii="Times New Roman" w:eastAsia="Times New Roman" w:hAnsi="Times New Roman" w:cs="Times New Roman"/>
                <w:bCs/>
                <w:szCs w:val="24"/>
                <w:lang w:eastAsia="lv-LV"/>
              </w:rPr>
            </w:pPr>
            <w:r w:rsidRPr="00585F58">
              <w:rPr>
                <w:rFonts w:ascii="Times New Roman" w:eastAsia="Times New Roman" w:hAnsi="Times New Roman" w:cs="Times New Roman"/>
                <w:bCs/>
                <w:szCs w:val="24"/>
                <w:lang w:eastAsia="lv-LV"/>
              </w:rPr>
              <w:t xml:space="preserve">Nav vajadzīgi stimuli, bet </w:t>
            </w:r>
            <w:r w:rsidRPr="00585F58">
              <w:rPr>
                <w:rFonts w:ascii="Times New Roman" w:eastAsia="Times New Roman" w:hAnsi="Times New Roman" w:cs="Times New Roman"/>
                <w:bCs/>
                <w:szCs w:val="24"/>
                <w:lang w:eastAsia="lv-LV"/>
              </w:rPr>
              <w:lastRenderedPageBreak/>
              <w:t xml:space="preserve">jāveic nodokļu koordinācija reģionā. Citādi kā </w:t>
            </w:r>
            <w:proofErr w:type="spellStart"/>
            <w:r w:rsidRPr="00585F58">
              <w:rPr>
                <w:rFonts w:ascii="Times New Roman" w:eastAsia="Times New Roman" w:hAnsi="Times New Roman" w:cs="Times New Roman"/>
                <w:bCs/>
                <w:szCs w:val="24"/>
                <w:lang w:eastAsia="lv-LV"/>
              </w:rPr>
              <w:t>I.a</w:t>
            </w:r>
            <w:proofErr w:type="spellEnd"/>
            <w:r w:rsidRPr="00585F58">
              <w:rPr>
                <w:rFonts w:ascii="Times New Roman" w:eastAsia="Times New Roman" w:hAnsi="Times New Roman" w:cs="Times New Roman"/>
                <w:bCs/>
                <w:szCs w:val="24"/>
                <w:lang w:eastAsia="lv-LV"/>
              </w:rPr>
              <w:t>)</w:t>
            </w:r>
          </w:p>
        </w:tc>
      </w:tr>
      <w:tr w:rsidR="00585F58" w:rsidRPr="00585F58" w:rsidTr="001318F9">
        <w:tc>
          <w:tcPr>
            <w:tcW w:w="2840" w:type="dxa"/>
          </w:tcPr>
          <w:p w:rsidR="006B3459" w:rsidRPr="00585F58" w:rsidRDefault="006B3459" w:rsidP="001318F9">
            <w:pPr>
              <w:spacing w:line="20" w:lineRule="atLeast"/>
              <w:jc w:val="both"/>
              <w:rPr>
                <w:rFonts w:ascii="Times New Roman" w:eastAsia="Times New Roman" w:hAnsi="Times New Roman" w:cs="Times New Roman"/>
                <w:bCs/>
                <w:szCs w:val="24"/>
                <w:lang w:eastAsia="lv-LV"/>
              </w:rPr>
            </w:pPr>
          </w:p>
        </w:tc>
        <w:tc>
          <w:tcPr>
            <w:tcW w:w="2841" w:type="dxa"/>
          </w:tcPr>
          <w:p w:rsidR="006B3459" w:rsidRPr="00585F58" w:rsidRDefault="006B3459" w:rsidP="003607F6">
            <w:pPr>
              <w:spacing w:line="20" w:lineRule="atLeast"/>
              <w:jc w:val="both"/>
              <w:rPr>
                <w:rFonts w:ascii="Times New Roman" w:eastAsia="Times New Roman" w:hAnsi="Times New Roman" w:cs="Times New Roman"/>
                <w:bCs/>
                <w:szCs w:val="24"/>
                <w:lang w:eastAsia="lv-LV"/>
              </w:rPr>
            </w:pPr>
            <w:r w:rsidRPr="00585F58">
              <w:rPr>
                <w:rFonts w:ascii="Times New Roman" w:eastAsia="Times New Roman" w:hAnsi="Times New Roman" w:cs="Times New Roman"/>
                <w:bCs/>
                <w:szCs w:val="24"/>
                <w:lang w:eastAsia="lv-LV"/>
              </w:rPr>
              <w:t xml:space="preserve">b) </w:t>
            </w:r>
            <w:r w:rsidR="00CE08D1" w:rsidRPr="00585F58">
              <w:rPr>
                <w:rFonts w:ascii="Times New Roman" w:eastAsia="Times New Roman" w:hAnsi="Times New Roman" w:cs="Times New Roman"/>
                <w:bCs/>
                <w:szCs w:val="24"/>
                <w:lang w:eastAsia="lv-LV"/>
              </w:rPr>
              <w:t>nepievilcīg</w:t>
            </w:r>
            <w:r w:rsidR="003607F6" w:rsidRPr="00585F58">
              <w:rPr>
                <w:rFonts w:ascii="Times New Roman" w:eastAsia="Times New Roman" w:hAnsi="Times New Roman" w:cs="Times New Roman"/>
                <w:bCs/>
                <w:szCs w:val="24"/>
                <w:lang w:eastAsia="lv-LV"/>
              </w:rPr>
              <w:t>a</w:t>
            </w:r>
            <w:r w:rsidR="00CE08D1" w:rsidRPr="00585F58">
              <w:rPr>
                <w:rFonts w:ascii="Times New Roman" w:eastAsia="Times New Roman" w:hAnsi="Times New Roman" w:cs="Times New Roman"/>
                <w:bCs/>
                <w:szCs w:val="24"/>
                <w:lang w:eastAsia="lv-LV"/>
              </w:rPr>
              <w:t xml:space="preserve"> atrašanās vieta</w:t>
            </w:r>
          </w:p>
        </w:tc>
        <w:tc>
          <w:tcPr>
            <w:tcW w:w="2841" w:type="dxa"/>
          </w:tcPr>
          <w:p w:rsidR="006B3459" w:rsidRPr="00585F58" w:rsidRDefault="006B3459" w:rsidP="001318F9">
            <w:pPr>
              <w:spacing w:line="20" w:lineRule="atLeast"/>
              <w:jc w:val="both"/>
              <w:rPr>
                <w:rFonts w:ascii="Times New Roman" w:eastAsia="Times New Roman" w:hAnsi="Times New Roman" w:cs="Times New Roman"/>
                <w:bCs/>
                <w:szCs w:val="24"/>
                <w:lang w:eastAsia="lv-LV"/>
              </w:rPr>
            </w:pPr>
            <w:r w:rsidRPr="00585F58">
              <w:rPr>
                <w:rFonts w:ascii="Times New Roman" w:eastAsia="Times New Roman" w:hAnsi="Times New Roman" w:cs="Times New Roman"/>
                <w:bCs/>
                <w:szCs w:val="24"/>
                <w:lang w:eastAsia="lv-LV"/>
              </w:rPr>
              <w:t xml:space="preserve">Nevis atvieglojums, bet problēma jārisina tiešā veidā (uzlabot pārvaldību, infrastruktūru) Citādi kā </w:t>
            </w:r>
            <w:proofErr w:type="spellStart"/>
            <w:r w:rsidRPr="00585F58">
              <w:rPr>
                <w:rFonts w:ascii="Times New Roman" w:eastAsia="Times New Roman" w:hAnsi="Times New Roman" w:cs="Times New Roman"/>
                <w:bCs/>
                <w:szCs w:val="24"/>
                <w:lang w:eastAsia="lv-LV"/>
              </w:rPr>
              <w:t>I.a</w:t>
            </w:r>
            <w:proofErr w:type="spellEnd"/>
            <w:r w:rsidRPr="00585F58">
              <w:rPr>
                <w:rFonts w:ascii="Times New Roman" w:eastAsia="Times New Roman" w:hAnsi="Times New Roman" w:cs="Times New Roman"/>
                <w:bCs/>
                <w:szCs w:val="24"/>
                <w:lang w:eastAsia="lv-LV"/>
              </w:rPr>
              <w:t>)</w:t>
            </w:r>
          </w:p>
        </w:tc>
      </w:tr>
      <w:tr w:rsidR="00585F58" w:rsidRPr="00585F58" w:rsidTr="001318F9">
        <w:tc>
          <w:tcPr>
            <w:tcW w:w="2840" w:type="dxa"/>
          </w:tcPr>
          <w:p w:rsidR="006B3459" w:rsidRPr="00585F58" w:rsidRDefault="006B3459" w:rsidP="001318F9">
            <w:pPr>
              <w:spacing w:line="20" w:lineRule="atLeast"/>
              <w:jc w:val="both"/>
              <w:rPr>
                <w:rFonts w:ascii="Times New Roman" w:eastAsia="Times New Roman" w:hAnsi="Times New Roman" w:cs="Times New Roman"/>
                <w:bCs/>
                <w:szCs w:val="24"/>
                <w:lang w:eastAsia="lv-LV"/>
              </w:rPr>
            </w:pPr>
          </w:p>
        </w:tc>
        <w:tc>
          <w:tcPr>
            <w:tcW w:w="2841" w:type="dxa"/>
          </w:tcPr>
          <w:p w:rsidR="006B3459" w:rsidRPr="00585F58" w:rsidRDefault="006B3459" w:rsidP="001318F9">
            <w:pPr>
              <w:spacing w:line="20" w:lineRule="atLeast"/>
              <w:jc w:val="both"/>
              <w:rPr>
                <w:rFonts w:ascii="Times New Roman" w:eastAsia="Times New Roman" w:hAnsi="Times New Roman" w:cs="Times New Roman"/>
                <w:bCs/>
                <w:szCs w:val="24"/>
                <w:lang w:eastAsia="lv-LV"/>
              </w:rPr>
            </w:pPr>
            <w:r w:rsidRPr="00585F58">
              <w:rPr>
                <w:rFonts w:ascii="Times New Roman" w:eastAsia="Times New Roman" w:hAnsi="Times New Roman" w:cs="Times New Roman"/>
                <w:bCs/>
                <w:szCs w:val="24"/>
                <w:lang w:eastAsia="lv-LV"/>
              </w:rPr>
              <w:t>c) var radīt atbildes reakciju citās valstīs</w:t>
            </w:r>
          </w:p>
        </w:tc>
        <w:tc>
          <w:tcPr>
            <w:tcW w:w="2841" w:type="dxa"/>
          </w:tcPr>
          <w:p w:rsidR="006B3459" w:rsidRPr="00585F58" w:rsidRDefault="006B3459" w:rsidP="001318F9">
            <w:pPr>
              <w:spacing w:line="20" w:lineRule="atLeast"/>
              <w:jc w:val="both"/>
              <w:rPr>
                <w:rFonts w:ascii="Times New Roman" w:eastAsia="Times New Roman" w:hAnsi="Times New Roman" w:cs="Times New Roman"/>
                <w:bCs/>
                <w:szCs w:val="24"/>
                <w:lang w:eastAsia="lv-LV"/>
              </w:rPr>
            </w:pPr>
            <w:r w:rsidRPr="00585F58">
              <w:rPr>
                <w:rFonts w:ascii="Times New Roman" w:eastAsia="Times New Roman" w:hAnsi="Times New Roman" w:cs="Times New Roman"/>
                <w:bCs/>
                <w:szCs w:val="24"/>
                <w:lang w:eastAsia="lv-LV"/>
              </w:rPr>
              <w:t>Labāk nogaidīt. Tomēr, ja nodokļu samazinājumi ir neizbēgami, tad izdevīgi būt pirmajiem reģionā</w:t>
            </w:r>
          </w:p>
        </w:tc>
      </w:tr>
      <w:tr w:rsidR="00585F58" w:rsidRPr="00585F58" w:rsidTr="001318F9">
        <w:tc>
          <w:tcPr>
            <w:tcW w:w="2840" w:type="dxa"/>
          </w:tcPr>
          <w:p w:rsidR="006B3459" w:rsidRPr="00585F58" w:rsidRDefault="006B3459" w:rsidP="001318F9">
            <w:pPr>
              <w:spacing w:line="20" w:lineRule="atLeast"/>
              <w:jc w:val="both"/>
              <w:rPr>
                <w:rFonts w:ascii="Times New Roman" w:eastAsia="Times New Roman" w:hAnsi="Times New Roman" w:cs="Times New Roman"/>
                <w:bCs/>
                <w:szCs w:val="24"/>
                <w:lang w:eastAsia="lv-LV"/>
              </w:rPr>
            </w:pPr>
            <w:r w:rsidRPr="00585F58">
              <w:rPr>
                <w:rFonts w:ascii="Times New Roman" w:eastAsia="Times New Roman" w:hAnsi="Times New Roman" w:cs="Times New Roman"/>
                <w:bCs/>
                <w:szCs w:val="24"/>
                <w:lang w:eastAsia="lv-LV"/>
              </w:rPr>
              <w:t>III. Vāja</w:t>
            </w:r>
          </w:p>
        </w:tc>
        <w:tc>
          <w:tcPr>
            <w:tcW w:w="2841" w:type="dxa"/>
          </w:tcPr>
          <w:p w:rsidR="006B3459" w:rsidRPr="00585F58" w:rsidRDefault="006B3459" w:rsidP="001318F9">
            <w:pPr>
              <w:spacing w:after="200" w:line="20" w:lineRule="atLeast"/>
              <w:jc w:val="both"/>
              <w:rPr>
                <w:rFonts w:ascii="Times New Roman" w:eastAsia="Times New Roman" w:hAnsi="Times New Roman" w:cs="Times New Roman"/>
                <w:bCs/>
                <w:szCs w:val="24"/>
                <w:lang w:eastAsia="lv-LV"/>
              </w:rPr>
            </w:pPr>
            <w:r w:rsidRPr="00585F58">
              <w:rPr>
                <w:rFonts w:ascii="Times New Roman" w:eastAsia="Times New Roman" w:hAnsi="Times New Roman" w:cs="Times New Roman"/>
                <w:bCs/>
                <w:szCs w:val="24"/>
                <w:lang w:eastAsia="lv-LV"/>
              </w:rPr>
              <w:t>a) eksogēna, no vietas atkarīga rente, piemēram, dabas resursu ieguve</w:t>
            </w:r>
          </w:p>
        </w:tc>
        <w:tc>
          <w:tcPr>
            <w:tcW w:w="2841" w:type="dxa"/>
          </w:tcPr>
          <w:p w:rsidR="006B3459" w:rsidRPr="00585F58" w:rsidRDefault="006B3459" w:rsidP="001318F9">
            <w:pPr>
              <w:spacing w:line="20" w:lineRule="atLeast"/>
              <w:jc w:val="both"/>
              <w:rPr>
                <w:rFonts w:ascii="Times New Roman" w:eastAsia="Times New Roman" w:hAnsi="Times New Roman" w:cs="Times New Roman"/>
                <w:bCs/>
                <w:szCs w:val="24"/>
                <w:lang w:eastAsia="lv-LV"/>
              </w:rPr>
            </w:pPr>
            <w:r w:rsidRPr="00585F58">
              <w:rPr>
                <w:rFonts w:ascii="Times New Roman" w:eastAsia="Times New Roman" w:hAnsi="Times New Roman" w:cs="Times New Roman"/>
                <w:bCs/>
                <w:szCs w:val="24"/>
                <w:lang w:eastAsia="lv-LV"/>
              </w:rPr>
              <w:t>Nav vajadzīgi atvieglojumi, tā vietā vajadzīgs īpašs rentes nodoklis. Iespējama paātrināta norakstīšana tikai izpētes stadijā.</w:t>
            </w:r>
          </w:p>
        </w:tc>
      </w:tr>
      <w:tr w:rsidR="00585F58" w:rsidRPr="00585F58" w:rsidTr="001318F9">
        <w:tc>
          <w:tcPr>
            <w:tcW w:w="2840" w:type="dxa"/>
          </w:tcPr>
          <w:p w:rsidR="006B3459" w:rsidRPr="00585F58" w:rsidRDefault="006B3459" w:rsidP="001318F9">
            <w:pPr>
              <w:spacing w:line="20" w:lineRule="atLeast"/>
              <w:jc w:val="both"/>
              <w:rPr>
                <w:rFonts w:ascii="Times New Roman" w:eastAsia="Times New Roman" w:hAnsi="Times New Roman" w:cs="Times New Roman"/>
                <w:bCs/>
                <w:szCs w:val="24"/>
                <w:lang w:eastAsia="lv-LV"/>
              </w:rPr>
            </w:pPr>
          </w:p>
        </w:tc>
        <w:tc>
          <w:tcPr>
            <w:tcW w:w="2841" w:type="dxa"/>
          </w:tcPr>
          <w:p w:rsidR="006B3459" w:rsidRPr="00585F58" w:rsidRDefault="006B3459" w:rsidP="001318F9">
            <w:pPr>
              <w:spacing w:line="20" w:lineRule="atLeast"/>
              <w:jc w:val="both"/>
              <w:rPr>
                <w:rFonts w:ascii="Times New Roman" w:eastAsia="Times New Roman" w:hAnsi="Times New Roman" w:cs="Times New Roman"/>
                <w:bCs/>
                <w:szCs w:val="24"/>
                <w:lang w:eastAsia="lv-LV"/>
              </w:rPr>
            </w:pPr>
            <w:r w:rsidRPr="00585F58">
              <w:rPr>
                <w:rFonts w:ascii="Times New Roman" w:eastAsia="Times New Roman" w:hAnsi="Times New Roman" w:cs="Times New Roman"/>
                <w:bCs/>
                <w:szCs w:val="24"/>
                <w:lang w:eastAsia="lv-LV"/>
              </w:rPr>
              <w:t xml:space="preserve">b) </w:t>
            </w:r>
            <w:proofErr w:type="spellStart"/>
            <w:r w:rsidRPr="00585F58">
              <w:rPr>
                <w:rFonts w:ascii="Times New Roman" w:eastAsia="Times New Roman" w:hAnsi="Times New Roman" w:cs="Times New Roman"/>
                <w:bCs/>
                <w:szCs w:val="24"/>
                <w:lang w:eastAsia="lv-LV"/>
              </w:rPr>
              <w:t>endogēna</w:t>
            </w:r>
            <w:proofErr w:type="spellEnd"/>
            <w:r w:rsidRPr="00585F58">
              <w:rPr>
                <w:rFonts w:ascii="Times New Roman" w:eastAsia="Times New Roman" w:hAnsi="Times New Roman" w:cs="Times New Roman"/>
                <w:bCs/>
                <w:szCs w:val="24"/>
                <w:lang w:eastAsia="lv-LV"/>
              </w:rPr>
              <w:t>, no vietas atkarīga rente, piemēram, aglomerācijas priekšrocības</w:t>
            </w:r>
          </w:p>
        </w:tc>
        <w:tc>
          <w:tcPr>
            <w:tcW w:w="2841" w:type="dxa"/>
          </w:tcPr>
          <w:p w:rsidR="006B3459" w:rsidRPr="00585F58" w:rsidRDefault="006B3459" w:rsidP="001318F9">
            <w:pPr>
              <w:spacing w:line="20" w:lineRule="atLeast"/>
              <w:jc w:val="both"/>
              <w:rPr>
                <w:rFonts w:ascii="Times New Roman" w:eastAsia="Times New Roman" w:hAnsi="Times New Roman" w:cs="Times New Roman"/>
                <w:bCs/>
                <w:szCs w:val="24"/>
                <w:lang w:eastAsia="lv-LV"/>
              </w:rPr>
            </w:pPr>
            <w:r w:rsidRPr="00585F58">
              <w:rPr>
                <w:rFonts w:ascii="Times New Roman" w:eastAsia="Times New Roman" w:hAnsi="Times New Roman" w:cs="Times New Roman"/>
                <w:bCs/>
                <w:szCs w:val="24"/>
                <w:lang w:eastAsia="lv-LV"/>
              </w:rPr>
              <w:t>Kad uzņēmumi izveidojušies, atvieglojumi nav nepieciešami, bet pārmērīgi augstas likmes var radīt zaudējumus nozarei.</w:t>
            </w:r>
          </w:p>
        </w:tc>
      </w:tr>
      <w:tr w:rsidR="006B3459" w:rsidRPr="00585F58" w:rsidTr="001318F9">
        <w:tc>
          <w:tcPr>
            <w:tcW w:w="2840" w:type="dxa"/>
          </w:tcPr>
          <w:p w:rsidR="006B3459" w:rsidRPr="00585F58" w:rsidRDefault="006B3459" w:rsidP="001318F9">
            <w:pPr>
              <w:spacing w:line="20" w:lineRule="atLeast"/>
              <w:jc w:val="both"/>
              <w:rPr>
                <w:rFonts w:ascii="Times New Roman" w:eastAsia="Times New Roman" w:hAnsi="Times New Roman" w:cs="Times New Roman"/>
                <w:bCs/>
                <w:szCs w:val="24"/>
                <w:lang w:eastAsia="lv-LV"/>
              </w:rPr>
            </w:pPr>
          </w:p>
        </w:tc>
        <w:tc>
          <w:tcPr>
            <w:tcW w:w="2841" w:type="dxa"/>
          </w:tcPr>
          <w:p w:rsidR="006B3459" w:rsidRPr="00585F58" w:rsidRDefault="006B3459" w:rsidP="001318F9">
            <w:pPr>
              <w:spacing w:line="20" w:lineRule="atLeast"/>
              <w:jc w:val="both"/>
              <w:rPr>
                <w:rFonts w:ascii="Times New Roman" w:eastAsia="Times New Roman" w:hAnsi="Times New Roman" w:cs="Times New Roman"/>
                <w:bCs/>
                <w:szCs w:val="24"/>
                <w:lang w:eastAsia="lv-LV"/>
              </w:rPr>
            </w:pPr>
            <w:r w:rsidRPr="00585F58">
              <w:rPr>
                <w:rFonts w:ascii="Times New Roman" w:eastAsia="Times New Roman" w:hAnsi="Times New Roman" w:cs="Times New Roman"/>
                <w:bCs/>
                <w:szCs w:val="24"/>
                <w:lang w:eastAsia="lv-LV"/>
              </w:rPr>
              <w:t>c) nekas no iepriekš minētā</w:t>
            </w:r>
          </w:p>
        </w:tc>
        <w:tc>
          <w:tcPr>
            <w:tcW w:w="2841" w:type="dxa"/>
          </w:tcPr>
          <w:p w:rsidR="006B3459" w:rsidRPr="00585F58" w:rsidRDefault="006B3459" w:rsidP="001318F9">
            <w:pPr>
              <w:spacing w:line="20" w:lineRule="atLeast"/>
              <w:jc w:val="both"/>
              <w:rPr>
                <w:rFonts w:ascii="Times New Roman" w:eastAsia="Times New Roman" w:hAnsi="Times New Roman" w:cs="Times New Roman"/>
                <w:bCs/>
                <w:szCs w:val="24"/>
                <w:lang w:eastAsia="lv-LV"/>
              </w:rPr>
            </w:pPr>
            <w:r w:rsidRPr="00585F58">
              <w:rPr>
                <w:rFonts w:ascii="Times New Roman" w:eastAsia="Times New Roman" w:hAnsi="Times New Roman" w:cs="Times New Roman"/>
                <w:bCs/>
                <w:szCs w:val="24"/>
                <w:lang w:eastAsia="lv-LV"/>
              </w:rPr>
              <w:t>Kopējā nodokļa likme var tikt samazināta, vai arī jāatceļ citi šķēršļi investīcijām.</w:t>
            </w:r>
          </w:p>
        </w:tc>
      </w:tr>
    </w:tbl>
    <w:p w:rsidR="006B3459" w:rsidRPr="00585F58" w:rsidRDefault="006B3459" w:rsidP="008606E2">
      <w:pPr>
        <w:spacing w:line="20" w:lineRule="atLeast"/>
        <w:contextualSpacing/>
        <w:jc w:val="both"/>
        <w:rPr>
          <w:rFonts w:cs="Times New Roman"/>
          <w:szCs w:val="24"/>
        </w:rPr>
      </w:pPr>
    </w:p>
    <w:p w:rsidR="00093823" w:rsidRPr="00585F58" w:rsidRDefault="00093823" w:rsidP="001327C6">
      <w:pPr>
        <w:pStyle w:val="ListParagraph"/>
        <w:numPr>
          <w:ilvl w:val="0"/>
          <w:numId w:val="4"/>
        </w:numPr>
        <w:spacing w:line="20" w:lineRule="atLeast"/>
        <w:jc w:val="both"/>
        <w:rPr>
          <w:rFonts w:cs="Times New Roman"/>
          <w:b/>
          <w:sz w:val="28"/>
          <w:szCs w:val="28"/>
          <w:u w:val="single"/>
        </w:rPr>
      </w:pPr>
      <w:r w:rsidRPr="00585F58">
        <w:rPr>
          <w:rFonts w:cs="Times New Roman"/>
          <w:b/>
          <w:sz w:val="28"/>
          <w:szCs w:val="28"/>
          <w:u w:val="single"/>
        </w:rPr>
        <w:t>UIN ieņēmumu un atvieglojumu apskats</w:t>
      </w:r>
      <w:r w:rsidR="00B14F7A" w:rsidRPr="00585F58">
        <w:rPr>
          <w:rFonts w:cs="Times New Roman"/>
          <w:b/>
          <w:sz w:val="28"/>
          <w:szCs w:val="28"/>
          <w:u w:val="single"/>
        </w:rPr>
        <w:t xml:space="preserve"> Latvijā</w:t>
      </w:r>
    </w:p>
    <w:p w:rsidR="00093823" w:rsidRPr="00585F58" w:rsidRDefault="00093823" w:rsidP="00093823">
      <w:pPr>
        <w:pStyle w:val="ListParagraph"/>
        <w:spacing w:line="20" w:lineRule="atLeast"/>
        <w:jc w:val="both"/>
        <w:rPr>
          <w:rFonts w:cs="Times New Roman"/>
          <w:szCs w:val="24"/>
        </w:rPr>
      </w:pPr>
    </w:p>
    <w:p w:rsidR="001D3AD8" w:rsidRPr="00585F58" w:rsidRDefault="00093823" w:rsidP="001D3AD8">
      <w:pPr>
        <w:pStyle w:val="ListParagraph"/>
        <w:spacing w:line="20" w:lineRule="atLeast"/>
        <w:ind w:left="0" w:firstLine="567"/>
        <w:jc w:val="both"/>
        <w:rPr>
          <w:rFonts w:cs="Times New Roman"/>
          <w:szCs w:val="24"/>
        </w:rPr>
      </w:pPr>
      <w:r w:rsidRPr="00585F58">
        <w:rPr>
          <w:rFonts w:cs="Times New Roman"/>
          <w:szCs w:val="24"/>
        </w:rPr>
        <w:t xml:space="preserve">UIN likme Latvijā ir 15 procenti no apliekamā ienākuma. Šāda likme ir spēkā no 2004.gada. Līdz 2001.gada 31.decembrim tā bija 25 </w:t>
      </w:r>
      <w:r w:rsidR="00513CA7" w:rsidRPr="00585F58">
        <w:rPr>
          <w:rFonts w:cs="Times New Roman"/>
          <w:szCs w:val="24"/>
        </w:rPr>
        <w:t xml:space="preserve">procenti no apliekamā ienākuma, </w:t>
      </w:r>
      <w:r w:rsidRPr="00585F58">
        <w:rPr>
          <w:rFonts w:cs="Times New Roman"/>
          <w:szCs w:val="24"/>
        </w:rPr>
        <w:t xml:space="preserve">2002.gadā </w:t>
      </w:r>
      <w:r w:rsidR="00513CA7" w:rsidRPr="00585F58">
        <w:rPr>
          <w:rFonts w:cs="Times New Roman"/>
          <w:szCs w:val="24"/>
        </w:rPr>
        <w:t xml:space="preserve">un 2003.gadā attiecīgi 22 procenti un </w:t>
      </w:r>
      <w:r w:rsidRPr="00585F58">
        <w:rPr>
          <w:rFonts w:cs="Times New Roman"/>
          <w:szCs w:val="24"/>
        </w:rPr>
        <w:t xml:space="preserve">19 </w:t>
      </w:r>
      <w:r w:rsidR="00513CA7" w:rsidRPr="00585F58">
        <w:rPr>
          <w:rFonts w:cs="Times New Roman"/>
          <w:szCs w:val="24"/>
        </w:rPr>
        <w:t>procenti</w:t>
      </w:r>
      <w:r w:rsidRPr="00585F58">
        <w:rPr>
          <w:rFonts w:cs="Times New Roman"/>
          <w:szCs w:val="24"/>
        </w:rPr>
        <w:t>.</w:t>
      </w:r>
    </w:p>
    <w:p w:rsidR="001D3AD8" w:rsidRPr="00585F58" w:rsidRDefault="001D3AD8" w:rsidP="001D3AD8">
      <w:pPr>
        <w:pStyle w:val="ListParagraph"/>
        <w:spacing w:line="20" w:lineRule="atLeast"/>
        <w:ind w:left="0" w:firstLine="567"/>
        <w:jc w:val="both"/>
        <w:rPr>
          <w:rFonts w:cs="Times New Roman"/>
          <w:szCs w:val="24"/>
        </w:rPr>
      </w:pPr>
      <w:r w:rsidRPr="00585F58">
        <w:rPr>
          <w:rFonts w:cs="Times New Roman"/>
          <w:szCs w:val="24"/>
        </w:rPr>
        <w:t>Tāpat arī Latvijā ir viena no zemākajām efektīvākajām UIN likmēm Eiropas Savienībā (turpmāk – ES).</w:t>
      </w:r>
      <w:r w:rsidR="00C3546B" w:rsidRPr="00585F58">
        <w:rPr>
          <w:rFonts w:cs="Times New Roman"/>
          <w:szCs w:val="24"/>
        </w:rPr>
        <w:t xml:space="preserve"> </w:t>
      </w:r>
      <w:r w:rsidR="004A1D3E" w:rsidRPr="00585F58">
        <w:rPr>
          <w:rFonts w:cs="Times New Roman"/>
          <w:szCs w:val="24"/>
        </w:rPr>
        <w:t>2011.gadā vidējā efektīvā UIN likme bija 12,6 procentu apmērā</w:t>
      </w:r>
      <w:r w:rsidRPr="00585F58">
        <w:rPr>
          <w:rFonts w:cs="Times New Roman"/>
          <w:szCs w:val="24"/>
        </w:rPr>
        <w:t>.</w:t>
      </w:r>
      <w:r w:rsidRPr="00585F58">
        <w:rPr>
          <w:rStyle w:val="FootnoteReference"/>
          <w:rFonts w:cs="Times New Roman"/>
          <w:szCs w:val="24"/>
        </w:rPr>
        <w:footnoteReference w:id="4"/>
      </w:r>
    </w:p>
    <w:p w:rsidR="00093823" w:rsidRPr="00585F58" w:rsidRDefault="00513CA7" w:rsidP="001D3AD8">
      <w:pPr>
        <w:pStyle w:val="ListParagraph"/>
        <w:spacing w:line="20" w:lineRule="atLeast"/>
        <w:ind w:left="0" w:firstLine="567"/>
        <w:jc w:val="both"/>
        <w:rPr>
          <w:rFonts w:cs="Times New Roman"/>
          <w:szCs w:val="24"/>
        </w:rPr>
      </w:pPr>
      <w:r w:rsidRPr="00585F58">
        <w:rPr>
          <w:rFonts w:cs="Times New Roman"/>
          <w:szCs w:val="24"/>
        </w:rPr>
        <w:t xml:space="preserve">Latvijā </w:t>
      </w:r>
      <w:r w:rsidR="00093823" w:rsidRPr="00585F58">
        <w:rPr>
          <w:rFonts w:cs="Times New Roman"/>
          <w:szCs w:val="24"/>
        </w:rPr>
        <w:t xml:space="preserve">UIN ir nozīmīgs budžeta finansēšanas avots, pēdējo 15 gadu laikā ik gadu nodrošinot vidēji 6,5 procentus no kopējiem nodokļu ieņēmumiem Latvijā. </w:t>
      </w:r>
    </w:p>
    <w:p w:rsidR="007453C0" w:rsidRPr="00585F58" w:rsidRDefault="007453C0" w:rsidP="001D3AD8">
      <w:pPr>
        <w:pStyle w:val="ListParagraph"/>
        <w:spacing w:line="20" w:lineRule="atLeast"/>
        <w:ind w:left="0" w:firstLine="567"/>
        <w:jc w:val="both"/>
        <w:rPr>
          <w:rFonts w:cs="Times New Roman"/>
          <w:szCs w:val="24"/>
        </w:rPr>
      </w:pPr>
    </w:p>
    <w:p w:rsidR="001D3AD8" w:rsidRPr="00585F58" w:rsidRDefault="007B1A6D" w:rsidP="00B14F7A">
      <w:pPr>
        <w:pStyle w:val="ListParagraph"/>
        <w:spacing w:after="0" w:line="20" w:lineRule="atLeast"/>
        <w:ind w:left="0"/>
        <w:jc w:val="both"/>
        <w:rPr>
          <w:rFonts w:cs="Times New Roman"/>
          <w:szCs w:val="24"/>
        </w:rPr>
      </w:pPr>
      <w:r w:rsidRPr="00585F58">
        <w:rPr>
          <w:noProof/>
          <w:lang w:eastAsia="lv-LV"/>
        </w:rPr>
        <w:lastRenderedPageBreak/>
        <w:drawing>
          <wp:inline distT="0" distB="0" distL="0" distR="0" wp14:anchorId="715ACECD" wp14:editId="43BC9019">
            <wp:extent cx="5278120" cy="2585301"/>
            <wp:effectExtent l="0" t="0" r="0" b="57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4F7A" w:rsidRPr="00585F58" w:rsidRDefault="006676E3" w:rsidP="001D3AD8">
      <w:pPr>
        <w:spacing w:after="0" w:line="240" w:lineRule="auto"/>
        <w:ind w:left="360"/>
        <w:jc w:val="both"/>
        <w:rPr>
          <w:rFonts w:cs="Times New Roman"/>
          <w:szCs w:val="24"/>
        </w:rPr>
      </w:pPr>
      <w:r w:rsidRPr="00585F58">
        <w:rPr>
          <w:rFonts w:cs="Times New Roman"/>
          <w:szCs w:val="24"/>
        </w:rPr>
        <w:t>Dati</w:t>
      </w:r>
      <w:r w:rsidR="00B14F7A" w:rsidRPr="00585F58">
        <w:rPr>
          <w:rFonts w:cs="Times New Roman"/>
          <w:szCs w:val="24"/>
        </w:rPr>
        <w:t>:</w:t>
      </w:r>
      <w:r w:rsidRPr="00585F58">
        <w:rPr>
          <w:rFonts w:cs="Times New Roman"/>
          <w:szCs w:val="24"/>
        </w:rPr>
        <w:t xml:space="preserve"> Finanšu ministrija</w:t>
      </w:r>
    </w:p>
    <w:p w:rsidR="001D3AD8" w:rsidRPr="00585F58" w:rsidRDefault="001D3AD8" w:rsidP="007B1A6D">
      <w:pPr>
        <w:spacing w:after="0" w:line="240" w:lineRule="auto"/>
        <w:ind w:left="360"/>
        <w:jc w:val="center"/>
        <w:rPr>
          <w:rFonts w:cs="Times New Roman"/>
          <w:b/>
        </w:rPr>
      </w:pPr>
      <w:r w:rsidRPr="00585F58">
        <w:rPr>
          <w:rFonts w:cs="Times New Roman"/>
          <w:b/>
        </w:rPr>
        <w:t xml:space="preserve">1.att. </w:t>
      </w:r>
      <w:r w:rsidR="00773317" w:rsidRPr="00585F58">
        <w:rPr>
          <w:rFonts w:cs="Times New Roman"/>
          <w:b/>
        </w:rPr>
        <w:t xml:space="preserve">Kopējie nodokļu ieņēmumi un UIN </w:t>
      </w:r>
      <w:r w:rsidR="007B1A6D" w:rsidRPr="00585F58">
        <w:rPr>
          <w:rFonts w:cs="Times New Roman"/>
          <w:b/>
        </w:rPr>
        <w:t xml:space="preserve">ieņēmumu </w:t>
      </w:r>
      <w:r w:rsidRPr="00585F58">
        <w:rPr>
          <w:rFonts w:cs="Times New Roman"/>
          <w:b/>
        </w:rPr>
        <w:t xml:space="preserve">īpatsvars </w:t>
      </w:r>
      <w:r w:rsidR="00106040" w:rsidRPr="00585F58">
        <w:rPr>
          <w:rFonts w:cs="Times New Roman"/>
          <w:b/>
        </w:rPr>
        <w:t>no kopējiem nodokļu ieņēmumiem</w:t>
      </w:r>
      <w:r w:rsidR="00B14F7A" w:rsidRPr="00585F58">
        <w:rPr>
          <w:rFonts w:cs="Times New Roman"/>
          <w:b/>
        </w:rPr>
        <w:t xml:space="preserve"> Latvijā</w:t>
      </w:r>
      <w:r w:rsidRPr="00585F58">
        <w:rPr>
          <w:rFonts w:cs="Times New Roman"/>
          <w:b/>
        </w:rPr>
        <w:t xml:space="preserve">. </w:t>
      </w:r>
      <w:r w:rsidR="00D8103B" w:rsidRPr="00585F58">
        <w:rPr>
          <w:rFonts w:cs="Times New Roman"/>
          <w:b/>
        </w:rPr>
        <w:t>(</w:t>
      </w:r>
      <w:r w:rsidR="000E3B2B" w:rsidRPr="00585F58">
        <w:rPr>
          <w:rFonts w:cs="Times New Roman"/>
          <w:b/>
        </w:rPr>
        <w:t>*</w:t>
      </w:r>
      <w:r w:rsidR="007479E0" w:rsidRPr="00585F58">
        <w:rPr>
          <w:rFonts w:cs="Times New Roman"/>
          <w:b/>
        </w:rPr>
        <w:t xml:space="preserve">prognoze uz </w:t>
      </w:r>
      <w:r w:rsidR="002E1F26" w:rsidRPr="00585F58">
        <w:rPr>
          <w:rFonts w:cs="Times New Roman"/>
          <w:b/>
        </w:rPr>
        <w:t>2013.gada aprīli</w:t>
      </w:r>
      <w:r w:rsidR="00D8103B" w:rsidRPr="00585F58">
        <w:rPr>
          <w:rFonts w:cs="Times New Roman"/>
          <w:b/>
        </w:rPr>
        <w:t>)</w:t>
      </w:r>
    </w:p>
    <w:p w:rsidR="007453C0" w:rsidRPr="00585F58" w:rsidRDefault="007453C0" w:rsidP="0055659E">
      <w:pPr>
        <w:spacing w:line="20" w:lineRule="atLeast"/>
        <w:ind w:firstLine="567"/>
        <w:contextualSpacing/>
        <w:jc w:val="both"/>
        <w:rPr>
          <w:rFonts w:cs="Times New Roman"/>
        </w:rPr>
      </w:pPr>
    </w:p>
    <w:p w:rsidR="0055659E" w:rsidRPr="00585F58" w:rsidRDefault="0055659E" w:rsidP="0055659E">
      <w:pPr>
        <w:spacing w:line="20" w:lineRule="atLeast"/>
        <w:ind w:firstLine="567"/>
        <w:contextualSpacing/>
        <w:jc w:val="both"/>
        <w:rPr>
          <w:rFonts w:cs="Times New Roman"/>
        </w:rPr>
      </w:pPr>
      <w:r w:rsidRPr="00585F58">
        <w:rPr>
          <w:rFonts w:cs="Times New Roman"/>
        </w:rPr>
        <w:t xml:space="preserve">UIN ieņēmumi ir atkarīgi no ekonomiskā cikla, jo tā bāze – uzņēmumu peļņa ir svārstīga cikla laikā. Turklāt, ņemot vērā nodokļa administrēšanas formu, ieņēmumu izmaiņas no faktiskās bāzes izmaiņām daļēji atpaliek par vienu gadu. 2010.gadā ir sasniegts nodokļa ieņēmumu minimums – tikai </w:t>
      </w:r>
      <w:r w:rsidR="005E5C4A" w:rsidRPr="00585F58">
        <w:rPr>
          <w:rFonts w:cs="Times New Roman"/>
        </w:rPr>
        <w:t>3,2</w:t>
      </w:r>
      <w:r w:rsidRPr="00585F58">
        <w:rPr>
          <w:rFonts w:cs="Times New Roman"/>
          <w:szCs w:val="24"/>
        </w:rPr>
        <w:t xml:space="preserve"> procenti</w:t>
      </w:r>
      <w:r w:rsidRPr="00585F58">
        <w:rPr>
          <w:rFonts w:cs="Times New Roman"/>
        </w:rPr>
        <w:t xml:space="preserve"> no kopējiem nodokļu ieņēmumiem jeb 0,9</w:t>
      </w:r>
      <w:r w:rsidRPr="00585F58">
        <w:rPr>
          <w:rFonts w:cs="Times New Roman"/>
          <w:szCs w:val="24"/>
        </w:rPr>
        <w:t xml:space="preserve"> procenti</w:t>
      </w:r>
      <w:r w:rsidRPr="00585F58">
        <w:rPr>
          <w:rFonts w:cs="Times New Roman"/>
        </w:rPr>
        <w:t xml:space="preserve"> no IKP. </w:t>
      </w:r>
      <w:r w:rsidR="00D8103B" w:rsidRPr="00585F58">
        <w:rPr>
          <w:rFonts w:cs="Times New Roman"/>
        </w:rPr>
        <w:t>S</w:t>
      </w:r>
      <w:r w:rsidR="00513CA7" w:rsidRPr="00585F58">
        <w:rPr>
          <w:rFonts w:cs="Times New Roman"/>
        </w:rPr>
        <w:t>āko</w:t>
      </w:r>
      <w:r w:rsidR="00D8103B" w:rsidRPr="00585F58">
        <w:rPr>
          <w:rFonts w:cs="Times New Roman"/>
        </w:rPr>
        <w:t xml:space="preserve">t ar 2011.gadu situācija pakāpeniski uzlabojas. </w:t>
      </w:r>
    </w:p>
    <w:p w:rsidR="007635EE" w:rsidRPr="00585F58" w:rsidRDefault="00322BCF" w:rsidP="00BB30AE">
      <w:pPr>
        <w:spacing w:line="20" w:lineRule="atLeast"/>
        <w:ind w:firstLine="567"/>
        <w:contextualSpacing/>
        <w:jc w:val="both"/>
        <w:rPr>
          <w:rFonts w:cs="Times New Roman"/>
        </w:rPr>
      </w:pPr>
      <w:r w:rsidRPr="00585F58">
        <w:rPr>
          <w:rFonts w:cs="Times New Roman"/>
        </w:rPr>
        <w:t>Uz 2011.gada 31.decembri</w:t>
      </w:r>
      <w:r w:rsidR="002D6E53" w:rsidRPr="00585F58">
        <w:rPr>
          <w:rFonts w:cs="Times New Roman"/>
        </w:rPr>
        <w:t xml:space="preserve"> Latvijā bija</w:t>
      </w:r>
      <w:r w:rsidR="007635EE" w:rsidRPr="00585F58">
        <w:rPr>
          <w:rFonts w:cs="Times New Roman"/>
        </w:rPr>
        <w:t xml:space="preserve"> </w:t>
      </w:r>
      <w:r w:rsidR="00AA3ECA" w:rsidRPr="00585F58">
        <w:rPr>
          <w:rFonts w:cs="Times New Roman"/>
        </w:rPr>
        <w:t>2</w:t>
      </w:r>
      <w:r w:rsidR="00EB2E5B" w:rsidRPr="00585F58">
        <w:rPr>
          <w:rFonts w:cs="Times New Roman"/>
        </w:rPr>
        <w:t>3</w:t>
      </w:r>
      <w:r w:rsidR="00AA3ECA" w:rsidRPr="00585F58">
        <w:rPr>
          <w:rFonts w:cs="Times New Roman"/>
        </w:rPr>
        <w:t xml:space="preserve"> </w:t>
      </w:r>
      <w:r w:rsidR="007635EE" w:rsidRPr="00585F58">
        <w:rPr>
          <w:rFonts w:cs="Times New Roman"/>
        </w:rPr>
        <w:t xml:space="preserve">uzņēmumu ienākuma nodokļa </w:t>
      </w:r>
      <w:r w:rsidR="00205493" w:rsidRPr="00585F58">
        <w:rPr>
          <w:rFonts w:cs="Times New Roman"/>
        </w:rPr>
        <w:t>atvieglojum</w:t>
      </w:r>
      <w:r w:rsidR="00B10B72" w:rsidRPr="00585F58">
        <w:rPr>
          <w:rFonts w:cs="Times New Roman"/>
        </w:rPr>
        <w:t>i</w:t>
      </w:r>
      <w:r w:rsidR="007635EE" w:rsidRPr="00585F58">
        <w:rPr>
          <w:rFonts w:cs="Times New Roman"/>
        </w:rPr>
        <w:t xml:space="preserve">. Vairākus no tiem var piemērot vienlaicīgi. Nodokļa </w:t>
      </w:r>
      <w:r w:rsidR="00205493" w:rsidRPr="00585F58">
        <w:rPr>
          <w:rFonts w:cs="Times New Roman"/>
        </w:rPr>
        <w:t>atvieglojumi</w:t>
      </w:r>
      <w:r w:rsidR="007635EE" w:rsidRPr="00585F58">
        <w:rPr>
          <w:rFonts w:cs="Times New Roman"/>
        </w:rPr>
        <w:t xml:space="preserve"> pēc to mērķa ir iedalāmi </w:t>
      </w:r>
      <w:r w:rsidR="00E25926" w:rsidRPr="00585F58">
        <w:rPr>
          <w:rFonts w:cs="Times New Roman"/>
        </w:rPr>
        <w:t>piecās</w:t>
      </w:r>
      <w:r w:rsidR="00D447FA" w:rsidRPr="00585F58">
        <w:rPr>
          <w:rFonts w:cs="Times New Roman"/>
        </w:rPr>
        <w:t> </w:t>
      </w:r>
      <w:r w:rsidR="00C3546B" w:rsidRPr="00585F58">
        <w:rPr>
          <w:rFonts w:cs="Times New Roman"/>
        </w:rPr>
        <w:t xml:space="preserve"> </w:t>
      </w:r>
      <w:r w:rsidR="007635EE" w:rsidRPr="00585F58">
        <w:rPr>
          <w:rFonts w:cs="Times New Roman"/>
        </w:rPr>
        <w:t>grupās</w:t>
      </w:r>
      <w:r w:rsidR="00057256" w:rsidRPr="00585F58">
        <w:rPr>
          <w:rFonts w:cs="Times New Roman"/>
        </w:rPr>
        <w:t>.</w:t>
      </w:r>
    </w:p>
    <w:p w:rsidR="004B0DA6" w:rsidRPr="00585F58" w:rsidRDefault="00E24901" w:rsidP="001327C6">
      <w:pPr>
        <w:pStyle w:val="ListParagraph"/>
        <w:numPr>
          <w:ilvl w:val="0"/>
          <w:numId w:val="1"/>
        </w:numPr>
        <w:spacing w:line="20" w:lineRule="atLeast"/>
        <w:jc w:val="both"/>
        <w:rPr>
          <w:rFonts w:cs="Times New Roman"/>
          <w:szCs w:val="24"/>
        </w:rPr>
      </w:pPr>
      <w:r w:rsidRPr="00585F58">
        <w:rPr>
          <w:rFonts w:cs="Times New Roman"/>
          <w:szCs w:val="24"/>
        </w:rPr>
        <w:t>a</w:t>
      </w:r>
      <w:r w:rsidR="004B0DA6" w:rsidRPr="00585F58">
        <w:rPr>
          <w:rFonts w:cs="Times New Roman"/>
          <w:szCs w:val="24"/>
        </w:rPr>
        <w:t>tvieglojumi investīciju veicināšanai (</w:t>
      </w:r>
      <w:r w:rsidR="00E25926" w:rsidRPr="00585F58">
        <w:rPr>
          <w:rFonts w:cs="Times New Roman"/>
          <w:szCs w:val="24"/>
        </w:rPr>
        <w:t>deviņi</w:t>
      </w:r>
      <w:r w:rsidR="00057256" w:rsidRPr="00585F58">
        <w:rPr>
          <w:rFonts w:cs="Times New Roman"/>
          <w:szCs w:val="24"/>
        </w:rPr>
        <w:t xml:space="preserve"> nodokļa stimuli):</w:t>
      </w:r>
    </w:p>
    <w:p w:rsidR="00194182" w:rsidRPr="00585F58" w:rsidRDefault="00057256" w:rsidP="001327C6">
      <w:pPr>
        <w:pStyle w:val="ListParagraph"/>
        <w:numPr>
          <w:ilvl w:val="0"/>
          <w:numId w:val="8"/>
        </w:numPr>
        <w:spacing w:after="0" w:line="20" w:lineRule="atLeast"/>
        <w:jc w:val="both"/>
        <w:rPr>
          <w:rFonts w:cs="Times New Roman"/>
          <w:szCs w:val="24"/>
        </w:rPr>
      </w:pPr>
      <w:r w:rsidRPr="00585F58">
        <w:rPr>
          <w:rFonts w:cs="Times New Roman"/>
          <w:i/>
          <w:szCs w:val="24"/>
        </w:rPr>
        <w:t>Atvieglojums ražošanas veicināšanai, iegādājoties jaunas ražošanas tehnoloģiskās iekārtas</w:t>
      </w:r>
      <w:r w:rsidRPr="00585F58">
        <w:rPr>
          <w:rFonts w:cs="Times New Roman"/>
          <w:szCs w:val="24"/>
        </w:rPr>
        <w:t xml:space="preserve"> </w:t>
      </w:r>
      <w:r w:rsidRPr="00585F58">
        <w:rPr>
          <w:rFonts w:cs="Times New Roman"/>
          <w:i/>
          <w:szCs w:val="24"/>
        </w:rPr>
        <w:t>(likuma Par UIN 13.panta 1.</w:t>
      </w:r>
      <w:r w:rsidRPr="00585F58">
        <w:rPr>
          <w:rFonts w:cs="Times New Roman"/>
          <w:i/>
          <w:szCs w:val="24"/>
          <w:vertAlign w:val="superscript"/>
        </w:rPr>
        <w:t>1</w:t>
      </w:r>
      <w:r w:rsidRPr="00585F58">
        <w:rPr>
          <w:rFonts w:cs="Times New Roman"/>
          <w:i/>
          <w:szCs w:val="24"/>
        </w:rPr>
        <w:t xml:space="preserve"> daļa)</w:t>
      </w:r>
      <w:r w:rsidR="00194182" w:rsidRPr="00585F58">
        <w:rPr>
          <w:rFonts w:cs="Times New Roman"/>
          <w:i/>
          <w:szCs w:val="24"/>
        </w:rPr>
        <w:t>;</w:t>
      </w:r>
      <w:r w:rsidR="00194182" w:rsidRPr="00585F58">
        <w:rPr>
          <w:rFonts w:cs="Times New Roman"/>
          <w:szCs w:val="24"/>
        </w:rPr>
        <w:t xml:space="preserve"> </w:t>
      </w:r>
    </w:p>
    <w:p w:rsidR="00057256" w:rsidRPr="00585F58" w:rsidRDefault="00194182" w:rsidP="001327C6">
      <w:pPr>
        <w:pStyle w:val="ListParagraph"/>
        <w:numPr>
          <w:ilvl w:val="0"/>
          <w:numId w:val="8"/>
        </w:numPr>
        <w:spacing w:line="20" w:lineRule="atLeast"/>
        <w:jc w:val="both"/>
        <w:rPr>
          <w:rFonts w:cs="Times New Roman"/>
          <w:szCs w:val="24"/>
        </w:rPr>
      </w:pPr>
      <w:r w:rsidRPr="00585F58">
        <w:rPr>
          <w:rFonts w:cs="Times New Roman"/>
          <w:i/>
          <w:szCs w:val="24"/>
        </w:rPr>
        <w:t>Atvieglojums investīciju veikšanai pamatlīdzekļos īpaši atbalstāmajās teritorijās, iegādājoties pamatlīdzekļus, kurus izmanto īpaši atbalstāmajās teritorijās (likuma Par UIN 13.panta 1.daļas 9.punkts)</w:t>
      </w:r>
      <w:r w:rsidR="00B0199A" w:rsidRPr="00585F58">
        <w:rPr>
          <w:rFonts w:cs="Times New Roman"/>
          <w:i/>
          <w:szCs w:val="24"/>
        </w:rPr>
        <w:t xml:space="preserve"> (normas spēkā līdz 2012.gada 31.decembrim)</w:t>
      </w:r>
      <w:r w:rsidRPr="00585F58">
        <w:rPr>
          <w:rFonts w:cs="Times New Roman"/>
          <w:i/>
          <w:szCs w:val="24"/>
        </w:rPr>
        <w:t>;</w:t>
      </w:r>
    </w:p>
    <w:p w:rsidR="00194182" w:rsidRPr="00585F58" w:rsidRDefault="00194182" w:rsidP="001327C6">
      <w:pPr>
        <w:pStyle w:val="ListParagraph"/>
        <w:numPr>
          <w:ilvl w:val="0"/>
          <w:numId w:val="8"/>
        </w:numPr>
        <w:spacing w:after="0" w:line="20" w:lineRule="atLeast"/>
        <w:jc w:val="both"/>
        <w:rPr>
          <w:rFonts w:cs="Times New Roman"/>
          <w:i/>
          <w:szCs w:val="24"/>
        </w:rPr>
      </w:pPr>
      <w:r w:rsidRPr="00585F58">
        <w:rPr>
          <w:rFonts w:cs="Times New Roman"/>
          <w:i/>
          <w:szCs w:val="24"/>
        </w:rPr>
        <w:t>Apliekamā ienākuma samazinājums par nosacītu kredītprocentu summu (likuma Par UIN 6.panta 17.daļa);</w:t>
      </w:r>
    </w:p>
    <w:p w:rsidR="00194182" w:rsidRPr="00585F58" w:rsidRDefault="00194182" w:rsidP="001327C6">
      <w:pPr>
        <w:pStyle w:val="ListParagraph"/>
        <w:numPr>
          <w:ilvl w:val="0"/>
          <w:numId w:val="8"/>
        </w:numPr>
        <w:spacing w:after="0" w:line="20" w:lineRule="atLeast"/>
        <w:jc w:val="both"/>
        <w:rPr>
          <w:rFonts w:cs="Times New Roman"/>
          <w:i/>
          <w:szCs w:val="24"/>
        </w:rPr>
      </w:pPr>
      <w:r w:rsidRPr="00585F58">
        <w:rPr>
          <w:rFonts w:cs="Times New Roman"/>
          <w:i/>
          <w:szCs w:val="24"/>
        </w:rPr>
        <w:t>Atlaide investīciju veikšanai brīvostās vai speciālajās ekonomiskajās zonās (</w:t>
      </w:r>
      <w:r w:rsidRPr="00585F58">
        <w:rPr>
          <w:rFonts w:cs="Times New Roman"/>
          <w:i/>
        </w:rPr>
        <w:t>Likuma „</w:t>
      </w:r>
      <w:r w:rsidRPr="00585F58">
        <w:rPr>
          <w:rFonts w:cs="Times New Roman"/>
          <w:bCs/>
          <w:i/>
        </w:rPr>
        <w:t xml:space="preserve">Par nodokļu piemērošanu brīvostās un speciālajās ekonomiskajās zonās” </w:t>
      </w:r>
      <w:proofErr w:type="spellStart"/>
      <w:r w:rsidRPr="00585F58">
        <w:rPr>
          <w:rFonts w:cs="Times New Roman"/>
          <w:bCs/>
          <w:i/>
        </w:rPr>
        <w:t>III.daļa</w:t>
      </w:r>
      <w:proofErr w:type="spellEnd"/>
      <w:r w:rsidRPr="00585F58">
        <w:rPr>
          <w:rFonts w:cs="Times New Roman"/>
          <w:bCs/>
          <w:i/>
        </w:rPr>
        <w:t>);</w:t>
      </w:r>
    </w:p>
    <w:p w:rsidR="00194182" w:rsidRPr="00585F58" w:rsidRDefault="00194182" w:rsidP="001327C6">
      <w:pPr>
        <w:pStyle w:val="ListParagraph"/>
        <w:numPr>
          <w:ilvl w:val="0"/>
          <w:numId w:val="8"/>
        </w:numPr>
        <w:spacing w:line="20" w:lineRule="atLeast"/>
        <w:jc w:val="both"/>
        <w:rPr>
          <w:rFonts w:cs="Times New Roman"/>
          <w:szCs w:val="24"/>
        </w:rPr>
      </w:pPr>
      <w:r w:rsidRPr="00585F58">
        <w:rPr>
          <w:rFonts w:cs="Times New Roman"/>
          <w:i/>
          <w:szCs w:val="24"/>
        </w:rPr>
        <w:t>Atvieglojums pamatlīdzekļu aizstāšanas gadījumā (likuma Par UIN 10.</w:t>
      </w:r>
      <w:r w:rsidRPr="00585F58">
        <w:rPr>
          <w:rFonts w:cs="Times New Roman"/>
          <w:i/>
          <w:szCs w:val="24"/>
          <w:vertAlign w:val="superscript"/>
        </w:rPr>
        <w:t xml:space="preserve">1 </w:t>
      </w:r>
      <w:r w:rsidRPr="00585F58">
        <w:rPr>
          <w:rFonts w:cs="Times New Roman"/>
          <w:i/>
          <w:szCs w:val="24"/>
        </w:rPr>
        <w:t>pants);</w:t>
      </w:r>
    </w:p>
    <w:p w:rsidR="00194182" w:rsidRPr="00585F58" w:rsidRDefault="00194182" w:rsidP="001327C6">
      <w:pPr>
        <w:pStyle w:val="ListParagraph"/>
        <w:numPr>
          <w:ilvl w:val="0"/>
          <w:numId w:val="8"/>
        </w:numPr>
        <w:spacing w:after="0" w:line="20" w:lineRule="atLeast"/>
        <w:jc w:val="both"/>
        <w:rPr>
          <w:rFonts w:cs="Times New Roman"/>
          <w:i/>
          <w:szCs w:val="24"/>
        </w:rPr>
      </w:pPr>
      <w:r w:rsidRPr="00585F58">
        <w:rPr>
          <w:rFonts w:cs="Times New Roman"/>
          <w:i/>
          <w:szCs w:val="24"/>
        </w:rPr>
        <w:t>Atvieglojums izpētei un attīstībai − īpaša izdevumu atzīšanas kārtība izpētes un attīstības izmaksām (likuma Par UIN 13.panta 4.</w:t>
      </w:r>
      <w:r w:rsidRPr="00585F58">
        <w:rPr>
          <w:rFonts w:cs="Times New Roman"/>
          <w:i/>
          <w:szCs w:val="24"/>
          <w:vertAlign w:val="superscript"/>
        </w:rPr>
        <w:t>1</w:t>
      </w:r>
      <w:r w:rsidRPr="00585F58">
        <w:rPr>
          <w:rFonts w:cs="Times New Roman"/>
          <w:i/>
          <w:szCs w:val="24"/>
        </w:rPr>
        <w:t xml:space="preserve"> daļa);</w:t>
      </w:r>
    </w:p>
    <w:p w:rsidR="00194182" w:rsidRPr="00585F58" w:rsidRDefault="00194182" w:rsidP="001327C6">
      <w:pPr>
        <w:pStyle w:val="ListParagraph"/>
        <w:numPr>
          <w:ilvl w:val="0"/>
          <w:numId w:val="8"/>
        </w:numPr>
        <w:spacing w:line="20" w:lineRule="atLeast"/>
        <w:jc w:val="both"/>
        <w:rPr>
          <w:rFonts w:cs="Times New Roman"/>
          <w:szCs w:val="24"/>
        </w:rPr>
      </w:pPr>
      <w:r w:rsidRPr="00585F58">
        <w:rPr>
          <w:rFonts w:cs="Times New Roman"/>
          <w:i/>
          <w:szCs w:val="24"/>
        </w:rPr>
        <w:t>Iespēja segt taksācijas perioda zaudējumus (likuma Par UIN 14.</w:t>
      </w:r>
      <w:r w:rsidRPr="00585F58">
        <w:rPr>
          <w:rFonts w:cs="Times New Roman"/>
          <w:i/>
          <w:szCs w:val="24"/>
          <w:vertAlign w:val="superscript"/>
        </w:rPr>
        <w:t xml:space="preserve"> </w:t>
      </w:r>
      <w:r w:rsidRPr="00585F58">
        <w:rPr>
          <w:rFonts w:cs="Times New Roman"/>
          <w:i/>
          <w:szCs w:val="24"/>
        </w:rPr>
        <w:t>pants) un pārnest zaudējumus uzņēmumu grupā (likuma Par UIN 14.</w:t>
      </w:r>
      <w:r w:rsidRPr="00585F58">
        <w:rPr>
          <w:rFonts w:cs="Times New Roman"/>
          <w:i/>
          <w:szCs w:val="24"/>
          <w:vertAlign w:val="superscript"/>
        </w:rPr>
        <w:t xml:space="preserve">1 </w:t>
      </w:r>
      <w:r w:rsidRPr="00585F58">
        <w:rPr>
          <w:rFonts w:cs="Times New Roman"/>
          <w:i/>
          <w:szCs w:val="24"/>
        </w:rPr>
        <w:t>pants);</w:t>
      </w:r>
    </w:p>
    <w:p w:rsidR="00194182" w:rsidRPr="00585F58" w:rsidRDefault="00194182" w:rsidP="001327C6">
      <w:pPr>
        <w:pStyle w:val="ListParagraph"/>
        <w:numPr>
          <w:ilvl w:val="0"/>
          <w:numId w:val="8"/>
        </w:numPr>
        <w:spacing w:after="0" w:line="20" w:lineRule="atLeast"/>
        <w:jc w:val="both"/>
        <w:rPr>
          <w:rFonts w:cs="Times New Roman"/>
          <w:i/>
          <w:szCs w:val="24"/>
        </w:rPr>
      </w:pPr>
      <w:r w:rsidRPr="00585F58">
        <w:rPr>
          <w:rFonts w:cs="Times New Roman"/>
          <w:i/>
          <w:szCs w:val="24"/>
        </w:rPr>
        <w:t>Paātrināta pamatlīdzekļu norakstīšanas kārtība (likuma Par UIN 13.</w:t>
      </w:r>
      <w:r w:rsidRPr="00585F58">
        <w:rPr>
          <w:rFonts w:cs="Times New Roman"/>
          <w:i/>
          <w:szCs w:val="24"/>
          <w:vertAlign w:val="superscript"/>
        </w:rPr>
        <w:t xml:space="preserve"> </w:t>
      </w:r>
      <w:r w:rsidRPr="00585F58">
        <w:rPr>
          <w:rFonts w:cs="Times New Roman"/>
          <w:i/>
          <w:szCs w:val="24"/>
        </w:rPr>
        <w:t>panta 1.daļas 3.punkts);</w:t>
      </w:r>
    </w:p>
    <w:p w:rsidR="00194182" w:rsidRPr="00585F58" w:rsidRDefault="00585F58" w:rsidP="001327C6">
      <w:pPr>
        <w:pStyle w:val="ListParagraph"/>
        <w:numPr>
          <w:ilvl w:val="0"/>
          <w:numId w:val="8"/>
        </w:numPr>
        <w:spacing w:line="20" w:lineRule="atLeast"/>
        <w:jc w:val="both"/>
        <w:rPr>
          <w:rFonts w:cs="Times New Roman"/>
          <w:szCs w:val="24"/>
        </w:rPr>
      </w:pPr>
      <w:r w:rsidRPr="00585F58">
        <w:rPr>
          <w:rFonts w:cs="Times New Roman"/>
          <w:i/>
          <w:szCs w:val="24"/>
        </w:rPr>
        <w:lastRenderedPageBreak/>
        <w:t>Atlaide</w:t>
      </w:r>
      <w:r w:rsidR="00194182" w:rsidRPr="00585F58">
        <w:rPr>
          <w:rFonts w:cs="Times New Roman"/>
          <w:i/>
          <w:szCs w:val="24"/>
        </w:rPr>
        <w:t>, realizējot atbalstāmo investīciju projektus (likuma Par UIN 17.</w:t>
      </w:r>
      <w:r w:rsidR="00194182" w:rsidRPr="00585F58">
        <w:rPr>
          <w:rFonts w:cs="Times New Roman"/>
          <w:i/>
          <w:szCs w:val="24"/>
          <w:vertAlign w:val="superscript"/>
        </w:rPr>
        <w:t xml:space="preserve">2 </w:t>
      </w:r>
      <w:r w:rsidR="00194182" w:rsidRPr="00585F58">
        <w:rPr>
          <w:rFonts w:cs="Times New Roman"/>
          <w:i/>
          <w:szCs w:val="24"/>
        </w:rPr>
        <w:t>pants).</w:t>
      </w:r>
    </w:p>
    <w:p w:rsidR="00E52072" w:rsidRPr="00585F58" w:rsidRDefault="00B0199A" w:rsidP="00E52072">
      <w:pPr>
        <w:pStyle w:val="ListParagraph"/>
        <w:spacing w:line="20" w:lineRule="atLeast"/>
        <w:ind w:left="0" w:firstLine="709"/>
        <w:jc w:val="both"/>
        <w:rPr>
          <w:rFonts w:cs="Times New Roman"/>
          <w:szCs w:val="24"/>
        </w:rPr>
      </w:pPr>
      <w:r w:rsidRPr="00585F58">
        <w:rPr>
          <w:rFonts w:cs="Times New Roman"/>
          <w:szCs w:val="24"/>
        </w:rPr>
        <w:t>K</w:t>
      </w:r>
      <w:r w:rsidR="00E52072" w:rsidRPr="00585F58">
        <w:rPr>
          <w:rFonts w:cs="Times New Roman"/>
          <w:szCs w:val="24"/>
        </w:rPr>
        <w:t xml:space="preserve">opējais UIN atvieglojumu apjoms investīciju veicināšanai 2011.gadā veidoja 123,14 </w:t>
      </w:r>
      <w:proofErr w:type="spellStart"/>
      <w:r w:rsidR="00E52072" w:rsidRPr="00585F58">
        <w:rPr>
          <w:rFonts w:cs="Times New Roman"/>
          <w:szCs w:val="24"/>
        </w:rPr>
        <w:t>milj</w:t>
      </w:r>
      <w:proofErr w:type="spellEnd"/>
      <w:r w:rsidR="00E52072" w:rsidRPr="00585F58">
        <w:rPr>
          <w:rFonts w:cs="Times New Roman"/>
          <w:szCs w:val="24"/>
        </w:rPr>
        <w:t>. latu. Vērtējot šo UIN atvieglojumu apjomu nozaru griezumā</w:t>
      </w:r>
      <w:r w:rsidR="00ED6F0C" w:rsidRPr="00585F58">
        <w:rPr>
          <w:rFonts w:cs="Times New Roman"/>
          <w:szCs w:val="24"/>
        </w:rPr>
        <w:t xml:space="preserve"> (2.att.)</w:t>
      </w:r>
      <w:r w:rsidR="00E52072" w:rsidRPr="00585F58">
        <w:rPr>
          <w:rFonts w:cs="Times New Roman"/>
          <w:szCs w:val="24"/>
        </w:rPr>
        <w:t xml:space="preserve">, Ekonomikas ministrija ir secinājusi, ka galvenās UIN atvieglojumu investīciju veicināšanai saņēmēju nozares ir finanšu un apdrošināšanas darbības (28,08% no kopējā UIN atvieglojumu investīciju veicināšanai apjoma jeb 34,58 </w:t>
      </w:r>
      <w:proofErr w:type="spellStart"/>
      <w:r w:rsidR="00E52072" w:rsidRPr="00585F58">
        <w:rPr>
          <w:rFonts w:cs="Times New Roman"/>
          <w:szCs w:val="24"/>
        </w:rPr>
        <w:t>milj</w:t>
      </w:r>
      <w:proofErr w:type="spellEnd"/>
      <w:r w:rsidR="00E52072" w:rsidRPr="00585F58">
        <w:rPr>
          <w:rFonts w:cs="Times New Roman"/>
          <w:szCs w:val="24"/>
        </w:rPr>
        <w:t xml:space="preserve">. lati), apstrādes rūpniecība (18,11% jeb 22,30 </w:t>
      </w:r>
      <w:proofErr w:type="spellStart"/>
      <w:r w:rsidR="00E52072" w:rsidRPr="00585F58">
        <w:rPr>
          <w:rFonts w:cs="Times New Roman"/>
          <w:szCs w:val="24"/>
        </w:rPr>
        <w:t>milj</w:t>
      </w:r>
      <w:proofErr w:type="spellEnd"/>
      <w:r w:rsidR="00E52072" w:rsidRPr="00585F58">
        <w:rPr>
          <w:rFonts w:cs="Times New Roman"/>
          <w:szCs w:val="24"/>
        </w:rPr>
        <w:t xml:space="preserve">. lati), kā arī tirdzniecība (11,08% jeb 13,64 </w:t>
      </w:r>
      <w:proofErr w:type="spellStart"/>
      <w:r w:rsidR="00E52072" w:rsidRPr="00585F58">
        <w:rPr>
          <w:rFonts w:cs="Times New Roman"/>
          <w:szCs w:val="24"/>
        </w:rPr>
        <w:t>milj</w:t>
      </w:r>
      <w:proofErr w:type="spellEnd"/>
      <w:r w:rsidR="00E52072" w:rsidRPr="00585F58">
        <w:rPr>
          <w:rFonts w:cs="Times New Roman"/>
          <w:szCs w:val="24"/>
        </w:rPr>
        <w:t xml:space="preserve"> lati) un transports un uzglabāšana (10,98% jeb 13,52 </w:t>
      </w:r>
      <w:proofErr w:type="spellStart"/>
      <w:r w:rsidR="00E52072" w:rsidRPr="00585F58">
        <w:rPr>
          <w:rFonts w:cs="Times New Roman"/>
          <w:szCs w:val="24"/>
        </w:rPr>
        <w:t>milj</w:t>
      </w:r>
      <w:proofErr w:type="spellEnd"/>
      <w:r w:rsidR="00E52072" w:rsidRPr="00585F58">
        <w:rPr>
          <w:rFonts w:cs="Times New Roman"/>
          <w:szCs w:val="24"/>
        </w:rPr>
        <w:t>. lati).</w:t>
      </w:r>
    </w:p>
    <w:p w:rsidR="00E52072" w:rsidRPr="00585F58" w:rsidRDefault="00E52072" w:rsidP="00E52072">
      <w:pPr>
        <w:spacing w:after="0" w:line="20" w:lineRule="atLeast"/>
        <w:jc w:val="both"/>
        <w:rPr>
          <w:rFonts w:cs="Times New Roman"/>
          <w:szCs w:val="24"/>
        </w:rPr>
      </w:pPr>
      <w:r w:rsidRPr="00585F58">
        <w:rPr>
          <w:rFonts w:cs="Times New Roman"/>
          <w:noProof/>
          <w:lang w:eastAsia="lv-LV"/>
        </w:rPr>
        <w:drawing>
          <wp:anchor distT="0" distB="0" distL="114300" distR="114300" simplePos="0" relativeHeight="251662336" behindDoc="0" locked="0" layoutInCell="1" allowOverlap="1" wp14:anchorId="4F08D597" wp14:editId="20F6EE34">
            <wp:simplePos x="0" y="0"/>
            <wp:positionH relativeFrom="column">
              <wp:posOffset>173355</wp:posOffset>
            </wp:positionH>
            <wp:positionV relativeFrom="paragraph">
              <wp:posOffset>177800</wp:posOffset>
            </wp:positionV>
            <wp:extent cx="5105400" cy="242887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0" cy="2428875"/>
                    </a:xfrm>
                    <a:prstGeom prst="rect">
                      <a:avLst/>
                    </a:prstGeom>
                    <a:noFill/>
                  </pic:spPr>
                </pic:pic>
              </a:graphicData>
            </a:graphic>
            <wp14:sizeRelH relativeFrom="page">
              <wp14:pctWidth>0</wp14:pctWidth>
            </wp14:sizeRelH>
            <wp14:sizeRelV relativeFrom="page">
              <wp14:pctHeight>0</wp14:pctHeight>
            </wp14:sizeRelV>
          </wp:anchor>
        </w:drawing>
      </w:r>
    </w:p>
    <w:p w:rsidR="00E52072" w:rsidRPr="00585F58" w:rsidRDefault="00E52072" w:rsidP="00E52072">
      <w:pPr>
        <w:tabs>
          <w:tab w:val="left" w:pos="1665"/>
        </w:tabs>
        <w:spacing w:after="0" w:line="240" w:lineRule="auto"/>
        <w:ind w:firstLine="709"/>
        <w:rPr>
          <w:rFonts w:cs="Times New Roman"/>
          <w:szCs w:val="24"/>
        </w:rPr>
      </w:pPr>
      <w:r w:rsidRPr="00585F58">
        <w:rPr>
          <w:rFonts w:cs="Times New Roman"/>
          <w:szCs w:val="24"/>
        </w:rPr>
        <w:t>Dati: Ekonomikas ministrija</w:t>
      </w:r>
    </w:p>
    <w:p w:rsidR="00E52072" w:rsidRPr="00585F58" w:rsidRDefault="00E52072" w:rsidP="00E52072">
      <w:pPr>
        <w:tabs>
          <w:tab w:val="left" w:pos="1665"/>
        </w:tabs>
        <w:spacing w:after="0" w:line="240" w:lineRule="auto"/>
        <w:ind w:firstLine="709"/>
        <w:jc w:val="center"/>
        <w:rPr>
          <w:rFonts w:cs="Times New Roman"/>
          <w:b/>
          <w:szCs w:val="24"/>
        </w:rPr>
      </w:pPr>
      <w:r w:rsidRPr="00585F58">
        <w:rPr>
          <w:rFonts w:cs="Times New Roman"/>
          <w:b/>
          <w:szCs w:val="24"/>
        </w:rPr>
        <w:t xml:space="preserve">2.att. </w:t>
      </w:r>
      <w:r w:rsidR="00107337" w:rsidRPr="00585F58">
        <w:rPr>
          <w:rFonts w:cs="Times New Roman"/>
          <w:b/>
          <w:szCs w:val="24"/>
        </w:rPr>
        <w:t>UIN atvieglojumi investīciju veicināšanai pa nozarēm</w:t>
      </w:r>
    </w:p>
    <w:p w:rsidR="00107337" w:rsidRPr="00585F58" w:rsidRDefault="00107337" w:rsidP="00E52072">
      <w:pPr>
        <w:tabs>
          <w:tab w:val="left" w:pos="1665"/>
        </w:tabs>
        <w:spacing w:after="0" w:line="240" w:lineRule="auto"/>
        <w:ind w:firstLine="709"/>
        <w:jc w:val="both"/>
        <w:rPr>
          <w:rFonts w:cs="Times New Roman"/>
          <w:szCs w:val="24"/>
        </w:rPr>
      </w:pPr>
    </w:p>
    <w:p w:rsidR="00E52072" w:rsidRPr="00585F58" w:rsidRDefault="00E52072" w:rsidP="00331289">
      <w:pPr>
        <w:tabs>
          <w:tab w:val="left" w:pos="1665"/>
        </w:tabs>
        <w:spacing w:after="0" w:line="240" w:lineRule="auto"/>
        <w:ind w:firstLine="709"/>
        <w:jc w:val="both"/>
        <w:rPr>
          <w:rFonts w:cs="Times New Roman"/>
          <w:szCs w:val="24"/>
        </w:rPr>
      </w:pPr>
      <w:r w:rsidRPr="00585F58">
        <w:rPr>
          <w:rFonts w:cs="Times New Roman"/>
          <w:szCs w:val="24"/>
        </w:rPr>
        <w:t>Politikas plānošanas dokumentos noteiktās valsts prioritātes ekonomiskās politikas jomā nosaka, ka valsts rīcības virzieni vidējā termiņā ir jāorientē uz eksporta iespēju paplašināšanu, koncentrējot valsts sniegto atbalstu apstrādes rūpniecības nozarēm ar nozīmīgu ieguldījumu pievienotās vērtības un eksporta pieaugumā, vienlaikus ilgtermiņā veidojot zināšanu ietilpīgu ekonomiku, kurā izaugsmes bāze ir vērtību radīšana ar z</w:t>
      </w:r>
      <w:r w:rsidR="00331289" w:rsidRPr="00585F58">
        <w:rPr>
          <w:rFonts w:cs="Times New Roman"/>
          <w:szCs w:val="24"/>
        </w:rPr>
        <w:t>ināšanu palīdzību (inovācijas).</w:t>
      </w:r>
    </w:p>
    <w:p w:rsidR="00331289" w:rsidRPr="00585F58" w:rsidRDefault="00331289" w:rsidP="00331289">
      <w:pPr>
        <w:tabs>
          <w:tab w:val="left" w:pos="1665"/>
        </w:tabs>
        <w:spacing w:after="0" w:line="240" w:lineRule="auto"/>
        <w:ind w:firstLine="709"/>
        <w:jc w:val="both"/>
        <w:rPr>
          <w:rFonts w:cs="Times New Roman"/>
          <w:szCs w:val="24"/>
        </w:rPr>
      </w:pPr>
    </w:p>
    <w:p w:rsidR="008F0DAC" w:rsidRPr="00585F58" w:rsidRDefault="00E52072" w:rsidP="001327C6">
      <w:pPr>
        <w:pStyle w:val="ListParagraph"/>
        <w:numPr>
          <w:ilvl w:val="0"/>
          <w:numId w:val="1"/>
        </w:numPr>
        <w:spacing w:line="20" w:lineRule="atLeast"/>
        <w:jc w:val="both"/>
        <w:rPr>
          <w:rFonts w:cs="Times New Roman"/>
          <w:szCs w:val="24"/>
        </w:rPr>
      </w:pPr>
      <w:r w:rsidRPr="00585F58">
        <w:rPr>
          <w:rFonts w:cs="Times New Roman"/>
          <w:szCs w:val="24"/>
        </w:rPr>
        <w:t>A</w:t>
      </w:r>
      <w:r w:rsidR="008F0DAC" w:rsidRPr="00585F58">
        <w:rPr>
          <w:rFonts w:cs="Times New Roman"/>
          <w:szCs w:val="24"/>
        </w:rPr>
        <w:t>tbalsts krīzes periodā (</w:t>
      </w:r>
      <w:r w:rsidR="00E25926" w:rsidRPr="00585F58">
        <w:rPr>
          <w:rFonts w:cs="Times New Roman"/>
          <w:szCs w:val="24"/>
        </w:rPr>
        <w:t>divi</w:t>
      </w:r>
      <w:r w:rsidR="00194182" w:rsidRPr="00585F58">
        <w:rPr>
          <w:rFonts w:cs="Times New Roman"/>
          <w:szCs w:val="24"/>
        </w:rPr>
        <w:t xml:space="preserve"> nodokļa stimuli):</w:t>
      </w:r>
    </w:p>
    <w:p w:rsidR="00194182" w:rsidRPr="00585F58" w:rsidRDefault="00194182" w:rsidP="001327C6">
      <w:pPr>
        <w:pStyle w:val="ListParagraph"/>
        <w:numPr>
          <w:ilvl w:val="0"/>
          <w:numId w:val="9"/>
        </w:numPr>
        <w:spacing w:after="0" w:line="20" w:lineRule="atLeast"/>
        <w:jc w:val="both"/>
        <w:rPr>
          <w:rFonts w:cs="Times New Roman"/>
          <w:i/>
          <w:szCs w:val="24"/>
        </w:rPr>
      </w:pPr>
      <w:r w:rsidRPr="00585F58">
        <w:rPr>
          <w:rFonts w:cs="Times New Roman"/>
          <w:i/>
          <w:szCs w:val="24"/>
        </w:rPr>
        <w:t>Nodokļa atvieglojums par ienākumiem, kas gūti no bankām izsniegto aizdevumu kapitalizācijas rezultātā iegūto akciju atsavināšanas (likuma Par UIN 7.</w:t>
      </w:r>
      <w:r w:rsidRPr="00585F58">
        <w:rPr>
          <w:rFonts w:cs="Times New Roman"/>
          <w:i/>
          <w:szCs w:val="24"/>
          <w:vertAlign w:val="superscript"/>
        </w:rPr>
        <w:t xml:space="preserve">1 </w:t>
      </w:r>
      <w:r w:rsidRPr="00585F58">
        <w:rPr>
          <w:rFonts w:cs="Times New Roman"/>
          <w:i/>
          <w:szCs w:val="24"/>
        </w:rPr>
        <w:t>pants)</w:t>
      </w:r>
      <w:r w:rsidR="00B0199A" w:rsidRPr="00585F58">
        <w:rPr>
          <w:rFonts w:cs="Times New Roman"/>
          <w:i/>
          <w:szCs w:val="24"/>
        </w:rPr>
        <w:t xml:space="preserve"> (normas spēkā līdz 2011.gada 31.decembrim)</w:t>
      </w:r>
      <w:r w:rsidRPr="00585F58">
        <w:rPr>
          <w:rFonts w:cs="Times New Roman"/>
          <w:i/>
          <w:szCs w:val="24"/>
        </w:rPr>
        <w:t>;</w:t>
      </w:r>
    </w:p>
    <w:p w:rsidR="00194182" w:rsidRPr="00585F58" w:rsidRDefault="00194182" w:rsidP="001327C6">
      <w:pPr>
        <w:pStyle w:val="ListParagraph"/>
        <w:numPr>
          <w:ilvl w:val="0"/>
          <w:numId w:val="9"/>
        </w:numPr>
        <w:spacing w:after="0" w:line="20" w:lineRule="atLeast"/>
        <w:jc w:val="both"/>
        <w:rPr>
          <w:rFonts w:cs="Times New Roman"/>
          <w:i/>
          <w:szCs w:val="24"/>
        </w:rPr>
      </w:pPr>
      <w:r w:rsidRPr="00585F58">
        <w:rPr>
          <w:rFonts w:cs="Times New Roman"/>
          <w:i/>
          <w:szCs w:val="24"/>
        </w:rPr>
        <w:t>Atvieglojums par uzkrājumiem nedrošajiem parādiem (likuma Par UIN 9.</w:t>
      </w:r>
      <w:r w:rsidRPr="00585F58">
        <w:rPr>
          <w:rFonts w:cs="Times New Roman"/>
          <w:i/>
          <w:szCs w:val="24"/>
          <w:vertAlign w:val="superscript"/>
        </w:rPr>
        <w:t xml:space="preserve">1 </w:t>
      </w:r>
      <w:r w:rsidRPr="00585F58">
        <w:rPr>
          <w:rFonts w:cs="Times New Roman"/>
          <w:i/>
          <w:szCs w:val="24"/>
        </w:rPr>
        <w:t>pants)</w:t>
      </w:r>
      <w:r w:rsidR="00B0199A" w:rsidRPr="00585F58">
        <w:rPr>
          <w:rFonts w:cs="Times New Roman"/>
          <w:i/>
          <w:szCs w:val="24"/>
        </w:rPr>
        <w:t xml:space="preserve"> (normas spēkā līdz taksācijas periodam, kurš sākas 2013.gadā)</w:t>
      </w:r>
      <w:r w:rsidRPr="00585F58">
        <w:rPr>
          <w:rFonts w:cs="Times New Roman"/>
          <w:i/>
          <w:szCs w:val="24"/>
        </w:rPr>
        <w:t>.</w:t>
      </w:r>
    </w:p>
    <w:p w:rsidR="004B0DA6" w:rsidRPr="00585F58" w:rsidRDefault="00E24901" w:rsidP="001327C6">
      <w:pPr>
        <w:pStyle w:val="ListParagraph"/>
        <w:numPr>
          <w:ilvl w:val="0"/>
          <w:numId w:val="1"/>
        </w:numPr>
        <w:spacing w:line="20" w:lineRule="atLeast"/>
        <w:jc w:val="both"/>
        <w:rPr>
          <w:rFonts w:cs="Times New Roman"/>
          <w:szCs w:val="24"/>
        </w:rPr>
      </w:pPr>
      <w:r w:rsidRPr="00585F58">
        <w:rPr>
          <w:rFonts w:cs="Times New Roman"/>
          <w:szCs w:val="24"/>
        </w:rPr>
        <w:t>a</w:t>
      </w:r>
      <w:r w:rsidR="004301D2" w:rsidRPr="00585F58">
        <w:rPr>
          <w:rFonts w:cs="Times New Roman"/>
          <w:szCs w:val="24"/>
        </w:rPr>
        <w:t>tvieglojumi</w:t>
      </w:r>
      <w:r w:rsidR="004B0DA6" w:rsidRPr="00585F58">
        <w:rPr>
          <w:rFonts w:cs="Times New Roman"/>
          <w:szCs w:val="24"/>
        </w:rPr>
        <w:t xml:space="preserve"> nozarēm (</w:t>
      </w:r>
      <w:r w:rsidR="00E25926" w:rsidRPr="00585F58">
        <w:rPr>
          <w:rFonts w:cs="Times New Roman"/>
          <w:szCs w:val="24"/>
        </w:rPr>
        <w:t>seši</w:t>
      </w:r>
      <w:r w:rsidR="00194182" w:rsidRPr="00585F58">
        <w:rPr>
          <w:rFonts w:cs="Times New Roman"/>
          <w:szCs w:val="24"/>
        </w:rPr>
        <w:t xml:space="preserve"> nodokļa stimuli):</w:t>
      </w:r>
    </w:p>
    <w:p w:rsidR="00194182" w:rsidRPr="00585F58" w:rsidRDefault="00194182" w:rsidP="001327C6">
      <w:pPr>
        <w:pStyle w:val="ListParagraph"/>
        <w:numPr>
          <w:ilvl w:val="0"/>
          <w:numId w:val="10"/>
        </w:numPr>
        <w:spacing w:line="20" w:lineRule="atLeast"/>
        <w:jc w:val="both"/>
        <w:rPr>
          <w:rFonts w:cs="Times New Roman"/>
          <w:szCs w:val="24"/>
        </w:rPr>
      </w:pPr>
      <w:r w:rsidRPr="00585F58">
        <w:rPr>
          <w:rFonts w:cs="Times New Roman"/>
          <w:i/>
          <w:szCs w:val="24"/>
        </w:rPr>
        <w:t>Atvieglots nodokļu režīms kuģošanas nozarei par kuģu pārvadājumiem iekšzemes uzņēmumiem (likuma Par UIN 2.</w:t>
      </w:r>
      <w:r w:rsidRPr="00585F58">
        <w:rPr>
          <w:rFonts w:cs="Times New Roman"/>
          <w:i/>
          <w:szCs w:val="24"/>
          <w:vertAlign w:val="superscript"/>
        </w:rPr>
        <w:t xml:space="preserve">1 </w:t>
      </w:r>
      <w:r w:rsidRPr="00585F58">
        <w:rPr>
          <w:rFonts w:cs="Times New Roman"/>
          <w:i/>
          <w:szCs w:val="24"/>
        </w:rPr>
        <w:t>pants);</w:t>
      </w:r>
    </w:p>
    <w:p w:rsidR="00194182" w:rsidRPr="00585F58" w:rsidRDefault="00194182" w:rsidP="001327C6">
      <w:pPr>
        <w:pStyle w:val="ListParagraph"/>
        <w:numPr>
          <w:ilvl w:val="0"/>
          <w:numId w:val="10"/>
        </w:numPr>
        <w:spacing w:after="0" w:line="20" w:lineRule="atLeast"/>
        <w:jc w:val="both"/>
        <w:rPr>
          <w:rFonts w:cs="Times New Roman"/>
          <w:szCs w:val="24"/>
        </w:rPr>
      </w:pPr>
      <w:r w:rsidRPr="00585F58">
        <w:rPr>
          <w:rFonts w:cs="Times New Roman"/>
          <w:i/>
          <w:szCs w:val="24"/>
        </w:rPr>
        <w:t>Nodokļa atlaide lauksaimniecībai (likuma Par UIN 18.</w:t>
      </w:r>
      <w:r w:rsidRPr="00585F58">
        <w:rPr>
          <w:rFonts w:cs="Times New Roman"/>
          <w:i/>
          <w:szCs w:val="24"/>
          <w:vertAlign w:val="superscript"/>
        </w:rPr>
        <w:t xml:space="preserve"> </w:t>
      </w:r>
      <w:r w:rsidRPr="00585F58">
        <w:rPr>
          <w:rFonts w:cs="Times New Roman"/>
          <w:i/>
          <w:szCs w:val="24"/>
        </w:rPr>
        <w:t>pants);</w:t>
      </w:r>
    </w:p>
    <w:p w:rsidR="00194182" w:rsidRPr="00585F58" w:rsidRDefault="00194182" w:rsidP="001327C6">
      <w:pPr>
        <w:pStyle w:val="ListParagraph"/>
        <w:numPr>
          <w:ilvl w:val="0"/>
          <w:numId w:val="10"/>
        </w:numPr>
        <w:spacing w:after="0" w:line="20" w:lineRule="atLeast"/>
        <w:jc w:val="both"/>
        <w:rPr>
          <w:rFonts w:cs="Times New Roman"/>
          <w:i/>
          <w:szCs w:val="24"/>
        </w:rPr>
      </w:pPr>
      <w:r w:rsidRPr="00585F58">
        <w:rPr>
          <w:rFonts w:cs="Times New Roman"/>
          <w:i/>
          <w:szCs w:val="24"/>
        </w:rPr>
        <w:t>Nodokļa atvieglojums lauksaimniecībai (likuma Par UIN 6.panta 4.daļas 2.punkts);</w:t>
      </w:r>
    </w:p>
    <w:p w:rsidR="00194182" w:rsidRPr="00585F58" w:rsidRDefault="00194182" w:rsidP="001327C6">
      <w:pPr>
        <w:pStyle w:val="ListParagraph"/>
        <w:numPr>
          <w:ilvl w:val="0"/>
          <w:numId w:val="10"/>
        </w:numPr>
        <w:spacing w:line="20" w:lineRule="atLeast"/>
        <w:jc w:val="both"/>
        <w:rPr>
          <w:rFonts w:cs="Times New Roman"/>
          <w:szCs w:val="24"/>
        </w:rPr>
      </w:pPr>
      <w:r w:rsidRPr="00585F58">
        <w:rPr>
          <w:rFonts w:cs="Times New Roman"/>
          <w:i/>
          <w:szCs w:val="24"/>
        </w:rPr>
        <w:lastRenderedPageBreak/>
        <w:t>Nodokļa atlaide gaisa transporta sabiedrībām (likuma Par UIN 3.panta 4.</w:t>
      </w:r>
      <w:r w:rsidRPr="00585F58">
        <w:rPr>
          <w:rFonts w:cs="Times New Roman"/>
          <w:i/>
          <w:szCs w:val="24"/>
          <w:vertAlign w:val="superscript"/>
        </w:rPr>
        <w:t xml:space="preserve">6 </w:t>
      </w:r>
      <w:r w:rsidRPr="00585F58">
        <w:rPr>
          <w:rFonts w:cs="Times New Roman"/>
          <w:i/>
          <w:szCs w:val="24"/>
        </w:rPr>
        <w:t>daļa);</w:t>
      </w:r>
    </w:p>
    <w:p w:rsidR="00194182" w:rsidRPr="00585F58" w:rsidRDefault="00194182" w:rsidP="001327C6">
      <w:pPr>
        <w:pStyle w:val="ListParagraph"/>
        <w:numPr>
          <w:ilvl w:val="0"/>
          <w:numId w:val="10"/>
        </w:numPr>
        <w:spacing w:after="0" w:line="20" w:lineRule="atLeast"/>
        <w:jc w:val="both"/>
        <w:rPr>
          <w:rFonts w:cs="Times New Roman"/>
          <w:i/>
          <w:szCs w:val="24"/>
        </w:rPr>
      </w:pPr>
      <w:r w:rsidRPr="00585F58">
        <w:rPr>
          <w:rFonts w:cs="Times New Roman"/>
          <w:i/>
          <w:szCs w:val="24"/>
        </w:rPr>
        <w:t xml:space="preserve">Atbalsts finanšu nozarei saistībā </w:t>
      </w:r>
      <w:r w:rsidR="00C60AD7" w:rsidRPr="00585F58">
        <w:rPr>
          <w:rFonts w:cs="Times New Roman"/>
          <w:i/>
          <w:szCs w:val="24"/>
        </w:rPr>
        <w:t>ES vai Eiropas Ekonomikas zonas publiskās apgrozības v</w:t>
      </w:r>
      <w:r w:rsidR="00322BCF" w:rsidRPr="00585F58">
        <w:rPr>
          <w:rFonts w:cs="Times New Roman"/>
          <w:i/>
          <w:szCs w:val="24"/>
        </w:rPr>
        <w:t>ērtspapī</w:t>
      </w:r>
      <w:r w:rsidR="00C60AD7" w:rsidRPr="00585F58">
        <w:rPr>
          <w:rFonts w:cs="Times New Roman"/>
          <w:i/>
          <w:szCs w:val="24"/>
        </w:rPr>
        <w:t>ru atsavināšanu</w:t>
      </w:r>
      <w:r w:rsidRPr="00585F58">
        <w:rPr>
          <w:rFonts w:cs="Times New Roman"/>
          <w:i/>
          <w:szCs w:val="24"/>
        </w:rPr>
        <w:t xml:space="preserve"> (likuma Par UIN 6.</w:t>
      </w:r>
      <w:r w:rsidRPr="00585F58">
        <w:rPr>
          <w:rFonts w:cs="Times New Roman"/>
          <w:i/>
          <w:szCs w:val="24"/>
          <w:vertAlign w:val="superscript"/>
        </w:rPr>
        <w:t xml:space="preserve"> </w:t>
      </w:r>
      <w:r w:rsidRPr="00585F58">
        <w:rPr>
          <w:rFonts w:cs="Times New Roman"/>
          <w:i/>
          <w:szCs w:val="24"/>
        </w:rPr>
        <w:t>panta 1.daļas 8.punkts un 4.daļas 9.punkts);</w:t>
      </w:r>
    </w:p>
    <w:p w:rsidR="00194182" w:rsidRPr="00585F58" w:rsidRDefault="00194182" w:rsidP="001327C6">
      <w:pPr>
        <w:pStyle w:val="ListParagraph"/>
        <w:numPr>
          <w:ilvl w:val="0"/>
          <w:numId w:val="10"/>
        </w:numPr>
        <w:spacing w:after="0" w:line="20" w:lineRule="atLeast"/>
        <w:jc w:val="both"/>
        <w:rPr>
          <w:rFonts w:cs="Times New Roman"/>
          <w:i/>
          <w:szCs w:val="24"/>
        </w:rPr>
      </w:pPr>
      <w:r w:rsidRPr="00585F58">
        <w:rPr>
          <w:rFonts w:cs="Times New Roman"/>
          <w:bCs/>
          <w:i/>
        </w:rPr>
        <w:t xml:space="preserve">Banku un krājaizdevu sabiedrību izveidoto debitora parādiem paredzēto uzkrājumu neiekļaušana ar nodokli apliekamajā ienākumā </w:t>
      </w:r>
      <w:r w:rsidRPr="00585F58">
        <w:rPr>
          <w:rFonts w:cs="Times New Roman"/>
          <w:i/>
          <w:szCs w:val="24"/>
        </w:rPr>
        <w:t>(likuma Par UIN 7.pants) un apdrošināšanas un pārapdrošināšanas sabiedrību tehniskajām rezervēm paredzētie līdzekļi (likuma Par UIN 8.pants).</w:t>
      </w:r>
    </w:p>
    <w:p w:rsidR="00C86DDE" w:rsidRPr="00585F58" w:rsidRDefault="00E24901" w:rsidP="001327C6">
      <w:pPr>
        <w:pStyle w:val="ListParagraph"/>
        <w:numPr>
          <w:ilvl w:val="0"/>
          <w:numId w:val="1"/>
        </w:numPr>
        <w:spacing w:line="20" w:lineRule="atLeast"/>
        <w:jc w:val="both"/>
        <w:rPr>
          <w:rFonts w:cs="Times New Roman"/>
          <w:szCs w:val="24"/>
        </w:rPr>
      </w:pPr>
      <w:r w:rsidRPr="00585F58">
        <w:rPr>
          <w:rFonts w:cs="Times New Roman"/>
          <w:szCs w:val="24"/>
        </w:rPr>
        <w:t>a</w:t>
      </w:r>
      <w:r w:rsidR="004301D2" w:rsidRPr="00585F58">
        <w:rPr>
          <w:rFonts w:cs="Times New Roman"/>
          <w:szCs w:val="24"/>
        </w:rPr>
        <w:t xml:space="preserve">tvieglojumi </w:t>
      </w:r>
      <w:r w:rsidR="00C86DDE" w:rsidRPr="00585F58">
        <w:rPr>
          <w:rFonts w:cs="Times New Roman"/>
          <w:szCs w:val="24"/>
        </w:rPr>
        <w:t>sociāla rakstura mērķiem (</w:t>
      </w:r>
      <w:r w:rsidR="00E25926" w:rsidRPr="00585F58">
        <w:rPr>
          <w:rFonts w:cs="Times New Roman"/>
          <w:szCs w:val="24"/>
        </w:rPr>
        <w:t>četri</w:t>
      </w:r>
      <w:r w:rsidR="00194182" w:rsidRPr="00585F58">
        <w:rPr>
          <w:rFonts w:cs="Times New Roman"/>
          <w:szCs w:val="24"/>
        </w:rPr>
        <w:t xml:space="preserve"> nodokļa stimuli):</w:t>
      </w:r>
    </w:p>
    <w:p w:rsidR="00194182" w:rsidRPr="00585F58" w:rsidRDefault="00194182" w:rsidP="001327C6">
      <w:pPr>
        <w:pStyle w:val="ListParagraph"/>
        <w:numPr>
          <w:ilvl w:val="0"/>
          <w:numId w:val="11"/>
        </w:numPr>
        <w:spacing w:line="20" w:lineRule="atLeast"/>
        <w:jc w:val="both"/>
        <w:rPr>
          <w:rFonts w:cs="Times New Roman"/>
          <w:szCs w:val="24"/>
        </w:rPr>
      </w:pPr>
      <w:r w:rsidRPr="00585F58">
        <w:rPr>
          <w:rFonts w:cs="Times New Roman"/>
          <w:i/>
          <w:szCs w:val="24"/>
        </w:rPr>
        <w:t>Atlaides ziedotājiem (likuma Par UIN 20.</w:t>
      </w:r>
      <w:r w:rsidRPr="00585F58">
        <w:rPr>
          <w:rFonts w:cs="Times New Roman"/>
          <w:i/>
          <w:szCs w:val="24"/>
          <w:vertAlign w:val="superscript"/>
        </w:rPr>
        <w:t xml:space="preserve">1 </w:t>
      </w:r>
      <w:r w:rsidRPr="00585F58">
        <w:rPr>
          <w:rFonts w:cs="Times New Roman"/>
          <w:i/>
          <w:szCs w:val="24"/>
        </w:rPr>
        <w:t>pants);</w:t>
      </w:r>
    </w:p>
    <w:p w:rsidR="00194182" w:rsidRPr="00585F58" w:rsidRDefault="00194182" w:rsidP="001327C6">
      <w:pPr>
        <w:pStyle w:val="ListParagraph"/>
        <w:numPr>
          <w:ilvl w:val="0"/>
          <w:numId w:val="11"/>
        </w:numPr>
        <w:spacing w:after="0" w:line="20" w:lineRule="atLeast"/>
        <w:jc w:val="both"/>
        <w:rPr>
          <w:rFonts w:cs="Times New Roman"/>
          <w:i/>
          <w:szCs w:val="24"/>
        </w:rPr>
      </w:pPr>
      <w:r w:rsidRPr="00585F58">
        <w:rPr>
          <w:rFonts w:cs="Times New Roman"/>
          <w:i/>
          <w:szCs w:val="24"/>
        </w:rPr>
        <w:t>Nodokļa atlaide 100 procentu apmērā tiek piemērota invalīdu biedrību kapitālsabiedrības, medicīniska rakstura, kā arī citu labdarības fondu kapitālsabiedrībām (likuma Par UIN 21.</w:t>
      </w:r>
      <w:r w:rsidRPr="00585F58">
        <w:rPr>
          <w:rFonts w:cs="Times New Roman"/>
          <w:i/>
          <w:szCs w:val="24"/>
          <w:vertAlign w:val="superscript"/>
        </w:rPr>
        <w:t xml:space="preserve"> </w:t>
      </w:r>
      <w:r w:rsidRPr="00585F58">
        <w:rPr>
          <w:rFonts w:cs="Times New Roman"/>
          <w:i/>
          <w:szCs w:val="24"/>
        </w:rPr>
        <w:t>pants);</w:t>
      </w:r>
    </w:p>
    <w:p w:rsidR="00194182" w:rsidRPr="00585F58" w:rsidRDefault="00194182" w:rsidP="001327C6">
      <w:pPr>
        <w:pStyle w:val="ListParagraph"/>
        <w:numPr>
          <w:ilvl w:val="0"/>
          <w:numId w:val="11"/>
        </w:numPr>
        <w:spacing w:after="0" w:line="20" w:lineRule="atLeast"/>
        <w:jc w:val="both"/>
        <w:rPr>
          <w:rFonts w:eastAsia="Times New Roman" w:cs="Times New Roman"/>
          <w:bCs/>
          <w:i/>
          <w:szCs w:val="24"/>
          <w:lang w:eastAsia="lv-LV"/>
        </w:rPr>
      </w:pPr>
      <w:r w:rsidRPr="00585F58">
        <w:rPr>
          <w:rFonts w:cs="Times New Roman"/>
          <w:i/>
          <w:szCs w:val="24"/>
        </w:rPr>
        <w:t>Nodokļa atvieglojums par izveidotām darba vietām cilvēkiem ar invaliditāti (likuma Par UIN 6.</w:t>
      </w:r>
      <w:r w:rsidRPr="00585F58">
        <w:rPr>
          <w:rFonts w:cs="Times New Roman"/>
          <w:i/>
          <w:szCs w:val="24"/>
          <w:vertAlign w:val="superscript"/>
        </w:rPr>
        <w:t xml:space="preserve"> </w:t>
      </w:r>
      <w:r w:rsidRPr="00585F58">
        <w:rPr>
          <w:rFonts w:cs="Times New Roman"/>
          <w:i/>
          <w:szCs w:val="24"/>
        </w:rPr>
        <w:t>panta 4.daļas 12.punkts);</w:t>
      </w:r>
    </w:p>
    <w:p w:rsidR="00194182" w:rsidRPr="00585F58" w:rsidRDefault="00194182" w:rsidP="001327C6">
      <w:pPr>
        <w:pStyle w:val="ListParagraph"/>
        <w:numPr>
          <w:ilvl w:val="0"/>
          <w:numId w:val="11"/>
        </w:numPr>
        <w:spacing w:after="0" w:line="20" w:lineRule="atLeast"/>
        <w:jc w:val="both"/>
        <w:rPr>
          <w:rFonts w:eastAsia="Times New Roman" w:cs="Times New Roman"/>
          <w:bCs/>
          <w:i/>
          <w:szCs w:val="24"/>
          <w:lang w:eastAsia="lv-LV"/>
        </w:rPr>
      </w:pPr>
      <w:r w:rsidRPr="00585F58">
        <w:rPr>
          <w:rFonts w:cs="Times New Roman"/>
          <w:i/>
        </w:rPr>
        <w:t xml:space="preserve">Atvieglojums par bez atlīdzības nodotajām skaitļošanas iekārtām </w:t>
      </w:r>
      <w:r w:rsidRPr="00585F58">
        <w:rPr>
          <w:rFonts w:cs="Times New Roman"/>
          <w:i/>
          <w:szCs w:val="24"/>
        </w:rPr>
        <w:t>(likuma Par UIN 6.</w:t>
      </w:r>
      <w:r w:rsidRPr="00585F58">
        <w:rPr>
          <w:rFonts w:cs="Times New Roman"/>
          <w:i/>
          <w:szCs w:val="24"/>
          <w:vertAlign w:val="superscript"/>
        </w:rPr>
        <w:t xml:space="preserve"> </w:t>
      </w:r>
      <w:r w:rsidRPr="00585F58">
        <w:rPr>
          <w:rFonts w:cs="Times New Roman"/>
          <w:i/>
          <w:szCs w:val="24"/>
        </w:rPr>
        <w:t>panta 4.daļas 8.punkts).</w:t>
      </w:r>
    </w:p>
    <w:p w:rsidR="00C86DDE" w:rsidRPr="00585F58" w:rsidRDefault="00B10B72" w:rsidP="001327C6">
      <w:pPr>
        <w:pStyle w:val="ListParagraph"/>
        <w:numPr>
          <w:ilvl w:val="0"/>
          <w:numId w:val="1"/>
        </w:numPr>
        <w:spacing w:line="20" w:lineRule="atLeast"/>
        <w:jc w:val="both"/>
        <w:rPr>
          <w:rFonts w:cs="Times New Roman"/>
          <w:szCs w:val="24"/>
        </w:rPr>
      </w:pPr>
      <w:r w:rsidRPr="00585F58">
        <w:rPr>
          <w:rFonts w:cs="Times New Roman"/>
          <w:szCs w:val="24"/>
        </w:rPr>
        <w:t xml:space="preserve">citi </w:t>
      </w:r>
      <w:r w:rsidR="008E71D2" w:rsidRPr="00585F58">
        <w:rPr>
          <w:rFonts w:cs="Times New Roman"/>
          <w:szCs w:val="24"/>
        </w:rPr>
        <w:t>atvieglojumi (</w:t>
      </w:r>
      <w:r w:rsidR="00E25926" w:rsidRPr="00585F58">
        <w:rPr>
          <w:rFonts w:cs="Times New Roman"/>
          <w:szCs w:val="24"/>
        </w:rPr>
        <w:t>divi</w:t>
      </w:r>
      <w:r w:rsidR="00194182" w:rsidRPr="00585F58">
        <w:rPr>
          <w:rFonts w:cs="Times New Roman"/>
          <w:szCs w:val="24"/>
        </w:rPr>
        <w:t xml:space="preserve"> nodokļa stimuli):</w:t>
      </w:r>
    </w:p>
    <w:p w:rsidR="00194182" w:rsidRPr="00585F58" w:rsidRDefault="00194182" w:rsidP="001327C6">
      <w:pPr>
        <w:pStyle w:val="ListParagraph"/>
        <w:numPr>
          <w:ilvl w:val="0"/>
          <w:numId w:val="13"/>
        </w:numPr>
        <w:spacing w:after="0" w:line="20" w:lineRule="atLeast"/>
        <w:jc w:val="both"/>
        <w:rPr>
          <w:rFonts w:cs="Times New Roman"/>
          <w:i/>
          <w:szCs w:val="24"/>
        </w:rPr>
      </w:pPr>
      <w:r w:rsidRPr="00585F58">
        <w:rPr>
          <w:rFonts w:cs="Times New Roman"/>
          <w:i/>
          <w:szCs w:val="24"/>
        </w:rPr>
        <w:t>Nodokļa atvieglojums par mācībās esošiem zemessargiem (likuma Par UIN 6.</w:t>
      </w:r>
      <w:r w:rsidRPr="00585F58">
        <w:rPr>
          <w:rFonts w:cs="Times New Roman"/>
          <w:i/>
          <w:szCs w:val="24"/>
          <w:vertAlign w:val="superscript"/>
        </w:rPr>
        <w:t xml:space="preserve"> </w:t>
      </w:r>
      <w:r w:rsidRPr="00585F58">
        <w:rPr>
          <w:rFonts w:cs="Times New Roman"/>
          <w:i/>
          <w:szCs w:val="24"/>
        </w:rPr>
        <w:t>panta 18.daļa);</w:t>
      </w:r>
    </w:p>
    <w:p w:rsidR="00194182" w:rsidRPr="00585F58" w:rsidRDefault="00194182" w:rsidP="001327C6">
      <w:pPr>
        <w:pStyle w:val="ListParagraph"/>
        <w:numPr>
          <w:ilvl w:val="0"/>
          <w:numId w:val="12"/>
        </w:numPr>
        <w:spacing w:line="20" w:lineRule="atLeast"/>
        <w:jc w:val="both"/>
        <w:rPr>
          <w:rFonts w:cs="Times New Roman"/>
          <w:szCs w:val="24"/>
        </w:rPr>
      </w:pPr>
      <w:r w:rsidRPr="00585F58">
        <w:rPr>
          <w:rFonts w:cs="Times New Roman"/>
          <w:i/>
          <w:szCs w:val="24"/>
        </w:rPr>
        <w:t xml:space="preserve">Nodokļa atvieglojums par </w:t>
      </w:r>
      <w:r w:rsidRPr="00585F58">
        <w:rPr>
          <w:rFonts w:cs="Times New Roman"/>
          <w:i/>
        </w:rPr>
        <w:t>obligāto eksemplāru ražošanas izmaksām</w:t>
      </w:r>
      <w:r w:rsidRPr="00585F58">
        <w:rPr>
          <w:rFonts w:cs="Times New Roman"/>
          <w:i/>
          <w:szCs w:val="24"/>
        </w:rPr>
        <w:t xml:space="preserve"> (likuma Par UIN 6.</w:t>
      </w:r>
      <w:r w:rsidRPr="00585F58">
        <w:rPr>
          <w:rFonts w:cs="Times New Roman"/>
          <w:i/>
          <w:szCs w:val="24"/>
          <w:vertAlign w:val="superscript"/>
        </w:rPr>
        <w:t xml:space="preserve"> </w:t>
      </w:r>
      <w:r w:rsidRPr="00585F58">
        <w:rPr>
          <w:rFonts w:cs="Times New Roman"/>
          <w:i/>
          <w:szCs w:val="24"/>
        </w:rPr>
        <w:t>panta 4.daļas 11.punkts).</w:t>
      </w:r>
    </w:p>
    <w:p w:rsidR="00057256" w:rsidRPr="00585F58" w:rsidRDefault="007C66A2" w:rsidP="00495D84">
      <w:pPr>
        <w:spacing w:after="0" w:line="20" w:lineRule="atLeast"/>
        <w:ind w:firstLine="567"/>
        <w:jc w:val="both"/>
        <w:rPr>
          <w:rFonts w:cs="Times New Roman"/>
          <w:szCs w:val="24"/>
        </w:rPr>
      </w:pPr>
      <w:r w:rsidRPr="00585F58">
        <w:rPr>
          <w:rFonts w:eastAsia="Times New Roman" w:cs="Times New Roman"/>
          <w:bCs/>
          <w:szCs w:val="24"/>
          <w:lang w:eastAsia="lv-LV"/>
        </w:rPr>
        <w:t xml:space="preserve">Uz 2013.gada 1.janvāri </w:t>
      </w:r>
      <w:r w:rsidR="00763AB1" w:rsidRPr="00585F58">
        <w:rPr>
          <w:rFonts w:eastAsia="Times New Roman" w:cs="Times New Roman"/>
          <w:bCs/>
          <w:szCs w:val="24"/>
          <w:lang w:eastAsia="lv-LV"/>
        </w:rPr>
        <w:t>ir spēkā 22 uzņēmumu ienākuma nodokļa atvieglojumi. No iepriekš minētiem atvieglojumiem</w:t>
      </w:r>
      <w:r w:rsidR="00265455" w:rsidRPr="00585F58">
        <w:rPr>
          <w:rFonts w:eastAsia="Times New Roman" w:cs="Times New Roman"/>
          <w:bCs/>
          <w:szCs w:val="24"/>
          <w:lang w:eastAsia="lv-LV"/>
        </w:rPr>
        <w:t>,</w:t>
      </w:r>
      <w:r w:rsidR="00763AB1" w:rsidRPr="00585F58">
        <w:rPr>
          <w:rFonts w:eastAsia="Times New Roman" w:cs="Times New Roman"/>
          <w:bCs/>
          <w:szCs w:val="24"/>
          <w:lang w:eastAsia="lv-LV"/>
        </w:rPr>
        <w:t xml:space="preserve"> </w:t>
      </w:r>
      <w:r w:rsidR="00763AB1" w:rsidRPr="00585F58">
        <w:rPr>
          <w:rFonts w:cs="Times New Roman"/>
          <w:szCs w:val="24"/>
        </w:rPr>
        <w:t>nodokļa atvieglojums par ienākumiem, kas gūti no bankām izsniegto aizdevumu kapitalizācijas rezultātā iegūto akciju atsavināšanas</w:t>
      </w:r>
      <w:r w:rsidR="00585F58" w:rsidRPr="00585F58">
        <w:rPr>
          <w:rFonts w:cs="Times New Roman"/>
          <w:szCs w:val="24"/>
        </w:rPr>
        <w:t>,</w:t>
      </w:r>
      <w:r w:rsidR="00763AB1" w:rsidRPr="00585F58">
        <w:rPr>
          <w:rFonts w:cs="Times New Roman"/>
          <w:szCs w:val="24"/>
        </w:rPr>
        <w:t xml:space="preserve"> ir zaudējis spēku.</w:t>
      </w:r>
    </w:p>
    <w:p w:rsidR="00B80E88" w:rsidRDefault="00B80E88" w:rsidP="00322BCF">
      <w:pPr>
        <w:spacing w:after="0" w:line="240" w:lineRule="auto"/>
        <w:ind w:firstLine="567"/>
        <w:jc w:val="both"/>
        <w:rPr>
          <w:rFonts w:cs="Times New Roman"/>
        </w:rPr>
      </w:pPr>
      <w:r w:rsidRPr="00B80E88">
        <w:rPr>
          <w:rFonts w:cs="Times New Roman"/>
        </w:rPr>
        <w:t>Ņemot vērā, ka sākot ar 2013.gada 1.janvāri īpaši atbalstāmo teritoriju status</w:t>
      </w:r>
      <w:r w:rsidR="00224102">
        <w:rPr>
          <w:rFonts w:cs="Times New Roman"/>
        </w:rPr>
        <w:t>s</w:t>
      </w:r>
      <w:r w:rsidRPr="00B80E88">
        <w:rPr>
          <w:rFonts w:cs="Times New Roman"/>
        </w:rPr>
        <w:t xml:space="preserve"> vairs nepastāv, tad atvieglojumi investīciju veikšanai pamatlīdzekļos un iespēja segt taksācijas perioda zaudējumus īpaši atbalstāmajās teritorijās vairs netiek</w:t>
      </w:r>
      <w:r w:rsidR="00224102">
        <w:rPr>
          <w:rFonts w:cs="Times New Roman"/>
        </w:rPr>
        <w:t xml:space="preserve"> piemēroti pamatlīdzekļiem, kas</w:t>
      </w:r>
      <w:r w:rsidRPr="00B80E88">
        <w:rPr>
          <w:rFonts w:cs="Times New Roman"/>
        </w:rPr>
        <w:t xml:space="preserve"> iegādāti</w:t>
      </w:r>
      <w:r>
        <w:rPr>
          <w:rFonts w:cs="Times New Roman"/>
        </w:rPr>
        <w:t>,</w:t>
      </w:r>
      <w:r w:rsidRPr="00B80E88">
        <w:rPr>
          <w:rFonts w:cs="Times New Roman"/>
        </w:rPr>
        <w:t xml:space="preserve"> sākot ar 2013.gada 1.janvāri un kurus izmanto īpaši atbalstāmajās teritorijās. Tomēr  šos nodokļa atvieglojumus var turpinā</w:t>
      </w:r>
      <w:r w:rsidR="00224102">
        <w:rPr>
          <w:rFonts w:cs="Times New Roman"/>
        </w:rPr>
        <w:t>t izmantot pamatlīdzekļiem, kas</w:t>
      </w:r>
      <w:r w:rsidRPr="00B80E88">
        <w:rPr>
          <w:rFonts w:cs="Times New Roman"/>
        </w:rPr>
        <w:t xml:space="preserve"> iegādāti pirms minētā datuma, ja tie netiek pārcelti uz citu teritoriju.</w:t>
      </w:r>
      <w:r w:rsidR="00224102">
        <w:rPr>
          <w:rFonts w:cs="Times New Roman"/>
        </w:rPr>
        <w:t xml:space="preserve"> Vienlaicīgi nodokļu maksātāji varēs turpināt izmantot iespēju segt taksācijas periodu zaudējumus periodā, kad attiecīgajai teritorijai bija piešķirts īpaši atbalstāmās teritorijas statuss.</w:t>
      </w:r>
    </w:p>
    <w:p w:rsidR="00322BCF" w:rsidRPr="00585F58" w:rsidRDefault="00C60AD7" w:rsidP="00322BCF">
      <w:pPr>
        <w:spacing w:after="0" w:line="240" w:lineRule="auto"/>
        <w:ind w:firstLine="567"/>
        <w:jc w:val="both"/>
        <w:rPr>
          <w:szCs w:val="24"/>
        </w:rPr>
      </w:pPr>
      <w:r w:rsidRPr="00585F58">
        <w:rPr>
          <w:bCs/>
          <w:szCs w:val="24"/>
        </w:rPr>
        <w:t>Lai veicinātu ārvalstu investīciju piesaisti</w:t>
      </w:r>
      <w:r w:rsidR="00851182">
        <w:rPr>
          <w:bCs/>
          <w:szCs w:val="24"/>
        </w:rPr>
        <w:t>,</w:t>
      </w:r>
      <w:r w:rsidRPr="00585F58">
        <w:rPr>
          <w:bCs/>
          <w:szCs w:val="24"/>
        </w:rPr>
        <w:t xml:space="preserve"> sākot ar 2013.gada 1.janvāri</w:t>
      </w:r>
      <w:r w:rsidR="00851182">
        <w:rPr>
          <w:bCs/>
          <w:szCs w:val="24"/>
        </w:rPr>
        <w:t>,</w:t>
      </w:r>
      <w:r w:rsidRPr="00585F58">
        <w:rPr>
          <w:bCs/>
          <w:szCs w:val="24"/>
        </w:rPr>
        <w:t xml:space="preserve"> ar uzņēmumu ienākuma nodokli netiek apliktas nerezidentiem </w:t>
      </w:r>
      <w:r w:rsidRPr="00585F58">
        <w:rPr>
          <w:szCs w:val="24"/>
        </w:rPr>
        <w:t xml:space="preserve">(kapitālsabiedrībām) </w:t>
      </w:r>
      <w:r w:rsidRPr="00585F58">
        <w:rPr>
          <w:bCs/>
          <w:szCs w:val="24"/>
        </w:rPr>
        <w:t xml:space="preserve">izmaksātās dividendes </w:t>
      </w:r>
      <w:r w:rsidRPr="00585F58">
        <w:rPr>
          <w:szCs w:val="24"/>
        </w:rPr>
        <w:t>un no nerezidentiem saņemtās dividendes. Šī norma nav attiecināma uz zemu nodokļu vai beznodokļu valstu maksājumiem</w:t>
      </w:r>
      <w:r w:rsidR="00322BCF" w:rsidRPr="00585F58">
        <w:rPr>
          <w:szCs w:val="24"/>
        </w:rPr>
        <w:t>.</w:t>
      </w:r>
    </w:p>
    <w:p w:rsidR="00C60AD7" w:rsidRPr="00585F58" w:rsidRDefault="00C60AD7" w:rsidP="00322BCF">
      <w:pPr>
        <w:spacing w:after="0" w:line="240" w:lineRule="auto"/>
        <w:ind w:firstLine="567"/>
        <w:jc w:val="both"/>
        <w:rPr>
          <w:rFonts w:eastAsia="Times New Roman" w:cs="Times New Roman"/>
          <w:bCs/>
          <w:szCs w:val="24"/>
          <w:lang w:eastAsia="lv-LV"/>
        </w:rPr>
      </w:pPr>
      <w:r w:rsidRPr="00585F58">
        <w:rPr>
          <w:szCs w:val="24"/>
        </w:rPr>
        <w:t>Papildus tam, sākot ar 2013.gadu</w:t>
      </w:r>
      <w:r w:rsidR="00851182">
        <w:rPr>
          <w:szCs w:val="24"/>
        </w:rPr>
        <w:t>,</w:t>
      </w:r>
      <w:r w:rsidRPr="00585F58">
        <w:rPr>
          <w:szCs w:val="24"/>
        </w:rPr>
        <w:t xml:space="preserve"> ar uzņēmumu ienākuma nodokli netiek</w:t>
      </w:r>
      <w:r w:rsidR="00F10E2A">
        <w:rPr>
          <w:szCs w:val="24"/>
        </w:rPr>
        <w:t xml:space="preserve"> aplikts ienākums, kas gūts no </w:t>
      </w:r>
      <w:r w:rsidRPr="00585F58">
        <w:rPr>
          <w:szCs w:val="24"/>
        </w:rPr>
        <w:t xml:space="preserve">akciju atsavināšanas, izņemot gadījumu, kad kapitālsabiedrība, kuras akciju atsavināšana notikusi, ir tādas valsts vai teritorijas rezidents, kura saskaņā ar normatīvo aktu noteikumiem ir atzīta par </w:t>
      </w:r>
      <w:hyperlink r:id="rId11" w:tgtFrame="_top" w:tooltip="Noteikumi par zemu nodokļu vai beznodokļu valstīm un teritorijām" w:history="1">
        <w:r w:rsidRPr="00585F58">
          <w:rPr>
            <w:rStyle w:val="Hyperlink"/>
            <w:color w:val="auto"/>
            <w:szCs w:val="24"/>
            <w:u w:val="none"/>
          </w:rPr>
          <w:t>zemu nodokļu vai beznodokļu valsti vai teritoriju</w:t>
        </w:r>
      </w:hyperlink>
      <w:r w:rsidRPr="00585F58">
        <w:rPr>
          <w:szCs w:val="24"/>
        </w:rPr>
        <w:t>. Savukārt ar uzņēmumu ienākuma nodokli apliekamais ienākums netiek samazināts par zaudējumiem no akciju atsavināšanas.</w:t>
      </w:r>
    </w:p>
    <w:p w:rsidR="00322BCF" w:rsidRPr="00585F58" w:rsidRDefault="00C60AD7" w:rsidP="00322BCF">
      <w:pPr>
        <w:spacing w:after="0" w:line="240" w:lineRule="auto"/>
        <w:ind w:firstLine="567"/>
        <w:jc w:val="both"/>
        <w:rPr>
          <w:rFonts w:eastAsia="Times New Roman" w:cs="Times New Roman"/>
          <w:bCs/>
          <w:szCs w:val="24"/>
          <w:lang w:eastAsia="lv-LV"/>
        </w:rPr>
      </w:pPr>
      <w:r w:rsidRPr="00585F58">
        <w:rPr>
          <w:szCs w:val="24"/>
        </w:rPr>
        <w:t>Savukārt</w:t>
      </w:r>
      <w:r w:rsidR="00851182">
        <w:rPr>
          <w:szCs w:val="24"/>
        </w:rPr>
        <w:t>,</w:t>
      </w:r>
      <w:r w:rsidRPr="00585F58">
        <w:rPr>
          <w:szCs w:val="24"/>
        </w:rPr>
        <w:t xml:space="preserve"> sākot ar 2014.gada 1.janvāri</w:t>
      </w:r>
      <w:r w:rsidR="00851182">
        <w:rPr>
          <w:szCs w:val="24"/>
        </w:rPr>
        <w:t>,</w:t>
      </w:r>
      <w:r w:rsidRPr="00585F58">
        <w:rPr>
          <w:szCs w:val="24"/>
        </w:rPr>
        <w:t xml:space="preserve"> ar uzņēmumu ienākuma nodokli netiks aplikti nerezidentiem veiktie procentu maksājumi un maksājumi par intelektuālā </w:t>
      </w:r>
      <w:r w:rsidRPr="00585F58">
        <w:rPr>
          <w:szCs w:val="24"/>
        </w:rPr>
        <w:lastRenderedPageBreak/>
        <w:t>īpašuma izmantošanu. Šo normu neattiecinās uz zemu nodokļu vai beznodokļu valstu maksājumiem</w:t>
      </w:r>
      <w:r w:rsidR="00322BCF" w:rsidRPr="00585F58">
        <w:rPr>
          <w:rFonts w:eastAsia="Times New Roman" w:cs="Times New Roman"/>
          <w:bCs/>
          <w:szCs w:val="24"/>
          <w:lang w:eastAsia="lv-LV"/>
        </w:rPr>
        <w:t>.</w:t>
      </w:r>
    </w:p>
    <w:p w:rsidR="006E697C" w:rsidRPr="00585F58" w:rsidRDefault="00495D84" w:rsidP="00322BCF">
      <w:pPr>
        <w:spacing w:after="0" w:line="240" w:lineRule="auto"/>
        <w:ind w:firstLine="567"/>
        <w:jc w:val="both"/>
        <w:rPr>
          <w:rFonts w:eastAsia="Times New Roman" w:cs="Times New Roman"/>
          <w:bCs/>
          <w:szCs w:val="24"/>
          <w:lang w:eastAsia="lv-LV"/>
        </w:rPr>
      </w:pPr>
      <w:r w:rsidRPr="00585F58">
        <w:rPr>
          <w:rFonts w:eastAsia="Times New Roman" w:cs="Times New Roman"/>
          <w:bCs/>
          <w:szCs w:val="24"/>
          <w:lang w:eastAsia="lv-LV"/>
        </w:rPr>
        <w:t>Izmantojot UIN deklarāciju 2011.gada datus</w:t>
      </w:r>
      <w:r w:rsidR="005C0B59" w:rsidRPr="00585F58">
        <w:rPr>
          <w:rFonts w:eastAsia="Times New Roman" w:cs="Times New Roman"/>
          <w:bCs/>
          <w:szCs w:val="24"/>
          <w:lang w:eastAsia="lv-LV"/>
        </w:rPr>
        <w:t>,</w:t>
      </w:r>
      <w:r w:rsidRPr="00585F58">
        <w:rPr>
          <w:rFonts w:eastAsia="Times New Roman" w:cs="Times New Roman"/>
          <w:bCs/>
          <w:szCs w:val="24"/>
          <w:lang w:eastAsia="lv-LV"/>
        </w:rPr>
        <w:t xml:space="preserve"> kopējā atvieglojumu ietekme uz budžetu 2011.gadā ir aprēķināta </w:t>
      </w:r>
      <w:r w:rsidR="00513CA7" w:rsidRPr="00585F58">
        <w:rPr>
          <w:rFonts w:eastAsia="Times New Roman" w:cs="Times New Roman"/>
          <w:bCs/>
          <w:szCs w:val="24"/>
          <w:lang w:eastAsia="lv-LV"/>
        </w:rPr>
        <w:t>167,4</w:t>
      </w:r>
      <w:r w:rsidRPr="00585F58">
        <w:rPr>
          <w:rFonts w:eastAsia="Times New Roman" w:cs="Times New Roman"/>
          <w:bCs/>
          <w:szCs w:val="24"/>
          <w:lang w:eastAsia="lv-LV"/>
        </w:rPr>
        <w:t xml:space="preserve"> </w:t>
      </w:r>
      <w:proofErr w:type="spellStart"/>
      <w:r w:rsidRPr="00585F58">
        <w:rPr>
          <w:rFonts w:eastAsia="Times New Roman" w:cs="Times New Roman"/>
          <w:bCs/>
          <w:szCs w:val="24"/>
          <w:lang w:eastAsia="lv-LV"/>
        </w:rPr>
        <w:t>milj.latu</w:t>
      </w:r>
      <w:proofErr w:type="spellEnd"/>
      <w:r w:rsidRPr="00585F58">
        <w:rPr>
          <w:rFonts w:eastAsia="Times New Roman" w:cs="Times New Roman"/>
          <w:bCs/>
          <w:szCs w:val="24"/>
          <w:lang w:eastAsia="lv-LV"/>
        </w:rPr>
        <w:t xml:space="preserve"> apmērā, jeb 8</w:t>
      </w:r>
      <w:r w:rsidR="008C17BB" w:rsidRPr="00585F58">
        <w:rPr>
          <w:rFonts w:eastAsia="Times New Roman" w:cs="Times New Roman"/>
          <w:bCs/>
          <w:szCs w:val="24"/>
          <w:lang w:eastAsia="lv-LV"/>
        </w:rPr>
        <w:t>5</w:t>
      </w:r>
      <w:r w:rsidR="00935B70">
        <w:rPr>
          <w:rFonts w:eastAsia="Times New Roman" w:cs="Times New Roman"/>
          <w:bCs/>
          <w:szCs w:val="24"/>
          <w:lang w:eastAsia="lv-LV"/>
        </w:rPr>
        <w:t xml:space="preserve"> </w:t>
      </w:r>
      <w:r w:rsidRPr="00585F58">
        <w:rPr>
          <w:rFonts w:eastAsia="Times New Roman" w:cs="Times New Roman"/>
          <w:bCs/>
          <w:szCs w:val="24"/>
          <w:lang w:eastAsia="lv-LV"/>
        </w:rPr>
        <w:t xml:space="preserve">% </w:t>
      </w:r>
      <w:r w:rsidR="005E5C4A" w:rsidRPr="00585F58">
        <w:rPr>
          <w:rFonts w:eastAsia="Times New Roman" w:cs="Times New Roman"/>
          <w:bCs/>
          <w:szCs w:val="24"/>
          <w:lang w:eastAsia="lv-LV"/>
        </w:rPr>
        <w:t>no</w:t>
      </w:r>
      <w:r w:rsidR="005C0B59" w:rsidRPr="00585F58">
        <w:rPr>
          <w:rFonts w:eastAsia="Times New Roman" w:cs="Times New Roman"/>
          <w:bCs/>
          <w:szCs w:val="24"/>
          <w:lang w:eastAsia="lv-LV"/>
        </w:rPr>
        <w:t xml:space="preserve"> </w:t>
      </w:r>
      <w:r w:rsidRPr="00585F58">
        <w:rPr>
          <w:rFonts w:eastAsia="Times New Roman" w:cs="Times New Roman"/>
          <w:bCs/>
          <w:szCs w:val="24"/>
          <w:lang w:eastAsia="lv-LV"/>
        </w:rPr>
        <w:t xml:space="preserve">faktiski iekasētajiem UIN ieņēmumiem. </w:t>
      </w:r>
      <w:r w:rsidR="008C17BB" w:rsidRPr="00585F58">
        <w:rPr>
          <w:rFonts w:cs="Times New Roman"/>
          <w:szCs w:val="24"/>
        </w:rPr>
        <w:t>2010.</w:t>
      </w:r>
      <w:r w:rsidR="006E697C" w:rsidRPr="00585F58">
        <w:rPr>
          <w:rFonts w:cs="Times New Roman"/>
          <w:szCs w:val="24"/>
        </w:rPr>
        <w:t>gadā bija būtisks UIN ieņēmumu kritums − par 43</w:t>
      </w:r>
      <w:r w:rsidR="005E5C4A" w:rsidRPr="00585F58">
        <w:rPr>
          <w:rFonts w:cs="Times New Roman"/>
          <w:szCs w:val="24"/>
        </w:rPr>
        <w:t>,1</w:t>
      </w:r>
      <w:r w:rsidR="006E697C" w:rsidRPr="00585F58">
        <w:rPr>
          <w:rFonts w:cs="Times New Roman"/>
          <w:szCs w:val="24"/>
        </w:rPr>
        <w:t xml:space="preserve"> procent</w:t>
      </w:r>
      <w:r w:rsidR="005E5C4A" w:rsidRPr="00585F58">
        <w:rPr>
          <w:rFonts w:cs="Times New Roman"/>
          <w:szCs w:val="24"/>
        </w:rPr>
        <w:t>punktu</w:t>
      </w:r>
      <w:r w:rsidR="006E697C" w:rsidRPr="00585F58">
        <w:rPr>
          <w:rFonts w:cs="Times New Roman"/>
          <w:szCs w:val="24"/>
        </w:rPr>
        <w:t>, salīdzinot ar 2009.gadu</w:t>
      </w:r>
      <w:r w:rsidR="00F14393" w:rsidRPr="00585F58">
        <w:rPr>
          <w:rFonts w:cs="Times New Roman"/>
          <w:szCs w:val="24"/>
        </w:rPr>
        <w:t xml:space="preserve"> (3.att.)</w:t>
      </w:r>
      <w:r w:rsidR="006E697C" w:rsidRPr="00585F58">
        <w:rPr>
          <w:rFonts w:cs="Times New Roman"/>
          <w:szCs w:val="24"/>
        </w:rPr>
        <w:t xml:space="preserve">. </w:t>
      </w:r>
    </w:p>
    <w:p w:rsidR="00BE7E75" w:rsidRPr="00585F58" w:rsidRDefault="00BE7E75" w:rsidP="00BE7E75">
      <w:pPr>
        <w:spacing w:after="0" w:line="240" w:lineRule="auto"/>
        <w:ind w:firstLine="567"/>
        <w:jc w:val="both"/>
        <w:rPr>
          <w:rFonts w:cs="Times New Roman"/>
          <w:szCs w:val="24"/>
        </w:rPr>
      </w:pPr>
    </w:p>
    <w:p w:rsidR="00C85E4B" w:rsidRPr="00585F58" w:rsidRDefault="00E1734D" w:rsidP="0044767A">
      <w:pPr>
        <w:spacing w:line="20" w:lineRule="atLeast"/>
        <w:jc w:val="both"/>
        <w:rPr>
          <w:rFonts w:cs="Times New Roman"/>
          <w:noProof/>
          <w:lang w:eastAsia="lv-LV"/>
        </w:rPr>
      </w:pPr>
      <w:r>
        <w:rPr>
          <w:noProof/>
          <w:lang w:eastAsia="lv-LV"/>
        </w:rPr>
        <w:drawing>
          <wp:inline distT="0" distB="0" distL="0" distR="0" wp14:anchorId="07946ADC" wp14:editId="5E966B73">
            <wp:extent cx="5262113"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0B59" w:rsidRPr="00585F58" w:rsidRDefault="001C3332" w:rsidP="001C3332">
      <w:pPr>
        <w:spacing w:after="0" w:line="240" w:lineRule="auto"/>
        <w:jc w:val="both"/>
        <w:rPr>
          <w:rFonts w:cs="Times New Roman"/>
          <w:szCs w:val="24"/>
        </w:rPr>
      </w:pPr>
      <w:r w:rsidRPr="00585F58">
        <w:rPr>
          <w:rFonts w:cs="Times New Roman"/>
          <w:szCs w:val="24"/>
        </w:rPr>
        <w:t>Dati: Valsts ieņēmumu dienests</w:t>
      </w:r>
    </w:p>
    <w:p w:rsidR="001C6550" w:rsidRPr="00585F58" w:rsidRDefault="00F14393" w:rsidP="00306725">
      <w:pPr>
        <w:spacing w:line="20" w:lineRule="atLeast"/>
        <w:jc w:val="both"/>
        <w:rPr>
          <w:rFonts w:cs="Times New Roman"/>
          <w:szCs w:val="24"/>
        </w:rPr>
      </w:pPr>
      <w:r w:rsidRPr="00585F58">
        <w:rPr>
          <w:rFonts w:cs="Times New Roman"/>
          <w:b/>
        </w:rPr>
        <w:t>3</w:t>
      </w:r>
      <w:r w:rsidR="001C6550" w:rsidRPr="00585F58">
        <w:rPr>
          <w:rFonts w:cs="Times New Roman"/>
          <w:b/>
        </w:rPr>
        <w:t xml:space="preserve">.att. UIN faktiskie ieņēmumi (2007. </w:t>
      </w:r>
      <w:r w:rsidR="001C6550" w:rsidRPr="00585F58">
        <w:rPr>
          <w:rFonts w:eastAsia="Times New Roman" w:cs="Times New Roman"/>
          <w:bCs/>
          <w:szCs w:val="24"/>
          <w:lang w:eastAsia="lv-LV"/>
        </w:rPr>
        <w:t xml:space="preserve">– </w:t>
      </w:r>
      <w:r w:rsidR="005E5C4A" w:rsidRPr="00585F58">
        <w:rPr>
          <w:rFonts w:cs="Times New Roman"/>
          <w:b/>
        </w:rPr>
        <w:t>2012</w:t>
      </w:r>
      <w:r w:rsidR="001C6550" w:rsidRPr="00585F58">
        <w:rPr>
          <w:rFonts w:cs="Times New Roman"/>
          <w:b/>
        </w:rPr>
        <w:t xml:space="preserve">.gadā) un faktiskais atvieglojumu apmērs (2007. </w:t>
      </w:r>
      <w:r w:rsidR="001C6550" w:rsidRPr="00585F58">
        <w:rPr>
          <w:rFonts w:eastAsia="Times New Roman" w:cs="Times New Roman"/>
          <w:bCs/>
          <w:szCs w:val="24"/>
          <w:lang w:eastAsia="lv-LV"/>
        </w:rPr>
        <w:t xml:space="preserve">– </w:t>
      </w:r>
      <w:r w:rsidR="001C6550" w:rsidRPr="00585F58">
        <w:rPr>
          <w:rFonts w:cs="Times New Roman"/>
          <w:b/>
        </w:rPr>
        <w:t>2011.gadā), kā arī turpmāk prognozēt</w:t>
      </w:r>
      <w:r w:rsidR="001E7475">
        <w:rPr>
          <w:rFonts w:cs="Times New Roman"/>
          <w:b/>
        </w:rPr>
        <w:t>ie (</w:t>
      </w:r>
      <w:r w:rsidR="001E7475" w:rsidRPr="00585F58">
        <w:rPr>
          <w:rFonts w:cs="Times New Roman"/>
          <w:b/>
        </w:rPr>
        <w:t>Finanšu ministrija</w:t>
      </w:r>
      <w:r w:rsidR="001E7475">
        <w:rPr>
          <w:rFonts w:cs="Times New Roman"/>
          <w:b/>
        </w:rPr>
        <w:t>s</w:t>
      </w:r>
      <w:r w:rsidR="001E7475" w:rsidRPr="00585F58">
        <w:rPr>
          <w:rFonts w:cs="Times New Roman"/>
          <w:b/>
        </w:rPr>
        <w:t xml:space="preserve"> </w:t>
      </w:r>
      <w:r w:rsidR="005E582A" w:rsidRPr="00585F58">
        <w:rPr>
          <w:rFonts w:cs="Times New Roman"/>
          <w:b/>
        </w:rPr>
        <w:t xml:space="preserve">(turpmāk </w:t>
      </w:r>
      <w:r w:rsidR="001E7475">
        <w:rPr>
          <w:rFonts w:cs="Times New Roman"/>
          <w:b/>
        </w:rPr>
        <w:t xml:space="preserve">- </w:t>
      </w:r>
      <w:r w:rsidR="001E7475" w:rsidRPr="00585F58">
        <w:rPr>
          <w:rFonts w:cs="Times New Roman"/>
          <w:b/>
        </w:rPr>
        <w:t>FM</w:t>
      </w:r>
      <w:r w:rsidR="005E582A" w:rsidRPr="00585F58">
        <w:rPr>
          <w:rFonts w:cs="Times New Roman"/>
          <w:b/>
        </w:rPr>
        <w:t xml:space="preserve">) </w:t>
      </w:r>
      <w:r w:rsidR="001C6550" w:rsidRPr="00585F58">
        <w:rPr>
          <w:rFonts w:cs="Times New Roman"/>
          <w:b/>
        </w:rPr>
        <w:t>aprēķini</w:t>
      </w:r>
      <w:r w:rsidR="001E7475">
        <w:rPr>
          <w:rFonts w:cs="Times New Roman"/>
          <w:b/>
        </w:rPr>
        <w:t xml:space="preserve"> un Valsts ieņēmumu dienesta (turpmāk – VID) dati)</w:t>
      </w:r>
      <w:r w:rsidR="001C6550" w:rsidRPr="00585F58">
        <w:rPr>
          <w:rFonts w:cs="Times New Roman"/>
          <w:b/>
        </w:rPr>
        <w:t>.</w:t>
      </w:r>
    </w:p>
    <w:p w:rsidR="00210C86" w:rsidRPr="00585F58" w:rsidRDefault="00210C86" w:rsidP="00F14393">
      <w:pPr>
        <w:spacing w:after="0" w:line="240" w:lineRule="auto"/>
        <w:ind w:firstLine="567"/>
        <w:jc w:val="both"/>
        <w:rPr>
          <w:rFonts w:cs="Times New Roman"/>
          <w:szCs w:val="24"/>
        </w:rPr>
      </w:pPr>
      <w:r w:rsidRPr="00585F58">
        <w:rPr>
          <w:rFonts w:cs="Times New Roman"/>
          <w:szCs w:val="24"/>
        </w:rPr>
        <w:t xml:space="preserve">Jāpiebilst, ka fiskāli un skaitliski liels atvieglojumu īpatsvars rada nevienlīdzīgas konkurences apstākļus uzņēmējdarbības vidē, kas savukārt var atstāt negatīvu ietekmi uz nodokļu maksātāju morāli labprātīgi pildīt uzņemtās </w:t>
      </w:r>
      <w:r w:rsidR="00F14393" w:rsidRPr="00585F58">
        <w:rPr>
          <w:rFonts w:cs="Times New Roman"/>
          <w:szCs w:val="24"/>
        </w:rPr>
        <w:t xml:space="preserve">nodokļu saistības pret valsti. </w:t>
      </w:r>
    </w:p>
    <w:p w:rsidR="00306725" w:rsidRPr="00585F58" w:rsidRDefault="00306725" w:rsidP="00FF63D2">
      <w:pPr>
        <w:spacing w:after="0" w:line="240" w:lineRule="auto"/>
        <w:ind w:firstLine="567"/>
        <w:jc w:val="both"/>
        <w:rPr>
          <w:rFonts w:cs="Times New Roman"/>
          <w:szCs w:val="24"/>
        </w:rPr>
      </w:pPr>
    </w:p>
    <w:p w:rsidR="00306725" w:rsidRPr="00585F58" w:rsidRDefault="00500C15" w:rsidP="00306725">
      <w:pPr>
        <w:spacing w:after="0" w:line="240" w:lineRule="auto"/>
        <w:jc w:val="both"/>
        <w:rPr>
          <w:rFonts w:cs="Times New Roman"/>
          <w:szCs w:val="24"/>
        </w:rPr>
      </w:pPr>
      <w:r w:rsidRPr="00585F58">
        <w:rPr>
          <w:rFonts w:cs="Times New Roman"/>
          <w:noProof/>
          <w:lang w:eastAsia="lv-LV"/>
        </w:rPr>
        <w:lastRenderedPageBreak/>
        <w:drawing>
          <wp:inline distT="0" distB="0" distL="0" distR="0" wp14:anchorId="0C42AFC3" wp14:editId="755D73B3">
            <wp:extent cx="5278120" cy="3880396"/>
            <wp:effectExtent l="0" t="0" r="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0B59" w:rsidRPr="00585F58" w:rsidRDefault="001C3332" w:rsidP="005C0B59">
      <w:pPr>
        <w:spacing w:after="0" w:line="240" w:lineRule="auto"/>
        <w:ind w:left="360"/>
        <w:jc w:val="both"/>
        <w:rPr>
          <w:rFonts w:cs="Times New Roman"/>
          <w:szCs w:val="24"/>
        </w:rPr>
      </w:pPr>
      <w:r w:rsidRPr="00585F58">
        <w:rPr>
          <w:rFonts w:cs="Times New Roman"/>
          <w:szCs w:val="24"/>
        </w:rPr>
        <w:t xml:space="preserve">Dati: </w:t>
      </w:r>
      <w:r w:rsidR="001E7475">
        <w:rPr>
          <w:rFonts w:cs="Times New Roman"/>
          <w:szCs w:val="24"/>
        </w:rPr>
        <w:t>VID</w:t>
      </w:r>
    </w:p>
    <w:p w:rsidR="00306725" w:rsidRPr="00585F58" w:rsidRDefault="00F14393" w:rsidP="007453C0">
      <w:pPr>
        <w:spacing w:line="20" w:lineRule="atLeast"/>
        <w:jc w:val="center"/>
        <w:rPr>
          <w:rFonts w:cs="Times New Roman"/>
          <w:b/>
        </w:rPr>
      </w:pPr>
      <w:r w:rsidRPr="00585F58">
        <w:rPr>
          <w:rFonts w:cs="Times New Roman"/>
          <w:b/>
        </w:rPr>
        <w:t>4</w:t>
      </w:r>
      <w:r w:rsidR="00306725" w:rsidRPr="00585F58">
        <w:rPr>
          <w:rFonts w:cs="Times New Roman"/>
          <w:b/>
        </w:rPr>
        <w:t>.att. UIN atvieglojumu procentuālais sadalījums 2011.gadā.</w:t>
      </w:r>
    </w:p>
    <w:p w:rsidR="005E582A" w:rsidRPr="00585F58" w:rsidRDefault="005E582A" w:rsidP="005E582A">
      <w:pPr>
        <w:spacing w:after="0" w:line="240" w:lineRule="auto"/>
        <w:ind w:firstLine="567"/>
        <w:jc w:val="both"/>
        <w:rPr>
          <w:rFonts w:cs="Times New Roman"/>
          <w:szCs w:val="24"/>
        </w:rPr>
      </w:pPr>
      <w:r w:rsidRPr="00585F58">
        <w:rPr>
          <w:rFonts w:cs="Times New Roman"/>
          <w:szCs w:val="24"/>
        </w:rPr>
        <w:t>Vislielāko daļu no UIN atvieglojumiem 2011.gadā veido atvieglojumu grupa investīciju veicināšanai (</w:t>
      </w:r>
      <w:r w:rsidR="00F14393" w:rsidRPr="00585F58">
        <w:rPr>
          <w:rFonts w:cs="Times New Roman"/>
          <w:szCs w:val="24"/>
        </w:rPr>
        <w:t>4</w:t>
      </w:r>
      <w:r w:rsidRPr="00585F58">
        <w:rPr>
          <w:rFonts w:cs="Times New Roman"/>
          <w:szCs w:val="24"/>
        </w:rPr>
        <w:t xml:space="preserve">.att.), </w:t>
      </w:r>
      <w:proofErr w:type="spellStart"/>
      <w:r w:rsidRPr="00585F58">
        <w:rPr>
          <w:rFonts w:cs="Times New Roman"/>
          <w:szCs w:val="24"/>
        </w:rPr>
        <w:t>t.i</w:t>
      </w:r>
      <w:proofErr w:type="spellEnd"/>
      <w:r w:rsidRPr="00585F58">
        <w:rPr>
          <w:rFonts w:cs="Times New Roman"/>
          <w:szCs w:val="24"/>
        </w:rPr>
        <w:t>., iespēja segt taksācijas perioda zaudēj</w:t>
      </w:r>
      <w:r w:rsidR="00851182">
        <w:rPr>
          <w:rFonts w:cs="Times New Roman"/>
          <w:szCs w:val="24"/>
        </w:rPr>
        <w:t xml:space="preserve">umus - </w:t>
      </w:r>
      <w:r w:rsidRPr="00585F58">
        <w:rPr>
          <w:rFonts w:cs="Times New Roman"/>
          <w:szCs w:val="24"/>
        </w:rPr>
        <w:t>54%, kam seko paātrināta pamatlīdzekļu norakstīšanas kārtība un atvieglojums</w:t>
      </w:r>
      <w:r w:rsidR="0044767A">
        <w:rPr>
          <w:rFonts w:cs="Times New Roman"/>
          <w:szCs w:val="24"/>
        </w:rPr>
        <w:t>,</w:t>
      </w:r>
      <w:r w:rsidRPr="00585F58">
        <w:rPr>
          <w:rFonts w:cs="Times New Roman"/>
          <w:szCs w:val="24"/>
        </w:rPr>
        <w:t xml:space="preserve"> iegādājoties jaunas ra</w:t>
      </w:r>
      <w:r w:rsidR="00851182">
        <w:rPr>
          <w:rFonts w:cs="Times New Roman"/>
          <w:szCs w:val="24"/>
        </w:rPr>
        <w:t>žošanas tehnoloģiskās iekārtas</w:t>
      </w:r>
      <w:r w:rsidR="0044767A">
        <w:rPr>
          <w:rFonts w:cs="Times New Roman"/>
          <w:szCs w:val="24"/>
        </w:rPr>
        <w:t>,</w:t>
      </w:r>
      <w:r w:rsidR="00851182">
        <w:rPr>
          <w:rFonts w:cs="Times New Roman"/>
          <w:szCs w:val="24"/>
        </w:rPr>
        <w:t xml:space="preserve"> -</w:t>
      </w:r>
      <w:r w:rsidRPr="00585F58">
        <w:rPr>
          <w:rFonts w:cs="Times New Roman"/>
          <w:szCs w:val="24"/>
        </w:rPr>
        <w:t xml:space="preserve"> 9 %.</w:t>
      </w:r>
    </w:p>
    <w:p w:rsidR="005E582A" w:rsidRPr="00585F58" w:rsidRDefault="005E582A" w:rsidP="005E582A">
      <w:pPr>
        <w:spacing w:after="0" w:line="240" w:lineRule="auto"/>
        <w:ind w:firstLine="567"/>
        <w:jc w:val="both"/>
        <w:rPr>
          <w:rFonts w:cs="Times New Roman"/>
          <w:szCs w:val="24"/>
        </w:rPr>
      </w:pPr>
      <w:r w:rsidRPr="00585F58">
        <w:rPr>
          <w:rFonts w:cs="Times New Roman"/>
          <w:szCs w:val="24"/>
        </w:rPr>
        <w:t>Nodokļa atvieglojumi nozarēm ir radīti, lai stimulētu atsevišķu nozaru attīstību (kuģniecība, gaisa satiksme, lauksaimniecība). Nodokļu atvieglojums lauksaimniecībai 2011.gadā bija 7% no kopējā UIN atvieglojumu apmēra.</w:t>
      </w:r>
    </w:p>
    <w:p w:rsidR="005E582A" w:rsidRPr="00585F58" w:rsidRDefault="005E582A" w:rsidP="005E582A">
      <w:pPr>
        <w:spacing w:after="0" w:line="240" w:lineRule="auto"/>
        <w:ind w:firstLine="567"/>
        <w:jc w:val="both"/>
        <w:rPr>
          <w:rFonts w:cs="Times New Roman"/>
          <w:szCs w:val="24"/>
        </w:rPr>
      </w:pPr>
      <w:r w:rsidRPr="00585F58">
        <w:rPr>
          <w:rFonts w:cs="Times New Roman"/>
          <w:szCs w:val="24"/>
        </w:rPr>
        <w:t>Ceturtā lielākā atvieglojumu grupa pēc kopējā apjoma 2011.gadā bija nodokļa atlaide ziedotājiem – 8 %. Lielākā daļa no ziedotajiem līdzekļiem parasti tiek novirzīti sporta atbalstam.</w:t>
      </w:r>
    </w:p>
    <w:p w:rsidR="00B80875" w:rsidRPr="00585F58" w:rsidRDefault="00B80875" w:rsidP="00FF63D2">
      <w:pPr>
        <w:spacing w:after="0" w:line="240" w:lineRule="auto"/>
        <w:ind w:firstLine="567"/>
        <w:jc w:val="both"/>
        <w:rPr>
          <w:rFonts w:cs="Times New Roman"/>
          <w:szCs w:val="24"/>
        </w:rPr>
      </w:pPr>
    </w:p>
    <w:p w:rsidR="00B17AAF" w:rsidRPr="00585F58" w:rsidRDefault="00B17AAF" w:rsidP="00FF63D2">
      <w:pPr>
        <w:spacing w:after="0" w:line="240" w:lineRule="auto"/>
        <w:ind w:firstLine="567"/>
        <w:jc w:val="both"/>
        <w:rPr>
          <w:rFonts w:cs="Times New Roman"/>
          <w:szCs w:val="24"/>
        </w:rPr>
      </w:pPr>
    </w:p>
    <w:p w:rsidR="005E6A49" w:rsidRPr="00585F58" w:rsidRDefault="000E3B2B" w:rsidP="001327C6">
      <w:pPr>
        <w:pStyle w:val="ListParagraph"/>
        <w:numPr>
          <w:ilvl w:val="0"/>
          <w:numId w:val="4"/>
        </w:numPr>
        <w:spacing w:line="20" w:lineRule="atLeast"/>
        <w:jc w:val="both"/>
        <w:rPr>
          <w:rFonts w:cs="Times New Roman"/>
          <w:b/>
          <w:sz w:val="28"/>
          <w:szCs w:val="28"/>
          <w:u w:val="single"/>
        </w:rPr>
      </w:pPr>
      <w:r w:rsidRPr="00585F58">
        <w:rPr>
          <w:rFonts w:cs="Times New Roman"/>
          <w:b/>
          <w:sz w:val="28"/>
          <w:szCs w:val="28"/>
          <w:u w:val="single"/>
        </w:rPr>
        <w:t xml:space="preserve">Sasaiste ar valsts noteiktajām prioritātēm </w:t>
      </w:r>
    </w:p>
    <w:p w:rsidR="005E6A49" w:rsidRPr="00585F58" w:rsidRDefault="005E6A49" w:rsidP="000E3B2B">
      <w:pPr>
        <w:spacing w:after="0" w:line="240" w:lineRule="auto"/>
        <w:ind w:firstLine="709"/>
        <w:jc w:val="both"/>
        <w:rPr>
          <w:rFonts w:cs="Times New Roman"/>
          <w:szCs w:val="24"/>
        </w:rPr>
      </w:pPr>
      <w:r w:rsidRPr="00585F58">
        <w:rPr>
          <w:rFonts w:cs="Times New Roman"/>
          <w:szCs w:val="24"/>
        </w:rPr>
        <w:t xml:space="preserve">Lai izpildītu </w:t>
      </w:r>
      <w:r w:rsidR="00F17FB1" w:rsidRPr="00585F58">
        <w:rPr>
          <w:rFonts w:cs="Times New Roman"/>
          <w:szCs w:val="24"/>
        </w:rPr>
        <w:t xml:space="preserve">Ministru kabineta 2013.gada 3.janvāra sēdes </w:t>
      </w:r>
      <w:proofErr w:type="spellStart"/>
      <w:r w:rsidR="00F17FB1" w:rsidRPr="00585F58">
        <w:rPr>
          <w:rFonts w:cs="Times New Roman"/>
          <w:szCs w:val="24"/>
        </w:rPr>
        <w:t>protokollēmuma</w:t>
      </w:r>
      <w:proofErr w:type="spellEnd"/>
      <w:r w:rsidR="00F17FB1" w:rsidRPr="00585F58">
        <w:rPr>
          <w:rFonts w:cs="Times New Roman"/>
          <w:szCs w:val="24"/>
        </w:rPr>
        <w:t xml:space="preserve"> (protokols Nr.1 31.§) 3.punktā doto uzdevumu</w:t>
      </w:r>
      <w:r w:rsidRPr="00585F58">
        <w:rPr>
          <w:rFonts w:cs="Times New Roman"/>
          <w:szCs w:val="24"/>
        </w:rPr>
        <w:t>, būtiski ir novērtēt šo UIN atvieglojumu sa</w:t>
      </w:r>
      <w:r w:rsidR="005E5C4A" w:rsidRPr="00585F58">
        <w:rPr>
          <w:rFonts w:cs="Times New Roman"/>
          <w:szCs w:val="24"/>
        </w:rPr>
        <w:t>saisti ar hierarhiski augstāko</w:t>
      </w:r>
      <w:r w:rsidRPr="00585F58">
        <w:rPr>
          <w:rFonts w:cs="Times New Roman"/>
          <w:szCs w:val="24"/>
        </w:rPr>
        <w:t xml:space="preserve"> nacionāla līmeņa vidēja termiņa plānošanas dokument</w:t>
      </w:r>
      <w:r w:rsidR="005E5C4A" w:rsidRPr="00585F58">
        <w:rPr>
          <w:rFonts w:cs="Times New Roman"/>
          <w:szCs w:val="24"/>
        </w:rPr>
        <w:t>u – Nacionālais attīstības plānu</w:t>
      </w:r>
      <w:r w:rsidRPr="00585F58">
        <w:rPr>
          <w:rFonts w:cs="Times New Roman"/>
          <w:szCs w:val="24"/>
        </w:rPr>
        <w:t xml:space="preserve"> 2014.-2020.gadam (turpmāk – NAP) un tā cieši saistītajiem plānošanas dokumentiem - Latvijas il</w:t>
      </w:r>
      <w:r w:rsidR="005E5C4A" w:rsidRPr="00585F58">
        <w:rPr>
          <w:rFonts w:cs="Times New Roman"/>
          <w:szCs w:val="24"/>
        </w:rPr>
        <w:t>gtspējīgas attīstības stratēģiju</w:t>
      </w:r>
      <w:r w:rsidRPr="00585F58">
        <w:rPr>
          <w:rFonts w:cs="Times New Roman"/>
          <w:szCs w:val="24"/>
        </w:rPr>
        <w:t xml:space="preserve"> līdz 2030.gadam un Latv</w:t>
      </w:r>
      <w:r w:rsidR="005E5C4A" w:rsidRPr="00585F58">
        <w:rPr>
          <w:rFonts w:cs="Times New Roman"/>
          <w:szCs w:val="24"/>
        </w:rPr>
        <w:t>ijas nacionālā reformu programmu</w:t>
      </w:r>
      <w:r w:rsidRPr="00585F58">
        <w:rPr>
          <w:rFonts w:cs="Times New Roman"/>
          <w:szCs w:val="24"/>
        </w:rPr>
        <w:t xml:space="preserve"> „ES 2020” stratēģijas īstenošanai.</w:t>
      </w:r>
    </w:p>
    <w:p w:rsidR="005E6A49" w:rsidRPr="00585F58" w:rsidRDefault="005E6A49" w:rsidP="005E6A49">
      <w:pPr>
        <w:spacing w:after="0" w:line="240" w:lineRule="auto"/>
        <w:ind w:firstLine="720"/>
        <w:jc w:val="both"/>
        <w:rPr>
          <w:rFonts w:cs="Times New Roman"/>
          <w:szCs w:val="24"/>
        </w:rPr>
      </w:pPr>
      <w:r w:rsidRPr="00585F58">
        <w:rPr>
          <w:rFonts w:cs="Times New Roman"/>
          <w:szCs w:val="24"/>
        </w:rPr>
        <w:t>Lai Latvijas turpmākajā izaugsmē ieguldītais finansējums būtu produktīvs un izaugsmi veicinošs, minēto politikas plānošanas dokumentu izvirzītie mērķi un to sasniegšanas rīcības virzieni ir noteikti, balstoties uz makroekonomisko tendenču analīzi, apzinoties iespēju samērojamību ar vēlmēm.</w:t>
      </w:r>
    </w:p>
    <w:p w:rsidR="005E6A49" w:rsidRPr="00585F58" w:rsidRDefault="001915DD" w:rsidP="005E6A49">
      <w:pPr>
        <w:spacing w:after="0" w:line="240" w:lineRule="auto"/>
        <w:ind w:firstLine="720"/>
        <w:jc w:val="both"/>
        <w:rPr>
          <w:rFonts w:cs="Times New Roman"/>
          <w:szCs w:val="24"/>
        </w:rPr>
      </w:pPr>
      <w:r w:rsidRPr="00585F58">
        <w:rPr>
          <w:rFonts w:cs="Times New Roman"/>
          <w:szCs w:val="24"/>
        </w:rPr>
        <w:lastRenderedPageBreak/>
        <w:t>No 2005.</w:t>
      </w:r>
      <w:r w:rsidR="005E6A49" w:rsidRPr="00585F58">
        <w:rPr>
          <w:rFonts w:cs="Times New Roman"/>
          <w:szCs w:val="24"/>
        </w:rPr>
        <w:t xml:space="preserve">gada līdz 2007.gadam apjomīga ārējā kapitāla ieplūde stimulēja būtisku privātā patēriņa un investīciju pieaugumu Latvijā. Šāds ekonomikas modelis nebija ilgtspējīgs, jo noveda ekonomiku pie dziļas </w:t>
      </w:r>
      <w:proofErr w:type="spellStart"/>
      <w:r w:rsidR="005E6A49" w:rsidRPr="00585F58">
        <w:rPr>
          <w:rFonts w:cs="Times New Roman"/>
          <w:szCs w:val="24"/>
        </w:rPr>
        <w:t>recesijas</w:t>
      </w:r>
      <w:proofErr w:type="spellEnd"/>
      <w:r w:rsidR="005E6A49" w:rsidRPr="00585F58">
        <w:rPr>
          <w:rFonts w:cs="Times New Roman"/>
          <w:szCs w:val="24"/>
        </w:rPr>
        <w:t xml:space="preserve"> izteikto makroekonomisko disproporciju dēļ </w:t>
      </w:r>
      <w:r w:rsidR="00CD4C12" w:rsidRPr="00585F58">
        <w:rPr>
          <w:rFonts w:cs="Times New Roman"/>
          <w:szCs w:val="24"/>
        </w:rPr>
        <w:t xml:space="preserve">2008.gadā </w:t>
      </w:r>
      <w:r w:rsidR="005E6A49" w:rsidRPr="00585F58">
        <w:rPr>
          <w:rFonts w:cs="Times New Roman"/>
          <w:szCs w:val="24"/>
        </w:rPr>
        <w:t>(augsta inflācija, liels maksājumu bilances tekošā konta deficīts</w:t>
      </w:r>
      <w:r w:rsidR="00CD4C12" w:rsidRPr="00585F58">
        <w:rPr>
          <w:rFonts w:cs="Times New Roman"/>
          <w:szCs w:val="24"/>
        </w:rPr>
        <w:t xml:space="preserve"> </w:t>
      </w:r>
      <w:proofErr w:type="spellStart"/>
      <w:r w:rsidR="00CD4C12" w:rsidRPr="00585F58">
        <w:rPr>
          <w:rFonts w:cs="Times New Roman"/>
          <w:szCs w:val="24"/>
        </w:rPr>
        <w:t>u.c</w:t>
      </w:r>
      <w:proofErr w:type="spellEnd"/>
      <w:r w:rsidR="00CD4C12" w:rsidRPr="00585F58">
        <w:rPr>
          <w:rFonts w:cs="Times New Roman"/>
          <w:szCs w:val="24"/>
        </w:rPr>
        <w:t>.). G</w:t>
      </w:r>
      <w:r w:rsidR="005E6A49" w:rsidRPr="00585F58">
        <w:rPr>
          <w:rFonts w:cs="Times New Roman"/>
          <w:szCs w:val="24"/>
        </w:rPr>
        <w:t xml:space="preserve">lobālās finanšu krīzes ietekmē apstājoties ārējā kapitāla ieplūdei, IKP samazinājās par aptuveni 25%, ārējais parāds gandrīz dubultojās, nodarbināto skaits samazinājās par 16%, strādājošo reālā darba samaksa – par 12 </w:t>
      </w:r>
      <w:r w:rsidR="005E582A" w:rsidRPr="00585F58">
        <w:rPr>
          <w:rFonts w:cs="Times New Roman"/>
          <w:szCs w:val="24"/>
        </w:rPr>
        <w:t>%</w:t>
      </w:r>
      <w:r w:rsidR="005E6A49" w:rsidRPr="00585F58">
        <w:rPr>
          <w:rFonts w:cs="Times New Roman"/>
          <w:szCs w:val="24"/>
        </w:rPr>
        <w:t>.</w:t>
      </w:r>
    </w:p>
    <w:p w:rsidR="005E6A49" w:rsidRPr="00585F58" w:rsidRDefault="005E6A49" w:rsidP="005E6A49">
      <w:pPr>
        <w:spacing w:after="0" w:line="240" w:lineRule="auto"/>
        <w:ind w:firstLine="720"/>
        <w:jc w:val="both"/>
        <w:rPr>
          <w:rFonts w:cs="Times New Roman"/>
          <w:szCs w:val="24"/>
        </w:rPr>
      </w:pPr>
      <w:r w:rsidRPr="00585F58">
        <w:rPr>
          <w:rFonts w:cs="Times New Roman"/>
          <w:szCs w:val="24"/>
        </w:rPr>
        <w:t>Kopš 2009.gada beigām ekonomiskā lejupslīde Latvijā ir apturēta, un ir atsākusies izaugsme. Ekonomiskās izaugsmes pamatā ir eksp</w:t>
      </w:r>
      <w:r w:rsidR="00CD4C12" w:rsidRPr="00585F58">
        <w:rPr>
          <w:rFonts w:cs="Times New Roman"/>
          <w:szCs w:val="24"/>
        </w:rPr>
        <w:t>orta pieaugums, kā arī tirdzniecības nozaru izaugsme. A</w:t>
      </w:r>
      <w:r w:rsidRPr="00585F58">
        <w:rPr>
          <w:rFonts w:cs="Times New Roman"/>
          <w:szCs w:val="24"/>
        </w:rPr>
        <w:t>pstrādes rūpniecība pašreizējā situācijā ir galvenais tautsaimniecības izaugsmes virzītājs. Tādējādi Latvijas ekonomika šobrīd pārkārtojas uz ilgtspējīgu attīstības modeli, kurā galvenais attīstības dzinējspēks ir eksports, spēja konkurēt iekšējos un ārējos produktu tirgos, kā arī būt konkurētspējīgiem kapitāla piesaistē, lai kāpinātu Latvijas ražīgo potenciālu.</w:t>
      </w:r>
    </w:p>
    <w:p w:rsidR="005E6A49" w:rsidRPr="00585F58" w:rsidRDefault="005E6A49" w:rsidP="005E6A49">
      <w:pPr>
        <w:spacing w:after="0" w:line="240" w:lineRule="auto"/>
        <w:ind w:firstLine="720"/>
        <w:jc w:val="both"/>
        <w:rPr>
          <w:rFonts w:cs="Times New Roman"/>
          <w:szCs w:val="24"/>
        </w:rPr>
      </w:pPr>
      <w:r w:rsidRPr="00585F58">
        <w:rPr>
          <w:rFonts w:cs="Times New Roman"/>
          <w:szCs w:val="24"/>
        </w:rPr>
        <w:t xml:space="preserve">Viens no svarīgākajiem ekonomikas modeļa maiņas jautājumiem ir ražošanas nozaru attīstības iespējas, kas, savukārt, ir atkarīgs no spējas veikt strukturālās izmaiņas nozarē un noturēt šādu attīstības tendenci. Pašreizējā izaugsmes atjaunošanās periodā apstrādes rūpniecības straujās izaugsmes un līdz ar </w:t>
      </w:r>
      <w:r w:rsidR="005E582A" w:rsidRPr="00585F58">
        <w:rPr>
          <w:rFonts w:cs="Times New Roman"/>
          <w:szCs w:val="24"/>
        </w:rPr>
        <w:t>to eksporta apjoma palielinājumā</w:t>
      </w:r>
      <w:r w:rsidRPr="00585F58">
        <w:rPr>
          <w:rFonts w:cs="Times New Roman"/>
          <w:szCs w:val="24"/>
        </w:rPr>
        <w:t xml:space="preserve"> izšķiroša nozīme bija Latvijas darba tirgus elastīgumam, kas raksturojas ar nodarbinātība</w:t>
      </w:r>
      <w:r w:rsidR="005E582A" w:rsidRPr="00585F58">
        <w:rPr>
          <w:rFonts w:cs="Times New Roman"/>
          <w:szCs w:val="24"/>
        </w:rPr>
        <w:t>s un darba algas samazinājumu</w:t>
      </w:r>
      <w:r w:rsidRPr="00585F58">
        <w:rPr>
          <w:rFonts w:cs="Times New Roman"/>
          <w:szCs w:val="24"/>
        </w:rPr>
        <w:t xml:space="preserve"> atbilstoši pieprasījuma kritumam, paaugstinot Latvijas ražotāju konkurētspēju salīdzinājumā ar citām ES dalībvalstīm. Valstij pamazām ir jāatsakās no konkurences priekšrocībām, kuru pamatā ir zemākas izmaksas, un jāpāriet uz konkurences priekšrocībām, ko nodrošina sarežģītāku preču ražošana a</w:t>
      </w:r>
      <w:r w:rsidR="005E582A" w:rsidRPr="00585F58">
        <w:rPr>
          <w:rFonts w:cs="Times New Roman"/>
          <w:szCs w:val="24"/>
        </w:rPr>
        <w:t>r augstāku pievienoto vērtību. T</w:t>
      </w:r>
      <w:r w:rsidRPr="00585F58">
        <w:rPr>
          <w:rFonts w:cs="Times New Roman"/>
          <w:szCs w:val="24"/>
        </w:rPr>
        <w:t xml:space="preserve">urklāt </w:t>
      </w:r>
      <w:r w:rsidR="007D387B" w:rsidRPr="00585F58">
        <w:rPr>
          <w:rFonts w:cs="Times New Roman"/>
          <w:szCs w:val="24"/>
        </w:rPr>
        <w:t xml:space="preserve">ir </w:t>
      </w:r>
      <w:r w:rsidRPr="00585F58">
        <w:rPr>
          <w:rFonts w:cs="Times New Roman"/>
          <w:szCs w:val="24"/>
        </w:rPr>
        <w:t>būtiski, lai pārejas process notiktu straujāk nekā tas process, kas saistīts ar konkurētspējas zaudēšanu zemo izmaksu sektoros.</w:t>
      </w:r>
    </w:p>
    <w:p w:rsidR="005E6A49" w:rsidRPr="00585F58" w:rsidRDefault="005E6A49" w:rsidP="005E6A49">
      <w:pPr>
        <w:spacing w:after="0" w:line="240" w:lineRule="auto"/>
        <w:ind w:firstLine="720"/>
        <w:jc w:val="both"/>
        <w:rPr>
          <w:rFonts w:cs="Times New Roman"/>
          <w:szCs w:val="24"/>
        </w:rPr>
      </w:pPr>
      <w:r w:rsidRPr="00585F58">
        <w:rPr>
          <w:rFonts w:cs="Times New Roman"/>
          <w:szCs w:val="24"/>
        </w:rPr>
        <w:t xml:space="preserve">Ņemot vērā makroekonomiskās tendences, minētie politikas plānošanas dokumenti par galveno prioritāti ekonomiskās politikas jomā izvirza ekonomikas ilgtspējīgas izaugsmes nodrošināšanu, sabalansējot tautsaimniecības struktūru un veicinot </w:t>
      </w:r>
      <w:r w:rsidR="00CD4C12" w:rsidRPr="00585F58">
        <w:rPr>
          <w:rFonts w:cs="Times New Roman"/>
          <w:szCs w:val="24"/>
        </w:rPr>
        <w:t>tirdzniecības</w:t>
      </w:r>
      <w:r w:rsidRPr="00585F58">
        <w:rPr>
          <w:rFonts w:cs="Times New Roman"/>
          <w:szCs w:val="24"/>
        </w:rPr>
        <w:t xml:space="preserve"> nozaru attīstību</w:t>
      </w:r>
      <w:r w:rsidR="005E582A" w:rsidRPr="00585F58">
        <w:rPr>
          <w:rFonts w:cs="Times New Roman"/>
          <w:szCs w:val="24"/>
        </w:rPr>
        <w:t>,</w:t>
      </w:r>
      <w:r w:rsidRPr="00585F58">
        <w:rPr>
          <w:rFonts w:cs="Times New Roman"/>
          <w:szCs w:val="24"/>
        </w:rPr>
        <w:t xml:space="preserve"> un ceļot produktivitāti.</w:t>
      </w:r>
    </w:p>
    <w:p w:rsidR="005E6A49" w:rsidRPr="00585F58" w:rsidRDefault="005E6A49" w:rsidP="005E6A49">
      <w:pPr>
        <w:spacing w:after="0" w:line="240" w:lineRule="auto"/>
        <w:ind w:firstLine="720"/>
        <w:jc w:val="both"/>
        <w:rPr>
          <w:rFonts w:cs="Times New Roman"/>
          <w:szCs w:val="24"/>
        </w:rPr>
      </w:pPr>
      <w:r w:rsidRPr="00585F58">
        <w:rPr>
          <w:rFonts w:cs="Times New Roman"/>
          <w:szCs w:val="24"/>
        </w:rPr>
        <w:t>NAP ekonomiskās politikas prioritātes „Tautas saimniecības” pamatā ir četri rīcības virzieni - augstražīga un eksportspējīga ražošana un starptautiski konkurētspējīgi pakalpojumi, izcila uzņēmējdarbības vide, attīstīta pētniecība, inovācija un augstākā izglītība, kā arī energoefektivitāte un enerģijas ražošana, kas cita starpā paredz uzdevumus arī nodokļu politikas īstenošanai, proti, pilnveidot nodokļu stimulu (atvieglojumu) sistēmu, lai atbalstītu jaunu produktu izstrādi un investīciju piesaisti uzņēmumu konkurētspējas stiprināšanai.</w:t>
      </w:r>
    </w:p>
    <w:p w:rsidR="005E6A49" w:rsidRPr="00585F58" w:rsidRDefault="005E6A49" w:rsidP="005E6A49">
      <w:pPr>
        <w:spacing w:after="0" w:line="240" w:lineRule="auto"/>
        <w:ind w:firstLine="720"/>
        <w:jc w:val="both"/>
        <w:rPr>
          <w:rFonts w:cs="Times New Roman"/>
          <w:szCs w:val="24"/>
        </w:rPr>
      </w:pPr>
      <w:r w:rsidRPr="00585F58">
        <w:rPr>
          <w:rFonts w:cs="Times New Roman"/>
          <w:szCs w:val="24"/>
        </w:rPr>
        <w:t>Latvijas ilgtspējīgas attīstības stratēģijas līdz 2030.gadam ekonomiskās politikas galvenā prioritāte ir inovatīvas un efektīvas ekonomikas izveide, izvirzot mērķi kļūt par vienu no ES līderiem inovatīvu un eksportējošu uzņēmumu izplatības ziņā. Minētā</w:t>
      </w:r>
      <w:r w:rsidR="00CD4C12" w:rsidRPr="00585F58">
        <w:rPr>
          <w:rFonts w:cs="Times New Roman"/>
          <w:szCs w:val="24"/>
        </w:rPr>
        <w:t>s</w:t>
      </w:r>
      <w:r w:rsidRPr="00585F58">
        <w:rPr>
          <w:rFonts w:cs="Times New Roman"/>
          <w:szCs w:val="24"/>
        </w:rPr>
        <w:t xml:space="preserve"> prioritātes viens no rīcības virzieniem ir inovatīvā uzņēmējdarbība, kura</w:t>
      </w:r>
      <w:r w:rsidR="00CD4C12" w:rsidRPr="00585F58">
        <w:rPr>
          <w:rFonts w:cs="Times New Roman"/>
          <w:szCs w:val="24"/>
        </w:rPr>
        <w:t>s</w:t>
      </w:r>
      <w:r w:rsidRPr="00585F58">
        <w:rPr>
          <w:rFonts w:cs="Times New Roman"/>
          <w:szCs w:val="24"/>
        </w:rPr>
        <w:t xml:space="preserve"> ietvaros kā iespējamie risinājumi tiek piedāvāti ne tikai riska kapitāla nozares attīstība, inovāciju obligāciju fondu un inovāciju iepirkumu programmas izveide, bet arī </w:t>
      </w:r>
      <w:r w:rsidR="00CD4C12" w:rsidRPr="00585F58">
        <w:rPr>
          <w:rFonts w:cs="Times New Roman"/>
          <w:szCs w:val="24"/>
        </w:rPr>
        <w:t>tiek paredzēts</w:t>
      </w:r>
      <w:r w:rsidRPr="00585F58">
        <w:rPr>
          <w:rFonts w:cs="Times New Roman"/>
          <w:szCs w:val="24"/>
        </w:rPr>
        <w:t xml:space="preserve"> </w:t>
      </w:r>
      <w:r w:rsidR="001915DD" w:rsidRPr="00585F58">
        <w:rPr>
          <w:rFonts w:cs="Times New Roman"/>
          <w:szCs w:val="24"/>
        </w:rPr>
        <w:t xml:space="preserve">izvērtēt iespēju </w:t>
      </w:r>
      <w:r w:rsidRPr="00585F58">
        <w:rPr>
          <w:rFonts w:cs="Times New Roman"/>
          <w:szCs w:val="24"/>
        </w:rPr>
        <w:t>ieviest P&amp;A nodokļu kredītus (atvieglojumus).</w:t>
      </w:r>
    </w:p>
    <w:p w:rsidR="005E6A49" w:rsidRPr="00585F58" w:rsidRDefault="005E6A49" w:rsidP="005E6A49">
      <w:pPr>
        <w:spacing w:after="0" w:line="240" w:lineRule="auto"/>
        <w:ind w:firstLine="720"/>
        <w:jc w:val="both"/>
        <w:rPr>
          <w:rFonts w:cs="Times New Roman"/>
          <w:szCs w:val="24"/>
        </w:rPr>
      </w:pPr>
      <w:r w:rsidRPr="00585F58">
        <w:rPr>
          <w:rFonts w:cs="Times New Roman"/>
          <w:szCs w:val="24"/>
        </w:rPr>
        <w:t>Latvijas nacionālās reformu programmas „</w:t>
      </w:r>
      <w:r w:rsidR="00CD4C12" w:rsidRPr="00585F58">
        <w:rPr>
          <w:rFonts w:cs="Times New Roman"/>
          <w:szCs w:val="24"/>
        </w:rPr>
        <w:t>ES 2020” stratēģijas īstenošanas</w:t>
      </w:r>
      <w:r w:rsidRPr="00585F58">
        <w:rPr>
          <w:rFonts w:cs="Times New Roman"/>
          <w:szCs w:val="24"/>
        </w:rPr>
        <w:t xml:space="preserve"> ietvaros par vienu no svarīgākajiem izaicinājumiem t</w:t>
      </w:r>
      <w:r w:rsidR="00CD4C12" w:rsidRPr="00585F58">
        <w:rPr>
          <w:rFonts w:cs="Times New Roman"/>
          <w:szCs w:val="24"/>
        </w:rPr>
        <w:t>iek noteikta</w:t>
      </w:r>
      <w:r w:rsidRPr="00585F58">
        <w:rPr>
          <w:rFonts w:cs="Times New Roman"/>
          <w:szCs w:val="24"/>
        </w:rPr>
        <w:t xml:space="preserve"> sabalansētas tautsaimniecības attīstības nodrošināšana, veicinot tirgojamo nozaru attīstību un ceļot produktivitāti. Par galvenajiem politikas virzieniem un pasākumiem Latvijas konkurēt</w:t>
      </w:r>
      <w:r w:rsidR="00CD4C12" w:rsidRPr="00585F58">
        <w:rPr>
          <w:rFonts w:cs="Times New Roman"/>
          <w:szCs w:val="24"/>
        </w:rPr>
        <w:t>spējas un eksporta veicināšanai tiek noteikts atbalsts</w:t>
      </w:r>
      <w:r w:rsidRPr="00585F58">
        <w:rPr>
          <w:rFonts w:cs="Times New Roman"/>
          <w:szCs w:val="24"/>
        </w:rPr>
        <w:t xml:space="preserve"> ārējo tirgu apgūšanai, </w:t>
      </w:r>
      <w:r w:rsidRPr="00585F58">
        <w:rPr>
          <w:rFonts w:cs="Times New Roman"/>
          <w:szCs w:val="24"/>
        </w:rPr>
        <w:lastRenderedPageBreak/>
        <w:t>ārvalstu tiešo investīciju piesaistīšana uz eksport</w:t>
      </w:r>
      <w:r w:rsidR="005E582A" w:rsidRPr="00585F58">
        <w:rPr>
          <w:rFonts w:cs="Times New Roman"/>
          <w:szCs w:val="24"/>
        </w:rPr>
        <w:t>u orientētām nozarēm, inovāciju</w:t>
      </w:r>
      <w:r w:rsidRPr="00585F58">
        <w:rPr>
          <w:rFonts w:cs="Times New Roman"/>
          <w:szCs w:val="24"/>
        </w:rPr>
        <w:t xml:space="preserve"> veicināšana, kvalitatīvas un konkurētspējīgas loģistikas un tranzītpakalpojumu infrastruktūras nodrošināšana, kā arī informācijas un komunikāciju tehnoloģiju attīstība un digitālā vienotā tirgus ieviešana.</w:t>
      </w:r>
    </w:p>
    <w:p w:rsidR="005E6A49" w:rsidRPr="00585F58" w:rsidRDefault="005E6A49" w:rsidP="005E6A49">
      <w:pPr>
        <w:spacing w:after="0" w:line="240" w:lineRule="auto"/>
        <w:ind w:firstLine="720"/>
        <w:jc w:val="both"/>
        <w:rPr>
          <w:rFonts w:cs="Times New Roman"/>
          <w:szCs w:val="24"/>
        </w:rPr>
      </w:pPr>
      <w:r w:rsidRPr="00585F58">
        <w:rPr>
          <w:rFonts w:cs="Times New Roman"/>
          <w:szCs w:val="24"/>
        </w:rPr>
        <w:t>Izvērtējot politikas plānošanas dokumentos noteiktās valsts prioritātes, var secināt, ka valsts rīcības virzieni vidējā termiņā ir jāorientē uz eksporta iespēju paplašināšanu, koncentrējot valsts sniegto atbalstu apstrādes rūpniecības nozarēm ar nozīmīgu ieguldījumu pievienotās vērtības un eksporta pieaugumā, vienlaikus ilgtermiņā veidojot zināšanu ietilpīg</w:t>
      </w:r>
      <w:r w:rsidR="00F17FB1" w:rsidRPr="00585F58">
        <w:rPr>
          <w:rFonts w:cs="Times New Roman"/>
          <w:szCs w:val="24"/>
        </w:rPr>
        <w:t>u ekonomiku</w:t>
      </w:r>
      <w:r w:rsidRPr="00585F58">
        <w:rPr>
          <w:rFonts w:cs="Times New Roman"/>
          <w:szCs w:val="24"/>
        </w:rPr>
        <w:t>, kurā izaugsmes bāze ir vērtību radīšana ar zināšanu palīdzību (inovācijas).</w:t>
      </w:r>
    </w:p>
    <w:p w:rsidR="005E6A49" w:rsidRPr="00585F58" w:rsidRDefault="005E6A49" w:rsidP="005E6A49">
      <w:pPr>
        <w:spacing w:after="0" w:line="240" w:lineRule="auto"/>
        <w:ind w:firstLine="720"/>
        <w:jc w:val="both"/>
        <w:rPr>
          <w:rFonts w:cs="Times New Roman"/>
          <w:szCs w:val="24"/>
        </w:rPr>
      </w:pPr>
    </w:p>
    <w:p w:rsidR="00B17AAF" w:rsidRPr="00585F58" w:rsidRDefault="00B17AAF" w:rsidP="005E6A49">
      <w:pPr>
        <w:spacing w:after="0" w:line="240" w:lineRule="auto"/>
        <w:ind w:firstLine="720"/>
        <w:jc w:val="both"/>
        <w:rPr>
          <w:rFonts w:cs="Times New Roman"/>
          <w:szCs w:val="24"/>
        </w:rPr>
      </w:pPr>
    </w:p>
    <w:p w:rsidR="000E3B2B" w:rsidRPr="00585F58" w:rsidRDefault="000E3B2B" w:rsidP="001327C6">
      <w:pPr>
        <w:pStyle w:val="ListParagraph"/>
        <w:numPr>
          <w:ilvl w:val="0"/>
          <w:numId w:val="4"/>
        </w:numPr>
        <w:spacing w:line="20" w:lineRule="atLeast"/>
        <w:jc w:val="both"/>
        <w:rPr>
          <w:rFonts w:cs="Times New Roman"/>
          <w:b/>
          <w:sz w:val="28"/>
          <w:szCs w:val="28"/>
          <w:u w:val="single"/>
        </w:rPr>
      </w:pPr>
      <w:r w:rsidRPr="00585F58">
        <w:rPr>
          <w:rFonts w:cs="Times New Roman"/>
          <w:b/>
          <w:sz w:val="28"/>
          <w:szCs w:val="28"/>
          <w:u w:val="single"/>
        </w:rPr>
        <w:t xml:space="preserve">Atvieglojums ražošanas veicināšanai, iegādājoties jaunas ražošanas tehnoloģiskās iekārtas </w:t>
      </w:r>
    </w:p>
    <w:p w:rsidR="00A3094D" w:rsidRPr="00585F58" w:rsidRDefault="00A3094D" w:rsidP="000E3B2B">
      <w:pPr>
        <w:spacing w:after="120" w:line="240" w:lineRule="auto"/>
        <w:jc w:val="both"/>
        <w:rPr>
          <w:rFonts w:cs="Times New Roman"/>
          <w:i/>
          <w:szCs w:val="24"/>
          <w:u w:val="single"/>
        </w:rPr>
      </w:pPr>
      <w:r w:rsidRPr="00585F58">
        <w:rPr>
          <w:rFonts w:cs="Times New Roman"/>
          <w:i/>
          <w:szCs w:val="24"/>
          <w:u w:val="single"/>
        </w:rPr>
        <w:t>Atvieglojums ražošanas veicināšanai, iegādājoties jaunas ražošanas tehnoloģiskās iekārtas (likuma „Par uzņēmumu ienākuma nodokli” 13.panta 1.</w:t>
      </w:r>
      <w:r w:rsidRPr="00585F58">
        <w:rPr>
          <w:rFonts w:cs="Times New Roman"/>
          <w:i/>
          <w:szCs w:val="24"/>
          <w:u w:val="single"/>
          <w:vertAlign w:val="superscript"/>
        </w:rPr>
        <w:t>1</w:t>
      </w:r>
      <w:r w:rsidRPr="00585F58">
        <w:rPr>
          <w:rFonts w:cs="Times New Roman"/>
          <w:i/>
          <w:szCs w:val="24"/>
          <w:u w:val="single"/>
        </w:rPr>
        <w:t xml:space="preserve"> daļa)</w:t>
      </w:r>
    </w:p>
    <w:p w:rsidR="00A3094D" w:rsidRPr="00585F58" w:rsidRDefault="00CD4C12" w:rsidP="00A3094D">
      <w:pPr>
        <w:spacing w:after="0" w:line="240" w:lineRule="auto"/>
        <w:ind w:firstLine="720"/>
        <w:jc w:val="both"/>
        <w:rPr>
          <w:rFonts w:cs="Times New Roman"/>
          <w:szCs w:val="24"/>
        </w:rPr>
      </w:pPr>
      <w:r w:rsidRPr="00585F58">
        <w:rPr>
          <w:rFonts w:cs="Times New Roman"/>
          <w:szCs w:val="24"/>
        </w:rPr>
        <w:t>L</w:t>
      </w:r>
      <w:r w:rsidR="00A3094D" w:rsidRPr="00585F58">
        <w:rPr>
          <w:rFonts w:cs="Times New Roman"/>
          <w:szCs w:val="24"/>
        </w:rPr>
        <w:t xml:space="preserve">ai veicinātu investīcijas jaunu ražošanas tehnoloģisko iekārtu iegādē, </w:t>
      </w:r>
      <w:r w:rsidRPr="00585F58">
        <w:rPr>
          <w:rFonts w:cs="Times New Roman"/>
          <w:szCs w:val="24"/>
        </w:rPr>
        <w:t xml:space="preserve">2006.gada 1.janvārī </w:t>
      </w:r>
      <w:r w:rsidR="00A3094D" w:rsidRPr="00585F58">
        <w:rPr>
          <w:rFonts w:cs="Times New Roman"/>
          <w:szCs w:val="24"/>
        </w:rPr>
        <w:t>tika ieviesta īpaša kārtība jaunu tehnoloģisko iekārtu nolietojuma norakstīšanai, pamatlīdzekļu iegādes vērtību reizinot ar koeficientu 1,5. Atb</w:t>
      </w:r>
      <w:r w:rsidR="007D387B" w:rsidRPr="00585F58">
        <w:rPr>
          <w:rFonts w:cs="Times New Roman"/>
          <w:szCs w:val="24"/>
        </w:rPr>
        <w:t>ilstoši šī atvieglojuma būtībai</w:t>
      </w:r>
      <w:r w:rsidR="005E582A" w:rsidRPr="00585F58">
        <w:rPr>
          <w:rFonts w:cs="Times New Roman"/>
          <w:szCs w:val="24"/>
        </w:rPr>
        <w:t>,</w:t>
      </w:r>
      <w:r w:rsidR="00A3094D" w:rsidRPr="00585F58">
        <w:rPr>
          <w:rFonts w:cs="Times New Roman"/>
          <w:szCs w:val="24"/>
        </w:rPr>
        <w:t xml:space="preserve"> personām, kuras iegādājas jaunas ražošanas tehnoloģiskās iekārtas</w:t>
      </w:r>
      <w:r w:rsidR="00B0199A" w:rsidRPr="00585F58">
        <w:rPr>
          <w:rFonts w:cs="Times New Roman"/>
          <w:szCs w:val="24"/>
        </w:rPr>
        <w:t xml:space="preserve"> vai izveidojot tās</w:t>
      </w:r>
      <w:r w:rsidR="00A3094D" w:rsidRPr="00585F58">
        <w:rPr>
          <w:rFonts w:cs="Times New Roman"/>
          <w:szCs w:val="24"/>
        </w:rPr>
        <w:t>, ir tiesības piemērot pamatlīdzekļa vērtību palielinošu koeficientu 1,5, palielinot pamatlīdzekļu vērtību, no kuras aprēķina nolietojumu nodokļa aprēķinam (rezultātā persona apliekamā ienākuma noteikšanai izdevumos iekļauj pusotru reizi lielākus izdevumus nekā faktiskie izdevumi</w:t>
      </w:r>
      <w:r w:rsidR="005E582A" w:rsidRPr="00585F58">
        <w:rPr>
          <w:rFonts w:cs="Times New Roman"/>
          <w:szCs w:val="24"/>
        </w:rPr>
        <w:t>,</w:t>
      </w:r>
      <w:r w:rsidR="00A3094D" w:rsidRPr="00585F58">
        <w:rPr>
          <w:rFonts w:cs="Times New Roman"/>
          <w:szCs w:val="24"/>
        </w:rPr>
        <w:t xml:space="preserve"> </w:t>
      </w:r>
      <w:r w:rsidR="00F17FB1" w:rsidRPr="00585F58">
        <w:rPr>
          <w:rFonts w:cs="Times New Roman"/>
          <w:szCs w:val="24"/>
        </w:rPr>
        <w:t xml:space="preserve">iegādājoties </w:t>
      </w:r>
      <w:r w:rsidR="00A3094D" w:rsidRPr="00585F58">
        <w:rPr>
          <w:rFonts w:cs="Times New Roman"/>
          <w:szCs w:val="24"/>
        </w:rPr>
        <w:t xml:space="preserve">šādu pamatlīdzekli), tādējādi pamatlīdzekļu nolietojumā noraksta ievērojami lielāku vērtību nekā pamatlīdzekļa iegādes izmaksas. Minētais atvieglojums sākotnēji tika </w:t>
      </w:r>
      <w:r w:rsidR="005E582A" w:rsidRPr="00585F58">
        <w:rPr>
          <w:rFonts w:cs="Times New Roman"/>
          <w:szCs w:val="24"/>
        </w:rPr>
        <w:t>noteikts</w:t>
      </w:r>
      <w:r w:rsidR="00A3094D" w:rsidRPr="00585F58">
        <w:rPr>
          <w:rFonts w:cs="Times New Roman"/>
          <w:szCs w:val="24"/>
        </w:rPr>
        <w:t xml:space="preserve"> uz pieciem gadiem, turklāt, ņemot vērā mērķi veicināt investīciju straujāku pieaugumu, palielinājuma koeficients katru gadu samazinājās par 0,1, proti 2007.gadā pamatlīdzekļa vērtību palielinošais koeficients bija 1,4, savukārt 2008.gada – 1,3. 2009.gadā tika nolemts pagarināt atvieglojuma piemērošanas laiku līdz 2013.gadam, turpmākos gadus nosakot nemainīgu </w:t>
      </w:r>
      <w:r w:rsidRPr="00585F58">
        <w:rPr>
          <w:rFonts w:cs="Times New Roman"/>
          <w:szCs w:val="24"/>
        </w:rPr>
        <w:t xml:space="preserve">koeficientu </w:t>
      </w:r>
      <w:r w:rsidR="00A3094D" w:rsidRPr="00585F58">
        <w:rPr>
          <w:rFonts w:cs="Times New Roman"/>
          <w:szCs w:val="24"/>
        </w:rPr>
        <w:t>– 1,5.</w:t>
      </w:r>
    </w:p>
    <w:p w:rsidR="00A3094D" w:rsidRPr="00585F58" w:rsidRDefault="00A3094D" w:rsidP="00A3094D">
      <w:pPr>
        <w:pStyle w:val="ListParagraph"/>
        <w:spacing w:after="0" w:line="20" w:lineRule="atLeast"/>
        <w:ind w:left="0" w:firstLine="567"/>
        <w:jc w:val="both"/>
        <w:rPr>
          <w:rFonts w:cs="Times New Roman"/>
          <w:szCs w:val="24"/>
        </w:rPr>
      </w:pPr>
      <w:r w:rsidRPr="00585F58">
        <w:rPr>
          <w:rFonts w:cs="Times New Roman"/>
          <w:szCs w:val="24"/>
        </w:rPr>
        <w:t>Atvieglojums ražošanas veicināšanai, iegādājoties jaunas ražošanas tehnoloģiskās iekārtas</w:t>
      </w:r>
      <w:r w:rsidR="005E582A" w:rsidRPr="00585F58">
        <w:rPr>
          <w:rFonts w:cs="Times New Roman"/>
          <w:szCs w:val="24"/>
        </w:rPr>
        <w:t>,</w:t>
      </w:r>
      <w:r w:rsidRPr="00585F58">
        <w:rPr>
          <w:rFonts w:cs="Times New Roman"/>
          <w:szCs w:val="24"/>
        </w:rPr>
        <w:t xml:space="preserve"> ir vērsts uz ražošanas efektivitātes un produktivitātes paaugstināšanu un P&amp;A rezultātu pārnesi, jo piemērojams tikai jaunām ražošanas iekārtām. Nodokļa atvieglojuma gada fiskālā ietekme svārstās no aptuveni -</w:t>
      </w:r>
      <w:r w:rsidR="00265455" w:rsidRPr="00585F58">
        <w:rPr>
          <w:rFonts w:cs="Times New Roman"/>
          <w:szCs w:val="24"/>
        </w:rPr>
        <w:t>12,9</w:t>
      </w:r>
      <w:r w:rsidRPr="00585F58">
        <w:rPr>
          <w:rFonts w:cs="Times New Roman"/>
          <w:szCs w:val="24"/>
        </w:rPr>
        <w:t xml:space="preserve"> </w:t>
      </w:r>
      <w:proofErr w:type="spellStart"/>
      <w:r w:rsidRPr="00585F58">
        <w:rPr>
          <w:rFonts w:cs="Times New Roman"/>
          <w:szCs w:val="24"/>
        </w:rPr>
        <w:t>milj</w:t>
      </w:r>
      <w:proofErr w:type="spellEnd"/>
      <w:r w:rsidRPr="00585F58">
        <w:rPr>
          <w:rFonts w:cs="Times New Roman"/>
          <w:szCs w:val="24"/>
        </w:rPr>
        <w:t xml:space="preserve">. latu 2007.gadā līdz -25,8 </w:t>
      </w:r>
      <w:proofErr w:type="spellStart"/>
      <w:r w:rsidRPr="00585F58">
        <w:rPr>
          <w:rFonts w:cs="Times New Roman"/>
          <w:szCs w:val="24"/>
        </w:rPr>
        <w:t>milj</w:t>
      </w:r>
      <w:proofErr w:type="spellEnd"/>
      <w:r w:rsidRPr="00585F58">
        <w:rPr>
          <w:rFonts w:cs="Times New Roman"/>
          <w:szCs w:val="24"/>
        </w:rPr>
        <w:t>. latu 2008.gadā, kas liecina par tā plašu izmantošanu. Vienlaikus, analizējot datus par minētā atvieglojuma fiskālo ietekmi (</w:t>
      </w:r>
      <w:r w:rsidR="00D27CB9" w:rsidRPr="00585F58">
        <w:rPr>
          <w:rFonts w:cs="Times New Roman"/>
          <w:szCs w:val="24"/>
        </w:rPr>
        <w:t>5</w:t>
      </w:r>
      <w:r w:rsidRPr="00585F58">
        <w:rPr>
          <w:rFonts w:cs="Times New Roman"/>
          <w:szCs w:val="24"/>
        </w:rPr>
        <w:t>.att.), jāatzīmē tā apjoma svārstības ekonom</w:t>
      </w:r>
      <w:r w:rsidR="005E582A" w:rsidRPr="00585F58">
        <w:rPr>
          <w:rFonts w:cs="Times New Roman"/>
          <w:szCs w:val="24"/>
        </w:rPr>
        <w:t>iskās krīzes ietekmē un elastība</w:t>
      </w:r>
      <w:r w:rsidRPr="00585F58">
        <w:rPr>
          <w:rFonts w:cs="Times New Roman"/>
          <w:szCs w:val="24"/>
        </w:rPr>
        <w:t xml:space="preserve"> reaģēt uz ekonomikas struktūras izmaiņām.</w:t>
      </w:r>
    </w:p>
    <w:p w:rsidR="00A3094D" w:rsidRPr="00585F58" w:rsidRDefault="00A3094D" w:rsidP="00A3094D">
      <w:pPr>
        <w:spacing w:after="0" w:line="240" w:lineRule="auto"/>
        <w:ind w:left="360"/>
        <w:jc w:val="both"/>
        <w:rPr>
          <w:rFonts w:cs="Times New Roman"/>
          <w:sz w:val="22"/>
        </w:rPr>
      </w:pPr>
    </w:p>
    <w:p w:rsidR="00A3094D" w:rsidRPr="00585F58" w:rsidRDefault="00E5639E" w:rsidP="00A3094D">
      <w:pPr>
        <w:spacing w:after="0" w:line="240" w:lineRule="auto"/>
        <w:ind w:left="360"/>
        <w:jc w:val="center"/>
        <w:rPr>
          <w:rFonts w:cs="Times New Roman"/>
          <w:sz w:val="22"/>
        </w:rPr>
      </w:pPr>
      <w:r w:rsidRPr="00585F58">
        <w:rPr>
          <w:rFonts w:cs="Times New Roman"/>
          <w:noProof/>
          <w:lang w:eastAsia="lv-LV"/>
        </w:rPr>
        <w:lastRenderedPageBreak/>
        <w:drawing>
          <wp:inline distT="0" distB="0" distL="0" distR="0" wp14:anchorId="2D61E7E4" wp14:editId="2009E5B4">
            <wp:extent cx="4694830" cy="2456597"/>
            <wp:effectExtent l="0" t="0" r="0" b="12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094D" w:rsidRPr="00585F58" w:rsidRDefault="00A3094D" w:rsidP="00A3094D">
      <w:pPr>
        <w:spacing w:after="0" w:line="240" w:lineRule="auto"/>
        <w:ind w:left="360"/>
        <w:jc w:val="both"/>
        <w:rPr>
          <w:rFonts w:cs="Times New Roman"/>
          <w:sz w:val="22"/>
        </w:rPr>
      </w:pPr>
    </w:p>
    <w:p w:rsidR="00A3094D" w:rsidRPr="00585F58" w:rsidRDefault="00A3094D" w:rsidP="00A3094D">
      <w:pPr>
        <w:spacing w:after="0" w:line="240" w:lineRule="auto"/>
        <w:ind w:left="360"/>
        <w:jc w:val="both"/>
        <w:rPr>
          <w:rFonts w:cs="Times New Roman"/>
          <w:szCs w:val="24"/>
        </w:rPr>
      </w:pPr>
      <w:r w:rsidRPr="00585F58">
        <w:rPr>
          <w:rFonts w:cs="Times New Roman"/>
          <w:szCs w:val="24"/>
        </w:rPr>
        <w:t>Dati: V</w:t>
      </w:r>
      <w:r w:rsidR="001E7475">
        <w:rPr>
          <w:rFonts w:cs="Times New Roman"/>
          <w:szCs w:val="24"/>
        </w:rPr>
        <w:t>ID</w:t>
      </w:r>
    </w:p>
    <w:p w:rsidR="00A3094D" w:rsidRPr="00585F58" w:rsidRDefault="00D27CB9" w:rsidP="00A3094D">
      <w:pPr>
        <w:spacing w:line="20" w:lineRule="atLeast"/>
        <w:jc w:val="both"/>
        <w:rPr>
          <w:rFonts w:cs="Times New Roman"/>
        </w:rPr>
      </w:pPr>
      <w:r w:rsidRPr="00585F58">
        <w:rPr>
          <w:rFonts w:cs="Times New Roman"/>
          <w:b/>
        </w:rPr>
        <w:t>5</w:t>
      </w:r>
      <w:r w:rsidR="00A3094D" w:rsidRPr="00585F58">
        <w:rPr>
          <w:rFonts w:cs="Times New Roman"/>
          <w:b/>
        </w:rPr>
        <w:t xml:space="preserve">.att. Fiskālā ietekme </w:t>
      </w:r>
      <w:r w:rsidR="005E582A" w:rsidRPr="00585F58">
        <w:rPr>
          <w:rFonts w:cs="Times New Roman"/>
          <w:b/>
        </w:rPr>
        <w:t xml:space="preserve">UIN </w:t>
      </w:r>
      <w:r w:rsidR="00A3094D" w:rsidRPr="00585F58">
        <w:rPr>
          <w:rFonts w:cs="Times New Roman"/>
          <w:b/>
        </w:rPr>
        <w:t>atvieglojumam, iegādājoties jaunas ražošanas tehnoloģiskās iekārtas (2007. – 2011.gadā)</w:t>
      </w:r>
      <w:r w:rsidR="00E5639E" w:rsidRPr="00585F58">
        <w:rPr>
          <w:rFonts w:cs="Times New Roman"/>
          <w:b/>
        </w:rPr>
        <w:t xml:space="preserve">, </w:t>
      </w:r>
      <w:proofErr w:type="spellStart"/>
      <w:r w:rsidR="00E5639E" w:rsidRPr="00585F58">
        <w:rPr>
          <w:rFonts w:cs="Times New Roman"/>
          <w:b/>
        </w:rPr>
        <w:t>milj.Ls</w:t>
      </w:r>
      <w:proofErr w:type="spellEnd"/>
      <w:r w:rsidR="00A3094D" w:rsidRPr="00585F58">
        <w:rPr>
          <w:rFonts w:cs="Times New Roman"/>
          <w:b/>
        </w:rPr>
        <w:t xml:space="preserve"> </w:t>
      </w:r>
      <w:r w:rsidR="001E7475">
        <w:rPr>
          <w:rFonts w:cs="Times New Roman"/>
          <w:b/>
        </w:rPr>
        <w:t>(</w:t>
      </w:r>
      <w:r w:rsidR="001E7475" w:rsidRPr="00585F58">
        <w:rPr>
          <w:rFonts w:cs="Times New Roman"/>
          <w:b/>
        </w:rPr>
        <w:t>FM aprēķini</w:t>
      </w:r>
      <w:r w:rsidR="001E7475">
        <w:rPr>
          <w:rFonts w:cs="Times New Roman"/>
          <w:b/>
        </w:rPr>
        <w:t xml:space="preserve"> un VID dati)</w:t>
      </w:r>
      <w:r w:rsidR="00A3094D" w:rsidRPr="00585F58">
        <w:rPr>
          <w:rFonts w:cs="Times New Roman"/>
          <w:b/>
        </w:rPr>
        <w:t>.</w:t>
      </w:r>
    </w:p>
    <w:p w:rsidR="00A3094D" w:rsidRPr="00585F58" w:rsidRDefault="00A3094D" w:rsidP="00905E7B">
      <w:pPr>
        <w:spacing w:after="0" w:line="240" w:lineRule="auto"/>
        <w:ind w:firstLine="720"/>
        <w:jc w:val="both"/>
        <w:rPr>
          <w:rFonts w:cs="Times New Roman"/>
          <w:szCs w:val="24"/>
        </w:rPr>
      </w:pPr>
      <w:r w:rsidRPr="00585F58">
        <w:rPr>
          <w:rFonts w:cs="Times New Roman"/>
          <w:szCs w:val="24"/>
        </w:rPr>
        <w:t>Sask</w:t>
      </w:r>
      <w:r w:rsidR="001E7475">
        <w:rPr>
          <w:rFonts w:cs="Times New Roman"/>
          <w:szCs w:val="24"/>
        </w:rPr>
        <w:t>aņā ar Valsts ieņēmumu dienesta</w:t>
      </w:r>
      <w:r w:rsidR="00265455" w:rsidRPr="00585F58">
        <w:rPr>
          <w:rFonts w:cs="Times New Roman"/>
          <w:szCs w:val="24"/>
        </w:rPr>
        <w:t xml:space="preserve"> </w:t>
      </w:r>
      <w:r w:rsidRPr="00585F58">
        <w:rPr>
          <w:rFonts w:cs="Times New Roman"/>
          <w:szCs w:val="24"/>
        </w:rPr>
        <w:t>sniegtajiem datiem, atvieglojum</w:t>
      </w:r>
      <w:r w:rsidR="00F17FB1" w:rsidRPr="00585F58">
        <w:rPr>
          <w:rFonts w:cs="Times New Roman"/>
          <w:szCs w:val="24"/>
        </w:rPr>
        <w:t>u</w:t>
      </w:r>
      <w:r w:rsidRPr="00585F58">
        <w:rPr>
          <w:rFonts w:cs="Times New Roman"/>
          <w:szCs w:val="24"/>
        </w:rPr>
        <w:t xml:space="preserve"> par jaunām ražošanas tehnoloģiskaj</w:t>
      </w:r>
      <w:r w:rsidR="00905E7B">
        <w:rPr>
          <w:rFonts w:cs="Times New Roman"/>
          <w:szCs w:val="24"/>
        </w:rPr>
        <w:t xml:space="preserve">ām iekārtām 2011.gadā izmantoja    </w:t>
      </w:r>
      <w:r w:rsidRPr="00585F58">
        <w:rPr>
          <w:rFonts w:cs="Times New Roman"/>
          <w:szCs w:val="24"/>
        </w:rPr>
        <w:t>1</w:t>
      </w:r>
      <w:r w:rsidR="005E582A" w:rsidRPr="00585F58">
        <w:rPr>
          <w:rFonts w:cs="Times New Roman"/>
          <w:szCs w:val="24"/>
        </w:rPr>
        <w:t xml:space="preserve"> </w:t>
      </w:r>
      <w:r w:rsidRPr="00585F58">
        <w:rPr>
          <w:rFonts w:cs="Times New Roman"/>
          <w:szCs w:val="24"/>
        </w:rPr>
        <w:t xml:space="preserve">068 uzņēmumi, veidojot fiskālo ietekmi -15,8 </w:t>
      </w:r>
      <w:proofErr w:type="spellStart"/>
      <w:r w:rsidRPr="00585F58">
        <w:rPr>
          <w:rFonts w:cs="Times New Roman"/>
          <w:szCs w:val="24"/>
        </w:rPr>
        <w:t>milj</w:t>
      </w:r>
      <w:proofErr w:type="spellEnd"/>
      <w:r w:rsidRPr="00585F58">
        <w:rPr>
          <w:rFonts w:cs="Times New Roman"/>
          <w:szCs w:val="24"/>
        </w:rPr>
        <w:t>. latu apmērā</w:t>
      </w:r>
      <w:r w:rsidR="00ED6F0C" w:rsidRPr="00585F58">
        <w:rPr>
          <w:rFonts w:cs="Times New Roman"/>
          <w:szCs w:val="24"/>
        </w:rPr>
        <w:t xml:space="preserve"> (6.att.)</w:t>
      </w:r>
      <w:r w:rsidRPr="00585F58">
        <w:rPr>
          <w:rFonts w:cs="Times New Roman"/>
          <w:szCs w:val="24"/>
        </w:rPr>
        <w:t xml:space="preserve">. </w:t>
      </w:r>
      <w:r w:rsidR="00F17FB1" w:rsidRPr="00585F58">
        <w:rPr>
          <w:rFonts w:cs="Times New Roman"/>
          <w:szCs w:val="24"/>
        </w:rPr>
        <w:t>Lai novērtētu</w:t>
      </w:r>
      <w:r w:rsidRPr="00585F58">
        <w:rPr>
          <w:rFonts w:cs="Times New Roman"/>
          <w:szCs w:val="24"/>
        </w:rPr>
        <w:t xml:space="preserve"> atvieglojuma efektivitāti, </w:t>
      </w:r>
      <w:r w:rsidR="007E7F48" w:rsidRPr="00585F58">
        <w:rPr>
          <w:rFonts w:cs="Times New Roman"/>
          <w:szCs w:val="24"/>
        </w:rPr>
        <w:t xml:space="preserve">ir lietderīgi </w:t>
      </w:r>
      <w:r w:rsidRPr="00585F58">
        <w:rPr>
          <w:rFonts w:cs="Times New Roman"/>
          <w:szCs w:val="24"/>
        </w:rPr>
        <w:t>izvērtēt faktisko atbalsta saņēmēju grupu.</w:t>
      </w:r>
    </w:p>
    <w:p w:rsidR="00A3094D" w:rsidRPr="00585F58" w:rsidRDefault="00265455" w:rsidP="00A3094D">
      <w:pPr>
        <w:spacing w:after="0" w:line="240" w:lineRule="auto"/>
        <w:ind w:firstLine="720"/>
        <w:jc w:val="both"/>
        <w:rPr>
          <w:rFonts w:cs="Times New Roman"/>
          <w:szCs w:val="24"/>
        </w:rPr>
      </w:pPr>
      <w:r w:rsidRPr="00585F58">
        <w:rPr>
          <w:rFonts w:cs="Times New Roman"/>
          <w:szCs w:val="24"/>
        </w:rPr>
        <w:t>VID</w:t>
      </w:r>
      <w:r w:rsidR="00A3094D" w:rsidRPr="00585F58">
        <w:rPr>
          <w:rFonts w:cs="Times New Roman"/>
          <w:szCs w:val="24"/>
        </w:rPr>
        <w:t xml:space="preserve"> dati no UIN deklarācijām par 2011.gadu liecina, ka kopējā gada pārskatā norādītā pamatlīdzekļu nolietojuma summa jaunām ražošanas tehnoloģiskajām iekārtām, kurām nodokļu maksātājs ir piemērojis palielinošo koeficientu 1,5, ir 62,8 </w:t>
      </w:r>
      <w:proofErr w:type="spellStart"/>
      <w:r w:rsidR="00A3094D" w:rsidRPr="00585F58">
        <w:rPr>
          <w:rFonts w:cs="Times New Roman"/>
          <w:szCs w:val="24"/>
        </w:rPr>
        <w:t>milj</w:t>
      </w:r>
      <w:proofErr w:type="spellEnd"/>
      <w:r w:rsidR="00A3094D" w:rsidRPr="00585F58">
        <w:rPr>
          <w:rFonts w:cs="Times New Roman"/>
          <w:szCs w:val="24"/>
        </w:rPr>
        <w:t xml:space="preserve">. latu. Analizējot datus par </w:t>
      </w:r>
      <w:r w:rsidR="00F36D1C" w:rsidRPr="00585F58">
        <w:rPr>
          <w:rFonts w:cs="Times New Roman"/>
          <w:szCs w:val="24"/>
        </w:rPr>
        <w:t>atlaides izmantotājiem</w:t>
      </w:r>
      <w:r w:rsidR="00A3094D" w:rsidRPr="00585F58">
        <w:rPr>
          <w:rFonts w:cs="Times New Roman"/>
          <w:szCs w:val="24"/>
        </w:rPr>
        <w:t>, var secināt, ka aptuveni pus</w:t>
      </w:r>
      <w:r w:rsidR="00F17FB1" w:rsidRPr="00585F58">
        <w:rPr>
          <w:rFonts w:cs="Times New Roman"/>
          <w:szCs w:val="24"/>
        </w:rPr>
        <w:t>i</w:t>
      </w:r>
      <w:r w:rsidR="00A3094D" w:rsidRPr="00585F58">
        <w:rPr>
          <w:rFonts w:cs="Times New Roman"/>
          <w:szCs w:val="24"/>
        </w:rPr>
        <w:t xml:space="preserve"> no minētā atvieglojuma apjoma (51%) ir izmantojuši uzņēmumi, kas darbojās apstrādes rūpniecības nozarē, </w:t>
      </w:r>
      <w:r w:rsidR="00F36D1C" w:rsidRPr="00585F58">
        <w:rPr>
          <w:rFonts w:cs="Times New Roman"/>
          <w:szCs w:val="24"/>
        </w:rPr>
        <w:t xml:space="preserve">maksājamais UIN ir samazināts par </w:t>
      </w:r>
      <w:r w:rsidR="00A3094D" w:rsidRPr="00585F58">
        <w:rPr>
          <w:rFonts w:cs="Times New Roman"/>
          <w:szCs w:val="24"/>
        </w:rPr>
        <w:t xml:space="preserve">apmēram 8 </w:t>
      </w:r>
      <w:proofErr w:type="spellStart"/>
      <w:r w:rsidR="00A3094D" w:rsidRPr="00585F58">
        <w:rPr>
          <w:rFonts w:cs="Times New Roman"/>
          <w:szCs w:val="24"/>
        </w:rPr>
        <w:t>milj</w:t>
      </w:r>
      <w:proofErr w:type="spellEnd"/>
      <w:r w:rsidR="00A3094D" w:rsidRPr="00585F58">
        <w:rPr>
          <w:rFonts w:cs="Times New Roman"/>
          <w:szCs w:val="24"/>
        </w:rPr>
        <w:t xml:space="preserve">. latu. Aptuveni 20,2% jeb 3,2 </w:t>
      </w:r>
      <w:proofErr w:type="spellStart"/>
      <w:r w:rsidR="00A3094D" w:rsidRPr="00585F58">
        <w:rPr>
          <w:rFonts w:cs="Times New Roman"/>
          <w:szCs w:val="24"/>
        </w:rPr>
        <w:t>milj</w:t>
      </w:r>
      <w:proofErr w:type="spellEnd"/>
      <w:r w:rsidR="00A3094D" w:rsidRPr="00585F58">
        <w:rPr>
          <w:rFonts w:cs="Times New Roman"/>
          <w:szCs w:val="24"/>
        </w:rPr>
        <w:t>. latu no minētā atvieglojuma apjoma ir izmantojuši uzņēmumi, kas darbojas el</w:t>
      </w:r>
      <w:r w:rsidR="007E7F48" w:rsidRPr="00585F58">
        <w:rPr>
          <w:rFonts w:cs="Times New Roman"/>
          <w:szCs w:val="24"/>
        </w:rPr>
        <w:t>ektroenerģijas ražošanas nozarē,</w:t>
      </w:r>
      <w:r w:rsidR="00A3094D" w:rsidRPr="00585F58">
        <w:rPr>
          <w:rFonts w:cs="Times New Roman"/>
          <w:szCs w:val="24"/>
        </w:rPr>
        <w:t xml:space="preserve"> </w:t>
      </w:r>
      <w:r w:rsidR="007E7F48" w:rsidRPr="00585F58">
        <w:rPr>
          <w:rFonts w:cs="Times New Roman"/>
          <w:szCs w:val="24"/>
        </w:rPr>
        <w:t>p</w:t>
      </w:r>
      <w:r w:rsidR="00F36D1C" w:rsidRPr="00585F58">
        <w:rPr>
          <w:rFonts w:cs="Times New Roman"/>
          <w:szCs w:val="24"/>
        </w:rPr>
        <w:t>ārējās atvieglojum</w:t>
      </w:r>
      <w:r w:rsidR="007E7F48" w:rsidRPr="00585F58">
        <w:rPr>
          <w:rFonts w:cs="Times New Roman"/>
          <w:szCs w:val="24"/>
        </w:rPr>
        <w:t>u piemēroju</w:t>
      </w:r>
      <w:r w:rsidR="00F36D1C" w:rsidRPr="00585F58">
        <w:rPr>
          <w:rFonts w:cs="Times New Roman"/>
          <w:szCs w:val="24"/>
        </w:rPr>
        <w:t xml:space="preserve">šās </w:t>
      </w:r>
      <w:r w:rsidR="00A3094D" w:rsidRPr="00585F58">
        <w:rPr>
          <w:rFonts w:cs="Times New Roman"/>
          <w:szCs w:val="24"/>
        </w:rPr>
        <w:t>nozares ir būvniecība (6,6%) un tirdzniecība (5,4%).</w:t>
      </w:r>
    </w:p>
    <w:p w:rsidR="00A3094D" w:rsidRPr="00585F58" w:rsidRDefault="00A3094D" w:rsidP="00A3094D">
      <w:pPr>
        <w:spacing w:after="0" w:line="240" w:lineRule="auto"/>
        <w:ind w:firstLine="720"/>
        <w:jc w:val="both"/>
        <w:rPr>
          <w:rFonts w:cs="Times New Roman"/>
          <w:szCs w:val="24"/>
        </w:rPr>
      </w:pPr>
      <w:r w:rsidRPr="00585F58">
        <w:rPr>
          <w:rFonts w:cs="Times New Roman"/>
          <w:szCs w:val="24"/>
        </w:rPr>
        <w:t>Saskaņā ar Ekonomikas ministrijas aprēķiniem</w:t>
      </w:r>
      <w:r w:rsidR="006C6E84" w:rsidRPr="00585F58">
        <w:rPr>
          <w:rFonts w:cs="Times New Roman"/>
          <w:szCs w:val="24"/>
        </w:rPr>
        <w:t xml:space="preserve">, kas balstīti uz </w:t>
      </w:r>
      <w:proofErr w:type="spellStart"/>
      <w:r w:rsidR="006C6E84" w:rsidRPr="00585F58">
        <w:rPr>
          <w:rFonts w:cs="Times New Roman"/>
          <w:szCs w:val="24"/>
        </w:rPr>
        <w:t>Eurostat</w:t>
      </w:r>
      <w:proofErr w:type="spellEnd"/>
      <w:r w:rsidR="006C6E84" w:rsidRPr="00585F58">
        <w:rPr>
          <w:rFonts w:cs="Times New Roman"/>
          <w:szCs w:val="24"/>
        </w:rPr>
        <w:t xml:space="preserve"> </w:t>
      </w:r>
      <w:r w:rsidRPr="00585F58">
        <w:rPr>
          <w:rFonts w:cs="Times New Roman"/>
          <w:szCs w:val="24"/>
        </w:rPr>
        <w:t>datiem, visu Latvijas tautsaimniecības nozaru ieguldījumi iekārtās un mašīnās (</w:t>
      </w:r>
      <w:r w:rsidR="007E7F48" w:rsidRPr="00585F58">
        <w:rPr>
          <w:rFonts w:cs="Times New Roman"/>
          <w:szCs w:val="24"/>
        </w:rPr>
        <w:t>neskaitot</w:t>
      </w:r>
      <w:r w:rsidRPr="00585F58">
        <w:rPr>
          <w:rFonts w:cs="Times New Roman"/>
          <w:szCs w:val="24"/>
        </w:rPr>
        <w:t xml:space="preserve"> ieguldījumus transportlīdzekļos, datoros, biroja iekārtās un radio, telev</w:t>
      </w:r>
      <w:r w:rsidR="007E7F48" w:rsidRPr="00585F58">
        <w:rPr>
          <w:rFonts w:cs="Times New Roman"/>
          <w:szCs w:val="24"/>
        </w:rPr>
        <w:t>īzijas un komunikāciju iekārtā</w:t>
      </w:r>
      <w:r w:rsidR="006C6E84" w:rsidRPr="00585F58">
        <w:rPr>
          <w:rFonts w:cs="Times New Roman"/>
          <w:szCs w:val="24"/>
        </w:rPr>
        <w:t>s</w:t>
      </w:r>
      <w:r w:rsidRPr="00585F58">
        <w:rPr>
          <w:rFonts w:cs="Times New Roman"/>
          <w:szCs w:val="24"/>
        </w:rPr>
        <w:t xml:space="preserve">) 2011.gadā </w:t>
      </w:r>
      <w:r w:rsidR="007E7F48" w:rsidRPr="00585F58">
        <w:rPr>
          <w:rFonts w:cs="Times New Roman"/>
          <w:szCs w:val="24"/>
        </w:rPr>
        <w:t>veidoja</w:t>
      </w:r>
      <w:r w:rsidRPr="00585F58">
        <w:rPr>
          <w:rFonts w:cs="Times New Roman"/>
          <w:szCs w:val="24"/>
        </w:rPr>
        <w:t xml:space="preserve"> aptuveni 830 </w:t>
      </w:r>
      <w:proofErr w:type="spellStart"/>
      <w:r w:rsidRPr="00585F58">
        <w:rPr>
          <w:rFonts w:cs="Times New Roman"/>
          <w:szCs w:val="24"/>
        </w:rPr>
        <w:t>milj</w:t>
      </w:r>
      <w:proofErr w:type="spellEnd"/>
      <w:r w:rsidRPr="00585F58">
        <w:rPr>
          <w:rFonts w:cs="Times New Roman"/>
          <w:szCs w:val="24"/>
        </w:rPr>
        <w:t xml:space="preserve">. latu, no kuriem aptuveni 33,7% jeb 280 </w:t>
      </w:r>
      <w:proofErr w:type="spellStart"/>
      <w:r w:rsidRPr="00585F58">
        <w:rPr>
          <w:rFonts w:cs="Times New Roman"/>
          <w:szCs w:val="24"/>
        </w:rPr>
        <w:t>milj</w:t>
      </w:r>
      <w:proofErr w:type="spellEnd"/>
      <w:r w:rsidRPr="00585F58">
        <w:rPr>
          <w:rFonts w:cs="Times New Roman"/>
          <w:szCs w:val="24"/>
        </w:rPr>
        <w:t xml:space="preserve">. latu tika ieguldīti apstrādes rūpniecības nozarē. Atvieglojuma jaunām ražošanas tehnoloģiskajām iekārtām apjoms 8 </w:t>
      </w:r>
      <w:proofErr w:type="spellStart"/>
      <w:r w:rsidRPr="00585F58">
        <w:rPr>
          <w:rFonts w:cs="Times New Roman"/>
          <w:szCs w:val="24"/>
        </w:rPr>
        <w:t>milj</w:t>
      </w:r>
      <w:proofErr w:type="spellEnd"/>
      <w:r w:rsidRPr="00585F58">
        <w:rPr>
          <w:rFonts w:cs="Times New Roman"/>
          <w:szCs w:val="24"/>
        </w:rPr>
        <w:t>. apmērā 2011.gadā veido 2,9% no kopējiem apstrādes rūpniecības nozares ieguldījumiem iekārtās un mašīnās, kamēr pārējo tautsaimniecības nozaru atbalsts 2011.gadā veido 1,4% no kopējiem ieguldījumiem iekārtās un mašīnās, kas ļauj secināt, ka minētais atvieglojums ir mērķtiecīgāk orientēts uz ražošanas efektivitātes un produktivitātes pieaugumu tieši apstrādes rūpniecībā, kas pašreizējā situācijā ir galvenais tautsaimniecības izaugsmes virzītājs.</w:t>
      </w:r>
    </w:p>
    <w:p w:rsidR="00A3094D" w:rsidRPr="00585F58" w:rsidRDefault="00A3094D" w:rsidP="00A3094D">
      <w:pPr>
        <w:spacing w:after="0" w:line="240" w:lineRule="auto"/>
        <w:ind w:firstLine="720"/>
        <w:jc w:val="both"/>
        <w:rPr>
          <w:rFonts w:cs="Times New Roman"/>
          <w:szCs w:val="24"/>
        </w:rPr>
      </w:pPr>
      <w:r w:rsidRPr="00585F58">
        <w:rPr>
          <w:rFonts w:cs="Times New Roman"/>
          <w:szCs w:val="24"/>
        </w:rPr>
        <w:t>Atvieglojuma tiešās ietekmes noteikšanu uz tautsaimniecības ieguldījumu pieaugumu ražošanas iekārtās apgrūtina 2008.gadā ie</w:t>
      </w:r>
      <w:r w:rsidR="005E582A" w:rsidRPr="00585F58">
        <w:rPr>
          <w:rFonts w:cs="Times New Roman"/>
          <w:szCs w:val="24"/>
        </w:rPr>
        <w:t>stājusies ekonomiskā lejupslīde. V</w:t>
      </w:r>
      <w:r w:rsidRPr="00585F58">
        <w:rPr>
          <w:rFonts w:cs="Times New Roman"/>
          <w:szCs w:val="24"/>
        </w:rPr>
        <w:t xml:space="preserve">ienlaikus jāatzīmē, ka laikposmā no 2003.gada līdz 2006.gadam tautsaimniecības ieguldījumi iekārtās un mašīnās pieauga vidēji par 23,3%, kamēr 2007.gadā ieguldījumu pieaugums iekārtās un mašīnās attiecībā pret 2006.gadu, kad stājās spēkā </w:t>
      </w:r>
      <w:r w:rsidRPr="00585F58">
        <w:rPr>
          <w:rFonts w:cs="Times New Roman"/>
          <w:szCs w:val="24"/>
        </w:rPr>
        <w:lastRenderedPageBreak/>
        <w:t xml:space="preserve">atvieglojums, sastādīja 63,4%, ieguldījumiem pieaugot no 868,4 </w:t>
      </w:r>
      <w:proofErr w:type="spellStart"/>
      <w:r w:rsidRPr="00585F58">
        <w:rPr>
          <w:rFonts w:cs="Times New Roman"/>
          <w:szCs w:val="24"/>
        </w:rPr>
        <w:t>milj</w:t>
      </w:r>
      <w:proofErr w:type="spellEnd"/>
      <w:r w:rsidRPr="00585F58">
        <w:rPr>
          <w:rFonts w:cs="Times New Roman"/>
          <w:szCs w:val="24"/>
        </w:rPr>
        <w:t>. latu līdz 1,4 miljardiem latu.</w:t>
      </w:r>
    </w:p>
    <w:p w:rsidR="00A3094D" w:rsidRPr="00585F58" w:rsidRDefault="00A3094D" w:rsidP="00A3094D">
      <w:pPr>
        <w:spacing w:after="0" w:line="240" w:lineRule="auto"/>
        <w:ind w:firstLine="720"/>
        <w:jc w:val="both"/>
        <w:rPr>
          <w:rFonts w:cs="Times New Roman"/>
          <w:szCs w:val="24"/>
        </w:rPr>
      </w:pPr>
      <w:r w:rsidRPr="00585F58">
        <w:rPr>
          <w:rFonts w:cs="Times New Roman"/>
          <w:szCs w:val="24"/>
        </w:rPr>
        <w:t xml:space="preserve">Tāpat būtiski ir atzīmēt ekonomiskās lejupslīdes ilgstošo ietekmi uz finanšu tirgus stāvokli, </w:t>
      </w:r>
      <w:r w:rsidR="007D387B" w:rsidRPr="00585F58">
        <w:rPr>
          <w:rFonts w:cs="Times New Roman"/>
          <w:szCs w:val="24"/>
        </w:rPr>
        <w:t xml:space="preserve">kas </w:t>
      </w:r>
      <w:r w:rsidRPr="00585F58">
        <w:rPr>
          <w:rFonts w:cs="Times New Roman"/>
          <w:szCs w:val="24"/>
        </w:rPr>
        <w:t xml:space="preserve">negatīvi </w:t>
      </w:r>
      <w:r w:rsidR="007D387B" w:rsidRPr="00585F58">
        <w:rPr>
          <w:rFonts w:cs="Times New Roman"/>
          <w:szCs w:val="24"/>
        </w:rPr>
        <w:t>ietekmē</w:t>
      </w:r>
      <w:r w:rsidRPr="00585F58">
        <w:rPr>
          <w:rFonts w:cs="Times New Roman"/>
          <w:szCs w:val="24"/>
        </w:rPr>
        <w:t xml:space="preserve"> kredītu pieejamību uzņēmumu investīcijām. Lai arī pašlaik situācija finanšu tirgū ir stabilizējusies, kreditēšanas apjomi joprojām ir ļoti zemā līmenī, kas lielā mērā ir saistīts ar </w:t>
      </w:r>
      <w:r w:rsidR="006C6E84" w:rsidRPr="00585F58">
        <w:rPr>
          <w:rFonts w:cs="Times New Roman"/>
          <w:szCs w:val="24"/>
        </w:rPr>
        <w:t xml:space="preserve">piesardzību </w:t>
      </w:r>
      <w:r w:rsidRPr="00585F58">
        <w:rPr>
          <w:rFonts w:cs="Times New Roman"/>
          <w:szCs w:val="24"/>
        </w:rPr>
        <w:t>finanšu tirg</w:t>
      </w:r>
      <w:r w:rsidR="006C6E84" w:rsidRPr="00585F58">
        <w:rPr>
          <w:rFonts w:cs="Times New Roman"/>
          <w:szCs w:val="24"/>
        </w:rPr>
        <w:t>os</w:t>
      </w:r>
      <w:r w:rsidRPr="00585F58">
        <w:rPr>
          <w:rFonts w:cs="Times New Roman"/>
          <w:szCs w:val="24"/>
        </w:rPr>
        <w:t xml:space="preserve"> kā no aizdevēju, tā no aizņēmēju puses. Ierobežotās </w:t>
      </w:r>
      <w:r w:rsidR="005E582A" w:rsidRPr="00585F58">
        <w:rPr>
          <w:rFonts w:cs="Times New Roman"/>
          <w:szCs w:val="24"/>
        </w:rPr>
        <w:t>piekļuve</w:t>
      </w:r>
      <w:r w:rsidRPr="00585F58">
        <w:rPr>
          <w:rFonts w:cs="Times New Roman"/>
          <w:szCs w:val="24"/>
        </w:rPr>
        <w:t xml:space="preserve"> </w:t>
      </w:r>
      <w:r w:rsidR="007D387B" w:rsidRPr="00585F58">
        <w:rPr>
          <w:rFonts w:cs="Times New Roman"/>
          <w:szCs w:val="24"/>
        </w:rPr>
        <w:t>finansējuma</w:t>
      </w:r>
      <w:r w:rsidR="005E582A" w:rsidRPr="00585F58">
        <w:rPr>
          <w:rFonts w:cs="Times New Roman"/>
          <w:szCs w:val="24"/>
        </w:rPr>
        <w:t>m</w:t>
      </w:r>
      <w:r w:rsidR="007D387B" w:rsidRPr="00585F58">
        <w:rPr>
          <w:rFonts w:cs="Times New Roman"/>
          <w:szCs w:val="24"/>
        </w:rPr>
        <w:t xml:space="preserve"> </w:t>
      </w:r>
      <w:r w:rsidRPr="00585F58">
        <w:rPr>
          <w:rFonts w:cs="Times New Roman"/>
          <w:szCs w:val="24"/>
        </w:rPr>
        <w:t xml:space="preserve">daudziem uzņēmumiem kļūst par nozīmīgu šķērsli investīcijām ražošanas pārstrukturizācijai </w:t>
      </w:r>
      <w:r w:rsidR="007D387B" w:rsidRPr="00585F58">
        <w:rPr>
          <w:rFonts w:cs="Times New Roman"/>
          <w:szCs w:val="24"/>
        </w:rPr>
        <w:t>un modernizācijai, tādēļ būtiska</w:t>
      </w:r>
      <w:r w:rsidRPr="00585F58">
        <w:rPr>
          <w:rFonts w:cs="Times New Roman"/>
          <w:szCs w:val="24"/>
        </w:rPr>
        <w:t xml:space="preserve"> </w:t>
      </w:r>
      <w:r w:rsidR="007D387B" w:rsidRPr="00585F58">
        <w:rPr>
          <w:rFonts w:cs="Times New Roman"/>
          <w:szCs w:val="24"/>
        </w:rPr>
        <w:t>nozīme ir</w:t>
      </w:r>
      <w:r w:rsidRPr="00585F58">
        <w:rPr>
          <w:rFonts w:cs="Times New Roman"/>
          <w:szCs w:val="24"/>
        </w:rPr>
        <w:t xml:space="preserve"> ne tikai kredītiestāžu finansējuma pieejamība</w:t>
      </w:r>
      <w:r w:rsidR="005E582A" w:rsidRPr="00585F58">
        <w:rPr>
          <w:rFonts w:cs="Times New Roman"/>
          <w:szCs w:val="24"/>
        </w:rPr>
        <w:t>i</w:t>
      </w:r>
      <w:r w:rsidRPr="00585F58">
        <w:rPr>
          <w:rFonts w:cs="Times New Roman"/>
          <w:szCs w:val="24"/>
        </w:rPr>
        <w:t xml:space="preserve"> un alternatīva finansējuma atvieglošana</w:t>
      </w:r>
      <w:r w:rsidR="005E582A" w:rsidRPr="00585F58">
        <w:rPr>
          <w:rFonts w:cs="Times New Roman"/>
          <w:szCs w:val="24"/>
        </w:rPr>
        <w:t>i, bet arī valsts īstenotai</w:t>
      </w:r>
      <w:r w:rsidRPr="00585F58">
        <w:rPr>
          <w:rFonts w:cs="Times New Roman"/>
          <w:szCs w:val="24"/>
        </w:rPr>
        <w:t xml:space="preserve"> nodokļu politika</w:t>
      </w:r>
      <w:r w:rsidR="005E582A" w:rsidRPr="00585F58">
        <w:rPr>
          <w:rFonts w:cs="Times New Roman"/>
          <w:szCs w:val="24"/>
        </w:rPr>
        <w:t>i</w:t>
      </w:r>
      <w:r w:rsidRPr="00585F58">
        <w:rPr>
          <w:rFonts w:cs="Times New Roman"/>
          <w:szCs w:val="24"/>
        </w:rPr>
        <w:t xml:space="preserve"> investīciju veicināšanā, kas </w:t>
      </w:r>
      <w:r w:rsidR="005E582A" w:rsidRPr="00585F58">
        <w:rPr>
          <w:rFonts w:cs="Times New Roman"/>
          <w:szCs w:val="24"/>
        </w:rPr>
        <w:t>rada stimulu</w:t>
      </w:r>
      <w:r w:rsidRPr="00585F58">
        <w:rPr>
          <w:rFonts w:cs="Times New Roman"/>
          <w:szCs w:val="24"/>
        </w:rPr>
        <w:t xml:space="preserve"> uzņēmēju līdzekļus novirzīt tā darbības modernizācijai un produktivitātes kāpināšanai.</w:t>
      </w:r>
    </w:p>
    <w:p w:rsidR="00A3094D" w:rsidRPr="00585F58" w:rsidRDefault="00A3094D" w:rsidP="00A3094D">
      <w:pPr>
        <w:spacing w:after="0" w:line="240" w:lineRule="auto"/>
        <w:ind w:firstLine="720"/>
        <w:jc w:val="both"/>
        <w:rPr>
          <w:rFonts w:cs="Times New Roman"/>
          <w:szCs w:val="24"/>
        </w:rPr>
      </w:pPr>
      <w:r w:rsidRPr="00585F58">
        <w:rPr>
          <w:rFonts w:cs="Times New Roman"/>
          <w:szCs w:val="24"/>
        </w:rPr>
        <w:t>Jānorāda, ka Latvijas apstrādes rūpniecības produktivitāte ir zemāka par tautsaimniecības kopējo rādītāju un tā ir viena no zemākām ES valstu starpā (</w:t>
      </w:r>
      <w:r w:rsidR="00D27CB9" w:rsidRPr="00585F58">
        <w:rPr>
          <w:rFonts w:cs="Times New Roman"/>
          <w:szCs w:val="24"/>
        </w:rPr>
        <w:t>6</w:t>
      </w:r>
      <w:r w:rsidRPr="00585F58">
        <w:rPr>
          <w:rFonts w:cs="Times New Roman"/>
          <w:szCs w:val="24"/>
        </w:rPr>
        <w:t>.att.).</w:t>
      </w:r>
    </w:p>
    <w:p w:rsidR="00A3094D" w:rsidRPr="00585F58" w:rsidRDefault="00A3094D" w:rsidP="00A3094D">
      <w:pPr>
        <w:pStyle w:val="ListParagraph"/>
        <w:spacing w:after="0" w:line="240" w:lineRule="auto"/>
        <w:jc w:val="both"/>
        <w:rPr>
          <w:rFonts w:cs="Times New Roman"/>
          <w:b/>
          <w:szCs w:val="24"/>
        </w:rPr>
      </w:pPr>
    </w:p>
    <w:p w:rsidR="00A3094D" w:rsidRPr="00585F58" w:rsidRDefault="00A3094D" w:rsidP="00A3094D">
      <w:pPr>
        <w:pStyle w:val="ListParagraph"/>
        <w:spacing w:after="0" w:line="240" w:lineRule="auto"/>
        <w:jc w:val="both"/>
        <w:rPr>
          <w:rFonts w:cs="Times New Roman"/>
          <w:b/>
          <w:szCs w:val="24"/>
        </w:rPr>
      </w:pPr>
      <w:r w:rsidRPr="00585F58">
        <w:rPr>
          <w:rFonts w:cs="Times New Roman"/>
          <w:noProof/>
          <w:highlight w:val="green"/>
          <w:lang w:eastAsia="lv-LV"/>
        </w:rPr>
        <w:drawing>
          <wp:inline distT="0" distB="0" distL="0" distR="0" wp14:anchorId="28983238" wp14:editId="71CB47A9">
            <wp:extent cx="4724400" cy="202882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6E84" w:rsidRPr="00585F58" w:rsidRDefault="006C6E84" w:rsidP="00A3094D">
      <w:pPr>
        <w:pStyle w:val="ListParagraph"/>
        <w:spacing w:after="0" w:line="240" w:lineRule="auto"/>
        <w:jc w:val="both"/>
        <w:rPr>
          <w:rFonts w:cs="Times New Roman"/>
          <w:szCs w:val="24"/>
        </w:rPr>
      </w:pPr>
      <w:r w:rsidRPr="00585F58">
        <w:rPr>
          <w:rFonts w:cs="Times New Roman"/>
          <w:szCs w:val="24"/>
        </w:rPr>
        <w:t>Dati:</w:t>
      </w:r>
      <w:r w:rsidR="001A0CFC" w:rsidRPr="00585F58">
        <w:rPr>
          <w:rFonts w:cs="Times New Roman"/>
          <w:szCs w:val="24"/>
        </w:rPr>
        <w:t xml:space="preserve"> </w:t>
      </w:r>
      <w:proofErr w:type="spellStart"/>
      <w:r w:rsidR="00AC1682" w:rsidRPr="00585F58">
        <w:rPr>
          <w:rFonts w:cs="Times New Roman"/>
          <w:szCs w:val="24"/>
        </w:rPr>
        <w:t>Eurostat</w:t>
      </w:r>
      <w:proofErr w:type="spellEnd"/>
      <w:r w:rsidR="00AC1682" w:rsidRPr="00585F58">
        <w:rPr>
          <w:rFonts w:cs="Times New Roman"/>
          <w:szCs w:val="24"/>
        </w:rPr>
        <w:t xml:space="preserve"> dati, </w:t>
      </w:r>
      <w:r w:rsidR="001A0CFC" w:rsidRPr="00585F58">
        <w:rPr>
          <w:rFonts w:cs="Times New Roman"/>
          <w:szCs w:val="24"/>
        </w:rPr>
        <w:t>Ekonomikas ministrija</w:t>
      </w:r>
      <w:r w:rsidR="00AC1682" w:rsidRPr="00585F58">
        <w:rPr>
          <w:rFonts w:cs="Times New Roman"/>
          <w:szCs w:val="24"/>
        </w:rPr>
        <w:t>s aprēķins</w:t>
      </w:r>
    </w:p>
    <w:p w:rsidR="00A3094D" w:rsidRPr="00585F58" w:rsidRDefault="00D27CB9" w:rsidP="00A3094D">
      <w:pPr>
        <w:pStyle w:val="ListParagraph"/>
        <w:spacing w:after="0" w:line="240" w:lineRule="auto"/>
        <w:jc w:val="both"/>
        <w:rPr>
          <w:rFonts w:cs="Times New Roman"/>
          <w:szCs w:val="24"/>
        </w:rPr>
      </w:pPr>
      <w:r w:rsidRPr="00585F58">
        <w:rPr>
          <w:rFonts w:cs="Times New Roman"/>
          <w:b/>
          <w:szCs w:val="24"/>
        </w:rPr>
        <w:t>6</w:t>
      </w:r>
      <w:r w:rsidR="00A3094D" w:rsidRPr="00585F58">
        <w:rPr>
          <w:rFonts w:cs="Times New Roman"/>
          <w:b/>
          <w:szCs w:val="24"/>
        </w:rPr>
        <w:t>.att. Apstrādes rūpniecības produktivitāte (% no ES vidējā līmeņa).</w:t>
      </w:r>
    </w:p>
    <w:p w:rsidR="00A3094D" w:rsidRPr="00585F58" w:rsidRDefault="00A3094D" w:rsidP="00A3094D">
      <w:pPr>
        <w:pStyle w:val="ListParagraph"/>
        <w:spacing w:after="0" w:line="240" w:lineRule="auto"/>
        <w:jc w:val="both"/>
        <w:rPr>
          <w:rFonts w:cs="Times New Roman"/>
          <w:szCs w:val="24"/>
        </w:rPr>
      </w:pPr>
    </w:p>
    <w:p w:rsidR="00A3094D" w:rsidRPr="00585F58" w:rsidRDefault="00A3094D" w:rsidP="00A3094D">
      <w:pPr>
        <w:spacing w:after="0" w:line="240" w:lineRule="auto"/>
        <w:ind w:firstLine="720"/>
        <w:jc w:val="both"/>
        <w:rPr>
          <w:rFonts w:cs="Times New Roman"/>
          <w:szCs w:val="24"/>
        </w:rPr>
      </w:pPr>
      <w:r w:rsidRPr="00585F58">
        <w:rPr>
          <w:rFonts w:cs="Times New Roman"/>
          <w:szCs w:val="24"/>
        </w:rPr>
        <w:t>Pēdējo 13 gadu laikā ir notikušas pozitīvas pārmaiņas apstrādes rūpniecības struktūrā – samazinājies zemo tehnoloģiju nozaru īpatsvars</w:t>
      </w:r>
      <w:r w:rsidR="007D387B" w:rsidRPr="00585F58">
        <w:rPr>
          <w:rFonts w:cs="Times New Roman"/>
          <w:szCs w:val="24"/>
        </w:rPr>
        <w:t>,</w:t>
      </w:r>
      <w:r w:rsidRPr="00585F58">
        <w:rPr>
          <w:rFonts w:cs="Times New Roman"/>
          <w:szCs w:val="24"/>
        </w:rPr>
        <w:t xml:space="preserve"> </w:t>
      </w:r>
      <w:r w:rsidR="007D387B" w:rsidRPr="00585F58">
        <w:rPr>
          <w:rFonts w:cs="Times New Roman"/>
          <w:szCs w:val="24"/>
        </w:rPr>
        <w:t>palielinoties vidēji zemo tehnoloģiju nozaru īpatsvaram</w:t>
      </w:r>
      <w:r w:rsidRPr="00585F58">
        <w:rPr>
          <w:rFonts w:cs="Times New Roman"/>
          <w:szCs w:val="24"/>
        </w:rPr>
        <w:t xml:space="preserve">, </w:t>
      </w:r>
      <w:r w:rsidR="007D387B" w:rsidRPr="00585F58">
        <w:rPr>
          <w:rFonts w:cs="Times New Roman"/>
          <w:szCs w:val="24"/>
        </w:rPr>
        <w:t>savukārt</w:t>
      </w:r>
      <w:r w:rsidRPr="00585F58">
        <w:rPr>
          <w:rFonts w:cs="Times New Roman"/>
          <w:szCs w:val="24"/>
        </w:rPr>
        <w:t xml:space="preserve"> augsto un vidēji augsto tehnoloģiju nozaru daļa </w:t>
      </w:r>
      <w:r w:rsidR="00BC1E83" w:rsidRPr="00585F58">
        <w:rPr>
          <w:rFonts w:cs="Times New Roman"/>
          <w:szCs w:val="24"/>
        </w:rPr>
        <w:t xml:space="preserve">pieaugusi minimāli </w:t>
      </w:r>
      <w:r w:rsidRPr="00585F58">
        <w:rPr>
          <w:rFonts w:cs="Times New Roman"/>
          <w:szCs w:val="24"/>
        </w:rPr>
        <w:t>(</w:t>
      </w:r>
      <w:r w:rsidR="00D27CB9" w:rsidRPr="00585F58">
        <w:rPr>
          <w:rFonts w:cs="Times New Roman"/>
          <w:szCs w:val="24"/>
        </w:rPr>
        <w:t>7</w:t>
      </w:r>
      <w:r w:rsidRPr="00585F58">
        <w:rPr>
          <w:rFonts w:cs="Times New Roman"/>
          <w:szCs w:val="24"/>
        </w:rPr>
        <w:t>.att.).</w:t>
      </w:r>
    </w:p>
    <w:p w:rsidR="00613822" w:rsidRPr="00585F58" w:rsidRDefault="00613822" w:rsidP="00A3094D">
      <w:pPr>
        <w:spacing w:after="0" w:line="240" w:lineRule="auto"/>
        <w:ind w:firstLine="720"/>
        <w:jc w:val="both"/>
        <w:rPr>
          <w:rFonts w:cs="Times New Roman"/>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5337"/>
      </w:tblGrid>
      <w:tr w:rsidR="00585F58" w:rsidRPr="00585F58" w:rsidTr="006C6E84">
        <w:trPr>
          <w:trHeight w:val="423"/>
        </w:trPr>
        <w:tc>
          <w:tcPr>
            <w:tcW w:w="1871" w:type="pct"/>
            <w:vAlign w:val="bottom"/>
          </w:tcPr>
          <w:p w:rsidR="00613822" w:rsidRPr="00585F58" w:rsidRDefault="00613822" w:rsidP="00F17FB1">
            <w:pPr>
              <w:pStyle w:val="9pirmstab3"/>
              <w:tabs>
                <w:tab w:val="clear" w:pos="3259"/>
                <w:tab w:val="clear" w:pos="4200"/>
                <w:tab w:val="clear" w:pos="5141"/>
                <w:tab w:val="clear" w:pos="6082"/>
                <w:tab w:val="clear" w:pos="7022"/>
                <w:tab w:val="clear" w:pos="7963"/>
                <w:tab w:val="clear" w:pos="8870"/>
                <w:tab w:val="clear" w:pos="9794"/>
                <w:tab w:val="clear" w:pos="10718"/>
                <w:tab w:val="clear" w:pos="11659"/>
                <w:tab w:val="clear" w:pos="13171"/>
              </w:tabs>
              <w:spacing w:after="0"/>
              <w:rPr>
                <w:rFonts w:ascii="Times New Roman" w:hAnsi="Times New Roman"/>
                <w:bCs/>
                <w:color w:val="auto"/>
                <w:spacing w:val="-2"/>
                <w:sz w:val="20"/>
                <w:szCs w:val="26"/>
              </w:rPr>
            </w:pPr>
            <w:r w:rsidRPr="00585F58">
              <w:rPr>
                <w:rFonts w:ascii="Times New Roman" w:hAnsi="Times New Roman"/>
                <w:bCs/>
                <w:color w:val="auto"/>
                <w:spacing w:val="-2"/>
                <w:sz w:val="20"/>
                <w:szCs w:val="26"/>
              </w:rPr>
              <w:t>1997.gadā</w:t>
            </w:r>
          </w:p>
          <w:p w:rsidR="00613822" w:rsidRPr="00585F58" w:rsidRDefault="00613822" w:rsidP="00F17FB1">
            <w:pPr>
              <w:pStyle w:val="9pirmstab3"/>
              <w:tabs>
                <w:tab w:val="clear" w:pos="3259"/>
                <w:tab w:val="clear" w:pos="4200"/>
                <w:tab w:val="clear" w:pos="5141"/>
                <w:tab w:val="clear" w:pos="6082"/>
                <w:tab w:val="clear" w:pos="7022"/>
                <w:tab w:val="clear" w:pos="7963"/>
                <w:tab w:val="clear" w:pos="8870"/>
                <w:tab w:val="clear" w:pos="9794"/>
                <w:tab w:val="clear" w:pos="10718"/>
                <w:tab w:val="clear" w:pos="11659"/>
                <w:tab w:val="clear" w:pos="13171"/>
              </w:tabs>
              <w:spacing w:after="0"/>
              <w:rPr>
                <w:rFonts w:ascii="Times New Roman" w:hAnsi="Times New Roman"/>
                <w:bCs/>
                <w:color w:val="auto"/>
                <w:spacing w:val="-2"/>
                <w:sz w:val="20"/>
                <w:szCs w:val="26"/>
              </w:rPr>
            </w:pPr>
          </w:p>
        </w:tc>
        <w:tc>
          <w:tcPr>
            <w:tcW w:w="3129" w:type="pct"/>
          </w:tcPr>
          <w:p w:rsidR="00613822" w:rsidRPr="00585F58" w:rsidRDefault="00613822" w:rsidP="00F17FB1">
            <w:pPr>
              <w:pStyle w:val="9pirmstab3"/>
              <w:tabs>
                <w:tab w:val="clear" w:pos="3259"/>
                <w:tab w:val="clear" w:pos="4200"/>
                <w:tab w:val="clear" w:pos="5141"/>
                <w:tab w:val="clear" w:pos="6082"/>
                <w:tab w:val="clear" w:pos="7022"/>
                <w:tab w:val="clear" w:pos="7963"/>
                <w:tab w:val="clear" w:pos="8870"/>
                <w:tab w:val="clear" w:pos="9794"/>
                <w:tab w:val="clear" w:pos="10718"/>
                <w:tab w:val="clear" w:pos="11659"/>
                <w:tab w:val="clear" w:pos="13171"/>
              </w:tabs>
              <w:spacing w:after="0"/>
              <w:rPr>
                <w:rFonts w:ascii="Times New Roman" w:hAnsi="Times New Roman"/>
                <w:bCs/>
                <w:color w:val="auto"/>
                <w:spacing w:val="-2"/>
                <w:sz w:val="20"/>
                <w:szCs w:val="26"/>
              </w:rPr>
            </w:pPr>
            <w:r w:rsidRPr="00585F58">
              <w:rPr>
                <w:rFonts w:ascii="Times New Roman" w:hAnsi="Times New Roman"/>
                <w:bCs/>
                <w:color w:val="auto"/>
                <w:spacing w:val="-2"/>
                <w:sz w:val="20"/>
                <w:szCs w:val="26"/>
              </w:rPr>
              <w:t>2010.gadā</w:t>
            </w:r>
          </w:p>
        </w:tc>
      </w:tr>
      <w:tr w:rsidR="00585F58" w:rsidRPr="00585F58" w:rsidTr="006C6E84">
        <w:trPr>
          <w:trHeight w:val="3126"/>
        </w:trPr>
        <w:tc>
          <w:tcPr>
            <w:tcW w:w="1871" w:type="pct"/>
          </w:tcPr>
          <w:p w:rsidR="00613822" w:rsidRPr="00585F58" w:rsidRDefault="00613822" w:rsidP="00F17FB1">
            <w:pPr>
              <w:rPr>
                <w:rFonts w:ascii="Times New Roman" w:hAnsi="Times New Roman" w:cs="Times New Roman"/>
                <w:sz w:val="26"/>
                <w:szCs w:val="26"/>
              </w:rPr>
            </w:pPr>
            <w:r w:rsidRPr="00585F58">
              <w:rPr>
                <w:rFonts w:cs="Times New Roman"/>
                <w:noProof/>
                <w:sz w:val="26"/>
                <w:szCs w:val="26"/>
                <w:lang w:eastAsia="lv-LV"/>
              </w:rPr>
              <w:drawing>
                <wp:inline distT="0" distB="0" distL="0" distR="0" wp14:anchorId="46A546F7" wp14:editId="4DA057DB">
                  <wp:extent cx="2020186" cy="1711842"/>
                  <wp:effectExtent l="0" t="0" r="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3129" w:type="pct"/>
          </w:tcPr>
          <w:p w:rsidR="00613822" w:rsidRPr="00585F58" w:rsidRDefault="00613822" w:rsidP="00F17FB1">
            <w:pPr>
              <w:jc w:val="center"/>
              <w:rPr>
                <w:rFonts w:ascii="Times New Roman" w:hAnsi="Times New Roman" w:cs="Times New Roman"/>
                <w:sz w:val="26"/>
                <w:szCs w:val="26"/>
              </w:rPr>
            </w:pPr>
            <w:r w:rsidRPr="00585F58">
              <w:rPr>
                <w:rFonts w:cs="Times New Roman"/>
                <w:noProof/>
                <w:sz w:val="26"/>
                <w:szCs w:val="26"/>
                <w:lang w:eastAsia="lv-LV"/>
              </w:rPr>
              <w:drawing>
                <wp:inline distT="0" distB="0" distL="0" distR="0" wp14:anchorId="539226B4" wp14:editId="28E3B769">
                  <wp:extent cx="3476847" cy="1711842"/>
                  <wp:effectExtent l="0" t="0" r="0" b="31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6C6E84" w:rsidRPr="00585F58" w:rsidRDefault="006C6E84" w:rsidP="006C6E84">
      <w:pPr>
        <w:pStyle w:val="ListParagraph"/>
        <w:spacing w:after="0" w:line="240" w:lineRule="auto"/>
        <w:jc w:val="both"/>
        <w:rPr>
          <w:rFonts w:cs="Times New Roman"/>
          <w:szCs w:val="24"/>
        </w:rPr>
      </w:pPr>
      <w:r w:rsidRPr="00585F58">
        <w:rPr>
          <w:rFonts w:cs="Times New Roman"/>
          <w:szCs w:val="24"/>
        </w:rPr>
        <w:t>Dati:</w:t>
      </w:r>
      <w:r w:rsidR="001A0CFC" w:rsidRPr="00585F58">
        <w:rPr>
          <w:rFonts w:cs="Times New Roman"/>
          <w:szCs w:val="24"/>
        </w:rPr>
        <w:t xml:space="preserve"> </w:t>
      </w:r>
      <w:r w:rsidR="00AC1682" w:rsidRPr="00585F58">
        <w:rPr>
          <w:rFonts w:cs="Times New Roman"/>
          <w:szCs w:val="24"/>
        </w:rPr>
        <w:t xml:space="preserve">CSP dati, </w:t>
      </w:r>
      <w:r w:rsidR="001A0CFC" w:rsidRPr="00585F58">
        <w:rPr>
          <w:rFonts w:cs="Times New Roman"/>
          <w:szCs w:val="24"/>
        </w:rPr>
        <w:t>Ekonomikas ministrija</w:t>
      </w:r>
      <w:r w:rsidR="00AC1682" w:rsidRPr="00585F58">
        <w:rPr>
          <w:rFonts w:cs="Times New Roman"/>
          <w:szCs w:val="24"/>
        </w:rPr>
        <w:t>s aprēķins</w:t>
      </w:r>
    </w:p>
    <w:p w:rsidR="00A3094D" w:rsidRPr="00585F58" w:rsidRDefault="00D27CB9" w:rsidP="00613822">
      <w:pPr>
        <w:spacing w:after="120" w:line="240" w:lineRule="auto"/>
        <w:jc w:val="center"/>
        <w:rPr>
          <w:rFonts w:cs="Times New Roman"/>
          <w:b/>
          <w:szCs w:val="24"/>
        </w:rPr>
      </w:pPr>
      <w:r w:rsidRPr="00585F58">
        <w:rPr>
          <w:rFonts w:cs="Times New Roman"/>
          <w:b/>
          <w:szCs w:val="24"/>
        </w:rPr>
        <w:t>7</w:t>
      </w:r>
      <w:r w:rsidR="00A3094D" w:rsidRPr="00585F58">
        <w:rPr>
          <w:rFonts w:cs="Times New Roman"/>
          <w:b/>
          <w:szCs w:val="24"/>
        </w:rPr>
        <w:t>.att. Apstrādes rūpniecības struktūra pēc tehnoloģiju līmeņa (%).</w:t>
      </w:r>
    </w:p>
    <w:p w:rsidR="00A3094D" w:rsidRPr="00585F58" w:rsidRDefault="00A3094D" w:rsidP="00A3094D">
      <w:pPr>
        <w:spacing w:after="0" w:line="240" w:lineRule="auto"/>
        <w:ind w:firstLine="720"/>
        <w:jc w:val="both"/>
        <w:rPr>
          <w:rFonts w:cs="Times New Roman"/>
          <w:szCs w:val="24"/>
        </w:rPr>
      </w:pPr>
      <w:r w:rsidRPr="00585F58">
        <w:rPr>
          <w:rFonts w:cs="Times New Roman"/>
          <w:szCs w:val="24"/>
        </w:rPr>
        <w:lastRenderedPageBreak/>
        <w:t>Iepriekšminētā analīze un informācija liecina, ka UIN atvieglojum</w:t>
      </w:r>
      <w:r w:rsidR="006C6E84" w:rsidRPr="00585F58">
        <w:rPr>
          <w:rFonts w:cs="Times New Roman"/>
          <w:szCs w:val="24"/>
        </w:rPr>
        <w:t>s</w:t>
      </w:r>
      <w:r w:rsidRPr="00585F58">
        <w:rPr>
          <w:rFonts w:cs="Times New Roman"/>
          <w:szCs w:val="24"/>
        </w:rPr>
        <w:t xml:space="preserve"> jaunām ražošanas tehnoloģiskajām iekārtām ir būtisk</w:t>
      </w:r>
      <w:r w:rsidR="006C6E84" w:rsidRPr="00585F58">
        <w:rPr>
          <w:rFonts w:cs="Times New Roman"/>
          <w:szCs w:val="24"/>
        </w:rPr>
        <w:t xml:space="preserve">s </w:t>
      </w:r>
      <w:r w:rsidR="00E12228">
        <w:rPr>
          <w:rFonts w:cs="Times New Roman"/>
          <w:szCs w:val="24"/>
        </w:rPr>
        <w:t>atbalsts</w:t>
      </w:r>
      <w:r w:rsidR="005E582A" w:rsidRPr="00585F58">
        <w:rPr>
          <w:rFonts w:cs="Times New Roman"/>
          <w:szCs w:val="24"/>
        </w:rPr>
        <w:t xml:space="preserve"> ražošanas modernizācijai</w:t>
      </w:r>
      <w:r w:rsidRPr="00585F58">
        <w:rPr>
          <w:rFonts w:cs="Times New Roman"/>
          <w:szCs w:val="24"/>
        </w:rPr>
        <w:t xml:space="preserve"> </w:t>
      </w:r>
      <w:r w:rsidR="005E582A" w:rsidRPr="00585F58">
        <w:rPr>
          <w:rFonts w:cs="Times New Roman"/>
          <w:szCs w:val="24"/>
        </w:rPr>
        <w:t xml:space="preserve">un </w:t>
      </w:r>
      <w:r w:rsidR="00E12228">
        <w:rPr>
          <w:rFonts w:cs="Times New Roman"/>
          <w:szCs w:val="24"/>
        </w:rPr>
        <w:t xml:space="preserve">no tās izrietošās </w:t>
      </w:r>
      <w:r w:rsidR="005E582A" w:rsidRPr="00585F58">
        <w:rPr>
          <w:rFonts w:cs="Times New Roman"/>
          <w:szCs w:val="24"/>
        </w:rPr>
        <w:t xml:space="preserve">produktivitātes </w:t>
      </w:r>
      <w:r w:rsidR="00E12228">
        <w:rPr>
          <w:rFonts w:cs="Times New Roman"/>
          <w:szCs w:val="24"/>
        </w:rPr>
        <w:t>kāpumam</w:t>
      </w:r>
      <w:r w:rsidRPr="00585F58">
        <w:rPr>
          <w:rFonts w:cs="Times New Roman"/>
          <w:szCs w:val="24"/>
        </w:rPr>
        <w:t>, kā arī tam ir liela nozīme politikas plānošanas dokumentos noteikto valsts prioritāšu un mērķu sasniegšanā.</w:t>
      </w:r>
    </w:p>
    <w:p w:rsidR="00A3094D" w:rsidRPr="00585F58" w:rsidRDefault="00A3094D" w:rsidP="00C20330">
      <w:pPr>
        <w:spacing w:after="0" w:line="240" w:lineRule="auto"/>
        <w:ind w:firstLine="720"/>
        <w:jc w:val="both"/>
        <w:rPr>
          <w:rFonts w:cs="Times New Roman"/>
          <w:szCs w:val="24"/>
        </w:rPr>
      </w:pPr>
      <w:r w:rsidRPr="00585F58">
        <w:rPr>
          <w:rFonts w:cs="Times New Roman"/>
          <w:szCs w:val="24"/>
        </w:rPr>
        <w:t xml:space="preserve">Pamatojoties uz iepriekš minēto, </w:t>
      </w:r>
      <w:r w:rsidR="006C6E84" w:rsidRPr="00585F58">
        <w:rPr>
          <w:rFonts w:cs="Times New Roman"/>
          <w:szCs w:val="24"/>
        </w:rPr>
        <w:t xml:space="preserve">FM </w:t>
      </w:r>
      <w:r w:rsidRPr="00585F58">
        <w:rPr>
          <w:rFonts w:cs="Times New Roman"/>
          <w:szCs w:val="24"/>
        </w:rPr>
        <w:t xml:space="preserve">neiebilst pret termiņa pagarināšanu atvieglojumiem par jaunajām ražošanas tehnoloģiskajām iekārtām līdz 2020.gadam. </w:t>
      </w:r>
      <w:r w:rsidRPr="00E12228">
        <w:rPr>
          <w:rFonts w:cs="Times New Roman"/>
          <w:szCs w:val="24"/>
        </w:rPr>
        <w:t xml:space="preserve">Pēc FM aprēķiniem </w:t>
      </w:r>
      <w:r w:rsidR="00E12228">
        <w:rPr>
          <w:rFonts w:cs="Times New Roman"/>
          <w:szCs w:val="24"/>
        </w:rPr>
        <w:t xml:space="preserve">šī atvieglojuma </w:t>
      </w:r>
      <w:r w:rsidRPr="00E12228">
        <w:rPr>
          <w:rFonts w:cs="Times New Roman"/>
          <w:szCs w:val="24"/>
        </w:rPr>
        <w:t>ikgadējā ietekme varētu būt aptuveni -1</w:t>
      </w:r>
      <w:r w:rsidR="00BC1E83" w:rsidRPr="00E12228">
        <w:rPr>
          <w:rFonts w:cs="Times New Roman"/>
          <w:szCs w:val="24"/>
        </w:rPr>
        <w:t xml:space="preserve">9 </w:t>
      </w:r>
      <w:proofErr w:type="spellStart"/>
      <w:r w:rsidR="00BC1E83" w:rsidRPr="00E12228">
        <w:rPr>
          <w:rFonts w:cs="Times New Roman"/>
          <w:szCs w:val="24"/>
        </w:rPr>
        <w:t>milj</w:t>
      </w:r>
      <w:proofErr w:type="spellEnd"/>
      <w:r w:rsidR="00BC1E83" w:rsidRPr="00E12228">
        <w:rPr>
          <w:rFonts w:cs="Times New Roman"/>
          <w:szCs w:val="24"/>
        </w:rPr>
        <w:t>. latu gadā laika periodā</w:t>
      </w:r>
      <w:r w:rsidRPr="00E12228">
        <w:rPr>
          <w:rFonts w:cs="Times New Roman"/>
          <w:szCs w:val="24"/>
        </w:rPr>
        <w:t xml:space="preserve"> līdz 2020.gadam</w:t>
      </w:r>
      <w:r w:rsidR="00265455" w:rsidRPr="00E12228">
        <w:rPr>
          <w:rFonts w:cs="Times New Roman"/>
          <w:szCs w:val="24"/>
        </w:rPr>
        <w:t xml:space="preserve"> (</w:t>
      </w:r>
      <w:r w:rsidR="00D27CB9" w:rsidRPr="00E12228">
        <w:rPr>
          <w:rFonts w:cs="Times New Roman"/>
          <w:szCs w:val="24"/>
        </w:rPr>
        <w:t>5</w:t>
      </w:r>
      <w:r w:rsidR="00265455" w:rsidRPr="00E12228">
        <w:rPr>
          <w:rFonts w:cs="Times New Roman"/>
          <w:szCs w:val="24"/>
        </w:rPr>
        <w:t>.att.)</w:t>
      </w:r>
      <w:r w:rsidR="00E12228">
        <w:rPr>
          <w:rFonts w:cs="Times New Roman"/>
          <w:szCs w:val="24"/>
        </w:rPr>
        <w:t>, kas ir ietverts pašreizējā UIN ieņēmumu bāzē.</w:t>
      </w:r>
      <w:r w:rsidR="009873ED" w:rsidRPr="00E12228">
        <w:rPr>
          <w:rFonts w:cs="Times New Roman"/>
          <w:szCs w:val="24"/>
        </w:rPr>
        <w:t xml:space="preserve"> Ja atbalsta intensitāte </w:t>
      </w:r>
      <w:r w:rsidR="00E12228">
        <w:rPr>
          <w:rFonts w:cs="Times New Roman"/>
          <w:szCs w:val="24"/>
        </w:rPr>
        <w:t>tiktu samazināta, attiecīgi samazinātos</w:t>
      </w:r>
      <w:r w:rsidR="009873ED" w:rsidRPr="00E12228">
        <w:rPr>
          <w:rFonts w:cs="Times New Roman"/>
          <w:szCs w:val="24"/>
        </w:rPr>
        <w:t xml:space="preserve"> arī atvieglojuma fiskālā ietekme, piemērojot sa</w:t>
      </w:r>
      <w:r w:rsidR="00C20330" w:rsidRPr="00E12228">
        <w:rPr>
          <w:rFonts w:cs="Times New Roman"/>
          <w:szCs w:val="24"/>
        </w:rPr>
        <w:t xml:space="preserve">mazinātu </w:t>
      </w:r>
      <w:r w:rsidR="00E12228">
        <w:rPr>
          <w:rFonts w:cs="Times New Roman"/>
          <w:szCs w:val="24"/>
        </w:rPr>
        <w:t xml:space="preserve">koeficientu 1,4 līdz </w:t>
      </w:r>
      <w:r w:rsidR="00C20330" w:rsidRPr="00E12228">
        <w:rPr>
          <w:rFonts w:cs="Times New Roman"/>
          <w:szCs w:val="24"/>
        </w:rPr>
        <w:t>-</w:t>
      </w:r>
      <w:r w:rsidR="009873ED" w:rsidRPr="00E12228">
        <w:rPr>
          <w:rFonts w:cs="Times New Roman"/>
          <w:szCs w:val="24"/>
        </w:rPr>
        <w:t xml:space="preserve">15,2 </w:t>
      </w:r>
      <w:proofErr w:type="spellStart"/>
      <w:r w:rsidR="009873ED" w:rsidRPr="00E12228">
        <w:rPr>
          <w:rFonts w:cs="Times New Roman"/>
          <w:szCs w:val="24"/>
        </w:rPr>
        <w:t>milj</w:t>
      </w:r>
      <w:proofErr w:type="spellEnd"/>
      <w:r w:rsidR="009873ED" w:rsidRPr="00E12228">
        <w:rPr>
          <w:rFonts w:cs="Times New Roman"/>
          <w:szCs w:val="24"/>
        </w:rPr>
        <w:t>. latu gadā</w:t>
      </w:r>
      <w:r w:rsidR="00E12228">
        <w:rPr>
          <w:rFonts w:cs="Times New Roman"/>
          <w:szCs w:val="24"/>
        </w:rPr>
        <w:t>, bet</w:t>
      </w:r>
      <w:r w:rsidR="009873ED" w:rsidRPr="00E12228">
        <w:rPr>
          <w:rFonts w:cs="Times New Roman"/>
          <w:szCs w:val="24"/>
        </w:rPr>
        <w:t xml:space="preserve"> </w:t>
      </w:r>
      <w:r w:rsidR="00C20330" w:rsidRPr="00E12228">
        <w:rPr>
          <w:rFonts w:cs="Times New Roman"/>
          <w:szCs w:val="24"/>
        </w:rPr>
        <w:t xml:space="preserve">koeficientu 1,3 </w:t>
      </w:r>
      <w:r w:rsidR="00E12228">
        <w:rPr>
          <w:rFonts w:cs="Times New Roman"/>
          <w:szCs w:val="24"/>
        </w:rPr>
        <w:t xml:space="preserve">līdz </w:t>
      </w:r>
      <w:r w:rsidR="00C20330" w:rsidRPr="00E12228">
        <w:rPr>
          <w:rFonts w:cs="Times New Roman"/>
          <w:szCs w:val="24"/>
        </w:rPr>
        <w:t>-</w:t>
      </w:r>
      <w:r w:rsidR="009873ED" w:rsidRPr="00E12228">
        <w:rPr>
          <w:rFonts w:cs="Times New Roman"/>
          <w:szCs w:val="24"/>
        </w:rPr>
        <w:t xml:space="preserve">11,4 </w:t>
      </w:r>
      <w:proofErr w:type="spellStart"/>
      <w:r w:rsidR="009873ED" w:rsidRPr="00E12228">
        <w:rPr>
          <w:rFonts w:cs="Times New Roman"/>
          <w:szCs w:val="24"/>
        </w:rPr>
        <w:t>milj</w:t>
      </w:r>
      <w:proofErr w:type="spellEnd"/>
      <w:r w:rsidR="009873ED" w:rsidRPr="00E12228">
        <w:rPr>
          <w:rFonts w:cs="Times New Roman"/>
          <w:szCs w:val="24"/>
        </w:rPr>
        <w:t>. latu gadā.</w:t>
      </w:r>
    </w:p>
    <w:p w:rsidR="00A3094D" w:rsidRPr="00585F58" w:rsidRDefault="00A3094D" w:rsidP="00A3094D">
      <w:pPr>
        <w:spacing w:after="0" w:line="240" w:lineRule="auto"/>
        <w:jc w:val="both"/>
        <w:rPr>
          <w:rFonts w:cs="Times New Roman"/>
          <w:szCs w:val="24"/>
        </w:rPr>
      </w:pPr>
    </w:p>
    <w:p w:rsidR="00515B2A" w:rsidRPr="00585F58" w:rsidRDefault="00515B2A" w:rsidP="00A3094D">
      <w:pPr>
        <w:spacing w:after="0" w:line="240" w:lineRule="auto"/>
        <w:jc w:val="both"/>
        <w:rPr>
          <w:rFonts w:cs="Times New Roman"/>
          <w:szCs w:val="24"/>
        </w:rPr>
      </w:pPr>
    </w:p>
    <w:p w:rsidR="000E3B2B" w:rsidRPr="00585F58" w:rsidRDefault="000E3B2B" w:rsidP="001327C6">
      <w:pPr>
        <w:pStyle w:val="ListParagraph"/>
        <w:numPr>
          <w:ilvl w:val="0"/>
          <w:numId w:val="4"/>
        </w:numPr>
        <w:spacing w:line="20" w:lineRule="atLeast"/>
        <w:jc w:val="both"/>
        <w:rPr>
          <w:rFonts w:cs="Times New Roman"/>
          <w:b/>
          <w:sz w:val="28"/>
          <w:szCs w:val="28"/>
          <w:u w:val="single"/>
        </w:rPr>
      </w:pPr>
      <w:r w:rsidRPr="00585F58">
        <w:rPr>
          <w:rFonts w:cs="Times New Roman"/>
          <w:b/>
          <w:sz w:val="28"/>
          <w:szCs w:val="28"/>
          <w:u w:val="single"/>
        </w:rPr>
        <w:t>Atlaide īstenojot atbalstāmo investīciju projektu</w:t>
      </w:r>
    </w:p>
    <w:p w:rsidR="00C97978" w:rsidRPr="00585F58" w:rsidRDefault="00C97978" w:rsidP="00A3094D">
      <w:pPr>
        <w:spacing w:after="0" w:line="240" w:lineRule="auto"/>
        <w:ind w:firstLine="720"/>
        <w:jc w:val="both"/>
        <w:rPr>
          <w:rFonts w:cs="Times New Roman"/>
          <w:i/>
          <w:szCs w:val="24"/>
          <w:u w:val="single"/>
        </w:rPr>
      </w:pPr>
      <w:r w:rsidRPr="00585F58">
        <w:rPr>
          <w:rFonts w:cs="Times New Roman"/>
          <w:i/>
          <w:szCs w:val="24"/>
          <w:u w:val="single"/>
        </w:rPr>
        <w:t>Atlaide īstenojot atbalstāmo inv</w:t>
      </w:r>
      <w:r w:rsidR="00B0199A" w:rsidRPr="00585F58">
        <w:rPr>
          <w:rFonts w:cs="Times New Roman"/>
          <w:i/>
          <w:szCs w:val="24"/>
          <w:u w:val="single"/>
        </w:rPr>
        <w:t>estīciju projektu (likuma „Par u</w:t>
      </w:r>
      <w:r w:rsidRPr="00585F58">
        <w:rPr>
          <w:rFonts w:cs="Times New Roman"/>
          <w:i/>
          <w:szCs w:val="24"/>
          <w:u w:val="single"/>
        </w:rPr>
        <w:t>zņēmumu ienākuma nodokli” 17.² pants)</w:t>
      </w:r>
    </w:p>
    <w:p w:rsidR="00A3094D" w:rsidRPr="00585F58" w:rsidRDefault="00A3094D" w:rsidP="00A3094D">
      <w:pPr>
        <w:spacing w:after="0" w:line="240" w:lineRule="auto"/>
        <w:ind w:firstLine="720"/>
        <w:jc w:val="both"/>
        <w:rPr>
          <w:rFonts w:cs="Times New Roman"/>
          <w:szCs w:val="24"/>
        </w:rPr>
      </w:pPr>
      <w:r w:rsidRPr="00585F58">
        <w:rPr>
          <w:rFonts w:cs="Times New Roman"/>
          <w:szCs w:val="24"/>
        </w:rPr>
        <w:t>Lai veicināt</w:t>
      </w:r>
      <w:r w:rsidR="006C6E84" w:rsidRPr="00585F58">
        <w:rPr>
          <w:rFonts w:cs="Times New Roman"/>
          <w:szCs w:val="24"/>
        </w:rPr>
        <w:t>u ekonomikas ātrāku atveseļošanos</w:t>
      </w:r>
      <w:r w:rsidRPr="00585F58">
        <w:rPr>
          <w:rFonts w:cs="Times New Roman"/>
          <w:szCs w:val="24"/>
        </w:rPr>
        <w:t xml:space="preserve">, piesaistot Latvijai lielās investīcijas, 2011.gada 1.janvārī stājās spēkā grozījumi likumā „Par uzņēmumu ienākuma nodokli”, kas </w:t>
      </w:r>
      <w:r w:rsidR="00EB635B">
        <w:rPr>
          <w:rFonts w:cs="Times New Roman"/>
          <w:szCs w:val="24"/>
        </w:rPr>
        <w:t>noteica</w:t>
      </w:r>
      <w:r w:rsidRPr="00585F58">
        <w:rPr>
          <w:rFonts w:cs="Times New Roman"/>
          <w:szCs w:val="24"/>
        </w:rPr>
        <w:t xml:space="preserve"> UIN atlaidi par atbalstāmo investīciju projekta ietvaros veiktajiem sākotnējiem ilgtermiņa ieguldījumiem, kas nodrošina jaunas darbības uzsākšanu vai jaunu (būtiski uzlabotu) produktu ražošanu. Min</w:t>
      </w:r>
      <w:r w:rsidR="00674A73" w:rsidRPr="00585F58">
        <w:rPr>
          <w:rFonts w:cs="Times New Roman"/>
          <w:szCs w:val="24"/>
        </w:rPr>
        <w:t xml:space="preserve">ētā nodokļa atlaide </w:t>
      </w:r>
      <w:r w:rsidRPr="00585F58">
        <w:rPr>
          <w:rFonts w:cs="Times New Roman"/>
          <w:szCs w:val="24"/>
        </w:rPr>
        <w:t>ir spēkā līdz 2013.gada 31.decembrim</w:t>
      </w:r>
      <w:r w:rsidR="00B0199A" w:rsidRPr="00585F58">
        <w:rPr>
          <w:rFonts w:cs="Times New Roman"/>
          <w:szCs w:val="24"/>
        </w:rPr>
        <w:t>, bet projekti, kuri tiks minētajā laikā atbalstīti, varēs tikt īstenoti līdz 2018.gadam un atlaidi piemērot pēc projekta īstenošanas pabeigšanas</w:t>
      </w:r>
      <w:r w:rsidRPr="00585F58">
        <w:rPr>
          <w:rFonts w:cs="Times New Roman"/>
          <w:szCs w:val="24"/>
        </w:rPr>
        <w:t>.</w:t>
      </w:r>
    </w:p>
    <w:p w:rsidR="00A3094D" w:rsidRPr="00585F58" w:rsidRDefault="00A3094D" w:rsidP="00A3094D">
      <w:pPr>
        <w:spacing w:after="0" w:line="240" w:lineRule="auto"/>
        <w:ind w:firstLine="720"/>
        <w:jc w:val="both"/>
        <w:rPr>
          <w:rFonts w:cs="Times New Roman"/>
          <w:szCs w:val="24"/>
        </w:rPr>
      </w:pPr>
      <w:r w:rsidRPr="00585F58">
        <w:rPr>
          <w:rFonts w:cs="Times New Roman"/>
          <w:szCs w:val="24"/>
        </w:rPr>
        <w:t>Saskaņā ar likuma „Par uzņēmumu ienākuma nodokli” 17.</w:t>
      </w:r>
      <w:r w:rsidRPr="00585F58">
        <w:rPr>
          <w:rFonts w:cs="Times New Roman"/>
          <w:szCs w:val="24"/>
          <w:vertAlign w:val="superscript"/>
        </w:rPr>
        <w:t>2</w:t>
      </w:r>
      <w:r w:rsidRPr="00585F58">
        <w:rPr>
          <w:rFonts w:cs="Times New Roman"/>
          <w:szCs w:val="24"/>
        </w:rPr>
        <w:t xml:space="preserve"> pantā noteikto regulējumu nodokļu maksātājiem ir tiesības par atbalstāmo investīciju projekta ietvaros veiktajiem sākotnējiem ilgtermiņa ieguldījumiem piemērot nodokļa atlaidi 25% apmērā no kopējās sākotnējās ilgtermiņa ieguldījumu summas līdz 35 </w:t>
      </w:r>
      <w:proofErr w:type="spellStart"/>
      <w:r w:rsidRPr="00585F58">
        <w:rPr>
          <w:rFonts w:cs="Times New Roman"/>
          <w:szCs w:val="24"/>
        </w:rPr>
        <w:t>milj</w:t>
      </w:r>
      <w:proofErr w:type="spellEnd"/>
      <w:r w:rsidRPr="00585F58">
        <w:rPr>
          <w:rFonts w:cs="Times New Roman"/>
          <w:szCs w:val="24"/>
        </w:rPr>
        <w:t xml:space="preserve">. latu un 15% apmērā no kopējās sākotnējās ilgtermiņa ieguldījumu summas daļai, kas pārsniedz 35 </w:t>
      </w:r>
      <w:proofErr w:type="spellStart"/>
      <w:r w:rsidRPr="00585F58">
        <w:rPr>
          <w:rFonts w:cs="Times New Roman"/>
          <w:szCs w:val="24"/>
        </w:rPr>
        <w:t>milj</w:t>
      </w:r>
      <w:proofErr w:type="spellEnd"/>
      <w:r w:rsidRPr="00585F58">
        <w:rPr>
          <w:rFonts w:cs="Times New Roman"/>
          <w:szCs w:val="24"/>
        </w:rPr>
        <w:t>. latu.</w:t>
      </w:r>
    </w:p>
    <w:p w:rsidR="00B0199A" w:rsidRPr="00585F58" w:rsidRDefault="00B0199A" w:rsidP="00B0199A">
      <w:pPr>
        <w:pStyle w:val="naisf"/>
        <w:tabs>
          <w:tab w:val="left" w:pos="0"/>
          <w:tab w:val="left" w:pos="851"/>
        </w:tabs>
        <w:spacing w:before="0" w:beforeAutospacing="0" w:after="0" w:afterAutospacing="0" w:line="20" w:lineRule="atLeast"/>
        <w:ind w:firstLine="709"/>
        <w:rPr>
          <w:rFonts w:ascii="Times New Roman" w:eastAsia="Times New Roman" w:hAnsi="Times New Roman" w:cs="Times New Roman"/>
          <w:bCs/>
          <w:lang w:val="lv-LV" w:eastAsia="lv-LV"/>
        </w:rPr>
      </w:pPr>
      <w:r w:rsidRPr="00585F58">
        <w:rPr>
          <w:rFonts w:ascii="Times New Roman" w:hAnsi="Times New Roman" w:cs="Times New Roman"/>
          <w:lang w:val="lv-LV"/>
        </w:rPr>
        <w:t>Nodokļa atlaide ir piemērojama tikai noteiktās atbalstāmajās prioritārajās nozarēs</w:t>
      </w:r>
      <w:r w:rsidRPr="00585F58">
        <w:rPr>
          <w:rFonts w:cs="Times New Roman"/>
          <w:lang w:val="lv-LV"/>
        </w:rPr>
        <w:t xml:space="preserve"> </w:t>
      </w:r>
      <w:r w:rsidRPr="00585F58">
        <w:rPr>
          <w:rFonts w:ascii="Times New Roman" w:hAnsi="Times New Roman" w:cs="Times New Roman"/>
          <w:lang w:val="lv-LV"/>
        </w:rPr>
        <w:t>ar augstu eksporta potenciālu vai nozīmīgu ieguldījumu pievienotās vērtības un eksporta pieaugumā (atbilstoši 2009.gadā noteiktajām valsts prioritātēm vidējā termiņā)</w:t>
      </w:r>
      <w:r w:rsidRPr="00585F58">
        <w:rPr>
          <w:rFonts w:ascii="Times New Roman" w:eastAsia="Times New Roman" w:hAnsi="Times New Roman" w:cs="Times New Roman"/>
          <w:bCs/>
          <w:lang w:val="lv-LV" w:eastAsia="lv-LV"/>
        </w:rPr>
        <w:t>:</w:t>
      </w:r>
    </w:p>
    <w:p w:rsidR="00A3094D" w:rsidRPr="00585F58" w:rsidRDefault="00A3094D" w:rsidP="00A3094D">
      <w:pPr>
        <w:pStyle w:val="naisf"/>
        <w:tabs>
          <w:tab w:val="left" w:pos="0"/>
          <w:tab w:val="left" w:pos="851"/>
        </w:tabs>
        <w:spacing w:before="0" w:beforeAutospacing="0" w:after="0" w:afterAutospacing="0" w:line="20" w:lineRule="atLeast"/>
        <w:ind w:firstLine="709"/>
        <w:rPr>
          <w:rFonts w:ascii="Times New Roman" w:eastAsia="Times New Roman" w:hAnsi="Times New Roman" w:cs="Times New Roman"/>
          <w:bCs/>
          <w:lang w:val="lv-LV" w:eastAsia="lv-LV"/>
        </w:rPr>
      </w:pPr>
      <w:r w:rsidRPr="00585F58">
        <w:rPr>
          <w:rFonts w:ascii="Times New Roman" w:eastAsia="Times New Roman" w:hAnsi="Times New Roman" w:cs="Times New Roman"/>
          <w:bCs/>
          <w:lang w:val="lv-LV" w:eastAsia="lv-LV"/>
        </w:rPr>
        <w:t>1) pārtika</w:t>
      </w:r>
      <w:r w:rsidR="00BC1E83" w:rsidRPr="00585F58">
        <w:rPr>
          <w:rFonts w:ascii="Times New Roman" w:eastAsia="Times New Roman" w:hAnsi="Times New Roman" w:cs="Times New Roman"/>
          <w:bCs/>
          <w:lang w:val="lv-LV" w:eastAsia="lv-LV"/>
        </w:rPr>
        <w:t>s produktu ražošanā</w:t>
      </w:r>
      <w:r w:rsidRPr="00585F58">
        <w:rPr>
          <w:rFonts w:ascii="Times New Roman" w:eastAsia="Times New Roman" w:hAnsi="Times New Roman" w:cs="Times New Roman"/>
          <w:bCs/>
          <w:lang w:val="lv-LV" w:eastAsia="lv-LV"/>
        </w:rPr>
        <w:t xml:space="preserve"> (NACE C10);</w:t>
      </w:r>
    </w:p>
    <w:p w:rsidR="00A3094D" w:rsidRPr="00585F58" w:rsidRDefault="00A3094D" w:rsidP="00A3094D">
      <w:pPr>
        <w:pStyle w:val="naisf"/>
        <w:tabs>
          <w:tab w:val="left" w:pos="0"/>
          <w:tab w:val="left" w:pos="851"/>
        </w:tabs>
        <w:spacing w:before="0" w:beforeAutospacing="0" w:after="0" w:afterAutospacing="0" w:line="20" w:lineRule="atLeast"/>
        <w:ind w:firstLine="709"/>
        <w:rPr>
          <w:rFonts w:ascii="Times New Roman" w:eastAsia="Times New Roman" w:hAnsi="Times New Roman" w:cs="Times New Roman"/>
          <w:bCs/>
          <w:lang w:val="lv-LV" w:eastAsia="lv-LV"/>
        </w:rPr>
      </w:pPr>
      <w:r w:rsidRPr="00585F58">
        <w:rPr>
          <w:rFonts w:ascii="Times New Roman" w:eastAsia="Times New Roman" w:hAnsi="Times New Roman" w:cs="Times New Roman"/>
          <w:bCs/>
          <w:lang w:val="lv-LV" w:eastAsia="lv-LV"/>
        </w:rPr>
        <w:t>2</w:t>
      </w:r>
      <w:r w:rsidR="00BC1E83" w:rsidRPr="00585F58">
        <w:rPr>
          <w:rFonts w:ascii="Times New Roman" w:eastAsia="Times New Roman" w:hAnsi="Times New Roman" w:cs="Times New Roman"/>
          <w:bCs/>
          <w:lang w:val="lv-LV" w:eastAsia="lv-LV"/>
        </w:rPr>
        <w:t>) dzērienu ražošanā</w:t>
      </w:r>
      <w:r w:rsidRPr="00585F58">
        <w:rPr>
          <w:rFonts w:ascii="Times New Roman" w:eastAsia="Times New Roman" w:hAnsi="Times New Roman" w:cs="Times New Roman"/>
          <w:bCs/>
          <w:lang w:val="lv-LV" w:eastAsia="lv-LV"/>
        </w:rPr>
        <w:t xml:space="preserve"> (NACE C11);</w:t>
      </w:r>
    </w:p>
    <w:p w:rsidR="00A3094D" w:rsidRPr="00585F58" w:rsidRDefault="00A3094D" w:rsidP="00A3094D">
      <w:pPr>
        <w:pStyle w:val="naisf"/>
        <w:tabs>
          <w:tab w:val="left" w:pos="0"/>
          <w:tab w:val="left" w:pos="851"/>
        </w:tabs>
        <w:spacing w:before="0" w:beforeAutospacing="0" w:after="0" w:afterAutospacing="0" w:line="20" w:lineRule="atLeast"/>
        <w:ind w:firstLine="709"/>
        <w:rPr>
          <w:rFonts w:ascii="Times New Roman" w:eastAsia="Times New Roman" w:hAnsi="Times New Roman" w:cs="Times New Roman"/>
          <w:bCs/>
          <w:lang w:val="lv-LV" w:eastAsia="lv-LV"/>
        </w:rPr>
      </w:pPr>
      <w:r w:rsidRPr="00585F58">
        <w:rPr>
          <w:rFonts w:ascii="Times New Roman" w:eastAsia="Times New Roman" w:hAnsi="Times New Roman" w:cs="Times New Roman"/>
          <w:bCs/>
          <w:lang w:val="lv-LV" w:eastAsia="lv-LV"/>
        </w:rPr>
        <w:t>3) koksnes, koka un korķa izstrādājumu ražošana, izņemot mēbeļu ražošanu; salmu un pīto iz</w:t>
      </w:r>
      <w:r w:rsidR="00BC1E83" w:rsidRPr="00585F58">
        <w:rPr>
          <w:rFonts w:ascii="Times New Roman" w:eastAsia="Times New Roman" w:hAnsi="Times New Roman" w:cs="Times New Roman"/>
          <w:bCs/>
          <w:lang w:val="lv-LV" w:eastAsia="lv-LV"/>
        </w:rPr>
        <w:t>strādājumu ražošanā</w:t>
      </w:r>
      <w:r w:rsidRPr="00585F58">
        <w:rPr>
          <w:rFonts w:ascii="Times New Roman" w:eastAsia="Times New Roman" w:hAnsi="Times New Roman" w:cs="Times New Roman"/>
          <w:bCs/>
          <w:lang w:val="lv-LV" w:eastAsia="lv-LV"/>
        </w:rPr>
        <w:t xml:space="preserve"> (NACE C16);</w:t>
      </w:r>
    </w:p>
    <w:p w:rsidR="00A3094D" w:rsidRPr="00585F58" w:rsidRDefault="00A3094D" w:rsidP="00A3094D">
      <w:pPr>
        <w:pStyle w:val="naisf"/>
        <w:tabs>
          <w:tab w:val="left" w:pos="0"/>
          <w:tab w:val="left" w:pos="851"/>
        </w:tabs>
        <w:spacing w:before="0" w:beforeAutospacing="0" w:after="0" w:afterAutospacing="0" w:line="20" w:lineRule="atLeast"/>
        <w:ind w:firstLine="709"/>
        <w:rPr>
          <w:rFonts w:ascii="Times New Roman" w:eastAsia="Times New Roman" w:hAnsi="Times New Roman" w:cs="Times New Roman"/>
          <w:bCs/>
          <w:lang w:val="lv-LV" w:eastAsia="lv-LV"/>
        </w:rPr>
      </w:pPr>
      <w:r w:rsidRPr="00585F58">
        <w:rPr>
          <w:rFonts w:ascii="Times New Roman" w:eastAsia="Times New Roman" w:hAnsi="Times New Roman" w:cs="Times New Roman"/>
          <w:bCs/>
          <w:lang w:val="lv-LV" w:eastAsia="lv-LV"/>
        </w:rPr>
        <w:t>4) ķīmisko vi</w:t>
      </w:r>
      <w:r w:rsidR="00BC1E83" w:rsidRPr="00585F58">
        <w:rPr>
          <w:rFonts w:ascii="Times New Roman" w:eastAsia="Times New Roman" w:hAnsi="Times New Roman" w:cs="Times New Roman"/>
          <w:bCs/>
          <w:lang w:val="lv-LV" w:eastAsia="lv-LV"/>
        </w:rPr>
        <w:t>elu un ķīmisko produktu ražošanā</w:t>
      </w:r>
      <w:r w:rsidRPr="00585F58">
        <w:rPr>
          <w:rFonts w:ascii="Times New Roman" w:eastAsia="Times New Roman" w:hAnsi="Times New Roman" w:cs="Times New Roman"/>
          <w:bCs/>
          <w:lang w:val="lv-LV" w:eastAsia="lv-LV"/>
        </w:rPr>
        <w:t xml:space="preserve"> (NACE C20), izņemot sintētisko</w:t>
      </w:r>
      <w:r w:rsidR="00BC1E83" w:rsidRPr="00585F58">
        <w:rPr>
          <w:rFonts w:ascii="Times New Roman" w:eastAsia="Times New Roman" w:hAnsi="Times New Roman" w:cs="Times New Roman"/>
          <w:bCs/>
          <w:lang w:val="lv-LV" w:eastAsia="lv-LV"/>
        </w:rPr>
        <w:t xml:space="preserve"> šķiedru ražošanu</w:t>
      </w:r>
      <w:r w:rsidRPr="00585F58">
        <w:rPr>
          <w:rFonts w:ascii="Times New Roman" w:eastAsia="Times New Roman" w:hAnsi="Times New Roman" w:cs="Times New Roman"/>
          <w:bCs/>
          <w:lang w:val="lv-LV" w:eastAsia="lv-LV"/>
        </w:rPr>
        <w:t xml:space="preserve"> (NACE C20.6);</w:t>
      </w:r>
    </w:p>
    <w:p w:rsidR="00A3094D" w:rsidRPr="00585F58" w:rsidRDefault="00A3094D" w:rsidP="00A3094D">
      <w:pPr>
        <w:pStyle w:val="naisf"/>
        <w:tabs>
          <w:tab w:val="left" w:pos="0"/>
          <w:tab w:val="left" w:pos="851"/>
        </w:tabs>
        <w:spacing w:before="0" w:beforeAutospacing="0" w:after="0" w:afterAutospacing="0" w:line="20" w:lineRule="atLeast"/>
        <w:ind w:firstLine="709"/>
        <w:rPr>
          <w:rFonts w:ascii="Times New Roman" w:eastAsia="Times New Roman" w:hAnsi="Times New Roman" w:cs="Times New Roman"/>
          <w:bCs/>
          <w:lang w:val="lv-LV" w:eastAsia="lv-LV"/>
        </w:rPr>
      </w:pPr>
      <w:r w:rsidRPr="00585F58">
        <w:rPr>
          <w:rFonts w:ascii="Times New Roman" w:eastAsia="Times New Roman" w:hAnsi="Times New Roman" w:cs="Times New Roman"/>
          <w:bCs/>
          <w:lang w:val="lv-LV" w:eastAsia="lv-LV"/>
        </w:rPr>
        <w:t>5) farmaceitisko pamatvielu un farmaceitisko</w:t>
      </w:r>
      <w:r w:rsidR="00BC1E83" w:rsidRPr="00585F58">
        <w:rPr>
          <w:rFonts w:ascii="Times New Roman" w:eastAsia="Times New Roman" w:hAnsi="Times New Roman" w:cs="Times New Roman"/>
          <w:bCs/>
          <w:lang w:val="lv-LV" w:eastAsia="lv-LV"/>
        </w:rPr>
        <w:t xml:space="preserve"> preparātu ražošanā</w:t>
      </w:r>
      <w:r w:rsidRPr="00585F58">
        <w:rPr>
          <w:rFonts w:ascii="Times New Roman" w:eastAsia="Times New Roman" w:hAnsi="Times New Roman" w:cs="Times New Roman"/>
          <w:bCs/>
          <w:lang w:val="lv-LV" w:eastAsia="lv-LV"/>
        </w:rPr>
        <w:t xml:space="preserve"> (NACE C21);</w:t>
      </w:r>
    </w:p>
    <w:p w:rsidR="00A3094D" w:rsidRPr="00585F58" w:rsidRDefault="00A3094D" w:rsidP="00A3094D">
      <w:pPr>
        <w:pStyle w:val="naisf"/>
        <w:tabs>
          <w:tab w:val="left" w:pos="0"/>
          <w:tab w:val="left" w:pos="851"/>
        </w:tabs>
        <w:spacing w:before="0" w:beforeAutospacing="0" w:after="0" w:afterAutospacing="0" w:line="20" w:lineRule="atLeast"/>
        <w:ind w:firstLine="709"/>
        <w:rPr>
          <w:rFonts w:ascii="Times New Roman" w:eastAsia="Times New Roman" w:hAnsi="Times New Roman" w:cs="Times New Roman"/>
          <w:bCs/>
          <w:lang w:val="lv-LV" w:eastAsia="lv-LV"/>
        </w:rPr>
      </w:pPr>
      <w:r w:rsidRPr="00585F58">
        <w:rPr>
          <w:rFonts w:ascii="Times New Roman" w:eastAsia="Times New Roman" w:hAnsi="Times New Roman" w:cs="Times New Roman"/>
          <w:bCs/>
          <w:lang w:val="lv-LV" w:eastAsia="lv-LV"/>
        </w:rPr>
        <w:t>6) gumijas un plastmasas iz</w:t>
      </w:r>
      <w:r w:rsidR="00BC1E83" w:rsidRPr="00585F58">
        <w:rPr>
          <w:rFonts w:ascii="Times New Roman" w:eastAsia="Times New Roman" w:hAnsi="Times New Roman" w:cs="Times New Roman"/>
          <w:bCs/>
          <w:lang w:val="lv-LV" w:eastAsia="lv-LV"/>
        </w:rPr>
        <w:t>strādājumu ražošanā</w:t>
      </w:r>
      <w:r w:rsidRPr="00585F58">
        <w:rPr>
          <w:rFonts w:ascii="Times New Roman" w:eastAsia="Times New Roman" w:hAnsi="Times New Roman" w:cs="Times New Roman"/>
          <w:bCs/>
          <w:lang w:val="lv-LV" w:eastAsia="lv-LV"/>
        </w:rPr>
        <w:t xml:space="preserve"> (NACE C22);</w:t>
      </w:r>
    </w:p>
    <w:p w:rsidR="00A3094D" w:rsidRPr="00585F58" w:rsidRDefault="00BC1E83" w:rsidP="00A3094D">
      <w:pPr>
        <w:pStyle w:val="naisf"/>
        <w:tabs>
          <w:tab w:val="left" w:pos="0"/>
          <w:tab w:val="left" w:pos="851"/>
        </w:tabs>
        <w:spacing w:before="0" w:beforeAutospacing="0" w:after="0" w:afterAutospacing="0" w:line="20" w:lineRule="atLeast"/>
        <w:ind w:firstLine="709"/>
        <w:rPr>
          <w:rFonts w:ascii="Times New Roman" w:eastAsia="Times New Roman" w:hAnsi="Times New Roman" w:cs="Times New Roman"/>
          <w:bCs/>
          <w:lang w:val="lv-LV" w:eastAsia="lv-LV"/>
        </w:rPr>
      </w:pPr>
      <w:r w:rsidRPr="00585F58">
        <w:rPr>
          <w:rFonts w:ascii="Times New Roman" w:eastAsia="Times New Roman" w:hAnsi="Times New Roman" w:cs="Times New Roman"/>
          <w:bCs/>
          <w:lang w:val="lv-LV" w:eastAsia="lv-LV"/>
        </w:rPr>
        <w:t>7) metālu ražošanā</w:t>
      </w:r>
      <w:r w:rsidR="00A3094D" w:rsidRPr="00585F58">
        <w:rPr>
          <w:rFonts w:ascii="Times New Roman" w:eastAsia="Times New Roman" w:hAnsi="Times New Roman" w:cs="Times New Roman"/>
          <w:bCs/>
          <w:lang w:val="lv-LV" w:eastAsia="lv-LV"/>
        </w:rPr>
        <w:t xml:space="preserve"> (NACE C24), izņemot tērauda rūpniecības produktu ražošanu;</w:t>
      </w:r>
    </w:p>
    <w:p w:rsidR="00A3094D" w:rsidRPr="00585F58" w:rsidRDefault="00A3094D" w:rsidP="00A3094D">
      <w:pPr>
        <w:pStyle w:val="naisf"/>
        <w:tabs>
          <w:tab w:val="left" w:pos="0"/>
          <w:tab w:val="left" w:pos="851"/>
        </w:tabs>
        <w:spacing w:before="0" w:beforeAutospacing="0" w:after="0" w:afterAutospacing="0" w:line="20" w:lineRule="atLeast"/>
        <w:ind w:firstLine="709"/>
        <w:rPr>
          <w:rFonts w:ascii="Times New Roman" w:eastAsia="Times New Roman" w:hAnsi="Times New Roman" w:cs="Times New Roman"/>
          <w:bCs/>
          <w:lang w:val="lv-LV" w:eastAsia="lv-LV"/>
        </w:rPr>
      </w:pPr>
      <w:r w:rsidRPr="00585F58">
        <w:rPr>
          <w:rFonts w:ascii="Times New Roman" w:eastAsia="Times New Roman" w:hAnsi="Times New Roman" w:cs="Times New Roman"/>
          <w:bCs/>
          <w:lang w:val="lv-LV" w:eastAsia="lv-LV"/>
        </w:rPr>
        <w:t>8) g</w:t>
      </w:r>
      <w:r w:rsidR="00BC1E83" w:rsidRPr="00585F58">
        <w:rPr>
          <w:rFonts w:ascii="Times New Roman" w:eastAsia="Times New Roman" w:hAnsi="Times New Roman" w:cs="Times New Roman"/>
          <w:bCs/>
          <w:lang w:val="lv-LV" w:eastAsia="lv-LV"/>
        </w:rPr>
        <w:t>atavo metālizstrādājumu ražošanā</w:t>
      </w:r>
      <w:r w:rsidRPr="00585F58">
        <w:rPr>
          <w:rFonts w:ascii="Times New Roman" w:eastAsia="Times New Roman" w:hAnsi="Times New Roman" w:cs="Times New Roman"/>
          <w:bCs/>
          <w:lang w:val="lv-LV" w:eastAsia="lv-LV"/>
        </w:rPr>
        <w:t xml:space="preserve"> (NACE C25), izņemot mašīnu un iekārtu, kā arī ieroču un munīcijas ražošanu (NACE C25.4);</w:t>
      </w:r>
    </w:p>
    <w:p w:rsidR="00A3094D" w:rsidRPr="00585F58" w:rsidRDefault="00A3094D" w:rsidP="00A3094D">
      <w:pPr>
        <w:pStyle w:val="naisf"/>
        <w:tabs>
          <w:tab w:val="left" w:pos="0"/>
          <w:tab w:val="left" w:pos="851"/>
        </w:tabs>
        <w:spacing w:before="0" w:beforeAutospacing="0" w:after="0" w:afterAutospacing="0" w:line="20" w:lineRule="atLeast"/>
        <w:ind w:firstLine="709"/>
        <w:rPr>
          <w:rFonts w:ascii="Times New Roman" w:eastAsia="Times New Roman" w:hAnsi="Times New Roman" w:cs="Times New Roman"/>
          <w:bCs/>
          <w:lang w:val="lv-LV" w:eastAsia="lv-LV"/>
        </w:rPr>
      </w:pPr>
      <w:r w:rsidRPr="00585F58">
        <w:rPr>
          <w:rFonts w:ascii="Times New Roman" w:eastAsia="Times New Roman" w:hAnsi="Times New Roman" w:cs="Times New Roman"/>
          <w:bCs/>
          <w:lang w:val="lv-LV" w:eastAsia="lv-LV"/>
        </w:rPr>
        <w:t>9) datoru, elektronisko un optis</w:t>
      </w:r>
      <w:r w:rsidR="00BC1E83" w:rsidRPr="00585F58">
        <w:rPr>
          <w:rFonts w:ascii="Times New Roman" w:eastAsia="Times New Roman" w:hAnsi="Times New Roman" w:cs="Times New Roman"/>
          <w:bCs/>
          <w:lang w:val="lv-LV" w:eastAsia="lv-LV"/>
        </w:rPr>
        <w:t>ko iekārtu ražošanā</w:t>
      </w:r>
      <w:r w:rsidRPr="00585F58">
        <w:rPr>
          <w:rFonts w:ascii="Times New Roman" w:eastAsia="Times New Roman" w:hAnsi="Times New Roman" w:cs="Times New Roman"/>
          <w:bCs/>
          <w:lang w:val="lv-LV" w:eastAsia="lv-LV"/>
        </w:rPr>
        <w:t xml:space="preserve"> (NACE C26);</w:t>
      </w:r>
    </w:p>
    <w:p w:rsidR="00A3094D" w:rsidRPr="00585F58" w:rsidRDefault="00A3094D" w:rsidP="00A3094D">
      <w:pPr>
        <w:pStyle w:val="naisf"/>
        <w:tabs>
          <w:tab w:val="left" w:pos="0"/>
          <w:tab w:val="left" w:pos="851"/>
        </w:tabs>
        <w:spacing w:before="0" w:beforeAutospacing="0" w:after="0" w:afterAutospacing="0" w:line="20" w:lineRule="atLeast"/>
        <w:ind w:firstLine="709"/>
        <w:rPr>
          <w:rFonts w:ascii="Times New Roman" w:eastAsia="Times New Roman" w:hAnsi="Times New Roman" w:cs="Times New Roman"/>
          <w:bCs/>
          <w:lang w:val="lv-LV" w:eastAsia="lv-LV"/>
        </w:rPr>
      </w:pPr>
      <w:r w:rsidRPr="00585F58">
        <w:rPr>
          <w:rFonts w:ascii="Times New Roman" w:eastAsia="Times New Roman" w:hAnsi="Times New Roman" w:cs="Times New Roman"/>
          <w:bCs/>
          <w:lang w:val="lv-LV" w:eastAsia="lv-LV"/>
        </w:rPr>
        <w:t>10) elektris</w:t>
      </w:r>
      <w:r w:rsidR="00BC1E83" w:rsidRPr="00585F58">
        <w:rPr>
          <w:rFonts w:ascii="Times New Roman" w:eastAsia="Times New Roman" w:hAnsi="Times New Roman" w:cs="Times New Roman"/>
          <w:bCs/>
          <w:lang w:val="lv-LV" w:eastAsia="lv-LV"/>
        </w:rPr>
        <w:t>ko iekārtu ražošanā</w:t>
      </w:r>
      <w:r w:rsidRPr="00585F58">
        <w:rPr>
          <w:rFonts w:ascii="Times New Roman" w:eastAsia="Times New Roman" w:hAnsi="Times New Roman" w:cs="Times New Roman"/>
          <w:bCs/>
          <w:lang w:val="lv-LV" w:eastAsia="lv-LV"/>
        </w:rPr>
        <w:t xml:space="preserve"> (NACE C27);</w:t>
      </w:r>
    </w:p>
    <w:p w:rsidR="00A3094D" w:rsidRPr="00585F58" w:rsidRDefault="00A3094D" w:rsidP="00A3094D">
      <w:pPr>
        <w:pStyle w:val="naisf"/>
        <w:tabs>
          <w:tab w:val="left" w:pos="0"/>
          <w:tab w:val="left" w:pos="851"/>
        </w:tabs>
        <w:spacing w:before="0" w:beforeAutospacing="0" w:after="0" w:afterAutospacing="0" w:line="20" w:lineRule="atLeast"/>
        <w:ind w:firstLine="709"/>
        <w:rPr>
          <w:rFonts w:ascii="Times New Roman" w:eastAsia="Times New Roman" w:hAnsi="Times New Roman" w:cs="Times New Roman"/>
          <w:bCs/>
          <w:lang w:val="lv-LV" w:eastAsia="lv-LV"/>
        </w:rPr>
      </w:pPr>
      <w:r w:rsidRPr="00585F58">
        <w:rPr>
          <w:rFonts w:ascii="Times New Roman" w:eastAsia="Times New Roman" w:hAnsi="Times New Roman" w:cs="Times New Roman"/>
          <w:bCs/>
          <w:lang w:val="lv-LV" w:eastAsia="lv-LV"/>
        </w:rPr>
        <w:lastRenderedPageBreak/>
        <w:t>11) citur neklasificētu iekārtu, me</w:t>
      </w:r>
      <w:r w:rsidR="00BC1E83" w:rsidRPr="00585F58">
        <w:rPr>
          <w:rFonts w:ascii="Times New Roman" w:eastAsia="Times New Roman" w:hAnsi="Times New Roman" w:cs="Times New Roman"/>
          <w:bCs/>
          <w:lang w:val="lv-LV" w:eastAsia="lv-LV"/>
        </w:rPr>
        <w:t>hānismu un darba mašīnu ražošanā</w:t>
      </w:r>
      <w:r w:rsidRPr="00585F58">
        <w:rPr>
          <w:rFonts w:ascii="Times New Roman" w:eastAsia="Times New Roman" w:hAnsi="Times New Roman" w:cs="Times New Roman"/>
          <w:bCs/>
          <w:lang w:val="lv-LV" w:eastAsia="lv-LV"/>
        </w:rPr>
        <w:t xml:space="preserve"> (NACE C28);</w:t>
      </w:r>
    </w:p>
    <w:p w:rsidR="00A3094D" w:rsidRPr="00585F58" w:rsidRDefault="00A3094D" w:rsidP="00A3094D">
      <w:pPr>
        <w:pStyle w:val="naisf"/>
        <w:tabs>
          <w:tab w:val="left" w:pos="0"/>
          <w:tab w:val="left" w:pos="851"/>
        </w:tabs>
        <w:spacing w:before="0" w:beforeAutospacing="0" w:after="0" w:afterAutospacing="0" w:line="20" w:lineRule="atLeast"/>
        <w:ind w:firstLine="709"/>
        <w:rPr>
          <w:rFonts w:ascii="Times New Roman" w:eastAsia="Times New Roman" w:hAnsi="Times New Roman" w:cs="Times New Roman"/>
          <w:bCs/>
          <w:lang w:val="lv-LV" w:eastAsia="lv-LV"/>
        </w:rPr>
      </w:pPr>
      <w:r w:rsidRPr="00585F58">
        <w:rPr>
          <w:rFonts w:ascii="Times New Roman" w:eastAsia="Times New Roman" w:hAnsi="Times New Roman" w:cs="Times New Roman"/>
          <w:bCs/>
          <w:lang w:val="lv-LV" w:eastAsia="lv-LV"/>
        </w:rPr>
        <w:t xml:space="preserve">12) automobiļu, </w:t>
      </w:r>
      <w:r w:rsidR="00BC1E83" w:rsidRPr="00585F58">
        <w:rPr>
          <w:rFonts w:ascii="Times New Roman" w:eastAsia="Times New Roman" w:hAnsi="Times New Roman" w:cs="Times New Roman"/>
          <w:bCs/>
          <w:lang w:val="lv-LV" w:eastAsia="lv-LV"/>
        </w:rPr>
        <w:t>piekabju un puspiekabju ražošanā</w:t>
      </w:r>
      <w:r w:rsidRPr="00585F58">
        <w:rPr>
          <w:rFonts w:ascii="Times New Roman" w:eastAsia="Times New Roman" w:hAnsi="Times New Roman" w:cs="Times New Roman"/>
          <w:bCs/>
          <w:lang w:val="lv-LV" w:eastAsia="lv-LV"/>
        </w:rPr>
        <w:t xml:space="preserve"> (NACE C29);</w:t>
      </w:r>
    </w:p>
    <w:p w:rsidR="00A3094D" w:rsidRPr="00585F58" w:rsidRDefault="00A3094D" w:rsidP="00A3094D">
      <w:pPr>
        <w:pStyle w:val="naisf"/>
        <w:tabs>
          <w:tab w:val="left" w:pos="0"/>
          <w:tab w:val="left" w:pos="851"/>
        </w:tabs>
        <w:spacing w:before="0" w:beforeAutospacing="0" w:after="0" w:afterAutospacing="0" w:line="20" w:lineRule="atLeast"/>
        <w:ind w:firstLine="709"/>
        <w:rPr>
          <w:rFonts w:ascii="Times New Roman" w:eastAsia="Times New Roman" w:hAnsi="Times New Roman" w:cs="Times New Roman"/>
          <w:bCs/>
          <w:lang w:val="lv-LV" w:eastAsia="lv-LV"/>
        </w:rPr>
      </w:pPr>
      <w:r w:rsidRPr="00585F58">
        <w:rPr>
          <w:rFonts w:ascii="Times New Roman" w:eastAsia="Times New Roman" w:hAnsi="Times New Roman" w:cs="Times New Roman"/>
          <w:bCs/>
          <w:lang w:val="lv-LV" w:eastAsia="lv-LV"/>
        </w:rPr>
        <w:t>13)</w:t>
      </w:r>
      <w:r w:rsidR="00BC1E83" w:rsidRPr="00585F58">
        <w:rPr>
          <w:rFonts w:ascii="Times New Roman" w:eastAsia="Times New Roman" w:hAnsi="Times New Roman" w:cs="Times New Roman"/>
          <w:bCs/>
          <w:lang w:val="lv-LV" w:eastAsia="lv-LV"/>
        </w:rPr>
        <w:t xml:space="preserve"> citu transportlīdzekļu ražošanā</w:t>
      </w:r>
      <w:r w:rsidRPr="00585F58">
        <w:rPr>
          <w:rFonts w:ascii="Times New Roman" w:eastAsia="Times New Roman" w:hAnsi="Times New Roman" w:cs="Times New Roman"/>
          <w:bCs/>
          <w:lang w:val="lv-LV" w:eastAsia="lv-LV"/>
        </w:rPr>
        <w:t xml:space="preserve"> (NACE C30), izņemot kuģu un peldošo iekārtu būvi (NACE C30.11);</w:t>
      </w:r>
    </w:p>
    <w:p w:rsidR="00A3094D" w:rsidRPr="00585F58" w:rsidRDefault="00BC1E83" w:rsidP="00A3094D">
      <w:pPr>
        <w:pStyle w:val="naisf"/>
        <w:tabs>
          <w:tab w:val="left" w:pos="0"/>
          <w:tab w:val="left" w:pos="851"/>
        </w:tabs>
        <w:spacing w:before="0" w:beforeAutospacing="0" w:after="0" w:afterAutospacing="0" w:line="20" w:lineRule="atLeast"/>
        <w:ind w:firstLine="709"/>
        <w:rPr>
          <w:rFonts w:ascii="Times New Roman" w:eastAsia="Times New Roman" w:hAnsi="Times New Roman" w:cs="Times New Roman"/>
          <w:bCs/>
          <w:lang w:val="lv-LV" w:eastAsia="lv-LV"/>
        </w:rPr>
      </w:pPr>
      <w:r w:rsidRPr="00585F58">
        <w:rPr>
          <w:rFonts w:ascii="Times New Roman" w:eastAsia="Times New Roman" w:hAnsi="Times New Roman" w:cs="Times New Roman"/>
          <w:bCs/>
          <w:lang w:val="lv-LV" w:eastAsia="lv-LV"/>
        </w:rPr>
        <w:t>14) mēbeļu ražošanā</w:t>
      </w:r>
      <w:r w:rsidR="00A3094D" w:rsidRPr="00585F58">
        <w:rPr>
          <w:rFonts w:ascii="Times New Roman" w:eastAsia="Times New Roman" w:hAnsi="Times New Roman" w:cs="Times New Roman"/>
          <w:bCs/>
          <w:lang w:val="lv-LV" w:eastAsia="lv-LV"/>
        </w:rPr>
        <w:t xml:space="preserve"> (NACE C31);</w:t>
      </w:r>
    </w:p>
    <w:p w:rsidR="00A3094D" w:rsidRPr="00585F58" w:rsidRDefault="00A3094D" w:rsidP="00A3094D">
      <w:pPr>
        <w:pStyle w:val="naisf"/>
        <w:tabs>
          <w:tab w:val="left" w:pos="0"/>
          <w:tab w:val="left" w:pos="851"/>
        </w:tabs>
        <w:spacing w:before="0" w:beforeAutospacing="0" w:after="0" w:afterAutospacing="0" w:line="20" w:lineRule="atLeast"/>
        <w:ind w:firstLine="709"/>
        <w:rPr>
          <w:rFonts w:ascii="Times New Roman" w:eastAsia="Times New Roman" w:hAnsi="Times New Roman" w:cs="Times New Roman"/>
          <w:bCs/>
          <w:lang w:val="lv-LV" w:eastAsia="lv-LV"/>
        </w:rPr>
      </w:pPr>
      <w:r w:rsidRPr="00585F58">
        <w:rPr>
          <w:rFonts w:ascii="Times New Roman" w:eastAsia="Times New Roman" w:hAnsi="Times New Roman" w:cs="Times New Roman"/>
          <w:bCs/>
          <w:lang w:val="lv-LV" w:eastAsia="lv-LV"/>
        </w:rPr>
        <w:t>1</w:t>
      </w:r>
      <w:r w:rsidR="00BC1E83" w:rsidRPr="00585F58">
        <w:rPr>
          <w:rFonts w:ascii="Times New Roman" w:eastAsia="Times New Roman" w:hAnsi="Times New Roman" w:cs="Times New Roman"/>
          <w:bCs/>
          <w:lang w:val="lv-LV" w:eastAsia="lv-LV"/>
        </w:rPr>
        <w:t>5) telekomunikācijā</w:t>
      </w:r>
      <w:r w:rsidRPr="00585F58">
        <w:rPr>
          <w:rFonts w:ascii="Times New Roman" w:eastAsia="Times New Roman" w:hAnsi="Times New Roman" w:cs="Times New Roman"/>
          <w:bCs/>
          <w:lang w:val="lv-LV" w:eastAsia="lv-LV"/>
        </w:rPr>
        <w:t xml:space="preserve"> (NACE J61);</w:t>
      </w:r>
    </w:p>
    <w:p w:rsidR="00A3094D" w:rsidRPr="00585F58" w:rsidRDefault="00BC1E83" w:rsidP="00A3094D">
      <w:pPr>
        <w:pStyle w:val="naisf"/>
        <w:tabs>
          <w:tab w:val="left" w:pos="0"/>
          <w:tab w:val="left" w:pos="851"/>
        </w:tabs>
        <w:spacing w:before="0" w:beforeAutospacing="0" w:after="0" w:afterAutospacing="0" w:line="20" w:lineRule="atLeast"/>
        <w:ind w:firstLine="709"/>
        <w:rPr>
          <w:rFonts w:ascii="Times New Roman" w:eastAsia="Times New Roman" w:hAnsi="Times New Roman" w:cs="Times New Roman"/>
          <w:bCs/>
          <w:lang w:val="lv-LV" w:eastAsia="lv-LV"/>
        </w:rPr>
      </w:pPr>
      <w:r w:rsidRPr="00585F58">
        <w:rPr>
          <w:rFonts w:ascii="Times New Roman" w:eastAsia="Times New Roman" w:hAnsi="Times New Roman" w:cs="Times New Roman"/>
          <w:bCs/>
          <w:lang w:val="lv-LV" w:eastAsia="lv-LV"/>
        </w:rPr>
        <w:t xml:space="preserve">16) </w:t>
      </w:r>
      <w:proofErr w:type="spellStart"/>
      <w:r w:rsidRPr="00585F58">
        <w:rPr>
          <w:rFonts w:ascii="Times New Roman" w:eastAsia="Times New Roman" w:hAnsi="Times New Roman" w:cs="Times New Roman"/>
          <w:bCs/>
          <w:lang w:val="lv-LV" w:eastAsia="lv-LV"/>
        </w:rPr>
        <w:t>datorprogrammēšanā</w:t>
      </w:r>
      <w:proofErr w:type="spellEnd"/>
      <w:r w:rsidR="00A3094D" w:rsidRPr="00585F58">
        <w:rPr>
          <w:rFonts w:ascii="Times New Roman" w:eastAsia="Times New Roman" w:hAnsi="Times New Roman" w:cs="Times New Roman"/>
          <w:bCs/>
          <w:lang w:val="lv-LV" w:eastAsia="lv-LV"/>
        </w:rPr>
        <w:t xml:space="preserve"> un saistītās darbības (NACE J62), izņemot konsultēšanu datoru lietojuma jautājumos (NACE J62.02);</w:t>
      </w:r>
    </w:p>
    <w:p w:rsidR="00A3094D" w:rsidRPr="00585F58" w:rsidRDefault="00A3094D" w:rsidP="00A3094D">
      <w:pPr>
        <w:pStyle w:val="naisf"/>
        <w:tabs>
          <w:tab w:val="left" w:pos="0"/>
          <w:tab w:val="left" w:pos="851"/>
        </w:tabs>
        <w:spacing w:before="0" w:beforeAutospacing="0" w:after="0" w:afterAutospacing="0" w:line="20" w:lineRule="atLeast"/>
        <w:ind w:firstLine="709"/>
        <w:rPr>
          <w:rFonts w:ascii="Times New Roman" w:eastAsia="Times New Roman" w:hAnsi="Times New Roman" w:cs="Times New Roman"/>
          <w:bCs/>
          <w:lang w:val="lv-LV" w:eastAsia="lv-LV"/>
        </w:rPr>
      </w:pPr>
      <w:r w:rsidRPr="00585F58">
        <w:rPr>
          <w:rFonts w:ascii="Times New Roman" w:eastAsia="Times New Roman" w:hAnsi="Times New Roman" w:cs="Times New Roman"/>
          <w:bCs/>
          <w:lang w:val="lv-LV" w:eastAsia="lv-LV"/>
        </w:rPr>
        <w:t>17) uzglabā</w:t>
      </w:r>
      <w:r w:rsidR="00BC1E83" w:rsidRPr="00585F58">
        <w:rPr>
          <w:rFonts w:ascii="Times New Roman" w:eastAsia="Times New Roman" w:hAnsi="Times New Roman" w:cs="Times New Roman"/>
          <w:bCs/>
          <w:lang w:val="lv-LV" w:eastAsia="lv-LV"/>
        </w:rPr>
        <w:t>šanas un transporta palīgdarbībā</w:t>
      </w:r>
      <w:r w:rsidRPr="00585F58">
        <w:rPr>
          <w:rFonts w:ascii="Times New Roman" w:eastAsia="Times New Roman" w:hAnsi="Times New Roman" w:cs="Times New Roman"/>
          <w:bCs/>
          <w:lang w:val="lv-LV" w:eastAsia="lv-LV"/>
        </w:rPr>
        <w:t>s (NACE H52)</w:t>
      </w:r>
      <w:r w:rsidR="00F1195D">
        <w:rPr>
          <w:rFonts w:ascii="Times New Roman" w:eastAsia="Times New Roman" w:hAnsi="Times New Roman" w:cs="Times New Roman"/>
          <w:bCs/>
          <w:lang w:val="lv-LV" w:eastAsia="lv-LV"/>
        </w:rPr>
        <w:t>;</w:t>
      </w:r>
      <w:r w:rsidRPr="00585F58">
        <w:rPr>
          <w:rFonts w:ascii="Times New Roman" w:eastAsia="Times New Roman" w:hAnsi="Times New Roman" w:cs="Times New Roman"/>
          <w:bCs/>
          <w:lang w:val="lv-LV" w:eastAsia="lv-LV"/>
        </w:rPr>
        <w:t xml:space="preserve">  </w:t>
      </w:r>
    </w:p>
    <w:p w:rsidR="00F1195D" w:rsidRPr="00F1195D" w:rsidRDefault="00F1195D" w:rsidP="00F1195D">
      <w:pPr>
        <w:spacing w:after="0" w:line="240" w:lineRule="auto"/>
        <w:ind w:firstLine="709"/>
        <w:contextualSpacing/>
        <w:jc w:val="both"/>
        <w:rPr>
          <w:rFonts w:cs="Times New Roman"/>
        </w:rPr>
      </w:pPr>
      <w:r>
        <w:rPr>
          <w:rFonts w:cs="Times New Roman"/>
        </w:rPr>
        <w:t>18) </w:t>
      </w:r>
      <w:r w:rsidRPr="00F1195D">
        <w:rPr>
          <w:rFonts w:cs="Times New Roman"/>
        </w:rPr>
        <w:t xml:space="preserve">tekstilizstrādājumu ražošana (NACE C13); </w:t>
      </w:r>
    </w:p>
    <w:p w:rsidR="00F1195D" w:rsidRPr="00F1195D" w:rsidRDefault="00F1195D" w:rsidP="00F1195D">
      <w:pPr>
        <w:spacing w:after="0" w:line="240" w:lineRule="auto"/>
        <w:ind w:firstLine="709"/>
        <w:contextualSpacing/>
        <w:jc w:val="both"/>
        <w:rPr>
          <w:rFonts w:cs="Times New Roman"/>
        </w:rPr>
      </w:pPr>
      <w:r>
        <w:rPr>
          <w:rFonts w:cs="Times New Roman"/>
        </w:rPr>
        <w:t>19</w:t>
      </w:r>
      <w:r w:rsidRPr="00F1195D">
        <w:rPr>
          <w:rFonts w:cs="Times New Roman"/>
        </w:rPr>
        <w:t xml:space="preserve">) apģērbu ražošana (NACE C14); </w:t>
      </w:r>
    </w:p>
    <w:p w:rsidR="00F1195D" w:rsidRPr="00F1195D" w:rsidRDefault="00F1195D" w:rsidP="00F1195D">
      <w:pPr>
        <w:spacing w:after="0" w:line="240" w:lineRule="auto"/>
        <w:ind w:firstLine="709"/>
        <w:contextualSpacing/>
        <w:jc w:val="both"/>
        <w:rPr>
          <w:rFonts w:cs="Times New Roman"/>
        </w:rPr>
      </w:pPr>
      <w:r>
        <w:rPr>
          <w:rFonts w:cs="Times New Roman"/>
        </w:rPr>
        <w:t>20) </w:t>
      </w:r>
      <w:r w:rsidRPr="00F1195D">
        <w:rPr>
          <w:rFonts w:cs="Times New Roman"/>
        </w:rPr>
        <w:t xml:space="preserve">ādas un ādas izstrādājumu ražošana (NACE C15); </w:t>
      </w:r>
    </w:p>
    <w:p w:rsidR="00F1195D" w:rsidRPr="00F1195D" w:rsidRDefault="00F1195D" w:rsidP="00F1195D">
      <w:pPr>
        <w:spacing w:after="0" w:line="240" w:lineRule="auto"/>
        <w:ind w:firstLine="709"/>
        <w:contextualSpacing/>
        <w:jc w:val="both"/>
        <w:rPr>
          <w:rFonts w:cs="Times New Roman"/>
        </w:rPr>
      </w:pPr>
      <w:r>
        <w:rPr>
          <w:rFonts w:cs="Times New Roman"/>
        </w:rPr>
        <w:t>21</w:t>
      </w:r>
      <w:r w:rsidRPr="00F1195D">
        <w:rPr>
          <w:rFonts w:cs="Times New Roman"/>
        </w:rPr>
        <w:t xml:space="preserve">) papīra un papīra izstrādājumu ražošana (NACE C17); </w:t>
      </w:r>
    </w:p>
    <w:p w:rsidR="00F1195D" w:rsidRPr="00F1195D" w:rsidRDefault="00F1195D" w:rsidP="00F1195D">
      <w:pPr>
        <w:spacing w:after="0" w:line="240" w:lineRule="auto"/>
        <w:ind w:firstLine="709"/>
        <w:contextualSpacing/>
        <w:jc w:val="both"/>
        <w:rPr>
          <w:rFonts w:cs="Times New Roman"/>
        </w:rPr>
      </w:pPr>
      <w:r>
        <w:rPr>
          <w:rFonts w:cs="Times New Roman"/>
        </w:rPr>
        <w:t>22) </w:t>
      </w:r>
      <w:r w:rsidRPr="00F1195D">
        <w:rPr>
          <w:rFonts w:cs="Times New Roman"/>
        </w:rPr>
        <w:t xml:space="preserve">poligrāfija un ierakstu reproducēšana (NACE C18); </w:t>
      </w:r>
    </w:p>
    <w:p w:rsidR="00F1195D" w:rsidRPr="00F1195D" w:rsidRDefault="00F1195D" w:rsidP="00F1195D">
      <w:pPr>
        <w:spacing w:after="0" w:line="240" w:lineRule="auto"/>
        <w:ind w:firstLine="709"/>
        <w:contextualSpacing/>
        <w:jc w:val="both"/>
        <w:rPr>
          <w:rFonts w:cs="Times New Roman"/>
        </w:rPr>
      </w:pPr>
      <w:r>
        <w:rPr>
          <w:rFonts w:cs="Times New Roman"/>
        </w:rPr>
        <w:t>23) </w:t>
      </w:r>
      <w:r w:rsidRPr="00F1195D">
        <w:rPr>
          <w:rFonts w:cs="Times New Roman"/>
        </w:rPr>
        <w:t xml:space="preserve">koksa un naftas pārstrādes produktu ražošana (NACE C19); </w:t>
      </w:r>
    </w:p>
    <w:p w:rsidR="00F1195D" w:rsidRPr="00F1195D" w:rsidRDefault="00F1195D" w:rsidP="00F1195D">
      <w:pPr>
        <w:spacing w:after="0" w:line="240" w:lineRule="auto"/>
        <w:ind w:firstLine="709"/>
        <w:contextualSpacing/>
        <w:jc w:val="both"/>
        <w:rPr>
          <w:rFonts w:cs="Times New Roman"/>
        </w:rPr>
      </w:pPr>
      <w:r>
        <w:rPr>
          <w:rFonts w:cs="Times New Roman"/>
        </w:rPr>
        <w:t>24) </w:t>
      </w:r>
      <w:r w:rsidRPr="00F1195D">
        <w:rPr>
          <w:rFonts w:cs="Times New Roman"/>
        </w:rPr>
        <w:t xml:space="preserve">nemetālisko minerālu izstrādājumu ražošana (NACE C23); </w:t>
      </w:r>
    </w:p>
    <w:p w:rsidR="00F1195D" w:rsidRPr="00F1195D" w:rsidRDefault="00F1195D" w:rsidP="00F1195D">
      <w:pPr>
        <w:spacing w:after="0" w:line="240" w:lineRule="auto"/>
        <w:ind w:firstLine="709"/>
        <w:contextualSpacing/>
        <w:jc w:val="both"/>
        <w:rPr>
          <w:rFonts w:cs="Times New Roman"/>
        </w:rPr>
      </w:pPr>
      <w:r>
        <w:rPr>
          <w:rFonts w:cs="Times New Roman"/>
        </w:rPr>
        <w:t>25</w:t>
      </w:r>
      <w:r w:rsidRPr="00F1195D">
        <w:rPr>
          <w:rFonts w:cs="Times New Roman"/>
        </w:rPr>
        <w:t xml:space="preserve">) cita veida ražošana (NACE C32); </w:t>
      </w:r>
    </w:p>
    <w:p w:rsidR="00F1195D" w:rsidRPr="00F1195D" w:rsidRDefault="00F1195D" w:rsidP="00F1195D">
      <w:pPr>
        <w:spacing w:after="0" w:line="240" w:lineRule="auto"/>
        <w:ind w:firstLine="709"/>
        <w:contextualSpacing/>
        <w:jc w:val="both"/>
        <w:rPr>
          <w:rFonts w:cs="Times New Roman"/>
        </w:rPr>
      </w:pPr>
      <w:r>
        <w:rPr>
          <w:rFonts w:cs="Times New Roman"/>
        </w:rPr>
        <w:t>26</w:t>
      </w:r>
      <w:r w:rsidRPr="00F1195D">
        <w:rPr>
          <w:rFonts w:cs="Times New Roman"/>
        </w:rPr>
        <w:t>) iekārtu un ierīču remo</w:t>
      </w:r>
      <w:r>
        <w:rPr>
          <w:rFonts w:cs="Times New Roman"/>
        </w:rPr>
        <w:t>nts un uzstādīšana (NACE C33).</w:t>
      </w:r>
    </w:p>
    <w:p w:rsidR="00A3094D" w:rsidRPr="00585F58" w:rsidRDefault="00A3094D" w:rsidP="00A3094D">
      <w:pPr>
        <w:spacing w:after="0" w:line="240" w:lineRule="auto"/>
        <w:ind w:firstLine="567"/>
        <w:contextualSpacing/>
        <w:jc w:val="both"/>
        <w:rPr>
          <w:rFonts w:cs="Times New Roman"/>
        </w:rPr>
      </w:pPr>
    </w:p>
    <w:p w:rsidR="00A3094D" w:rsidRPr="00585F58" w:rsidRDefault="00A3094D" w:rsidP="00A3094D">
      <w:pPr>
        <w:spacing w:after="0" w:line="240" w:lineRule="auto"/>
        <w:ind w:firstLine="567"/>
        <w:contextualSpacing/>
        <w:jc w:val="both"/>
        <w:rPr>
          <w:rFonts w:cs="Times New Roman"/>
        </w:rPr>
      </w:pPr>
      <w:r w:rsidRPr="00585F58">
        <w:rPr>
          <w:rFonts w:cs="Times New Roman"/>
        </w:rPr>
        <w:t>Nodokļu atlaidi var piemērot atbalstāmo investīciju projektiem, par kuriem Ministru kabinets ir pieņēmis lēmumu līdz 2013.gada 31.decembrim un kuri pabeigti līdz 2018.gada 31.decembrim.</w:t>
      </w:r>
    </w:p>
    <w:p w:rsidR="00A3094D" w:rsidRPr="00585F58" w:rsidRDefault="00B0199A" w:rsidP="00A3094D">
      <w:pPr>
        <w:spacing w:after="0" w:line="240" w:lineRule="auto"/>
        <w:ind w:firstLine="567"/>
        <w:contextualSpacing/>
        <w:jc w:val="both"/>
        <w:rPr>
          <w:rFonts w:cs="Times New Roman"/>
        </w:rPr>
      </w:pPr>
      <w:r w:rsidRPr="00585F58">
        <w:rPr>
          <w:rFonts w:cs="Times New Roman"/>
        </w:rPr>
        <w:t>L</w:t>
      </w:r>
      <w:r w:rsidR="00A3094D" w:rsidRPr="00585F58">
        <w:rPr>
          <w:rFonts w:cs="Times New Roman"/>
        </w:rPr>
        <w:t xml:space="preserve">īdz </w:t>
      </w:r>
      <w:r w:rsidR="006C6E84" w:rsidRPr="00585F58">
        <w:rPr>
          <w:rFonts w:cs="Times New Roman"/>
        </w:rPr>
        <w:t>2013.gada 1</w:t>
      </w:r>
      <w:r w:rsidR="00BD041C">
        <w:rPr>
          <w:rFonts w:cs="Times New Roman"/>
        </w:rPr>
        <w:t>5</w:t>
      </w:r>
      <w:r w:rsidR="006C6E84" w:rsidRPr="00585F58">
        <w:rPr>
          <w:rFonts w:cs="Times New Roman"/>
        </w:rPr>
        <w:t>.</w:t>
      </w:r>
      <w:r w:rsidR="00BD041C">
        <w:rPr>
          <w:rFonts w:cs="Times New Roman"/>
        </w:rPr>
        <w:t>maijam</w:t>
      </w:r>
      <w:r w:rsidR="00A3094D" w:rsidRPr="00585F58">
        <w:rPr>
          <w:rFonts w:cs="Times New Roman"/>
        </w:rPr>
        <w:t xml:space="preserve"> Ministru kabinetā ir atbalstīti </w:t>
      </w:r>
      <w:r w:rsidR="00722372">
        <w:rPr>
          <w:rFonts w:cs="Times New Roman"/>
        </w:rPr>
        <w:t>9</w:t>
      </w:r>
      <w:r w:rsidR="00A3094D" w:rsidRPr="00585F58">
        <w:rPr>
          <w:rFonts w:cs="Times New Roman"/>
        </w:rPr>
        <w:t xml:space="preserve"> </w:t>
      </w:r>
      <w:r w:rsidR="005E582A" w:rsidRPr="00585F58">
        <w:rPr>
          <w:rFonts w:cs="Times New Roman"/>
        </w:rPr>
        <w:t xml:space="preserve">atbalstāmo </w:t>
      </w:r>
      <w:r w:rsidR="00A3094D" w:rsidRPr="00585F58">
        <w:rPr>
          <w:rFonts w:cs="Times New Roman"/>
        </w:rPr>
        <w:t xml:space="preserve">investīciju projekti par kopējo ieguldījumu summu </w:t>
      </w:r>
      <w:r w:rsidR="00722372">
        <w:rPr>
          <w:rFonts w:cs="Times New Roman"/>
        </w:rPr>
        <w:t>97,1</w:t>
      </w:r>
      <w:r w:rsidR="00A3094D" w:rsidRPr="00585F58">
        <w:rPr>
          <w:rFonts w:cs="Times New Roman"/>
        </w:rPr>
        <w:t xml:space="preserve"> </w:t>
      </w:r>
      <w:proofErr w:type="spellStart"/>
      <w:r w:rsidR="00A3094D" w:rsidRPr="00585F58">
        <w:rPr>
          <w:rFonts w:cs="Times New Roman"/>
        </w:rPr>
        <w:t>milj</w:t>
      </w:r>
      <w:proofErr w:type="spellEnd"/>
      <w:r w:rsidR="00A3094D" w:rsidRPr="00585F58">
        <w:rPr>
          <w:rFonts w:cs="Times New Roman"/>
        </w:rPr>
        <w:t xml:space="preserve">. latu, kas nākotnē varētu samazināt budžetā maksājamo UIN par </w:t>
      </w:r>
      <w:r w:rsidR="00722372">
        <w:rPr>
          <w:rFonts w:cs="Times New Roman"/>
        </w:rPr>
        <w:t>22,2</w:t>
      </w:r>
      <w:r w:rsidR="00A3094D" w:rsidRPr="00585F58">
        <w:rPr>
          <w:rFonts w:cs="Times New Roman"/>
        </w:rPr>
        <w:t xml:space="preserve"> </w:t>
      </w:r>
      <w:proofErr w:type="spellStart"/>
      <w:r w:rsidR="00A3094D" w:rsidRPr="00585F58">
        <w:rPr>
          <w:rFonts w:cs="Times New Roman"/>
        </w:rPr>
        <w:t>milj</w:t>
      </w:r>
      <w:proofErr w:type="spellEnd"/>
      <w:r w:rsidR="00A3094D" w:rsidRPr="00585F58">
        <w:rPr>
          <w:rFonts w:cs="Times New Roman"/>
        </w:rPr>
        <w:t>. latu</w:t>
      </w:r>
      <w:r w:rsidR="008606E2" w:rsidRPr="00585F58">
        <w:rPr>
          <w:rFonts w:cs="Times New Roman"/>
        </w:rPr>
        <w:t xml:space="preserve"> (2.tab.)</w:t>
      </w:r>
      <w:r w:rsidR="00A3094D" w:rsidRPr="00585F58">
        <w:rPr>
          <w:rFonts w:cs="Times New Roman"/>
        </w:rPr>
        <w:t xml:space="preserve">. Visi atbalstītie investīciju projekti tiks īstenoti apstrādes rūpniecības nozarē. Jānorāda, ka 2 no atbalstītajiem investīciju projektiem ir jaundibināti uzņēmumi, kas ar ārvalstu investīciju palīdzību plāno Latvijā uzsākt pilnīgi jaunu produktu ražošanu. Šobrīd izvērtēšanā ir </w:t>
      </w:r>
      <w:r w:rsidR="00BD041C">
        <w:rPr>
          <w:rFonts w:cs="Times New Roman"/>
        </w:rPr>
        <w:t>3</w:t>
      </w:r>
      <w:r w:rsidR="00A3094D" w:rsidRPr="00585F58">
        <w:rPr>
          <w:rFonts w:cs="Times New Roman"/>
        </w:rPr>
        <w:t xml:space="preserve"> </w:t>
      </w:r>
      <w:r w:rsidR="005E582A" w:rsidRPr="00585F58">
        <w:rPr>
          <w:rFonts w:cs="Times New Roman"/>
        </w:rPr>
        <w:t xml:space="preserve">atbalstāmo </w:t>
      </w:r>
      <w:r w:rsidR="00A3094D" w:rsidRPr="00585F58">
        <w:rPr>
          <w:rFonts w:cs="Times New Roman"/>
        </w:rPr>
        <w:t>investīciju projekti, kuri tuvākajā laikā varētu tikt iesniegt</w:t>
      </w:r>
      <w:r w:rsidR="00720803">
        <w:rPr>
          <w:rFonts w:cs="Times New Roman"/>
        </w:rPr>
        <w:t>i</w:t>
      </w:r>
      <w:r w:rsidR="00A3094D" w:rsidRPr="00585F58">
        <w:rPr>
          <w:rFonts w:cs="Times New Roman"/>
        </w:rPr>
        <w:t xml:space="preserve"> Ministru kabinetā lēmuma pieņemšanai.</w:t>
      </w:r>
    </w:p>
    <w:p w:rsidR="00A3094D" w:rsidRPr="00585F58" w:rsidRDefault="00A3094D" w:rsidP="00A3094D">
      <w:pPr>
        <w:spacing w:line="240" w:lineRule="auto"/>
        <w:contextualSpacing/>
        <w:jc w:val="both"/>
        <w:rPr>
          <w:rFonts w:cs="Times New Roman"/>
          <w:b/>
        </w:rPr>
      </w:pPr>
    </w:p>
    <w:p w:rsidR="00A3094D" w:rsidRPr="00585F58" w:rsidRDefault="00B17AAF" w:rsidP="00A3094D">
      <w:pPr>
        <w:spacing w:line="240" w:lineRule="auto"/>
        <w:contextualSpacing/>
        <w:jc w:val="both"/>
        <w:rPr>
          <w:rFonts w:cs="Times New Roman"/>
          <w:b/>
        </w:rPr>
      </w:pPr>
      <w:r w:rsidRPr="00585F58">
        <w:rPr>
          <w:rFonts w:cs="Times New Roman"/>
          <w:b/>
        </w:rPr>
        <w:t>2</w:t>
      </w:r>
      <w:r w:rsidR="00A3094D" w:rsidRPr="00585F58">
        <w:rPr>
          <w:rFonts w:cs="Times New Roman"/>
          <w:b/>
        </w:rPr>
        <w:t xml:space="preserve">.tab. </w:t>
      </w:r>
      <w:r w:rsidR="005E582A" w:rsidRPr="00585F58">
        <w:rPr>
          <w:rFonts w:cs="Times New Roman"/>
          <w:b/>
        </w:rPr>
        <w:t>Atbalstāmo</w:t>
      </w:r>
      <w:r w:rsidR="00A3094D" w:rsidRPr="00585F58">
        <w:rPr>
          <w:rFonts w:cs="Times New Roman"/>
          <w:b/>
        </w:rPr>
        <w:t xml:space="preserve"> investīciju projekti</w:t>
      </w:r>
    </w:p>
    <w:tbl>
      <w:tblPr>
        <w:tblStyle w:val="TableGrid"/>
        <w:tblW w:w="0" w:type="auto"/>
        <w:jc w:val="center"/>
        <w:tblLook w:val="04A0" w:firstRow="1" w:lastRow="0" w:firstColumn="1" w:lastColumn="0" w:noHBand="0" w:noVBand="1"/>
      </w:tblPr>
      <w:tblGrid>
        <w:gridCol w:w="2842"/>
        <w:gridCol w:w="2843"/>
        <w:gridCol w:w="2645"/>
      </w:tblGrid>
      <w:tr w:rsidR="00585F58" w:rsidRPr="00585F58" w:rsidTr="00392105">
        <w:trPr>
          <w:jc w:val="center"/>
        </w:trPr>
        <w:tc>
          <w:tcPr>
            <w:tcW w:w="2842" w:type="dxa"/>
          </w:tcPr>
          <w:p w:rsidR="00A3094D" w:rsidRPr="00585F58" w:rsidRDefault="00A3094D" w:rsidP="00A3094D">
            <w:pPr>
              <w:jc w:val="center"/>
              <w:rPr>
                <w:rFonts w:ascii="Times New Roman" w:hAnsi="Times New Roman" w:cs="Times New Roman"/>
                <w:b/>
              </w:rPr>
            </w:pPr>
            <w:r w:rsidRPr="00585F58">
              <w:rPr>
                <w:rFonts w:ascii="Times New Roman" w:hAnsi="Times New Roman" w:cs="Times New Roman"/>
                <w:b/>
              </w:rPr>
              <w:t>Uzņēmums un darbības veids</w:t>
            </w:r>
          </w:p>
        </w:tc>
        <w:tc>
          <w:tcPr>
            <w:tcW w:w="2843" w:type="dxa"/>
          </w:tcPr>
          <w:p w:rsidR="00A3094D" w:rsidRPr="00585F58" w:rsidRDefault="00A3094D" w:rsidP="00A3094D">
            <w:pPr>
              <w:jc w:val="center"/>
              <w:rPr>
                <w:rFonts w:ascii="Times New Roman" w:hAnsi="Times New Roman" w:cs="Times New Roman"/>
                <w:b/>
              </w:rPr>
            </w:pPr>
            <w:r w:rsidRPr="00585F58">
              <w:rPr>
                <w:rFonts w:ascii="Times New Roman" w:hAnsi="Times New Roman" w:cs="Times New Roman"/>
                <w:b/>
              </w:rPr>
              <w:t xml:space="preserve">Ieguldījumi, Ls </w:t>
            </w:r>
          </w:p>
        </w:tc>
        <w:tc>
          <w:tcPr>
            <w:tcW w:w="2645" w:type="dxa"/>
          </w:tcPr>
          <w:p w:rsidR="00A3094D" w:rsidRPr="00585F58" w:rsidRDefault="00A3094D" w:rsidP="00A3094D">
            <w:pPr>
              <w:jc w:val="center"/>
              <w:rPr>
                <w:rFonts w:ascii="Times New Roman" w:hAnsi="Times New Roman" w:cs="Times New Roman"/>
                <w:b/>
              </w:rPr>
            </w:pPr>
            <w:r w:rsidRPr="00585F58">
              <w:rPr>
                <w:rFonts w:ascii="Times New Roman" w:hAnsi="Times New Roman" w:cs="Times New Roman"/>
                <w:b/>
              </w:rPr>
              <w:t>UIN atlaide, Ls</w:t>
            </w:r>
          </w:p>
        </w:tc>
      </w:tr>
      <w:tr w:rsidR="00585F58" w:rsidRPr="00585F58" w:rsidTr="00392105">
        <w:trPr>
          <w:jc w:val="center"/>
        </w:trPr>
        <w:tc>
          <w:tcPr>
            <w:tcW w:w="2842" w:type="dxa"/>
          </w:tcPr>
          <w:p w:rsidR="00A3094D" w:rsidRPr="00585F58" w:rsidRDefault="00A3094D" w:rsidP="00A3094D">
            <w:pPr>
              <w:rPr>
                <w:rFonts w:ascii="Times New Roman" w:hAnsi="Times New Roman" w:cs="Times New Roman"/>
                <w:i/>
              </w:rPr>
            </w:pPr>
            <w:r w:rsidRPr="00585F58">
              <w:rPr>
                <w:rFonts w:ascii="Times New Roman" w:hAnsi="Times New Roman" w:cs="Times New Roman"/>
                <w:i/>
              </w:rPr>
              <w:t>1. AS „Dobeles dzirnavnieks” (NACE C10)</w:t>
            </w:r>
          </w:p>
        </w:tc>
        <w:tc>
          <w:tcPr>
            <w:tcW w:w="2843" w:type="dxa"/>
          </w:tcPr>
          <w:p w:rsidR="00A3094D" w:rsidRPr="00585F58" w:rsidRDefault="00A3094D" w:rsidP="00A3094D">
            <w:pPr>
              <w:jc w:val="center"/>
              <w:rPr>
                <w:rFonts w:ascii="Times New Roman" w:hAnsi="Times New Roman" w:cs="Times New Roman"/>
              </w:rPr>
            </w:pPr>
            <w:r w:rsidRPr="00585F58">
              <w:rPr>
                <w:rFonts w:ascii="Times New Roman" w:hAnsi="Times New Roman" w:cs="Times New Roman"/>
              </w:rPr>
              <w:t xml:space="preserve">7,92 </w:t>
            </w:r>
            <w:proofErr w:type="spellStart"/>
            <w:r w:rsidRPr="00585F58">
              <w:rPr>
                <w:rFonts w:ascii="Times New Roman" w:hAnsi="Times New Roman" w:cs="Times New Roman"/>
              </w:rPr>
              <w:t>milj</w:t>
            </w:r>
            <w:proofErr w:type="spellEnd"/>
            <w:r w:rsidRPr="00585F58">
              <w:rPr>
                <w:rFonts w:ascii="Times New Roman" w:hAnsi="Times New Roman" w:cs="Times New Roman"/>
              </w:rPr>
              <w:t>.</w:t>
            </w:r>
          </w:p>
        </w:tc>
        <w:tc>
          <w:tcPr>
            <w:tcW w:w="2645" w:type="dxa"/>
          </w:tcPr>
          <w:p w:rsidR="00A3094D" w:rsidRPr="00585F58" w:rsidRDefault="00A3094D" w:rsidP="00A3094D">
            <w:pPr>
              <w:jc w:val="center"/>
              <w:rPr>
                <w:rFonts w:ascii="Times New Roman" w:hAnsi="Times New Roman" w:cs="Times New Roman"/>
              </w:rPr>
            </w:pPr>
            <w:r w:rsidRPr="00585F58">
              <w:rPr>
                <w:rFonts w:ascii="Times New Roman" w:hAnsi="Times New Roman" w:cs="Times New Roman"/>
              </w:rPr>
              <w:t xml:space="preserve">1,98 </w:t>
            </w:r>
            <w:proofErr w:type="spellStart"/>
            <w:r w:rsidRPr="00585F58">
              <w:rPr>
                <w:rFonts w:ascii="Times New Roman" w:hAnsi="Times New Roman" w:cs="Times New Roman"/>
              </w:rPr>
              <w:t>milj</w:t>
            </w:r>
            <w:proofErr w:type="spellEnd"/>
            <w:r w:rsidRPr="00585F58">
              <w:rPr>
                <w:rFonts w:ascii="Times New Roman" w:hAnsi="Times New Roman" w:cs="Times New Roman"/>
              </w:rPr>
              <w:t>.</w:t>
            </w:r>
          </w:p>
        </w:tc>
      </w:tr>
      <w:tr w:rsidR="00585F58" w:rsidRPr="00585F58" w:rsidTr="00392105">
        <w:trPr>
          <w:jc w:val="center"/>
        </w:trPr>
        <w:tc>
          <w:tcPr>
            <w:tcW w:w="2842" w:type="dxa"/>
          </w:tcPr>
          <w:p w:rsidR="00A3094D" w:rsidRPr="00585F58" w:rsidRDefault="00A3094D" w:rsidP="00A3094D">
            <w:pPr>
              <w:rPr>
                <w:rFonts w:ascii="Times New Roman" w:hAnsi="Times New Roman" w:cs="Times New Roman"/>
                <w:i/>
              </w:rPr>
            </w:pPr>
            <w:r w:rsidRPr="00585F58">
              <w:rPr>
                <w:rFonts w:ascii="Times New Roman" w:hAnsi="Times New Roman" w:cs="Times New Roman"/>
                <w:i/>
              </w:rPr>
              <w:t>2. SIA „</w:t>
            </w:r>
            <w:proofErr w:type="spellStart"/>
            <w:r w:rsidRPr="00585F58">
              <w:rPr>
                <w:rFonts w:ascii="Times New Roman" w:hAnsi="Times New Roman" w:cs="Times New Roman"/>
                <w:i/>
              </w:rPr>
              <w:t>Baltic</w:t>
            </w:r>
            <w:proofErr w:type="spellEnd"/>
            <w:r w:rsidRPr="00585F58">
              <w:rPr>
                <w:rFonts w:ascii="Times New Roman" w:hAnsi="Times New Roman" w:cs="Times New Roman"/>
                <w:i/>
              </w:rPr>
              <w:t xml:space="preserve"> </w:t>
            </w:r>
            <w:proofErr w:type="spellStart"/>
            <w:r w:rsidRPr="00585F58">
              <w:rPr>
                <w:rFonts w:ascii="Times New Roman" w:hAnsi="Times New Roman" w:cs="Times New Roman"/>
                <w:i/>
              </w:rPr>
              <w:t>Crystal</w:t>
            </w:r>
            <w:proofErr w:type="spellEnd"/>
            <w:r w:rsidRPr="00585F58">
              <w:rPr>
                <w:rFonts w:ascii="Times New Roman" w:hAnsi="Times New Roman" w:cs="Times New Roman"/>
                <w:i/>
              </w:rPr>
              <w:t>” (NACE C20.6)</w:t>
            </w:r>
          </w:p>
        </w:tc>
        <w:tc>
          <w:tcPr>
            <w:tcW w:w="2843" w:type="dxa"/>
          </w:tcPr>
          <w:p w:rsidR="00A3094D" w:rsidRPr="00585F58" w:rsidRDefault="00A3094D" w:rsidP="00A3094D">
            <w:pPr>
              <w:jc w:val="center"/>
              <w:rPr>
                <w:rFonts w:ascii="Times New Roman" w:hAnsi="Times New Roman" w:cs="Times New Roman"/>
              </w:rPr>
            </w:pPr>
            <w:r w:rsidRPr="00585F58">
              <w:rPr>
                <w:rFonts w:ascii="Times New Roman" w:hAnsi="Times New Roman" w:cs="Times New Roman"/>
              </w:rPr>
              <w:t xml:space="preserve">6,97 </w:t>
            </w:r>
            <w:proofErr w:type="spellStart"/>
            <w:r w:rsidRPr="00585F58">
              <w:rPr>
                <w:rFonts w:ascii="Times New Roman" w:hAnsi="Times New Roman" w:cs="Times New Roman"/>
              </w:rPr>
              <w:t>milj</w:t>
            </w:r>
            <w:proofErr w:type="spellEnd"/>
            <w:r w:rsidRPr="00585F58">
              <w:rPr>
                <w:rFonts w:ascii="Times New Roman" w:hAnsi="Times New Roman" w:cs="Times New Roman"/>
              </w:rPr>
              <w:t>.</w:t>
            </w:r>
          </w:p>
        </w:tc>
        <w:tc>
          <w:tcPr>
            <w:tcW w:w="2645" w:type="dxa"/>
          </w:tcPr>
          <w:p w:rsidR="00A3094D" w:rsidRPr="00585F58" w:rsidRDefault="00A3094D" w:rsidP="00A3094D">
            <w:pPr>
              <w:jc w:val="center"/>
              <w:rPr>
                <w:rFonts w:ascii="Times New Roman" w:hAnsi="Times New Roman" w:cs="Times New Roman"/>
              </w:rPr>
            </w:pPr>
            <w:r w:rsidRPr="00585F58">
              <w:rPr>
                <w:rFonts w:ascii="Times New Roman" w:hAnsi="Times New Roman" w:cs="Times New Roman"/>
              </w:rPr>
              <w:t xml:space="preserve">1,74 </w:t>
            </w:r>
            <w:proofErr w:type="spellStart"/>
            <w:r w:rsidRPr="00585F58">
              <w:rPr>
                <w:rFonts w:ascii="Times New Roman" w:hAnsi="Times New Roman" w:cs="Times New Roman"/>
              </w:rPr>
              <w:t>milj</w:t>
            </w:r>
            <w:proofErr w:type="spellEnd"/>
            <w:r w:rsidRPr="00585F58">
              <w:rPr>
                <w:rFonts w:ascii="Times New Roman" w:hAnsi="Times New Roman" w:cs="Times New Roman"/>
              </w:rPr>
              <w:t>.</w:t>
            </w:r>
          </w:p>
        </w:tc>
      </w:tr>
      <w:tr w:rsidR="00585F58" w:rsidRPr="00585F58" w:rsidTr="00392105">
        <w:trPr>
          <w:jc w:val="center"/>
        </w:trPr>
        <w:tc>
          <w:tcPr>
            <w:tcW w:w="2842" w:type="dxa"/>
          </w:tcPr>
          <w:p w:rsidR="00A3094D" w:rsidRPr="00585F58" w:rsidRDefault="00A3094D" w:rsidP="00A3094D">
            <w:pPr>
              <w:rPr>
                <w:rFonts w:ascii="Times New Roman" w:hAnsi="Times New Roman" w:cs="Times New Roman"/>
                <w:i/>
              </w:rPr>
            </w:pPr>
            <w:r w:rsidRPr="00585F58">
              <w:rPr>
                <w:rFonts w:ascii="Times New Roman" w:hAnsi="Times New Roman" w:cs="Times New Roman"/>
                <w:i/>
              </w:rPr>
              <w:t>3. AS „Tērvetes AL” (NACE C10; NACE C11)</w:t>
            </w:r>
          </w:p>
        </w:tc>
        <w:tc>
          <w:tcPr>
            <w:tcW w:w="2843" w:type="dxa"/>
          </w:tcPr>
          <w:p w:rsidR="00A3094D" w:rsidRPr="00585F58" w:rsidRDefault="00A3094D" w:rsidP="00A3094D">
            <w:pPr>
              <w:jc w:val="center"/>
              <w:rPr>
                <w:rFonts w:ascii="Times New Roman" w:hAnsi="Times New Roman" w:cs="Times New Roman"/>
              </w:rPr>
            </w:pPr>
            <w:r w:rsidRPr="00585F58">
              <w:rPr>
                <w:rFonts w:ascii="Times New Roman" w:hAnsi="Times New Roman" w:cs="Times New Roman"/>
              </w:rPr>
              <w:t xml:space="preserve">3,98 </w:t>
            </w:r>
            <w:proofErr w:type="spellStart"/>
            <w:r w:rsidRPr="00585F58">
              <w:rPr>
                <w:rFonts w:ascii="Times New Roman" w:hAnsi="Times New Roman" w:cs="Times New Roman"/>
              </w:rPr>
              <w:t>milj</w:t>
            </w:r>
            <w:proofErr w:type="spellEnd"/>
            <w:r w:rsidRPr="00585F58">
              <w:rPr>
                <w:rFonts w:ascii="Times New Roman" w:hAnsi="Times New Roman" w:cs="Times New Roman"/>
              </w:rPr>
              <w:t>.</w:t>
            </w:r>
          </w:p>
        </w:tc>
        <w:tc>
          <w:tcPr>
            <w:tcW w:w="2645" w:type="dxa"/>
          </w:tcPr>
          <w:p w:rsidR="00A3094D" w:rsidRPr="00585F58" w:rsidRDefault="00A3094D" w:rsidP="00A3094D">
            <w:pPr>
              <w:jc w:val="center"/>
              <w:rPr>
                <w:rFonts w:ascii="Times New Roman" w:hAnsi="Times New Roman" w:cs="Times New Roman"/>
              </w:rPr>
            </w:pPr>
            <w:r w:rsidRPr="00585F58">
              <w:rPr>
                <w:rFonts w:ascii="Times New Roman" w:hAnsi="Times New Roman" w:cs="Times New Roman"/>
              </w:rPr>
              <w:t xml:space="preserve">889,80 </w:t>
            </w:r>
            <w:proofErr w:type="spellStart"/>
            <w:r w:rsidRPr="00585F58">
              <w:rPr>
                <w:rFonts w:ascii="Times New Roman" w:hAnsi="Times New Roman" w:cs="Times New Roman"/>
              </w:rPr>
              <w:t>tūkst</w:t>
            </w:r>
            <w:proofErr w:type="spellEnd"/>
            <w:r w:rsidRPr="00585F58">
              <w:rPr>
                <w:rFonts w:ascii="Times New Roman" w:hAnsi="Times New Roman" w:cs="Times New Roman"/>
              </w:rPr>
              <w:t>.</w:t>
            </w:r>
          </w:p>
        </w:tc>
      </w:tr>
      <w:tr w:rsidR="00585F58" w:rsidRPr="00585F58" w:rsidTr="00392105">
        <w:trPr>
          <w:jc w:val="center"/>
        </w:trPr>
        <w:tc>
          <w:tcPr>
            <w:tcW w:w="2842" w:type="dxa"/>
          </w:tcPr>
          <w:p w:rsidR="00A3094D" w:rsidRPr="00585F58" w:rsidRDefault="00A3094D" w:rsidP="00A3094D">
            <w:pPr>
              <w:rPr>
                <w:rFonts w:ascii="Times New Roman" w:hAnsi="Times New Roman" w:cs="Times New Roman"/>
                <w:i/>
              </w:rPr>
            </w:pPr>
            <w:r w:rsidRPr="00585F58">
              <w:rPr>
                <w:rFonts w:ascii="Times New Roman" w:hAnsi="Times New Roman" w:cs="Times New Roman"/>
                <w:i/>
              </w:rPr>
              <w:t xml:space="preserve">4. SIA „AKG </w:t>
            </w:r>
            <w:proofErr w:type="spellStart"/>
            <w:r w:rsidRPr="00585F58">
              <w:rPr>
                <w:rFonts w:ascii="Times New Roman" w:hAnsi="Times New Roman" w:cs="Times New Roman"/>
                <w:i/>
              </w:rPr>
              <w:t>Thermotechnik</w:t>
            </w:r>
            <w:proofErr w:type="spellEnd"/>
            <w:r w:rsidRPr="00585F58">
              <w:rPr>
                <w:rFonts w:ascii="Times New Roman" w:hAnsi="Times New Roman" w:cs="Times New Roman"/>
                <w:i/>
              </w:rPr>
              <w:t xml:space="preserve"> </w:t>
            </w:r>
            <w:proofErr w:type="spellStart"/>
            <w:r w:rsidRPr="00585F58">
              <w:rPr>
                <w:rFonts w:ascii="Times New Roman" w:hAnsi="Times New Roman" w:cs="Times New Roman"/>
                <w:i/>
              </w:rPr>
              <w:t>Lettland</w:t>
            </w:r>
            <w:proofErr w:type="spellEnd"/>
            <w:r w:rsidRPr="00585F58">
              <w:rPr>
                <w:rFonts w:ascii="Times New Roman" w:hAnsi="Times New Roman" w:cs="Times New Roman"/>
                <w:i/>
              </w:rPr>
              <w:t>” (NACE C29)</w:t>
            </w:r>
          </w:p>
        </w:tc>
        <w:tc>
          <w:tcPr>
            <w:tcW w:w="2843" w:type="dxa"/>
          </w:tcPr>
          <w:p w:rsidR="00A3094D" w:rsidRPr="00585F58" w:rsidRDefault="00A3094D" w:rsidP="00A3094D">
            <w:pPr>
              <w:jc w:val="center"/>
              <w:rPr>
                <w:rFonts w:ascii="Times New Roman" w:hAnsi="Times New Roman" w:cs="Times New Roman"/>
              </w:rPr>
            </w:pPr>
            <w:r w:rsidRPr="00585F58">
              <w:rPr>
                <w:rFonts w:ascii="Times New Roman" w:hAnsi="Times New Roman" w:cs="Times New Roman"/>
              </w:rPr>
              <w:t xml:space="preserve">6,94 </w:t>
            </w:r>
            <w:proofErr w:type="spellStart"/>
            <w:r w:rsidRPr="00585F58">
              <w:rPr>
                <w:rFonts w:ascii="Times New Roman" w:hAnsi="Times New Roman" w:cs="Times New Roman"/>
              </w:rPr>
              <w:t>milj</w:t>
            </w:r>
            <w:proofErr w:type="spellEnd"/>
            <w:r w:rsidRPr="00585F58">
              <w:rPr>
                <w:rFonts w:ascii="Times New Roman" w:hAnsi="Times New Roman" w:cs="Times New Roman"/>
              </w:rPr>
              <w:t>.</w:t>
            </w:r>
          </w:p>
        </w:tc>
        <w:tc>
          <w:tcPr>
            <w:tcW w:w="2645" w:type="dxa"/>
          </w:tcPr>
          <w:p w:rsidR="00A3094D" w:rsidRPr="00585F58" w:rsidRDefault="00A3094D" w:rsidP="00A3094D">
            <w:pPr>
              <w:jc w:val="center"/>
              <w:rPr>
                <w:rFonts w:ascii="Times New Roman" w:hAnsi="Times New Roman" w:cs="Times New Roman"/>
              </w:rPr>
            </w:pPr>
            <w:r w:rsidRPr="00585F58">
              <w:rPr>
                <w:rFonts w:ascii="Times New Roman" w:hAnsi="Times New Roman" w:cs="Times New Roman"/>
              </w:rPr>
              <w:t xml:space="preserve">1,74 </w:t>
            </w:r>
            <w:proofErr w:type="spellStart"/>
            <w:r w:rsidRPr="00585F58">
              <w:rPr>
                <w:rFonts w:ascii="Times New Roman" w:hAnsi="Times New Roman" w:cs="Times New Roman"/>
              </w:rPr>
              <w:t>milj</w:t>
            </w:r>
            <w:proofErr w:type="spellEnd"/>
            <w:r w:rsidRPr="00585F58">
              <w:rPr>
                <w:rFonts w:ascii="Times New Roman" w:hAnsi="Times New Roman" w:cs="Times New Roman"/>
              </w:rPr>
              <w:t>.</w:t>
            </w:r>
          </w:p>
        </w:tc>
      </w:tr>
      <w:tr w:rsidR="00585F58" w:rsidRPr="00585F58" w:rsidTr="00392105">
        <w:trPr>
          <w:jc w:val="center"/>
        </w:trPr>
        <w:tc>
          <w:tcPr>
            <w:tcW w:w="2842" w:type="dxa"/>
          </w:tcPr>
          <w:p w:rsidR="00A3094D" w:rsidRPr="00585F58" w:rsidRDefault="00A3094D" w:rsidP="00A3094D">
            <w:pPr>
              <w:rPr>
                <w:rFonts w:ascii="Times New Roman" w:hAnsi="Times New Roman" w:cs="Times New Roman"/>
                <w:i/>
              </w:rPr>
            </w:pPr>
            <w:r w:rsidRPr="00585F58">
              <w:rPr>
                <w:rFonts w:ascii="Times New Roman" w:hAnsi="Times New Roman" w:cs="Times New Roman"/>
                <w:i/>
              </w:rPr>
              <w:t>5. SIA „METALLEKS” (NACE C24)</w:t>
            </w:r>
          </w:p>
        </w:tc>
        <w:tc>
          <w:tcPr>
            <w:tcW w:w="2843" w:type="dxa"/>
          </w:tcPr>
          <w:p w:rsidR="00A3094D" w:rsidRPr="00585F58" w:rsidRDefault="00A3094D" w:rsidP="00A3094D">
            <w:pPr>
              <w:jc w:val="center"/>
              <w:rPr>
                <w:rFonts w:ascii="Times New Roman" w:hAnsi="Times New Roman" w:cs="Times New Roman"/>
              </w:rPr>
            </w:pPr>
            <w:r w:rsidRPr="00585F58">
              <w:rPr>
                <w:rFonts w:ascii="Times New Roman" w:hAnsi="Times New Roman" w:cs="Times New Roman"/>
              </w:rPr>
              <w:t xml:space="preserve">6,40 </w:t>
            </w:r>
            <w:proofErr w:type="spellStart"/>
            <w:r w:rsidRPr="00585F58">
              <w:rPr>
                <w:rFonts w:ascii="Times New Roman" w:hAnsi="Times New Roman" w:cs="Times New Roman"/>
              </w:rPr>
              <w:t>milj</w:t>
            </w:r>
            <w:proofErr w:type="spellEnd"/>
            <w:r w:rsidRPr="00585F58">
              <w:rPr>
                <w:rFonts w:ascii="Times New Roman" w:hAnsi="Times New Roman" w:cs="Times New Roman"/>
              </w:rPr>
              <w:t>.</w:t>
            </w:r>
          </w:p>
        </w:tc>
        <w:tc>
          <w:tcPr>
            <w:tcW w:w="2645" w:type="dxa"/>
          </w:tcPr>
          <w:p w:rsidR="00A3094D" w:rsidRPr="00585F58" w:rsidRDefault="00A3094D" w:rsidP="00A3094D">
            <w:pPr>
              <w:jc w:val="center"/>
              <w:rPr>
                <w:rFonts w:ascii="Times New Roman" w:hAnsi="Times New Roman" w:cs="Times New Roman"/>
              </w:rPr>
            </w:pPr>
            <w:r w:rsidRPr="00585F58">
              <w:rPr>
                <w:rFonts w:ascii="Times New Roman" w:hAnsi="Times New Roman" w:cs="Times New Roman"/>
              </w:rPr>
              <w:t xml:space="preserve">959,90 </w:t>
            </w:r>
            <w:proofErr w:type="spellStart"/>
            <w:r w:rsidRPr="00585F58">
              <w:rPr>
                <w:rFonts w:ascii="Times New Roman" w:hAnsi="Times New Roman" w:cs="Times New Roman"/>
              </w:rPr>
              <w:t>tūkst</w:t>
            </w:r>
            <w:proofErr w:type="spellEnd"/>
            <w:r w:rsidRPr="00585F58">
              <w:rPr>
                <w:rFonts w:ascii="Times New Roman" w:hAnsi="Times New Roman" w:cs="Times New Roman"/>
              </w:rPr>
              <w:t>.</w:t>
            </w:r>
          </w:p>
        </w:tc>
      </w:tr>
      <w:tr w:rsidR="004472E4" w:rsidRPr="004472E4" w:rsidTr="00392105">
        <w:trPr>
          <w:jc w:val="center"/>
        </w:trPr>
        <w:tc>
          <w:tcPr>
            <w:tcW w:w="2842" w:type="dxa"/>
          </w:tcPr>
          <w:p w:rsidR="004472E4" w:rsidRPr="004472E4" w:rsidRDefault="004472E4" w:rsidP="004472E4">
            <w:pPr>
              <w:rPr>
                <w:rFonts w:ascii="Times New Roman" w:hAnsi="Times New Roman" w:cs="Times New Roman"/>
                <w:i/>
              </w:rPr>
            </w:pPr>
            <w:r w:rsidRPr="004472E4">
              <w:rPr>
                <w:rFonts w:ascii="Times New Roman" w:hAnsi="Times New Roman" w:cs="Times New Roman"/>
                <w:i/>
              </w:rPr>
              <w:t>6. SIA</w:t>
            </w:r>
            <w:r>
              <w:rPr>
                <w:rFonts w:ascii="Times New Roman" w:hAnsi="Times New Roman" w:cs="Times New Roman"/>
                <w:i/>
              </w:rPr>
              <w:t xml:space="preserve"> „L-EKSPRESIS” (NACE 30.20)</w:t>
            </w:r>
          </w:p>
        </w:tc>
        <w:tc>
          <w:tcPr>
            <w:tcW w:w="2843" w:type="dxa"/>
          </w:tcPr>
          <w:p w:rsidR="004472E4" w:rsidRPr="004472E4" w:rsidRDefault="004472E4" w:rsidP="00A3094D">
            <w:pPr>
              <w:jc w:val="center"/>
              <w:rPr>
                <w:rFonts w:ascii="Times New Roman" w:hAnsi="Times New Roman" w:cs="Times New Roman"/>
              </w:rPr>
            </w:pPr>
            <w:r>
              <w:rPr>
                <w:rFonts w:ascii="Times New Roman" w:hAnsi="Times New Roman" w:cs="Times New Roman"/>
              </w:rPr>
              <w:t xml:space="preserve">8,64 </w:t>
            </w:r>
            <w:proofErr w:type="spellStart"/>
            <w:r>
              <w:rPr>
                <w:rFonts w:ascii="Times New Roman" w:hAnsi="Times New Roman" w:cs="Times New Roman"/>
              </w:rPr>
              <w:t>milj</w:t>
            </w:r>
            <w:proofErr w:type="spellEnd"/>
            <w:r>
              <w:rPr>
                <w:rFonts w:ascii="Times New Roman" w:hAnsi="Times New Roman" w:cs="Times New Roman"/>
              </w:rPr>
              <w:t>.</w:t>
            </w:r>
          </w:p>
        </w:tc>
        <w:tc>
          <w:tcPr>
            <w:tcW w:w="2645" w:type="dxa"/>
          </w:tcPr>
          <w:p w:rsidR="004472E4" w:rsidRPr="004472E4" w:rsidRDefault="004472E4" w:rsidP="00A3094D">
            <w:pPr>
              <w:jc w:val="center"/>
              <w:rPr>
                <w:rFonts w:ascii="Times New Roman" w:hAnsi="Times New Roman" w:cs="Times New Roman"/>
              </w:rPr>
            </w:pPr>
            <w:r>
              <w:rPr>
                <w:rFonts w:ascii="Times New Roman" w:hAnsi="Times New Roman" w:cs="Times New Roman"/>
              </w:rPr>
              <w:t xml:space="preserve">1,38 </w:t>
            </w:r>
            <w:proofErr w:type="spellStart"/>
            <w:r>
              <w:rPr>
                <w:rFonts w:ascii="Times New Roman" w:hAnsi="Times New Roman" w:cs="Times New Roman"/>
              </w:rPr>
              <w:t>milj</w:t>
            </w:r>
            <w:proofErr w:type="spellEnd"/>
            <w:r>
              <w:rPr>
                <w:rFonts w:ascii="Times New Roman" w:hAnsi="Times New Roman" w:cs="Times New Roman"/>
              </w:rPr>
              <w:t>.</w:t>
            </w:r>
          </w:p>
        </w:tc>
      </w:tr>
      <w:tr w:rsidR="004472E4" w:rsidRPr="004472E4" w:rsidTr="00392105">
        <w:trPr>
          <w:jc w:val="center"/>
        </w:trPr>
        <w:tc>
          <w:tcPr>
            <w:tcW w:w="2842" w:type="dxa"/>
          </w:tcPr>
          <w:p w:rsidR="004472E4" w:rsidRPr="004472E4" w:rsidRDefault="004472E4" w:rsidP="004472E4">
            <w:pPr>
              <w:rPr>
                <w:rFonts w:ascii="Times New Roman" w:hAnsi="Times New Roman" w:cs="Times New Roman"/>
                <w:i/>
              </w:rPr>
            </w:pPr>
            <w:r w:rsidRPr="004472E4">
              <w:rPr>
                <w:rFonts w:ascii="Times New Roman" w:hAnsi="Times New Roman" w:cs="Times New Roman"/>
                <w:i/>
              </w:rPr>
              <w:t xml:space="preserve">7. </w:t>
            </w:r>
            <w:r>
              <w:rPr>
                <w:rFonts w:ascii="Times New Roman" w:hAnsi="Times New Roman" w:cs="Times New Roman"/>
                <w:i/>
              </w:rPr>
              <w:t>AS „</w:t>
            </w:r>
            <w:proofErr w:type="spellStart"/>
            <w:r>
              <w:rPr>
                <w:rFonts w:ascii="Times New Roman" w:hAnsi="Times New Roman" w:cs="Times New Roman"/>
                <w:i/>
              </w:rPr>
              <w:t>Olainfarm</w:t>
            </w:r>
            <w:proofErr w:type="spellEnd"/>
            <w:r>
              <w:rPr>
                <w:rFonts w:ascii="Times New Roman" w:hAnsi="Times New Roman" w:cs="Times New Roman"/>
                <w:i/>
              </w:rPr>
              <w:t>” (NACE 21.20)</w:t>
            </w:r>
          </w:p>
        </w:tc>
        <w:tc>
          <w:tcPr>
            <w:tcW w:w="2843" w:type="dxa"/>
          </w:tcPr>
          <w:p w:rsidR="004472E4" w:rsidRPr="004472E4" w:rsidRDefault="004472E4" w:rsidP="00A3094D">
            <w:pPr>
              <w:jc w:val="center"/>
              <w:rPr>
                <w:rFonts w:ascii="Times New Roman" w:hAnsi="Times New Roman" w:cs="Times New Roman"/>
              </w:rPr>
            </w:pPr>
            <w:r>
              <w:rPr>
                <w:rFonts w:ascii="Times New Roman" w:hAnsi="Times New Roman" w:cs="Times New Roman"/>
              </w:rPr>
              <w:t xml:space="preserve">22,95 </w:t>
            </w:r>
            <w:proofErr w:type="spellStart"/>
            <w:r>
              <w:rPr>
                <w:rFonts w:ascii="Times New Roman" w:hAnsi="Times New Roman" w:cs="Times New Roman"/>
              </w:rPr>
              <w:t>milj</w:t>
            </w:r>
            <w:proofErr w:type="spellEnd"/>
            <w:r>
              <w:rPr>
                <w:rFonts w:ascii="Times New Roman" w:hAnsi="Times New Roman" w:cs="Times New Roman"/>
              </w:rPr>
              <w:t>.</w:t>
            </w:r>
          </w:p>
        </w:tc>
        <w:tc>
          <w:tcPr>
            <w:tcW w:w="2645" w:type="dxa"/>
          </w:tcPr>
          <w:p w:rsidR="004472E4" w:rsidRPr="004472E4" w:rsidRDefault="004472E4" w:rsidP="00A3094D">
            <w:pPr>
              <w:jc w:val="center"/>
              <w:rPr>
                <w:rFonts w:ascii="Times New Roman" w:hAnsi="Times New Roman" w:cs="Times New Roman"/>
              </w:rPr>
            </w:pPr>
            <w:r>
              <w:rPr>
                <w:rFonts w:ascii="Times New Roman" w:hAnsi="Times New Roman" w:cs="Times New Roman"/>
              </w:rPr>
              <w:t xml:space="preserve">5,21 </w:t>
            </w:r>
            <w:proofErr w:type="spellStart"/>
            <w:r>
              <w:rPr>
                <w:rFonts w:ascii="Times New Roman" w:hAnsi="Times New Roman" w:cs="Times New Roman"/>
              </w:rPr>
              <w:t>milj</w:t>
            </w:r>
            <w:proofErr w:type="spellEnd"/>
            <w:r>
              <w:rPr>
                <w:rFonts w:ascii="Times New Roman" w:hAnsi="Times New Roman" w:cs="Times New Roman"/>
              </w:rPr>
              <w:t>.</w:t>
            </w:r>
          </w:p>
        </w:tc>
      </w:tr>
      <w:tr w:rsidR="00803FA5" w:rsidRPr="00803FA5" w:rsidTr="00392105">
        <w:trPr>
          <w:jc w:val="center"/>
        </w:trPr>
        <w:tc>
          <w:tcPr>
            <w:tcW w:w="2842" w:type="dxa"/>
          </w:tcPr>
          <w:p w:rsidR="00803FA5" w:rsidRPr="00803FA5" w:rsidRDefault="00803FA5" w:rsidP="004472E4">
            <w:pPr>
              <w:rPr>
                <w:rFonts w:ascii="Times New Roman" w:hAnsi="Times New Roman" w:cs="Times New Roman"/>
                <w:i/>
              </w:rPr>
            </w:pPr>
            <w:r>
              <w:rPr>
                <w:rFonts w:ascii="Times New Roman" w:hAnsi="Times New Roman" w:cs="Times New Roman"/>
                <w:i/>
              </w:rPr>
              <w:t>8. SIA „Latvijas Mobilais Telefons” (NACE J61.2)</w:t>
            </w:r>
          </w:p>
        </w:tc>
        <w:tc>
          <w:tcPr>
            <w:tcW w:w="2843" w:type="dxa"/>
          </w:tcPr>
          <w:p w:rsidR="00803FA5" w:rsidRPr="00803FA5" w:rsidRDefault="00803FA5" w:rsidP="00A3094D">
            <w:pPr>
              <w:jc w:val="center"/>
              <w:rPr>
                <w:rFonts w:ascii="Times New Roman" w:hAnsi="Times New Roman" w:cs="Times New Roman"/>
              </w:rPr>
            </w:pPr>
            <w:r>
              <w:rPr>
                <w:rFonts w:ascii="Times New Roman" w:hAnsi="Times New Roman" w:cs="Times New Roman"/>
              </w:rPr>
              <w:t xml:space="preserve">29,01 </w:t>
            </w:r>
            <w:proofErr w:type="spellStart"/>
            <w:r>
              <w:rPr>
                <w:rFonts w:ascii="Times New Roman" w:hAnsi="Times New Roman" w:cs="Times New Roman"/>
              </w:rPr>
              <w:t>milj</w:t>
            </w:r>
            <w:proofErr w:type="spellEnd"/>
            <w:r>
              <w:rPr>
                <w:rFonts w:ascii="Times New Roman" w:hAnsi="Times New Roman" w:cs="Times New Roman"/>
              </w:rPr>
              <w:t>.</w:t>
            </w:r>
          </w:p>
        </w:tc>
        <w:tc>
          <w:tcPr>
            <w:tcW w:w="2645" w:type="dxa"/>
          </w:tcPr>
          <w:p w:rsidR="00803FA5" w:rsidRPr="00803FA5" w:rsidRDefault="00803FA5" w:rsidP="00A3094D">
            <w:pPr>
              <w:jc w:val="center"/>
              <w:rPr>
                <w:rFonts w:ascii="Times New Roman" w:hAnsi="Times New Roman" w:cs="Times New Roman"/>
              </w:rPr>
            </w:pPr>
            <w:r>
              <w:rPr>
                <w:rFonts w:ascii="Times New Roman" w:hAnsi="Times New Roman" w:cs="Times New Roman"/>
              </w:rPr>
              <w:t xml:space="preserve">7,25 </w:t>
            </w:r>
            <w:proofErr w:type="spellStart"/>
            <w:r>
              <w:rPr>
                <w:rFonts w:ascii="Times New Roman" w:hAnsi="Times New Roman" w:cs="Times New Roman"/>
              </w:rPr>
              <w:t>milj</w:t>
            </w:r>
            <w:proofErr w:type="spellEnd"/>
            <w:r>
              <w:rPr>
                <w:rFonts w:ascii="Times New Roman" w:hAnsi="Times New Roman" w:cs="Times New Roman"/>
              </w:rPr>
              <w:t>.</w:t>
            </w:r>
          </w:p>
        </w:tc>
      </w:tr>
      <w:tr w:rsidR="00803FA5" w:rsidRPr="00803FA5" w:rsidTr="00392105">
        <w:trPr>
          <w:jc w:val="center"/>
        </w:trPr>
        <w:tc>
          <w:tcPr>
            <w:tcW w:w="2842" w:type="dxa"/>
          </w:tcPr>
          <w:p w:rsidR="00803FA5" w:rsidRPr="00803FA5" w:rsidRDefault="00803FA5" w:rsidP="004472E4">
            <w:pPr>
              <w:rPr>
                <w:rFonts w:ascii="Times New Roman" w:hAnsi="Times New Roman" w:cs="Times New Roman"/>
                <w:i/>
              </w:rPr>
            </w:pPr>
            <w:r>
              <w:rPr>
                <w:rFonts w:ascii="Times New Roman" w:hAnsi="Times New Roman" w:cs="Times New Roman"/>
                <w:i/>
              </w:rPr>
              <w:lastRenderedPageBreak/>
              <w:t>9. AS „Staburadze” (NACE</w:t>
            </w:r>
            <w:r w:rsidR="00722372">
              <w:rPr>
                <w:rFonts w:ascii="Times New Roman" w:hAnsi="Times New Roman" w:cs="Times New Roman"/>
                <w:i/>
              </w:rPr>
              <w:t xml:space="preserve"> C10</w:t>
            </w:r>
            <w:r>
              <w:rPr>
                <w:rFonts w:ascii="Times New Roman" w:hAnsi="Times New Roman" w:cs="Times New Roman"/>
                <w:i/>
              </w:rPr>
              <w:t>)</w:t>
            </w:r>
          </w:p>
        </w:tc>
        <w:tc>
          <w:tcPr>
            <w:tcW w:w="2843" w:type="dxa"/>
          </w:tcPr>
          <w:p w:rsidR="00803FA5" w:rsidRPr="00803FA5" w:rsidRDefault="00803FA5" w:rsidP="00A3094D">
            <w:pPr>
              <w:jc w:val="center"/>
              <w:rPr>
                <w:rFonts w:ascii="Times New Roman" w:hAnsi="Times New Roman" w:cs="Times New Roman"/>
              </w:rPr>
            </w:pPr>
            <w:r>
              <w:rPr>
                <w:rFonts w:ascii="Times New Roman" w:hAnsi="Times New Roman" w:cs="Times New Roman"/>
              </w:rPr>
              <w:t xml:space="preserve">4,30 </w:t>
            </w:r>
            <w:proofErr w:type="spellStart"/>
            <w:r>
              <w:rPr>
                <w:rFonts w:ascii="Times New Roman" w:hAnsi="Times New Roman" w:cs="Times New Roman"/>
              </w:rPr>
              <w:t>milj</w:t>
            </w:r>
            <w:proofErr w:type="spellEnd"/>
            <w:r>
              <w:rPr>
                <w:rFonts w:ascii="Times New Roman" w:hAnsi="Times New Roman" w:cs="Times New Roman"/>
              </w:rPr>
              <w:t>.</w:t>
            </w:r>
          </w:p>
        </w:tc>
        <w:tc>
          <w:tcPr>
            <w:tcW w:w="2645" w:type="dxa"/>
          </w:tcPr>
          <w:p w:rsidR="00803FA5" w:rsidRPr="00803FA5" w:rsidRDefault="00803FA5" w:rsidP="00A3094D">
            <w:pPr>
              <w:jc w:val="center"/>
              <w:rPr>
                <w:rFonts w:ascii="Times New Roman" w:hAnsi="Times New Roman" w:cs="Times New Roman"/>
              </w:rPr>
            </w:pPr>
            <w:r>
              <w:rPr>
                <w:rFonts w:ascii="Times New Roman" w:hAnsi="Times New Roman" w:cs="Times New Roman"/>
              </w:rPr>
              <w:t xml:space="preserve">1,08 </w:t>
            </w:r>
            <w:proofErr w:type="spellStart"/>
            <w:r>
              <w:rPr>
                <w:rFonts w:ascii="Times New Roman" w:hAnsi="Times New Roman" w:cs="Times New Roman"/>
              </w:rPr>
              <w:t>milj</w:t>
            </w:r>
            <w:proofErr w:type="spellEnd"/>
            <w:r>
              <w:rPr>
                <w:rFonts w:ascii="Times New Roman" w:hAnsi="Times New Roman" w:cs="Times New Roman"/>
              </w:rPr>
              <w:t>.</w:t>
            </w:r>
          </w:p>
        </w:tc>
      </w:tr>
      <w:tr w:rsidR="00722372" w:rsidRPr="00722372" w:rsidTr="00392105">
        <w:trPr>
          <w:jc w:val="center"/>
        </w:trPr>
        <w:tc>
          <w:tcPr>
            <w:tcW w:w="2842" w:type="dxa"/>
          </w:tcPr>
          <w:p w:rsidR="00722372" w:rsidRPr="00722372" w:rsidRDefault="00722372" w:rsidP="004472E4">
            <w:pPr>
              <w:rPr>
                <w:rFonts w:ascii="Times New Roman" w:hAnsi="Times New Roman" w:cs="Times New Roman"/>
                <w:b/>
                <w:i/>
              </w:rPr>
            </w:pPr>
            <w:r>
              <w:rPr>
                <w:rFonts w:ascii="Times New Roman" w:hAnsi="Times New Roman" w:cs="Times New Roman"/>
                <w:b/>
                <w:i/>
              </w:rPr>
              <w:t>KOPĀ</w:t>
            </w:r>
          </w:p>
        </w:tc>
        <w:tc>
          <w:tcPr>
            <w:tcW w:w="2843" w:type="dxa"/>
          </w:tcPr>
          <w:p w:rsidR="00722372" w:rsidRPr="00722372" w:rsidRDefault="00722372" w:rsidP="00A3094D">
            <w:pPr>
              <w:jc w:val="center"/>
              <w:rPr>
                <w:rFonts w:ascii="Times New Roman" w:hAnsi="Times New Roman" w:cs="Times New Roman"/>
                <w:b/>
              </w:rPr>
            </w:pPr>
            <w:r>
              <w:rPr>
                <w:rFonts w:ascii="Times New Roman" w:hAnsi="Times New Roman" w:cs="Times New Roman"/>
                <w:b/>
              </w:rPr>
              <w:t xml:space="preserve">97,11 </w:t>
            </w:r>
            <w:proofErr w:type="spellStart"/>
            <w:r>
              <w:rPr>
                <w:rFonts w:ascii="Times New Roman" w:hAnsi="Times New Roman" w:cs="Times New Roman"/>
                <w:b/>
              </w:rPr>
              <w:t>milj</w:t>
            </w:r>
            <w:proofErr w:type="spellEnd"/>
            <w:r>
              <w:rPr>
                <w:rFonts w:ascii="Times New Roman" w:hAnsi="Times New Roman" w:cs="Times New Roman"/>
                <w:b/>
              </w:rPr>
              <w:t>.</w:t>
            </w:r>
          </w:p>
        </w:tc>
        <w:tc>
          <w:tcPr>
            <w:tcW w:w="2645" w:type="dxa"/>
          </w:tcPr>
          <w:p w:rsidR="00722372" w:rsidRPr="00722372" w:rsidRDefault="00722372" w:rsidP="00A3094D">
            <w:pPr>
              <w:jc w:val="center"/>
              <w:rPr>
                <w:rFonts w:ascii="Times New Roman" w:hAnsi="Times New Roman" w:cs="Times New Roman"/>
                <w:b/>
              </w:rPr>
            </w:pPr>
            <w:r>
              <w:rPr>
                <w:rFonts w:ascii="Times New Roman" w:hAnsi="Times New Roman" w:cs="Times New Roman"/>
                <w:b/>
              </w:rPr>
              <w:t xml:space="preserve">22,23 </w:t>
            </w:r>
            <w:proofErr w:type="spellStart"/>
            <w:r>
              <w:rPr>
                <w:rFonts w:ascii="Times New Roman" w:hAnsi="Times New Roman" w:cs="Times New Roman"/>
                <w:b/>
              </w:rPr>
              <w:t>milj</w:t>
            </w:r>
            <w:proofErr w:type="spellEnd"/>
            <w:r>
              <w:rPr>
                <w:rFonts w:ascii="Times New Roman" w:hAnsi="Times New Roman" w:cs="Times New Roman"/>
                <w:b/>
              </w:rPr>
              <w:t>.</w:t>
            </w:r>
          </w:p>
        </w:tc>
      </w:tr>
    </w:tbl>
    <w:p w:rsidR="00A3094D" w:rsidRPr="00585F58" w:rsidRDefault="00A3094D" w:rsidP="00A3094D">
      <w:pPr>
        <w:spacing w:after="120" w:line="240" w:lineRule="auto"/>
        <w:rPr>
          <w:rFonts w:eastAsia="Times New Roman" w:cs="Times New Roman"/>
          <w:bCs/>
          <w:szCs w:val="24"/>
          <w:lang w:eastAsia="lv-LV"/>
        </w:rPr>
      </w:pPr>
      <w:r w:rsidRPr="00585F58">
        <w:rPr>
          <w:rFonts w:eastAsia="Times New Roman" w:cs="Times New Roman"/>
          <w:bCs/>
          <w:szCs w:val="24"/>
          <w:lang w:eastAsia="lv-LV"/>
        </w:rPr>
        <w:t xml:space="preserve">Dati: Ekonomikas ministrija, uz </w:t>
      </w:r>
      <w:r w:rsidR="004472E4">
        <w:rPr>
          <w:rFonts w:eastAsia="Times New Roman" w:cs="Times New Roman"/>
          <w:bCs/>
          <w:szCs w:val="24"/>
          <w:lang w:eastAsia="lv-LV"/>
        </w:rPr>
        <w:t>15.05</w:t>
      </w:r>
      <w:r w:rsidRPr="00585F58">
        <w:rPr>
          <w:rFonts w:eastAsia="Times New Roman" w:cs="Times New Roman"/>
          <w:bCs/>
          <w:szCs w:val="24"/>
          <w:lang w:eastAsia="lv-LV"/>
        </w:rPr>
        <w:t>.2013.</w:t>
      </w:r>
    </w:p>
    <w:p w:rsidR="005E582A" w:rsidRPr="00585F58" w:rsidRDefault="00EB635B" w:rsidP="005E582A">
      <w:pPr>
        <w:spacing w:after="0" w:line="240" w:lineRule="auto"/>
        <w:ind w:firstLine="720"/>
        <w:jc w:val="both"/>
        <w:rPr>
          <w:rFonts w:cs="Times New Roman"/>
          <w:szCs w:val="24"/>
        </w:rPr>
      </w:pPr>
      <w:r>
        <w:rPr>
          <w:rFonts w:cs="Times New Roman"/>
          <w:szCs w:val="24"/>
        </w:rPr>
        <w:t>Pašlaik</w:t>
      </w:r>
      <w:r w:rsidR="005E582A" w:rsidRPr="00585F58">
        <w:rPr>
          <w:rFonts w:cs="Times New Roman"/>
          <w:szCs w:val="24"/>
        </w:rPr>
        <w:t xml:space="preserve"> neviena atbalstāmo investīciju projekta īstenošana vēl nav pabeigta, līdz ar to precīzu fiskālās ietekmes un nodokļa atlaides ietekmes novērtējumu uz tautsaimniecību varēs sniegt pēc atbalstīto investīciju projektu īstenošanas.</w:t>
      </w:r>
    </w:p>
    <w:p w:rsidR="005E582A" w:rsidRPr="00585F58" w:rsidRDefault="005E582A" w:rsidP="005E582A">
      <w:pPr>
        <w:spacing w:after="0" w:line="240" w:lineRule="auto"/>
        <w:ind w:firstLine="720"/>
        <w:jc w:val="both"/>
        <w:rPr>
          <w:rFonts w:cs="Times New Roman"/>
          <w:szCs w:val="24"/>
        </w:rPr>
      </w:pPr>
      <w:r w:rsidRPr="00585F58">
        <w:rPr>
          <w:rFonts w:cs="Times New Roman"/>
          <w:szCs w:val="24"/>
        </w:rPr>
        <w:t>Lai novērtētu potenciālo nodokļa atlaides ietekmi uz tautsaimniecību, Ekono</w:t>
      </w:r>
      <w:r w:rsidR="00E0054D" w:rsidRPr="00585F58">
        <w:rPr>
          <w:rFonts w:cs="Times New Roman"/>
          <w:szCs w:val="24"/>
        </w:rPr>
        <w:t xml:space="preserve">mikas ministrija ir analizējusi pirmos </w:t>
      </w:r>
      <w:r w:rsidR="004472E4">
        <w:rPr>
          <w:rFonts w:cs="Times New Roman"/>
          <w:szCs w:val="24"/>
        </w:rPr>
        <w:t>7</w:t>
      </w:r>
      <w:r w:rsidRPr="00585F58">
        <w:rPr>
          <w:rFonts w:cs="Times New Roman"/>
          <w:szCs w:val="24"/>
        </w:rPr>
        <w:t xml:space="preserve"> apstiprinātos investīciju projektus un uzņēmumu biznesa plānos prognozētos saimnieciskās darbības rādītājus</w:t>
      </w:r>
      <w:r w:rsidR="0028572E" w:rsidRPr="00585F58">
        <w:rPr>
          <w:rFonts w:cs="Times New Roman"/>
          <w:szCs w:val="24"/>
        </w:rPr>
        <w:t xml:space="preserve"> (3.tab.)</w:t>
      </w:r>
      <w:r w:rsidRPr="00585F58">
        <w:rPr>
          <w:rFonts w:cs="Times New Roman"/>
          <w:szCs w:val="24"/>
        </w:rPr>
        <w:t>.</w:t>
      </w:r>
    </w:p>
    <w:p w:rsidR="00A3094D" w:rsidRPr="00585F58" w:rsidRDefault="00A3094D" w:rsidP="005E582A">
      <w:pPr>
        <w:spacing w:after="0" w:line="240" w:lineRule="auto"/>
        <w:ind w:firstLine="720"/>
        <w:jc w:val="both"/>
        <w:rPr>
          <w:rFonts w:cs="Times New Roman"/>
          <w:szCs w:val="24"/>
        </w:rPr>
      </w:pPr>
      <w:r w:rsidRPr="00585F58">
        <w:rPr>
          <w:rFonts w:cs="Times New Roman"/>
          <w:szCs w:val="24"/>
        </w:rPr>
        <w:t xml:space="preserve">Saskaņā ar uzņēmumu </w:t>
      </w:r>
      <w:r w:rsidR="005E582A" w:rsidRPr="00585F58">
        <w:rPr>
          <w:rFonts w:cs="Times New Roman"/>
          <w:szCs w:val="24"/>
        </w:rPr>
        <w:t xml:space="preserve">atbalstāmo </w:t>
      </w:r>
      <w:r w:rsidRPr="00585F58">
        <w:rPr>
          <w:rFonts w:cs="Times New Roman"/>
          <w:szCs w:val="24"/>
        </w:rPr>
        <w:t xml:space="preserve">investīciju projektos prognozētajiem rādītājiem, kopējā nomaksāto darbaspēka nodokļu summa (iedzīvotāju ienākuma nodoklis un valsts sociālās apdrošināšanas obligātās iemaksas) 2019.gadā sasniegs </w:t>
      </w:r>
      <w:r w:rsidR="004472E4">
        <w:rPr>
          <w:rFonts w:cs="Times New Roman"/>
          <w:szCs w:val="24"/>
        </w:rPr>
        <w:t>131,4</w:t>
      </w:r>
      <w:r w:rsidRPr="00585F58">
        <w:rPr>
          <w:rFonts w:cs="Times New Roman"/>
          <w:szCs w:val="24"/>
        </w:rPr>
        <w:t xml:space="preserve"> </w:t>
      </w:r>
      <w:proofErr w:type="spellStart"/>
      <w:r w:rsidRPr="00585F58">
        <w:rPr>
          <w:rFonts w:cs="Times New Roman"/>
          <w:szCs w:val="24"/>
        </w:rPr>
        <w:t>milj</w:t>
      </w:r>
      <w:proofErr w:type="spellEnd"/>
      <w:r w:rsidRPr="00585F58">
        <w:rPr>
          <w:rFonts w:cs="Times New Roman"/>
          <w:szCs w:val="24"/>
        </w:rPr>
        <w:t xml:space="preserve">. </w:t>
      </w:r>
      <w:r w:rsidR="00720803">
        <w:rPr>
          <w:rFonts w:cs="Times New Roman"/>
          <w:szCs w:val="24"/>
        </w:rPr>
        <w:t>latu</w:t>
      </w:r>
      <w:r w:rsidR="00BC59DE" w:rsidRPr="00585F58">
        <w:rPr>
          <w:rFonts w:cs="Times New Roman"/>
          <w:szCs w:val="24"/>
        </w:rPr>
        <w:t>,</w:t>
      </w:r>
      <w:r w:rsidRPr="00585F58">
        <w:rPr>
          <w:rFonts w:cs="Times New Roman"/>
          <w:szCs w:val="24"/>
        </w:rPr>
        <w:t xml:space="preserve"> par </w:t>
      </w:r>
      <w:r w:rsidR="004472E4">
        <w:rPr>
          <w:rFonts w:cs="Times New Roman"/>
          <w:szCs w:val="24"/>
        </w:rPr>
        <w:t>19,7</w:t>
      </w:r>
      <w:r w:rsidRPr="00585F58">
        <w:rPr>
          <w:rFonts w:cs="Times New Roman"/>
          <w:szCs w:val="24"/>
        </w:rPr>
        <w:t xml:space="preserve"> </w:t>
      </w:r>
      <w:proofErr w:type="spellStart"/>
      <w:r w:rsidRPr="00585F58">
        <w:rPr>
          <w:rFonts w:cs="Times New Roman"/>
          <w:szCs w:val="24"/>
        </w:rPr>
        <w:t>milj</w:t>
      </w:r>
      <w:proofErr w:type="spellEnd"/>
      <w:r w:rsidRPr="00585F58">
        <w:rPr>
          <w:rFonts w:cs="Times New Roman"/>
          <w:szCs w:val="24"/>
        </w:rPr>
        <w:t>. latu pārsniedzot to valsts budžetā nomaksāto darbaspēka nodokļu apmēru, kuru uzņēmumi samaksātu gadījumā, ja investīciju projekti netiktu īstenoti. Ņemot vērā investīciju projektu īstenošanu, kopumā gadā nomaksāto darbaspēka nodokļu</w:t>
      </w:r>
      <w:r w:rsidR="004472E4">
        <w:rPr>
          <w:rFonts w:cs="Times New Roman"/>
          <w:szCs w:val="24"/>
        </w:rPr>
        <w:t xml:space="preserve"> apjoms var pieaugt aptuveni 2</w:t>
      </w:r>
      <w:r w:rsidRPr="00585F58">
        <w:rPr>
          <w:rFonts w:cs="Times New Roman"/>
          <w:szCs w:val="24"/>
        </w:rPr>
        <w:t xml:space="preserve"> reizes – bez projekta īstenošanas nomaksātais nodokļu apjoms tiek prognozēts </w:t>
      </w:r>
      <w:r w:rsidR="008B2A9D">
        <w:rPr>
          <w:rFonts w:cs="Times New Roman"/>
          <w:szCs w:val="24"/>
        </w:rPr>
        <w:t>6,9</w:t>
      </w:r>
      <w:r w:rsidRPr="00585F58">
        <w:rPr>
          <w:rFonts w:cs="Times New Roman"/>
          <w:szCs w:val="24"/>
        </w:rPr>
        <w:t xml:space="preserve"> </w:t>
      </w:r>
      <w:proofErr w:type="spellStart"/>
      <w:r w:rsidRPr="00585F58">
        <w:rPr>
          <w:rFonts w:cs="Times New Roman"/>
          <w:szCs w:val="24"/>
        </w:rPr>
        <w:t>milj</w:t>
      </w:r>
      <w:proofErr w:type="spellEnd"/>
      <w:r w:rsidRPr="00585F58">
        <w:rPr>
          <w:rFonts w:cs="Times New Roman"/>
          <w:szCs w:val="24"/>
        </w:rPr>
        <w:t xml:space="preserve">. latu gadā, savukārt, īstenojot investīciju projektus, nomaksāto nodokļu apjoms var sasniegt </w:t>
      </w:r>
      <w:r w:rsidR="004472E4">
        <w:rPr>
          <w:rFonts w:cs="Times New Roman"/>
          <w:szCs w:val="24"/>
        </w:rPr>
        <w:t>13</w:t>
      </w:r>
      <w:r w:rsidRPr="00585F58">
        <w:rPr>
          <w:rFonts w:cs="Times New Roman"/>
          <w:szCs w:val="24"/>
        </w:rPr>
        <w:t xml:space="preserve"> </w:t>
      </w:r>
      <w:proofErr w:type="spellStart"/>
      <w:r w:rsidRPr="00585F58">
        <w:rPr>
          <w:rFonts w:cs="Times New Roman"/>
          <w:szCs w:val="24"/>
        </w:rPr>
        <w:t>milj</w:t>
      </w:r>
      <w:proofErr w:type="spellEnd"/>
      <w:r w:rsidRPr="00585F58">
        <w:rPr>
          <w:rFonts w:cs="Times New Roman"/>
          <w:szCs w:val="24"/>
        </w:rPr>
        <w:t xml:space="preserve">. latu. Tik būtisks darbaspēka nodokļu pieaugums ir izskaidrojams ar plānotajām jaunizveidotajām darba vietām – kopumā līdz 2019.gadam plānots izveidot </w:t>
      </w:r>
      <w:r w:rsidR="004472E4">
        <w:rPr>
          <w:rFonts w:cs="Times New Roman"/>
          <w:szCs w:val="24"/>
        </w:rPr>
        <w:t>574</w:t>
      </w:r>
      <w:r w:rsidRPr="00585F58">
        <w:rPr>
          <w:rFonts w:cs="Times New Roman"/>
          <w:szCs w:val="24"/>
        </w:rPr>
        <w:t xml:space="preserve"> jaunas darba vietas</w:t>
      </w:r>
      <w:r w:rsidR="004472E4">
        <w:rPr>
          <w:rFonts w:cs="Times New Roman"/>
          <w:szCs w:val="24"/>
        </w:rPr>
        <w:t>, no kurām 315 tieši saistītas investīciju projekta īstenošanu</w:t>
      </w:r>
      <w:r w:rsidRPr="00585F58">
        <w:rPr>
          <w:rFonts w:cs="Times New Roman"/>
          <w:szCs w:val="24"/>
        </w:rPr>
        <w:t>. Būtiski uzsvērt, ka galvenokārt darba vietas paredzēts izveidot ārpus Rīgas – Dobelē, Jelgavā</w:t>
      </w:r>
      <w:r w:rsidR="00B16C36">
        <w:rPr>
          <w:rFonts w:cs="Times New Roman"/>
          <w:szCs w:val="24"/>
        </w:rPr>
        <w:t>, Olainē</w:t>
      </w:r>
      <w:r w:rsidRPr="00585F58">
        <w:rPr>
          <w:rFonts w:cs="Times New Roman"/>
          <w:szCs w:val="24"/>
        </w:rPr>
        <w:t xml:space="preserve"> un Tērvetē. Rīgā plānots izveidot </w:t>
      </w:r>
      <w:r w:rsidR="004472E4">
        <w:rPr>
          <w:rFonts w:cs="Times New Roman"/>
          <w:szCs w:val="24"/>
        </w:rPr>
        <w:t>7</w:t>
      </w:r>
      <w:r w:rsidRPr="00585F58">
        <w:rPr>
          <w:rFonts w:cs="Times New Roman"/>
          <w:szCs w:val="24"/>
        </w:rPr>
        <w:t>8 jaunas darba vietas.</w:t>
      </w:r>
    </w:p>
    <w:p w:rsidR="00A3094D" w:rsidRPr="00585F58" w:rsidRDefault="00A3094D" w:rsidP="00A3094D">
      <w:pPr>
        <w:spacing w:after="0" w:line="240" w:lineRule="auto"/>
        <w:ind w:firstLine="720"/>
        <w:jc w:val="both"/>
        <w:rPr>
          <w:rFonts w:cs="Times New Roman"/>
          <w:szCs w:val="24"/>
        </w:rPr>
      </w:pPr>
      <w:r w:rsidRPr="00585F58">
        <w:rPr>
          <w:rFonts w:cs="Times New Roman"/>
          <w:szCs w:val="24"/>
        </w:rPr>
        <w:t>Ņemot vērā uzņēmumu prognozēto kopējo apgrozījuma pieaugumu, darbinieku skaita palielinājumu un līdz ar to arī nomaksājamo nodokļu pieaugumu (ieskaitot valsts sociālās apdrošināšanas obligātās iemaksas), Ekonomikas ministrija ir aprēķinājusi, ka papildus valsts budžetā iemaksātie nodokļi pārsniegs sākotnēji piemēroto kopējo nodokļa atlaides apjom</w:t>
      </w:r>
      <w:r w:rsidR="008B2A9D">
        <w:rPr>
          <w:rFonts w:cs="Times New Roman"/>
          <w:szCs w:val="24"/>
        </w:rPr>
        <w:t xml:space="preserve">u 13,9 </w:t>
      </w:r>
      <w:proofErr w:type="spellStart"/>
      <w:r w:rsidR="008B2A9D">
        <w:rPr>
          <w:rFonts w:cs="Times New Roman"/>
          <w:szCs w:val="24"/>
        </w:rPr>
        <w:t>milj</w:t>
      </w:r>
      <w:proofErr w:type="spellEnd"/>
      <w:r w:rsidR="008B2A9D">
        <w:rPr>
          <w:rFonts w:cs="Times New Roman"/>
          <w:szCs w:val="24"/>
        </w:rPr>
        <w:t>. latu apmērā jau 2020</w:t>
      </w:r>
      <w:r w:rsidRPr="00585F58">
        <w:rPr>
          <w:rFonts w:cs="Times New Roman"/>
          <w:szCs w:val="24"/>
        </w:rPr>
        <w:t>.gadā.</w:t>
      </w:r>
    </w:p>
    <w:p w:rsidR="00A3094D" w:rsidRPr="00585F58" w:rsidRDefault="009576B7" w:rsidP="00A3094D">
      <w:pPr>
        <w:spacing w:after="0" w:line="240" w:lineRule="auto"/>
        <w:ind w:firstLine="720"/>
        <w:jc w:val="both"/>
        <w:rPr>
          <w:rFonts w:cs="Times New Roman"/>
          <w:szCs w:val="24"/>
        </w:rPr>
      </w:pPr>
      <w:r w:rsidRPr="00585F58">
        <w:rPr>
          <w:rFonts w:cs="Times New Roman"/>
          <w:szCs w:val="24"/>
        </w:rPr>
        <w:t>Papildus</w:t>
      </w:r>
      <w:r w:rsidR="00A3094D" w:rsidRPr="00585F58">
        <w:rPr>
          <w:rFonts w:cs="Times New Roman"/>
          <w:szCs w:val="24"/>
        </w:rPr>
        <w:t xml:space="preserve"> ieguvumiem valsts budžetā, svarīgi ir atzīmēt investīciju projektu ietekmi uz uzņēmumu saimnieciskās darbības rādītājiem. Atbilstoši prognozēm, 2019.gadā, īstenojot investīciju projektus, uzņēmumu kopējais neto apgrozījums varētu sasniegt </w:t>
      </w:r>
      <w:r w:rsidR="008B2A9D">
        <w:rPr>
          <w:rFonts w:cs="Times New Roman"/>
          <w:szCs w:val="24"/>
        </w:rPr>
        <w:t>211,3</w:t>
      </w:r>
      <w:r w:rsidR="00A3094D" w:rsidRPr="00585F58">
        <w:rPr>
          <w:rFonts w:cs="Times New Roman"/>
          <w:szCs w:val="24"/>
        </w:rPr>
        <w:t xml:space="preserve"> </w:t>
      </w:r>
      <w:proofErr w:type="spellStart"/>
      <w:r w:rsidR="00A3094D" w:rsidRPr="00585F58">
        <w:rPr>
          <w:rFonts w:cs="Times New Roman"/>
          <w:szCs w:val="24"/>
        </w:rPr>
        <w:t>milj</w:t>
      </w:r>
      <w:proofErr w:type="spellEnd"/>
      <w:r w:rsidR="00A3094D" w:rsidRPr="00585F58">
        <w:rPr>
          <w:rFonts w:cs="Times New Roman"/>
          <w:szCs w:val="24"/>
        </w:rPr>
        <w:t xml:space="preserve">. latu, kas ir </w:t>
      </w:r>
      <w:r w:rsidR="008B2A9D">
        <w:rPr>
          <w:rFonts w:cs="Times New Roman"/>
          <w:szCs w:val="24"/>
        </w:rPr>
        <w:t>4,4</w:t>
      </w:r>
      <w:r w:rsidR="00A3094D" w:rsidRPr="00585F58">
        <w:rPr>
          <w:rFonts w:cs="Times New Roman"/>
          <w:szCs w:val="24"/>
        </w:rPr>
        <w:t xml:space="preserve">% no kopējā apstrādes rūpniecības apgrozījuma 2011.gadā. Attiecīgi šobrīd (ņemti vērā rādītāji par 2011.gadu, kas ir pēdējais noslēgtais finanšu gads) uzņēmumu kopējais neto apgrozījums veido </w:t>
      </w:r>
      <w:r w:rsidR="008B2A9D">
        <w:rPr>
          <w:rFonts w:cs="Times New Roman"/>
          <w:szCs w:val="24"/>
        </w:rPr>
        <w:t>88,1</w:t>
      </w:r>
      <w:r w:rsidR="00A3094D" w:rsidRPr="00585F58">
        <w:rPr>
          <w:rFonts w:cs="Times New Roman"/>
          <w:szCs w:val="24"/>
        </w:rPr>
        <w:t xml:space="preserve"> </w:t>
      </w:r>
      <w:proofErr w:type="spellStart"/>
      <w:r w:rsidR="00A3094D" w:rsidRPr="00585F58">
        <w:rPr>
          <w:rFonts w:cs="Times New Roman"/>
          <w:szCs w:val="24"/>
        </w:rPr>
        <w:t>milj</w:t>
      </w:r>
      <w:proofErr w:type="spellEnd"/>
      <w:r w:rsidR="00A3094D" w:rsidRPr="00585F58">
        <w:rPr>
          <w:rFonts w:cs="Times New Roman"/>
          <w:szCs w:val="24"/>
        </w:rPr>
        <w:t>. latu, kas ir aptuveni 1</w:t>
      </w:r>
      <w:r w:rsidR="008B2A9D">
        <w:rPr>
          <w:rFonts w:cs="Times New Roman"/>
          <w:szCs w:val="24"/>
        </w:rPr>
        <w:t>,8</w:t>
      </w:r>
      <w:r w:rsidR="00A3094D" w:rsidRPr="00585F58">
        <w:rPr>
          <w:rFonts w:cs="Times New Roman"/>
          <w:szCs w:val="24"/>
        </w:rPr>
        <w:t xml:space="preserve">% no kopējā apstrādes rūpniecības apgrozījuma 2011.gadā. Vērtējot neto apgrozījuma starpību ar un bez investīciju projekta īstenošanas, var secināt, ka uzkrātā neto apgrozījuma starpība līdz 2019.gadam var veidot </w:t>
      </w:r>
      <w:r w:rsidR="008B2A9D">
        <w:rPr>
          <w:rFonts w:cs="Times New Roman"/>
          <w:szCs w:val="24"/>
        </w:rPr>
        <w:t>372,8</w:t>
      </w:r>
      <w:r w:rsidR="00A3094D" w:rsidRPr="00585F58">
        <w:rPr>
          <w:rFonts w:cs="Times New Roman"/>
          <w:szCs w:val="24"/>
        </w:rPr>
        <w:t xml:space="preserve"> </w:t>
      </w:r>
      <w:proofErr w:type="spellStart"/>
      <w:r w:rsidR="00A3094D" w:rsidRPr="00585F58">
        <w:rPr>
          <w:rFonts w:cs="Times New Roman"/>
          <w:szCs w:val="24"/>
        </w:rPr>
        <w:t>milj</w:t>
      </w:r>
      <w:proofErr w:type="spellEnd"/>
      <w:r w:rsidR="00A3094D" w:rsidRPr="00585F58">
        <w:rPr>
          <w:rFonts w:cs="Times New Roman"/>
          <w:szCs w:val="24"/>
        </w:rPr>
        <w:t>. latu.</w:t>
      </w:r>
    </w:p>
    <w:p w:rsidR="009576B7" w:rsidRPr="00585F58" w:rsidRDefault="009576B7" w:rsidP="009576B7">
      <w:pPr>
        <w:spacing w:after="0" w:line="240" w:lineRule="auto"/>
        <w:ind w:firstLine="720"/>
        <w:jc w:val="both"/>
        <w:rPr>
          <w:rFonts w:cs="Times New Roman"/>
          <w:szCs w:val="24"/>
        </w:rPr>
      </w:pPr>
      <w:r w:rsidRPr="00585F58">
        <w:rPr>
          <w:rFonts w:cs="Times New Roman"/>
          <w:szCs w:val="24"/>
        </w:rPr>
        <w:t xml:space="preserve">Ņemot vērā sagaidāmo apgrozījuma pieaugumu, kā arī to, ka visu </w:t>
      </w:r>
      <w:r w:rsidRPr="00585F58">
        <w:rPr>
          <w:rFonts w:cs="Times New Roman"/>
        </w:rPr>
        <w:t xml:space="preserve">atbalstāmo </w:t>
      </w:r>
      <w:r w:rsidRPr="00585F58">
        <w:rPr>
          <w:rFonts w:cs="Times New Roman"/>
          <w:szCs w:val="24"/>
        </w:rPr>
        <w:t xml:space="preserve">investīciju projektu ietvaros plānots arī eksporta pieaugums, līdz 2019.gadam, īstenojot investīciju projektus, uzkrātā eksporta apjoma starpība var veidot </w:t>
      </w:r>
      <w:r w:rsidR="008B2A9D">
        <w:rPr>
          <w:rFonts w:cs="Times New Roman"/>
          <w:szCs w:val="24"/>
        </w:rPr>
        <w:t>293,2</w:t>
      </w:r>
      <w:r w:rsidRPr="00585F58">
        <w:rPr>
          <w:rFonts w:cs="Times New Roman"/>
          <w:szCs w:val="24"/>
        </w:rPr>
        <w:t xml:space="preserve"> </w:t>
      </w:r>
      <w:proofErr w:type="spellStart"/>
      <w:r w:rsidRPr="00585F58">
        <w:rPr>
          <w:rFonts w:cs="Times New Roman"/>
          <w:szCs w:val="24"/>
        </w:rPr>
        <w:t>milj</w:t>
      </w:r>
      <w:proofErr w:type="spellEnd"/>
      <w:r w:rsidRPr="00585F58">
        <w:rPr>
          <w:rFonts w:cs="Times New Roman"/>
          <w:szCs w:val="24"/>
        </w:rPr>
        <w:t xml:space="preserve">. latu attiecībā pret to pašu laika periodu bez investīciju projektu īstenošanas. 2019.gadā visu investīciju projektu kopējais eksporta apjoms tiek prognozēts </w:t>
      </w:r>
      <w:r w:rsidR="008B2A9D">
        <w:rPr>
          <w:rFonts w:cs="Times New Roman"/>
          <w:szCs w:val="24"/>
        </w:rPr>
        <w:t>161,6</w:t>
      </w:r>
      <w:r w:rsidRPr="00585F58">
        <w:rPr>
          <w:rFonts w:cs="Times New Roman"/>
          <w:szCs w:val="24"/>
        </w:rPr>
        <w:t xml:space="preserve"> </w:t>
      </w:r>
      <w:proofErr w:type="spellStart"/>
      <w:r w:rsidRPr="00585F58">
        <w:rPr>
          <w:rFonts w:cs="Times New Roman"/>
          <w:szCs w:val="24"/>
        </w:rPr>
        <w:t>milj</w:t>
      </w:r>
      <w:proofErr w:type="spellEnd"/>
      <w:r w:rsidRPr="00585F58">
        <w:rPr>
          <w:rFonts w:cs="Times New Roman"/>
          <w:szCs w:val="24"/>
        </w:rPr>
        <w:t xml:space="preserve">. latu apmērā, kamēr 2011.gadā tas veidoja </w:t>
      </w:r>
      <w:r w:rsidR="008B2A9D">
        <w:rPr>
          <w:rFonts w:cs="Times New Roman"/>
          <w:szCs w:val="24"/>
        </w:rPr>
        <w:t>63</w:t>
      </w:r>
      <w:r w:rsidRPr="00585F58">
        <w:rPr>
          <w:rFonts w:cs="Times New Roman"/>
          <w:szCs w:val="24"/>
        </w:rPr>
        <w:t xml:space="preserve"> </w:t>
      </w:r>
      <w:proofErr w:type="spellStart"/>
      <w:r w:rsidRPr="00585F58">
        <w:rPr>
          <w:rFonts w:cs="Times New Roman"/>
          <w:szCs w:val="24"/>
        </w:rPr>
        <w:t>milj</w:t>
      </w:r>
      <w:proofErr w:type="spellEnd"/>
      <w:r w:rsidRPr="00585F58">
        <w:rPr>
          <w:rFonts w:cs="Times New Roman"/>
          <w:szCs w:val="24"/>
        </w:rPr>
        <w:t>. latu.</w:t>
      </w:r>
    </w:p>
    <w:p w:rsidR="009576B7" w:rsidRPr="00585F58" w:rsidRDefault="009576B7" w:rsidP="009576B7">
      <w:pPr>
        <w:spacing w:after="0" w:line="240" w:lineRule="auto"/>
        <w:ind w:firstLine="720"/>
        <w:jc w:val="both"/>
        <w:rPr>
          <w:rFonts w:cs="Times New Roman"/>
          <w:szCs w:val="24"/>
        </w:rPr>
      </w:pPr>
      <w:r w:rsidRPr="00585F58">
        <w:rPr>
          <w:rFonts w:cs="Times New Roman"/>
          <w:szCs w:val="24"/>
        </w:rPr>
        <w:t xml:space="preserve">Īstenojot </w:t>
      </w:r>
      <w:r w:rsidRPr="00585F58">
        <w:rPr>
          <w:rFonts w:cs="Times New Roman"/>
        </w:rPr>
        <w:t xml:space="preserve">atbalstāmo </w:t>
      </w:r>
      <w:r w:rsidRPr="00585F58">
        <w:rPr>
          <w:rFonts w:cs="Times New Roman"/>
          <w:szCs w:val="24"/>
        </w:rPr>
        <w:t xml:space="preserve">investīciju projektus, uzņēmumi prognozē arī būtisku bruto peļņas pieaugumu – 2019.gadā visu uzņēmumu kopējā bruto peļņa plānota </w:t>
      </w:r>
      <w:r w:rsidR="008B2A9D">
        <w:rPr>
          <w:rFonts w:cs="Times New Roman"/>
          <w:szCs w:val="24"/>
        </w:rPr>
        <w:t>88,6</w:t>
      </w:r>
      <w:r w:rsidRPr="00585F58">
        <w:rPr>
          <w:rFonts w:cs="Times New Roman"/>
          <w:szCs w:val="24"/>
        </w:rPr>
        <w:t xml:space="preserve"> </w:t>
      </w:r>
      <w:proofErr w:type="spellStart"/>
      <w:r w:rsidRPr="00585F58">
        <w:rPr>
          <w:rFonts w:cs="Times New Roman"/>
          <w:szCs w:val="24"/>
        </w:rPr>
        <w:t>milj</w:t>
      </w:r>
      <w:proofErr w:type="spellEnd"/>
      <w:r w:rsidRPr="00585F58">
        <w:rPr>
          <w:rFonts w:cs="Times New Roman"/>
          <w:szCs w:val="24"/>
        </w:rPr>
        <w:t xml:space="preserve">. latu apmērā, kamēr 2011.gadā tā bija tikai </w:t>
      </w:r>
      <w:r w:rsidR="002D4A78">
        <w:rPr>
          <w:rFonts w:cs="Times New Roman"/>
          <w:szCs w:val="24"/>
        </w:rPr>
        <w:t>40,8</w:t>
      </w:r>
      <w:r w:rsidRPr="00585F58">
        <w:rPr>
          <w:rFonts w:cs="Times New Roman"/>
          <w:szCs w:val="24"/>
        </w:rPr>
        <w:t xml:space="preserve"> </w:t>
      </w:r>
      <w:proofErr w:type="spellStart"/>
      <w:r w:rsidRPr="00585F58">
        <w:rPr>
          <w:rFonts w:cs="Times New Roman"/>
          <w:szCs w:val="24"/>
        </w:rPr>
        <w:t>milj</w:t>
      </w:r>
      <w:proofErr w:type="spellEnd"/>
      <w:r w:rsidRPr="00585F58">
        <w:rPr>
          <w:rFonts w:cs="Times New Roman"/>
          <w:szCs w:val="24"/>
        </w:rPr>
        <w:t xml:space="preserve">. latu. Līdz 2019.gadam starpība starp visu uzņēmumu bruto peļņu, īstenojot investīciju projektus, varētu </w:t>
      </w:r>
      <w:r w:rsidRPr="00585F58">
        <w:rPr>
          <w:rFonts w:cs="Times New Roman"/>
          <w:szCs w:val="24"/>
        </w:rPr>
        <w:lastRenderedPageBreak/>
        <w:t xml:space="preserve">veidot </w:t>
      </w:r>
      <w:r w:rsidR="002D4A78">
        <w:rPr>
          <w:rFonts w:cs="Times New Roman"/>
          <w:szCs w:val="24"/>
        </w:rPr>
        <w:t>96,1</w:t>
      </w:r>
      <w:r w:rsidRPr="00585F58">
        <w:rPr>
          <w:rFonts w:cs="Times New Roman"/>
          <w:szCs w:val="24"/>
        </w:rPr>
        <w:t xml:space="preserve"> </w:t>
      </w:r>
      <w:proofErr w:type="spellStart"/>
      <w:r w:rsidRPr="00585F58">
        <w:rPr>
          <w:rFonts w:cs="Times New Roman"/>
          <w:szCs w:val="24"/>
        </w:rPr>
        <w:t>milj</w:t>
      </w:r>
      <w:proofErr w:type="spellEnd"/>
      <w:r w:rsidRPr="00585F58">
        <w:rPr>
          <w:rFonts w:cs="Times New Roman"/>
          <w:szCs w:val="24"/>
        </w:rPr>
        <w:t>. latu</w:t>
      </w:r>
      <w:r w:rsidRPr="00585F58">
        <w:t xml:space="preserve"> </w:t>
      </w:r>
      <w:r w:rsidRPr="00585F58">
        <w:rPr>
          <w:rFonts w:cs="Times New Roman"/>
          <w:szCs w:val="24"/>
        </w:rPr>
        <w:t>attiecībā pret to pašu laika periodu bez in</w:t>
      </w:r>
      <w:r w:rsidR="00EB635B">
        <w:rPr>
          <w:rFonts w:cs="Times New Roman"/>
          <w:szCs w:val="24"/>
        </w:rPr>
        <w:t>vestīciju projektu īstenošanas.</w:t>
      </w:r>
    </w:p>
    <w:p w:rsidR="00722372" w:rsidRPr="00585F58" w:rsidRDefault="00722372" w:rsidP="00FA6C06">
      <w:pPr>
        <w:spacing w:after="0" w:line="240" w:lineRule="auto"/>
        <w:jc w:val="both"/>
        <w:rPr>
          <w:rFonts w:cs="Times New Roman"/>
          <w:szCs w:val="24"/>
        </w:rPr>
      </w:pPr>
    </w:p>
    <w:p w:rsidR="00A3094D" w:rsidRPr="00585F58" w:rsidRDefault="00B17AAF" w:rsidP="00392105">
      <w:pPr>
        <w:spacing w:after="0" w:line="240" w:lineRule="auto"/>
        <w:jc w:val="both"/>
        <w:rPr>
          <w:rFonts w:cs="Times New Roman"/>
          <w:b/>
          <w:szCs w:val="24"/>
        </w:rPr>
      </w:pPr>
      <w:r w:rsidRPr="00585F58">
        <w:rPr>
          <w:rFonts w:cs="Times New Roman"/>
          <w:b/>
          <w:szCs w:val="24"/>
        </w:rPr>
        <w:t>3</w:t>
      </w:r>
      <w:r w:rsidR="00A3094D" w:rsidRPr="00585F58">
        <w:rPr>
          <w:rFonts w:cs="Times New Roman"/>
          <w:b/>
          <w:szCs w:val="24"/>
        </w:rPr>
        <w:t xml:space="preserve">.tab. Uzņēmumu prognozētie saimnieciskās darbības rādītāji (dati no </w:t>
      </w:r>
      <w:r w:rsidR="00E0054D" w:rsidRPr="00585F58">
        <w:rPr>
          <w:rFonts w:cs="Times New Roman"/>
          <w:b/>
          <w:szCs w:val="24"/>
        </w:rPr>
        <w:t xml:space="preserve">pirmajiem </w:t>
      </w:r>
      <w:r w:rsidR="00EB635B">
        <w:rPr>
          <w:rFonts w:cs="Times New Roman"/>
          <w:b/>
          <w:szCs w:val="24"/>
        </w:rPr>
        <w:t>7</w:t>
      </w:r>
      <w:r w:rsidR="00E0054D" w:rsidRPr="00585F58">
        <w:rPr>
          <w:rFonts w:cs="Times New Roman"/>
          <w:b/>
          <w:szCs w:val="24"/>
        </w:rPr>
        <w:t xml:space="preserve"> </w:t>
      </w:r>
      <w:r w:rsidR="00A3094D" w:rsidRPr="00585F58">
        <w:rPr>
          <w:rFonts w:cs="Times New Roman"/>
          <w:b/>
          <w:szCs w:val="24"/>
        </w:rPr>
        <w:t>iesniegtajiem atbalstāmo investīciju projektiem)</w:t>
      </w:r>
    </w:p>
    <w:tbl>
      <w:tblPr>
        <w:tblStyle w:val="TableGrid"/>
        <w:tblW w:w="0" w:type="auto"/>
        <w:tblLook w:val="04A0" w:firstRow="1" w:lastRow="0" w:firstColumn="1" w:lastColumn="0" w:noHBand="0" w:noVBand="1"/>
      </w:tblPr>
      <w:tblGrid>
        <w:gridCol w:w="1809"/>
        <w:gridCol w:w="1601"/>
        <w:gridCol w:w="1660"/>
        <w:gridCol w:w="1559"/>
        <w:gridCol w:w="1899"/>
      </w:tblGrid>
      <w:tr w:rsidR="00585F58" w:rsidRPr="00585F58" w:rsidTr="00ED6F0C">
        <w:tc>
          <w:tcPr>
            <w:tcW w:w="1809" w:type="dxa"/>
          </w:tcPr>
          <w:p w:rsidR="00A3094D" w:rsidRPr="00585F58" w:rsidRDefault="00A3094D" w:rsidP="00A3094D">
            <w:pPr>
              <w:jc w:val="both"/>
              <w:rPr>
                <w:rFonts w:ascii="Times New Roman" w:hAnsi="Times New Roman" w:cs="Times New Roman"/>
              </w:rPr>
            </w:pPr>
          </w:p>
        </w:tc>
        <w:tc>
          <w:tcPr>
            <w:tcW w:w="1601" w:type="dxa"/>
            <w:vAlign w:val="center"/>
          </w:tcPr>
          <w:p w:rsidR="00A3094D" w:rsidRPr="00585F58" w:rsidRDefault="00A3094D" w:rsidP="00A3094D">
            <w:pPr>
              <w:jc w:val="center"/>
              <w:rPr>
                <w:rFonts w:ascii="Times New Roman" w:hAnsi="Times New Roman" w:cs="Times New Roman"/>
              </w:rPr>
            </w:pPr>
            <w:r w:rsidRPr="00585F58">
              <w:rPr>
                <w:rFonts w:ascii="Times New Roman" w:hAnsi="Times New Roman" w:cs="Times New Roman"/>
              </w:rPr>
              <w:t>2011.gadā</w:t>
            </w:r>
          </w:p>
        </w:tc>
        <w:tc>
          <w:tcPr>
            <w:tcW w:w="1660" w:type="dxa"/>
            <w:vAlign w:val="center"/>
          </w:tcPr>
          <w:p w:rsidR="00A3094D" w:rsidRPr="00585F58" w:rsidRDefault="00A3094D" w:rsidP="00A3094D">
            <w:pPr>
              <w:jc w:val="center"/>
              <w:rPr>
                <w:rFonts w:ascii="Times New Roman" w:hAnsi="Times New Roman" w:cs="Times New Roman"/>
              </w:rPr>
            </w:pPr>
            <w:r w:rsidRPr="00585F58">
              <w:rPr>
                <w:rFonts w:ascii="Times New Roman" w:hAnsi="Times New Roman" w:cs="Times New Roman"/>
              </w:rPr>
              <w:t>2019.gadā (ar projekta īstenošanu)</w:t>
            </w:r>
          </w:p>
        </w:tc>
        <w:tc>
          <w:tcPr>
            <w:tcW w:w="1559" w:type="dxa"/>
            <w:vAlign w:val="center"/>
          </w:tcPr>
          <w:p w:rsidR="00A3094D" w:rsidRPr="00585F58" w:rsidRDefault="00A3094D" w:rsidP="00A3094D">
            <w:pPr>
              <w:jc w:val="center"/>
              <w:rPr>
                <w:rFonts w:ascii="Times New Roman" w:hAnsi="Times New Roman" w:cs="Times New Roman"/>
              </w:rPr>
            </w:pPr>
            <w:r w:rsidRPr="00585F58">
              <w:rPr>
                <w:rFonts w:ascii="Times New Roman" w:hAnsi="Times New Roman" w:cs="Times New Roman"/>
              </w:rPr>
              <w:t>Izmaiņas</w:t>
            </w:r>
          </w:p>
        </w:tc>
        <w:tc>
          <w:tcPr>
            <w:tcW w:w="1899" w:type="dxa"/>
            <w:vAlign w:val="center"/>
          </w:tcPr>
          <w:p w:rsidR="00A3094D" w:rsidRPr="00585F58" w:rsidRDefault="00A3094D" w:rsidP="00A3094D">
            <w:pPr>
              <w:jc w:val="center"/>
              <w:rPr>
                <w:rFonts w:ascii="Times New Roman" w:hAnsi="Times New Roman" w:cs="Times New Roman"/>
              </w:rPr>
            </w:pPr>
            <w:r w:rsidRPr="00585F58">
              <w:rPr>
                <w:rFonts w:ascii="Times New Roman" w:hAnsi="Times New Roman" w:cs="Times New Roman"/>
              </w:rPr>
              <w:t>Uzkrātā starpība ar un bez projekta īstenošanas</w:t>
            </w:r>
          </w:p>
        </w:tc>
      </w:tr>
      <w:tr w:rsidR="00585F58" w:rsidRPr="00585F58" w:rsidTr="00ED6F0C">
        <w:tc>
          <w:tcPr>
            <w:tcW w:w="1809" w:type="dxa"/>
          </w:tcPr>
          <w:p w:rsidR="00A3094D" w:rsidRPr="00585F58" w:rsidRDefault="00A3094D" w:rsidP="00A3094D">
            <w:pPr>
              <w:jc w:val="both"/>
              <w:rPr>
                <w:rFonts w:ascii="Times New Roman" w:hAnsi="Times New Roman" w:cs="Times New Roman"/>
              </w:rPr>
            </w:pPr>
            <w:r w:rsidRPr="00585F58">
              <w:rPr>
                <w:rFonts w:ascii="Times New Roman" w:hAnsi="Times New Roman" w:cs="Times New Roman"/>
              </w:rPr>
              <w:t>Darbaspēka nodokļi</w:t>
            </w:r>
          </w:p>
        </w:tc>
        <w:tc>
          <w:tcPr>
            <w:tcW w:w="1601" w:type="dxa"/>
            <w:vAlign w:val="center"/>
          </w:tcPr>
          <w:p w:rsidR="00A3094D" w:rsidRPr="00585F58" w:rsidRDefault="002D4A78" w:rsidP="00A3094D">
            <w:pPr>
              <w:jc w:val="center"/>
              <w:rPr>
                <w:rFonts w:ascii="Times New Roman" w:hAnsi="Times New Roman" w:cs="Times New Roman"/>
              </w:rPr>
            </w:pPr>
            <w:r>
              <w:rPr>
                <w:rFonts w:ascii="Times New Roman" w:hAnsi="Times New Roman" w:cs="Times New Roman"/>
              </w:rPr>
              <w:t>6,9</w:t>
            </w:r>
            <w:r w:rsidR="00A3094D" w:rsidRPr="00585F58">
              <w:rPr>
                <w:rFonts w:ascii="Times New Roman" w:hAnsi="Times New Roman" w:cs="Times New Roman"/>
              </w:rPr>
              <w:t xml:space="preserve"> </w:t>
            </w:r>
            <w:proofErr w:type="spellStart"/>
            <w:r w:rsidR="00A3094D" w:rsidRPr="00585F58">
              <w:rPr>
                <w:rFonts w:ascii="Times New Roman" w:hAnsi="Times New Roman" w:cs="Times New Roman"/>
              </w:rPr>
              <w:t>milj</w:t>
            </w:r>
            <w:proofErr w:type="spellEnd"/>
            <w:r w:rsidR="00A3094D" w:rsidRPr="00585F58">
              <w:rPr>
                <w:rFonts w:ascii="Times New Roman" w:hAnsi="Times New Roman" w:cs="Times New Roman"/>
              </w:rPr>
              <w:t>. LVL</w:t>
            </w:r>
          </w:p>
        </w:tc>
        <w:tc>
          <w:tcPr>
            <w:tcW w:w="1660" w:type="dxa"/>
            <w:vAlign w:val="center"/>
          </w:tcPr>
          <w:p w:rsidR="00A3094D" w:rsidRPr="00585F58" w:rsidRDefault="00C57D5E" w:rsidP="00A3094D">
            <w:pPr>
              <w:jc w:val="center"/>
              <w:rPr>
                <w:rFonts w:ascii="Times New Roman" w:hAnsi="Times New Roman" w:cs="Times New Roman"/>
              </w:rPr>
            </w:pPr>
            <w:r>
              <w:rPr>
                <w:rFonts w:ascii="Times New Roman" w:hAnsi="Times New Roman" w:cs="Times New Roman"/>
              </w:rPr>
              <w:t>13</w:t>
            </w:r>
            <w:r w:rsidR="00A3094D" w:rsidRPr="00585F58">
              <w:rPr>
                <w:rFonts w:ascii="Times New Roman" w:hAnsi="Times New Roman" w:cs="Times New Roman"/>
              </w:rPr>
              <w:t xml:space="preserve"> </w:t>
            </w:r>
            <w:proofErr w:type="spellStart"/>
            <w:r w:rsidR="00A3094D" w:rsidRPr="00585F58">
              <w:rPr>
                <w:rFonts w:ascii="Times New Roman" w:hAnsi="Times New Roman" w:cs="Times New Roman"/>
              </w:rPr>
              <w:t>milj</w:t>
            </w:r>
            <w:proofErr w:type="spellEnd"/>
            <w:r w:rsidR="00A3094D" w:rsidRPr="00585F58">
              <w:rPr>
                <w:rFonts w:ascii="Times New Roman" w:hAnsi="Times New Roman" w:cs="Times New Roman"/>
              </w:rPr>
              <w:t>. LVL</w:t>
            </w:r>
          </w:p>
        </w:tc>
        <w:tc>
          <w:tcPr>
            <w:tcW w:w="1559" w:type="dxa"/>
            <w:vAlign w:val="center"/>
          </w:tcPr>
          <w:p w:rsidR="00A3094D" w:rsidRPr="00585F58" w:rsidRDefault="00A3094D" w:rsidP="00C57D5E">
            <w:pPr>
              <w:jc w:val="center"/>
              <w:rPr>
                <w:rFonts w:ascii="Times New Roman" w:hAnsi="Times New Roman" w:cs="Times New Roman"/>
              </w:rPr>
            </w:pPr>
            <w:r w:rsidRPr="00585F58">
              <w:rPr>
                <w:rFonts w:ascii="Times New Roman" w:hAnsi="Times New Roman" w:cs="Times New Roman"/>
              </w:rPr>
              <w:t>+</w:t>
            </w:r>
            <w:r w:rsidR="00C57D5E">
              <w:rPr>
                <w:rFonts w:ascii="Times New Roman" w:hAnsi="Times New Roman" w:cs="Times New Roman"/>
              </w:rPr>
              <w:t>88,4</w:t>
            </w:r>
            <w:r w:rsidRPr="00585F58">
              <w:rPr>
                <w:rFonts w:ascii="Times New Roman" w:hAnsi="Times New Roman" w:cs="Times New Roman"/>
              </w:rPr>
              <w:t>%</w:t>
            </w:r>
          </w:p>
        </w:tc>
        <w:tc>
          <w:tcPr>
            <w:tcW w:w="1899" w:type="dxa"/>
            <w:vAlign w:val="center"/>
          </w:tcPr>
          <w:p w:rsidR="00A3094D" w:rsidRPr="00585F58" w:rsidRDefault="00C57D5E" w:rsidP="00A3094D">
            <w:pPr>
              <w:jc w:val="center"/>
              <w:rPr>
                <w:rFonts w:ascii="Times New Roman" w:hAnsi="Times New Roman" w:cs="Times New Roman"/>
              </w:rPr>
            </w:pPr>
            <w:r>
              <w:rPr>
                <w:rFonts w:ascii="Times New Roman" w:hAnsi="Times New Roman" w:cs="Times New Roman"/>
              </w:rPr>
              <w:t>19,7</w:t>
            </w:r>
            <w:r w:rsidR="00A3094D" w:rsidRPr="00585F58">
              <w:rPr>
                <w:rFonts w:ascii="Times New Roman" w:hAnsi="Times New Roman" w:cs="Times New Roman"/>
              </w:rPr>
              <w:t xml:space="preserve"> </w:t>
            </w:r>
            <w:proofErr w:type="spellStart"/>
            <w:r w:rsidR="00A3094D" w:rsidRPr="00585F58">
              <w:rPr>
                <w:rFonts w:ascii="Times New Roman" w:hAnsi="Times New Roman" w:cs="Times New Roman"/>
              </w:rPr>
              <w:t>milj</w:t>
            </w:r>
            <w:proofErr w:type="spellEnd"/>
            <w:r w:rsidR="00A3094D" w:rsidRPr="00585F58">
              <w:rPr>
                <w:rFonts w:ascii="Times New Roman" w:hAnsi="Times New Roman" w:cs="Times New Roman"/>
              </w:rPr>
              <w:t>. LVL</w:t>
            </w:r>
          </w:p>
        </w:tc>
      </w:tr>
      <w:tr w:rsidR="00585F58" w:rsidRPr="00585F58" w:rsidTr="00ED6F0C">
        <w:tc>
          <w:tcPr>
            <w:tcW w:w="1809" w:type="dxa"/>
          </w:tcPr>
          <w:p w:rsidR="00A3094D" w:rsidRPr="00585F58" w:rsidRDefault="00A3094D" w:rsidP="00A3094D">
            <w:pPr>
              <w:jc w:val="both"/>
              <w:rPr>
                <w:rFonts w:ascii="Times New Roman" w:hAnsi="Times New Roman" w:cs="Times New Roman"/>
              </w:rPr>
            </w:pPr>
            <w:r w:rsidRPr="00585F58">
              <w:rPr>
                <w:rFonts w:ascii="Times New Roman" w:hAnsi="Times New Roman" w:cs="Times New Roman"/>
              </w:rPr>
              <w:t>Neto apgrozījums</w:t>
            </w:r>
          </w:p>
        </w:tc>
        <w:tc>
          <w:tcPr>
            <w:tcW w:w="1601" w:type="dxa"/>
            <w:vAlign w:val="center"/>
          </w:tcPr>
          <w:p w:rsidR="00A3094D" w:rsidRPr="00585F58" w:rsidRDefault="002D4A78" w:rsidP="00A3094D">
            <w:pPr>
              <w:jc w:val="center"/>
              <w:rPr>
                <w:rFonts w:ascii="Times New Roman" w:hAnsi="Times New Roman" w:cs="Times New Roman"/>
              </w:rPr>
            </w:pPr>
            <w:r>
              <w:rPr>
                <w:rFonts w:ascii="Times New Roman" w:hAnsi="Times New Roman" w:cs="Times New Roman"/>
              </w:rPr>
              <w:t>88,1</w:t>
            </w:r>
            <w:r w:rsidR="00A3094D" w:rsidRPr="00585F58">
              <w:rPr>
                <w:rFonts w:ascii="Times New Roman" w:hAnsi="Times New Roman" w:cs="Times New Roman"/>
              </w:rPr>
              <w:t xml:space="preserve"> </w:t>
            </w:r>
            <w:proofErr w:type="spellStart"/>
            <w:r w:rsidR="00A3094D" w:rsidRPr="00585F58">
              <w:rPr>
                <w:rFonts w:ascii="Times New Roman" w:hAnsi="Times New Roman" w:cs="Times New Roman"/>
              </w:rPr>
              <w:t>milj</w:t>
            </w:r>
            <w:proofErr w:type="spellEnd"/>
            <w:r w:rsidR="00A3094D" w:rsidRPr="00585F58">
              <w:rPr>
                <w:rFonts w:ascii="Times New Roman" w:hAnsi="Times New Roman" w:cs="Times New Roman"/>
              </w:rPr>
              <w:t>. LVL</w:t>
            </w:r>
          </w:p>
        </w:tc>
        <w:tc>
          <w:tcPr>
            <w:tcW w:w="1660" w:type="dxa"/>
            <w:vAlign w:val="center"/>
          </w:tcPr>
          <w:p w:rsidR="00A3094D" w:rsidRPr="00585F58" w:rsidRDefault="00C57D5E" w:rsidP="00A3094D">
            <w:pPr>
              <w:jc w:val="center"/>
              <w:rPr>
                <w:rFonts w:ascii="Times New Roman" w:hAnsi="Times New Roman" w:cs="Times New Roman"/>
              </w:rPr>
            </w:pPr>
            <w:r>
              <w:rPr>
                <w:rFonts w:ascii="Times New Roman" w:hAnsi="Times New Roman" w:cs="Times New Roman"/>
              </w:rPr>
              <w:t>211,3</w:t>
            </w:r>
            <w:r w:rsidR="00A3094D" w:rsidRPr="00585F58">
              <w:rPr>
                <w:rFonts w:ascii="Times New Roman" w:hAnsi="Times New Roman" w:cs="Times New Roman"/>
              </w:rPr>
              <w:t xml:space="preserve"> </w:t>
            </w:r>
            <w:proofErr w:type="spellStart"/>
            <w:r w:rsidR="00A3094D" w:rsidRPr="00585F58">
              <w:rPr>
                <w:rFonts w:ascii="Times New Roman" w:hAnsi="Times New Roman" w:cs="Times New Roman"/>
              </w:rPr>
              <w:t>milj</w:t>
            </w:r>
            <w:proofErr w:type="spellEnd"/>
            <w:r w:rsidR="00A3094D" w:rsidRPr="00585F58">
              <w:rPr>
                <w:rFonts w:ascii="Times New Roman" w:hAnsi="Times New Roman" w:cs="Times New Roman"/>
              </w:rPr>
              <w:t>. LVL</w:t>
            </w:r>
          </w:p>
        </w:tc>
        <w:tc>
          <w:tcPr>
            <w:tcW w:w="1559" w:type="dxa"/>
            <w:vAlign w:val="center"/>
          </w:tcPr>
          <w:p w:rsidR="00A3094D" w:rsidRPr="00585F58" w:rsidRDefault="00A3094D" w:rsidP="00C57D5E">
            <w:pPr>
              <w:jc w:val="center"/>
              <w:rPr>
                <w:rFonts w:ascii="Times New Roman" w:hAnsi="Times New Roman" w:cs="Times New Roman"/>
              </w:rPr>
            </w:pPr>
            <w:r w:rsidRPr="00585F58">
              <w:rPr>
                <w:rFonts w:ascii="Times New Roman" w:hAnsi="Times New Roman" w:cs="Times New Roman"/>
              </w:rPr>
              <w:t>+</w:t>
            </w:r>
            <w:r w:rsidR="00C57D5E">
              <w:rPr>
                <w:rFonts w:ascii="Times New Roman" w:hAnsi="Times New Roman" w:cs="Times New Roman"/>
              </w:rPr>
              <w:t>139,8</w:t>
            </w:r>
            <w:r w:rsidRPr="00585F58">
              <w:rPr>
                <w:rFonts w:ascii="Times New Roman" w:hAnsi="Times New Roman" w:cs="Times New Roman"/>
              </w:rPr>
              <w:t>%</w:t>
            </w:r>
          </w:p>
        </w:tc>
        <w:tc>
          <w:tcPr>
            <w:tcW w:w="1899" w:type="dxa"/>
            <w:vAlign w:val="center"/>
          </w:tcPr>
          <w:p w:rsidR="00A3094D" w:rsidRPr="00585F58" w:rsidRDefault="00C57D5E" w:rsidP="00A3094D">
            <w:pPr>
              <w:jc w:val="center"/>
              <w:rPr>
                <w:rFonts w:ascii="Times New Roman" w:hAnsi="Times New Roman" w:cs="Times New Roman"/>
              </w:rPr>
            </w:pPr>
            <w:r>
              <w:rPr>
                <w:rFonts w:ascii="Times New Roman" w:hAnsi="Times New Roman" w:cs="Times New Roman"/>
              </w:rPr>
              <w:t>372,8</w:t>
            </w:r>
            <w:r w:rsidR="00A3094D" w:rsidRPr="00585F58">
              <w:rPr>
                <w:rFonts w:ascii="Times New Roman" w:hAnsi="Times New Roman" w:cs="Times New Roman"/>
              </w:rPr>
              <w:t xml:space="preserve"> </w:t>
            </w:r>
            <w:proofErr w:type="spellStart"/>
            <w:r w:rsidR="00A3094D" w:rsidRPr="00585F58">
              <w:rPr>
                <w:rFonts w:ascii="Times New Roman" w:hAnsi="Times New Roman" w:cs="Times New Roman"/>
              </w:rPr>
              <w:t>milj</w:t>
            </w:r>
            <w:proofErr w:type="spellEnd"/>
            <w:r w:rsidR="00A3094D" w:rsidRPr="00585F58">
              <w:rPr>
                <w:rFonts w:ascii="Times New Roman" w:hAnsi="Times New Roman" w:cs="Times New Roman"/>
              </w:rPr>
              <w:t>. LVL</w:t>
            </w:r>
          </w:p>
        </w:tc>
      </w:tr>
      <w:tr w:rsidR="00585F58" w:rsidRPr="00585F58" w:rsidTr="00ED6F0C">
        <w:tc>
          <w:tcPr>
            <w:tcW w:w="1809" w:type="dxa"/>
          </w:tcPr>
          <w:p w:rsidR="00A3094D" w:rsidRPr="00585F58" w:rsidRDefault="00A3094D" w:rsidP="00A3094D">
            <w:pPr>
              <w:jc w:val="both"/>
              <w:rPr>
                <w:rFonts w:ascii="Times New Roman" w:hAnsi="Times New Roman" w:cs="Times New Roman"/>
              </w:rPr>
            </w:pPr>
            <w:r w:rsidRPr="00585F58">
              <w:rPr>
                <w:rFonts w:ascii="Times New Roman" w:hAnsi="Times New Roman" w:cs="Times New Roman"/>
              </w:rPr>
              <w:t>Eksports</w:t>
            </w:r>
          </w:p>
        </w:tc>
        <w:tc>
          <w:tcPr>
            <w:tcW w:w="1601" w:type="dxa"/>
            <w:vAlign w:val="center"/>
          </w:tcPr>
          <w:p w:rsidR="00A3094D" w:rsidRPr="00585F58" w:rsidRDefault="002D4A78" w:rsidP="00A3094D">
            <w:pPr>
              <w:jc w:val="center"/>
              <w:rPr>
                <w:rFonts w:ascii="Times New Roman" w:hAnsi="Times New Roman" w:cs="Times New Roman"/>
              </w:rPr>
            </w:pPr>
            <w:r>
              <w:rPr>
                <w:rFonts w:ascii="Times New Roman" w:hAnsi="Times New Roman" w:cs="Times New Roman"/>
              </w:rPr>
              <w:t>63,0</w:t>
            </w:r>
            <w:r w:rsidR="00A3094D" w:rsidRPr="00585F58">
              <w:rPr>
                <w:rFonts w:ascii="Times New Roman" w:hAnsi="Times New Roman" w:cs="Times New Roman"/>
              </w:rPr>
              <w:t xml:space="preserve"> </w:t>
            </w:r>
            <w:proofErr w:type="spellStart"/>
            <w:r w:rsidR="00A3094D" w:rsidRPr="00585F58">
              <w:rPr>
                <w:rFonts w:ascii="Times New Roman" w:hAnsi="Times New Roman" w:cs="Times New Roman"/>
              </w:rPr>
              <w:t>milj</w:t>
            </w:r>
            <w:proofErr w:type="spellEnd"/>
            <w:r w:rsidR="00A3094D" w:rsidRPr="00585F58">
              <w:rPr>
                <w:rFonts w:ascii="Times New Roman" w:hAnsi="Times New Roman" w:cs="Times New Roman"/>
              </w:rPr>
              <w:t>. LVL</w:t>
            </w:r>
          </w:p>
        </w:tc>
        <w:tc>
          <w:tcPr>
            <w:tcW w:w="1660" w:type="dxa"/>
            <w:vAlign w:val="center"/>
          </w:tcPr>
          <w:p w:rsidR="00A3094D" w:rsidRPr="00585F58" w:rsidRDefault="00C57D5E" w:rsidP="00A3094D">
            <w:pPr>
              <w:jc w:val="center"/>
              <w:rPr>
                <w:rFonts w:ascii="Times New Roman" w:hAnsi="Times New Roman" w:cs="Times New Roman"/>
              </w:rPr>
            </w:pPr>
            <w:r>
              <w:rPr>
                <w:rFonts w:ascii="Times New Roman" w:hAnsi="Times New Roman" w:cs="Times New Roman"/>
              </w:rPr>
              <w:t>161,6</w:t>
            </w:r>
            <w:r w:rsidR="00A3094D" w:rsidRPr="00585F58">
              <w:rPr>
                <w:rFonts w:ascii="Times New Roman" w:hAnsi="Times New Roman" w:cs="Times New Roman"/>
              </w:rPr>
              <w:t xml:space="preserve"> </w:t>
            </w:r>
            <w:proofErr w:type="spellStart"/>
            <w:r w:rsidR="00A3094D" w:rsidRPr="00585F58">
              <w:rPr>
                <w:rFonts w:ascii="Times New Roman" w:hAnsi="Times New Roman" w:cs="Times New Roman"/>
              </w:rPr>
              <w:t>milj</w:t>
            </w:r>
            <w:proofErr w:type="spellEnd"/>
            <w:r w:rsidR="00A3094D" w:rsidRPr="00585F58">
              <w:rPr>
                <w:rFonts w:ascii="Times New Roman" w:hAnsi="Times New Roman" w:cs="Times New Roman"/>
              </w:rPr>
              <w:t>. LVL</w:t>
            </w:r>
          </w:p>
        </w:tc>
        <w:tc>
          <w:tcPr>
            <w:tcW w:w="1559" w:type="dxa"/>
            <w:vAlign w:val="center"/>
          </w:tcPr>
          <w:p w:rsidR="00A3094D" w:rsidRPr="00585F58" w:rsidRDefault="00A3094D" w:rsidP="00C57D5E">
            <w:pPr>
              <w:jc w:val="center"/>
              <w:rPr>
                <w:rFonts w:ascii="Times New Roman" w:hAnsi="Times New Roman" w:cs="Times New Roman"/>
              </w:rPr>
            </w:pPr>
            <w:r w:rsidRPr="00585F58">
              <w:rPr>
                <w:rFonts w:ascii="Times New Roman" w:hAnsi="Times New Roman" w:cs="Times New Roman"/>
              </w:rPr>
              <w:t>+</w:t>
            </w:r>
            <w:r w:rsidR="00C57D5E">
              <w:rPr>
                <w:rFonts w:ascii="Times New Roman" w:hAnsi="Times New Roman" w:cs="Times New Roman"/>
              </w:rPr>
              <w:t>156,5</w:t>
            </w:r>
            <w:r w:rsidRPr="00585F58">
              <w:rPr>
                <w:rFonts w:ascii="Times New Roman" w:hAnsi="Times New Roman" w:cs="Times New Roman"/>
              </w:rPr>
              <w:t>%</w:t>
            </w:r>
          </w:p>
        </w:tc>
        <w:tc>
          <w:tcPr>
            <w:tcW w:w="1899" w:type="dxa"/>
            <w:vAlign w:val="center"/>
          </w:tcPr>
          <w:p w:rsidR="00A3094D" w:rsidRPr="00585F58" w:rsidRDefault="00C57D5E" w:rsidP="00A3094D">
            <w:pPr>
              <w:jc w:val="center"/>
              <w:rPr>
                <w:rFonts w:ascii="Times New Roman" w:hAnsi="Times New Roman" w:cs="Times New Roman"/>
              </w:rPr>
            </w:pPr>
            <w:r>
              <w:rPr>
                <w:rFonts w:ascii="Times New Roman" w:hAnsi="Times New Roman" w:cs="Times New Roman"/>
              </w:rPr>
              <w:t>293,2</w:t>
            </w:r>
            <w:r w:rsidR="00A3094D" w:rsidRPr="00585F58">
              <w:rPr>
                <w:rFonts w:ascii="Times New Roman" w:hAnsi="Times New Roman" w:cs="Times New Roman"/>
              </w:rPr>
              <w:t xml:space="preserve"> </w:t>
            </w:r>
            <w:proofErr w:type="spellStart"/>
            <w:r w:rsidR="00A3094D" w:rsidRPr="00585F58">
              <w:rPr>
                <w:rFonts w:ascii="Times New Roman" w:hAnsi="Times New Roman" w:cs="Times New Roman"/>
              </w:rPr>
              <w:t>milj</w:t>
            </w:r>
            <w:proofErr w:type="spellEnd"/>
            <w:r w:rsidR="00A3094D" w:rsidRPr="00585F58">
              <w:rPr>
                <w:rFonts w:ascii="Times New Roman" w:hAnsi="Times New Roman" w:cs="Times New Roman"/>
              </w:rPr>
              <w:t>. LVL</w:t>
            </w:r>
          </w:p>
        </w:tc>
      </w:tr>
      <w:tr w:rsidR="00585F58" w:rsidRPr="00585F58" w:rsidTr="00ED6F0C">
        <w:tc>
          <w:tcPr>
            <w:tcW w:w="1809" w:type="dxa"/>
          </w:tcPr>
          <w:p w:rsidR="00A3094D" w:rsidRPr="00585F58" w:rsidRDefault="00A3094D" w:rsidP="00A3094D">
            <w:pPr>
              <w:jc w:val="both"/>
              <w:rPr>
                <w:rFonts w:ascii="Times New Roman" w:hAnsi="Times New Roman" w:cs="Times New Roman"/>
              </w:rPr>
            </w:pPr>
            <w:r w:rsidRPr="00585F58">
              <w:rPr>
                <w:rFonts w:ascii="Times New Roman" w:hAnsi="Times New Roman" w:cs="Times New Roman"/>
              </w:rPr>
              <w:t>Bruto peļņa</w:t>
            </w:r>
          </w:p>
        </w:tc>
        <w:tc>
          <w:tcPr>
            <w:tcW w:w="1601" w:type="dxa"/>
            <w:vAlign w:val="center"/>
          </w:tcPr>
          <w:p w:rsidR="00A3094D" w:rsidRPr="00585F58" w:rsidRDefault="002D4A78" w:rsidP="00A3094D">
            <w:pPr>
              <w:jc w:val="center"/>
              <w:rPr>
                <w:rFonts w:ascii="Times New Roman" w:hAnsi="Times New Roman" w:cs="Times New Roman"/>
              </w:rPr>
            </w:pPr>
            <w:r>
              <w:rPr>
                <w:rFonts w:ascii="Times New Roman" w:hAnsi="Times New Roman" w:cs="Times New Roman"/>
              </w:rPr>
              <w:t>40,8</w:t>
            </w:r>
            <w:r w:rsidR="00A3094D" w:rsidRPr="00585F58">
              <w:rPr>
                <w:rFonts w:ascii="Times New Roman" w:hAnsi="Times New Roman" w:cs="Times New Roman"/>
              </w:rPr>
              <w:t xml:space="preserve"> </w:t>
            </w:r>
            <w:proofErr w:type="spellStart"/>
            <w:r w:rsidR="00A3094D" w:rsidRPr="00585F58">
              <w:rPr>
                <w:rFonts w:ascii="Times New Roman" w:hAnsi="Times New Roman" w:cs="Times New Roman"/>
              </w:rPr>
              <w:t>milj</w:t>
            </w:r>
            <w:proofErr w:type="spellEnd"/>
            <w:r w:rsidR="00A3094D" w:rsidRPr="00585F58">
              <w:rPr>
                <w:rFonts w:ascii="Times New Roman" w:hAnsi="Times New Roman" w:cs="Times New Roman"/>
              </w:rPr>
              <w:t>. LVL</w:t>
            </w:r>
          </w:p>
        </w:tc>
        <w:tc>
          <w:tcPr>
            <w:tcW w:w="1660" w:type="dxa"/>
            <w:vAlign w:val="center"/>
          </w:tcPr>
          <w:p w:rsidR="00A3094D" w:rsidRPr="00585F58" w:rsidRDefault="00C57D5E" w:rsidP="00A3094D">
            <w:pPr>
              <w:jc w:val="center"/>
              <w:rPr>
                <w:rFonts w:ascii="Times New Roman" w:hAnsi="Times New Roman" w:cs="Times New Roman"/>
              </w:rPr>
            </w:pPr>
            <w:r>
              <w:rPr>
                <w:rFonts w:ascii="Times New Roman" w:hAnsi="Times New Roman" w:cs="Times New Roman"/>
              </w:rPr>
              <w:t>88,6</w:t>
            </w:r>
            <w:r w:rsidR="00A3094D" w:rsidRPr="00585F58">
              <w:rPr>
                <w:rFonts w:ascii="Times New Roman" w:hAnsi="Times New Roman" w:cs="Times New Roman"/>
              </w:rPr>
              <w:t xml:space="preserve"> </w:t>
            </w:r>
            <w:proofErr w:type="spellStart"/>
            <w:r w:rsidR="00A3094D" w:rsidRPr="00585F58">
              <w:rPr>
                <w:rFonts w:ascii="Times New Roman" w:hAnsi="Times New Roman" w:cs="Times New Roman"/>
              </w:rPr>
              <w:t>milj</w:t>
            </w:r>
            <w:proofErr w:type="spellEnd"/>
            <w:r w:rsidR="00A3094D" w:rsidRPr="00585F58">
              <w:rPr>
                <w:rFonts w:ascii="Times New Roman" w:hAnsi="Times New Roman" w:cs="Times New Roman"/>
              </w:rPr>
              <w:t>. LVL</w:t>
            </w:r>
          </w:p>
        </w:tc>
        <w:tc>
          <w:tcPr>
            <w:tcW w:w="1559" w:type="dxa"/>
            <w:vAlign w:val="center"/>
          </w:tcPr>
          <w:p w:rsidR="00A3094D" w:rsidRPr="00585F58" w:rsidRDefault="00A3094D" w:rsidP="00C57D5E">
            <w:pPr>
              <w:jc w:val="center"/>
              <w:rPr>
                <w:rFonts w:ascii="Times New Roman" w:hAnsi="Times New Roman" w:cs="Times New Roman"/>
              </w:rPr>
            </w:pPr>
            <w:r w:rsidRPr="00585F58">
              <w:rPr>
                <w:rFonts w:ascii="Times New Roman" w:hAnsi="Times New Roman" w:cs="Times New Roman"/>
              </w:rPr>
              <w:t>+</w:t>
            </w:r>
            <w:r w:rsidR="00C57D5E">
              <w:rPr>
                <w:rFonts w:ascii="Times New Roman" w:hAnsi="Times New Roman" w:cs="Times New Roman"/>
              </w:rPr>
              <w:t>117,2</w:t>
            </w:r>
            <w:r w:rsidRPr="00585F58">
              <w:rPr>
                <w:rFonts w:ascii="Times New Roman" w:hAnsi="Times New Roman" w:cs="Times New Roman"/>
              </w:rPr>
              <w:t>%</w:t>
            </w:r>
          </w:p>
        </w:tc>
        <w:tc>
          <w:tcPr>
            <w:tcW w:w="1899" w:type="dxa"/>
            <w:vAlign w:val="center"/>
          </w:tcPr>
          <w:p w:rsidR="00A3094D" w:rsidRPr="00585F58" w:rsidRDefault="00C57D5E" w:rsidP="00A3094D">
            <w:pPr>
              <w:jc w:val="center"/>
              <w:rPr>
                <w:rFonts w:ascii="Times New Roman" w:hAnsi="Times New Roman" w:cs="Times New Roman"/>
              </w:rPr>
            </w:pPr>
            <w:r>
              <w:rPr>
                <w:rFonts w:ascii="Times New Roman" w:hAnsi="Times New Roman" w:cs="Times New Roman"/>
              </w:rPr>
              <w:t>96,1</w:t>
            </w:r>
            <w:r w:rsidR="00A3094D" w:rsidRPr="00585F58">
              <w:rPr>
                <w:rFonts w:ascii="Times New Roman" w:hAnsi="Times New Roman" w:cs="Times New Roman"/>
              </w:rPr>
              <w:t xml:space="preserve"> </w:t>
            </w:r>
            <w:proofErr w:type="spellStart"/>
            <w:r w:rsidR="00A3094D" w:rsidRPr="00585F58">
              <w:rPr>
                <w:rFonts w:ascii="Times New Roman" w:hAnsi="Times New Roman" w:cs="Times New Roman"/>
              </w:rPr>
              <w:t>milj</w:t>
            </w:r>
            <w:proofErr w:type="spellEnd"/>
            <w:r w:rsidR="00A3094D" w:rsidRPr="00585F58">
              <w:rPr>
                <w:rFonts w:ascii="Times New Roman" w:hAnsi="Times New Roman" w:cs="Times New Roman"/>
              </w:rPr>
              <w:t>. LVL</w:t>
            </w:r>
          </w:p>
        </w:tc>
      </w:tr>
      <w:tr w:rsidR="00585F58" w:rsidRPr="00585F58" w:rsidTr="00ED6F0C">
        <w:tc>
          <w:tcPr>
            <w:tcW w:w="1809" w:type="dxa"/>
          </w:tcPr>
          <w:p w:rsidR="00A3094D" w:rsidRPr="00585F58" w:rsidRDefault="00A3094D" w:rsidP="00A3094D">
            <w:pPr>
              <w:jc w:val="both"/>
              <w:rPr>
                <w:rFonts w:ascii="Times New Roman" w:hAnsi="Times New Roman" w:cs="Times New Roman"/>
              </w:rPr>
            </w:pPr>
            <w:r w:rsidRPr="00585F58">
              <w:rPr>
                <w:rFonts w:ascii="Times New Roman" w:hAnsi="Times New Roman" w:cs="Times New Roman"/>
              </w:rPr>
              <w:t>Darba vietas</w:t>
            </w:r>
          </w:p>
        </w:tc>
        <w:tc>
          <w:tcPr>
            <w:tcW w:w="1601" w:type="dxa"/>
            <w:vAlign w:val="center"/>
          </w:tcPr>
          <w:p w:rsidR="00A3094D" w:rsidRPr="00585F58" w:rsidRDefault="00A3094D" w:rsidP="00A3094D">
            <w:pPr>
              <w:jc w:val="center"/>
              <w:rPr>
                <w:rFonts w:ascii="Times New Roman" w:hAnsi="Times New Roman" w:cs="Times New Roman"/>
              </w:rPr>
            </w:pPr>
            <w:r w:rsidRPr="00585F58">
              <w:rPr>
                <w:rFonts w:ascii="Times New Roman" w:hAnsi="Times New Roman" w:cs="Times New Roman"/>
              </w:rPr>
              <w:t>322</w:t>
            </w:r>
          </w:p>
        </w:tc>
        <w:tc>
          <w:tcPr>
            <w:tcW w:w="1660" w:type="dxa"/>
            <w:vAlign w:val="center"/>
          </w:tcPr>
          <w:p w:rsidR="00A3094D" w:rsidRPr="00585F58" w:rsidRDefault="00A3094D" w:rsidP="00A3094D">
            <w:pPr>
              <w:jc w:val="center"/>
              <w:rPr>
                <w:rFonts w:ascii="Times New Roman" w:hAnsi="Times New Roman" w:cs="Times New Roman"/>
              </w:rPr>
            </w:pPr>
            <w:r w:rsidRPr="00585F58">
              <w:rPr>
                <w:rFonts w:ascii="Times New Roman" w:hAnsi="Times New Roman" w:cs="Times New Roman"/>
              </w:rPr>
              <w:t>647</w:t>
            </w:r>
          </w:p>
        </w:tc>
        <w:tc>
          <w:tcPr>
            <w:tcW w:w="1559" w:type="dxa"/>
            <w:vAlign w:val="center"/>
          </w:tcPr>
          <w:p w:rsidR="00A3094D" w:rsidRPr="00585F58" w:rsidRDefault="00A3094D" w:rsidP="00A3094D">
            <w:pPr>
              <w:jc w:val="center"/>
              <w:rPr>
                <w:rFonts w:ascii="Times New Roman" w:hAnsi="Times New Roman" w:cs="Times New Roman"/>
              </w:rPr>
            </w:pPr>
            <w:r w:rsidRPr="00585F58">
              <w:rPr>
                <w:rFonts w:ascii="Times New Roman" w:hAnsi="Times New Roman" w:cs="Times New Roman"/>
              </w:rPr>
              <w:t>+100,9%</w:t>
            </w:r>
          </w:p>
        </w:tc>
        <w:tc>
          <w:tcPr>
            <w:tcW w:w="1899" w:type="dxa"/>
            <w:vAlign w:val="center"/>
          </w:tcPr>
          <w:p w:rsidR="00A3094D" w:rsidRPr="00585F58" w:rsidRDefault="00A3094D" w:rsidP="00C57D5E">
            <w:pPr>
              <w:jc w:val="center"/>
              <w:rPr>
                <w:rFonts w:ascii="Times New Roman" w:hAnsi="Times New Roman" w:cs="Times New Roman"/>
              </w:rPr>
            </w:pPr>
            <w:r w:rsidRPr="00585F58">
              <w:rPr>
                <w:rFonts w:ascii="Times New Roman" w:hAnsi="Times New Roman" w:cs="Times New Roman"/>
              </w:rPr>
              <w:t>3</w:t>
            </w:r>
            <w:r w:rsidR="00C57D5E">
              <w:rPr>
                <w:rFonts w:ascii="Times New Roman" w:hAnsi="Times New Roman" w:cs="Times New Roman"/>
              </w:rPr>
              <w:t>15</w:t>
            </w:r>
          </w:p>
        </w:tc>
      </w:tr>
    </w:tbl>
    <w:p w:rsidR="001A0CFC" w:rsidRPr="00585F58" w:rsidRDefault="001A0CFC" w:rsidP="001A0CFC">
      <w:pPr>
        <w:spacing w:after="120" w:line="240" w:lineRule="auto"/>
        <w:rPr>
          <w:rFonts w:eastAsia="Times New Roman" w:cs="Times New Roman"/>
          <w:bCs/>
          <w:szCs w:val="24"/>
          <w:lang w:eastAsia="lv-LV"/>
        </w:rPr>
      </w:pPr>
      <w:r w:rsidRPr="00585F58">
        <w:rPr>
          <w:rFonts w:eastAsia="Times New Roman" w:cs="Times New Roman"/>
          <w:bCs/>
          <w:szCs w:val="24"/>
          <w:lang w:eastAsia="lv-LV"/>
        </w:rPr>
        <w:t>Dati: Ekonomikas ministrija</w:t>
      </w:r>
    </w:p>
    <w:p w:rsidR="00A3094D" w:rsidRPr="00585F58" w:rsidRDefault="00A3094D" w:rsidP="00A3094D">
      <w:pPr>
        <w:spacing w:after="0" w:line="240" w:lineRule="auto"/>
        <w:ind w:firstLine="720"/>
        <w:jc w:val="both"/>
        <w:rPr>
          <w:rFonts w:cs="Times New Roman"/>
          <w:szCs w:val="24"/>
        </w:rPr>
      </w:pPr>
      <w:r w:rsidRPr="00585F58">
        <w:rPr>
          <w:rFonts w:cs="Times New Roman"/>
          <w:szCs w:val="24"/>
        </w:rPr>
        <w:t>Tomēr jebkuru veikto investīciju rezultātā no tautsaimniecības viedokļa ir svarīgi ņemt vērā ne tikai valsts tiešās finansiālās izmaksas un ieguvumus, bet arī netiešos ieguvumus, kas ir saistīti ar projekta īstenošanu. Saskaņā ar uzņēmum</w:t>
      </w:r>
      <w:r w:rsidR="002D1038" w:rsidRPr="00585F58">
        <w:rPr>
          <w:rFonts w:cs="Times New Roman"/>
          <w:szCs w:val="24"/>
        </w:rPr>
        <w:t>u</w:t>
      </w:r>
      <w:r w:rsidRPr="00585F58">
        <w:rPr>
          <w:rFonts w:cs="Times New Roman"/>
          <w:szCs w:val="24"/>
        </w:rPr>
        <w:t xml:space="preserve"> sniegto informāciju, projektu īstenošanā paredzēts piesaistīt vairākus vietējos komersantus, kas bez komunālo un telekomun</w:t>
      </w:r>
      <w:r w:rsidR="002D1038" w:rsidRPr="00585F58">
        <w:rPr>
          <w:rFonts w:cs="Times New Roman"/>
          <w:szCs w:val="24"/>
        </w:rPr>
        <w:t>ikācijas pakalpojumu sniegšanas</w:t>
      </w:r>
      <w:r w:rsidRPr="00585F58">
        <w:rPr>
          <w:rFonts w:cs="Times New Roman"/>
          <w:szCs w:val="24"/>
        </w:rPr>
        <w:t xml:space="preserve"> nodrošinās būvniecības materiālu piegādi, būvniecības un transportēšanas pakalpojumus sniegšanu, izejvielu piegādi, atsevišķu ražošanas iekārtu piegādi, kā arī citus investīciju projektu īstenošanai nepieciešamos pakalpojumus.</w:t>
      </w:r>
    </w:p>
    <w:p w:rsidR="00A3094D" w:rsidRPr="00585F58" w:rsidRDefault="00A3094D" w:rsidP="00A3094D">
      <w:pPr>
        <w:spacing w:after="0" w:line="240" w:lineRule="auto"/>
        <w:ind w:firstLine="720"/>
        <w:jc w:val="both"/>
        <w:rPr>
          <w:rFonts w:cs="Times New Roman"/>
          <w:szCs w:val="24"/>
        </w:rPr>
      </w:pPr>
      <w:r w:rsidRPr="00585F58">
        <w:rPr>
          <w:rFonts w:cs="Times New Roman"/>
          <w:szCs w:val="24"/>
        </w:rPr>
        <w:t xml:space="preserve">Detalizētu izvērtējumu par nodokļa atlaides ietekmi uz tautsaimniecību varēs sagatavot pēc </w:t>
      </w:r>
      <w:r w:rsidR="009576B7" w:rsidRPr="00585F58">
        <w:rPr>
          <w:rFonts w:cs="Times New Roman"/>
          <w:szCs w:val="24"/>
        </w:rPr>
        <w:t xml:space="preserve">atbalstāmo </w:t>
      </w:r>
      <w:r w:rsidRPr="00585F58">
        <w:rPr>
          <w:rFonts w:cs="Times New Roman"/>
          <w:szCs w:val="24"/>
        </w:rPr>
        <w:t>investīciju projektu īstenošanas, izvērtējot uzņēmumu iesniegtās atskaites gan par veiktajiem ieguldījumiem, gan arī par sasniegtajiem saimnieciskās darbības rādītājiem un sadarbības apjomu ar vietējiem komersantiem.</w:t>
      </w:r>
    </w:p>
    <w:p w:rsidR="00A3094D" w:rsidRPr="00585F58" w:rsidRDefault="00A3094D" w:rsidP="00A3094D">
      <w:pPr>
        <w:spacing w:after="0" w:line="240" w:lineRule="auto"/>
        <w:ind w:firstLine="720"/>
        <w:jc w:val="both"/>
        <w:rPr>
          <w:rFonts w:cs="Times New Roman"/>
          <w:szCs w:val="24"/>
        </w:rPr>
      </w:pPr>
      <w:r w:rsidRPr="00007A18">
        <w:rPr>
          <w:rFonts w:cs="Times New Roman"/>
          <w:szCs w:val="24"/>
        </w:rPr>
        <w:t xml:space="preserve">Ņemot vērā </w:t>
      </w:r>
      <w:r w:rsidR="00007A18" w:rsidRPr="00007A18">
        <w:rPr>
          <w:rFonts w:cs="Times New Roman"/>
          <w:szCs w:val="24"/>
        </w:rPr>
        <w:t>2013.gada 6.jūnijā Saeimā pieņemtos</w:t>
      </w:r>
      <w:r w:rsidRPr="00007A18">
        <w:rPr>
          <w:rFonts w:cs="Times New Roman"/>
          <w:szCs w:val="24"/>
        </w:rPr>
        <w:t xml:space="preserve"> grozījumus likumā „Par uzņēmumu ienākuma nodokli”, kas </w:t>
      </w:r>
      <w:r w:rsidR="00007A18" w:rsidRPr="00007A18">
        <w:rPr>
          <w:rFonts w:cs="Times New Roman"/>
          <w:szCs w:val="24"/>
        </w:rPr>
        <w:t>paplašina</w:t>
      </w:r>
      <w:r w:rsidRPr="00007A18">
        <w:rPr>
          <w:rFonts w:cs="Times New Roman"/>
          <w:szCs w:val="24"/>
        </w:rPr>
        <w:t xml:space="preserve"> atbalstāmo nozaru sarakstu,</w:t>
      </w:r>
      <w:r w:rsidRPr="00585F58">
        <w:rPr>
          <w:rFonts w:cs="Times New Roman"/>
          <w:szCs w:val="24"/>
        </w:rPr>
        <w:t xml:space="preserve"> kā arī uzņēmēju interesi par iespējām pieteikties nodokļu atlaides saņemšanai, Ekonomikas ministrija prognozē, ka līdz 2013.gada 31.decembrim kopumā varētu tikt iesniegti 12-15 </w:t>
      </w:r>
      <w:r w:rsidR="009576B7" w:rsidRPr="00585F58">
        <w:rPr>
          <w:rFonts w:cs="Times New Roman"/>
          <w:szCs w:val="24"/>
        </w:rPr>
        <w:t xml:space="preserve">atbalstāmo </w:t>
      </w:r>
      <w:r w:rsidRPr="00585F58">
        <w:rPr>
          <w:rFonts w:cs="Times New Roman"/>
          <w:szCs w:val="24"/>
        </w:rPr>
        <w:t xml:space="preserve">investīciju projekti, kas varētu veidot fiskālo ietekmi 18 – 23 </w:t>
      </w:r>
      <w:proofErr w:type="spellStart"/>
      <w:r w:rsidRPr="00585F58">
        <w:rPr>
          <w:rFonts w:cs="Times New Roman"/>
          <w:szCs w:val="24"/>
        </w:rPr>
        <w:t>milj</w:t>
      </w:r>
      <w:proofErr w:type="spellEnd"/>
      <w:r w:rsidRPr="00585F58">
        <w:rPr>
          <w:rFonts w:cs="Times New Roman"/>
          <w:szCs w:val="24"/>
        </w:rPr>
        <w:t>. latu apmērā. Nodokļa atlaides saglabāšanas fiskālā ietekme pēc 2014.gada ir atkarīga no noteiktā minimālā investīciju apjoma sliekšņa, kā arī citiem atbalsta piešķiršanas nosacījumiem.</w:t>
      </w:r>
    </w:p>
    <w:p w:rsidR="00A3094D" w:rsidRPr="00585F58" w:rsidRDefault="00EB635B" w:rsidP="00A3094D">
      <w:pPr>
        <w:spacing w:after="0" w:line="240" w:lineRule="auto"/>
        <w:ind w:firstLine="720"/>
        <w:jc w:val="both"/>
        <w:rPr>
          <w:rFonts w:cs="Times New Roman"/>
          <w:szCs w:val="24"/>
        </w:rPr>
      </w:pPr>
      <w:r>
        <w:rPr>
          <w:rFonts w:cs="Times New Roman"/>
          <w:szCs w:val="24"/>
        </w:rPr>
        <w:t>U</w:t>
      </w:r>
      <w:r w:rsidR="00A3094D" w:rsidRPr="00585F58">
        <w:rPr>
          <w:rFonts w:cs="Times New Roman"/>
          <w:szCs w:val="24"/>
        </w:rPr>
        <w:t xml:space="preserve">zņēmumu investīciju projektu īstenošanas termiņš ir sākot no viena gada līdz pat 5 gadiem, nodokļa atlaidi var sākt izmantot tikai pēc </w:t>
      </w:r>
      <w:r w:rsidR="009576B7" w:rsidRPr="00585F58">
        <w:rPr>
          <w:rFonts w:cs="Times New Roman"/>
          <w:szCs w:val="24"/>
        </w:rPr>
        <w:t xml:space="preserve">atbalstāmo </w:t>
      </w:r>
      <w:r w:rsidR="00A3094D" w:rsidRPr="00585F58">
        <w:rPr>
          <w:rFonts w:cs="Times New Roman"/>
          <w:szCs w:val="24"/>
        </w:rPr>
        <w:t xml:space="preserve">investīciju projekta </w:t>
      </w:r>
      <w:r w:rsidR="009576B7" w:rsidRPr="00585F58">
        <w:rPr>
          <w:rFonts w:cs="Times New Roman"/>
          <w:szCs w:val="24"/>
        </w:rPr>
        <w:t>pabeigšanas</w:t>
      </w:r>
      <w:r w:rsidR="00A3094D" w:rsidRPr="00585F58">
        <w:rPr>
          <w:rFonts w:cs="Times New Roman"/>
          <w:szCs w:val="24"/>
        </w:rPr>
        <w:t xml:space="preserve">, kā arī uzņēmums UIN atlaidi var izmantot 16 taksācijas gadus pēc projekta īstenošanas, līdz ar to </w:t>
      </w:r>
      <w:r w:rsidR="00E0054D" w:rsidRPr="00585F58">
        <w:rPr>
          <w:rFonts w:cs="Times New Roman"/>
          <w:szCs w:val="24"/>
        </w:rPr>
        <w:t xml:space="preserve">fiskālā ietekme </w:t>
      </w:r>
      <w:r w:rsidR="00C20E89">
        <w:rPr>
          <w:rFonts w:cs="Times New Roman"/>
          <w:szCs w:val="24"/>
        </w:rPr>
        <w:t>būs jūtama</w:t>
      </w:r>
      <w:r w:rsidR="00E0054D" w:rsidRPr="00585F58">
        <w:rPr>
          <w:rFonts w:cs="Times New Roman"/>
          <w:szCs w:val="24"/>
        </w:rPr>
        <w:t xml:space="preserve"> ilgtermiņā</w:t>
      </w:r>
      <w:r w:rsidR="00A3094D" w:rsidRPr="00585F58">
        <w:rPr>
          <w:rFonts w:cs="Times New Roman"/>
          <w:szCs w:val="24"/>
        </w:rPr>
        <w:t>.</w:t>
      </w:r>
    </w:p>
    <w:p w:rsidR="00C20E89" w:rsidRPr="00C20E89" w:rsidRDefault="00C20E89" w:rsidP="00C20E89">
      <w:pPr>
        <w:spacing w:after="0" w:line="240" w:lineRule="auto"/>
        <w:ind w:firstLine="720"/>
        <w:jc w:val="both"/>
        <w:rPr>
          <w:rFonts w:eastAsia="Times New Roman" w:cs="Times New Roman"/>
          <w:szCs w:val="24"/>
        </w:rPr>
      </w:pPr>
      <w:r w:rsidRPr="00C20E89">
        <w:rPr>
          <w:rFonts w:eastAsia="Times New Roman" w:cs="Times New Roman"/>
          <w:szCs w:val="24"/>
        </w:rPr>
        <w:t xml:space="preserve">Vienlaikus ir jāapzinās, ka faktori, kas ir pamatā uzņēmumu lēmumiem veikt investīcijas ir daudz plašāki, nekā uzņēmuma nākotnes nodokļu saistību mazināšana. UIN likme Latvijā nav augsta, salīdzinot ar vidējo Eiropas Savienībā, un papildus atvieglojums bieži vien nav noteicošais stimuls investīciju vietas un apjoma izvēlē. </w:t>
      </w:r>
    </w:p>
    <w:p w:rsidR="00C20E89" w:rsidRPr="00C20E89" w:rsidRDefault="00C20E89" w:rsidP="00C20E89">
      <w:pPr>
        <w:spacing w:after="0" w:line="240" w:lineRule="auto"/>
        <w:ind w:firstLine="720"/>
        <w:jc w:val="both"/>
        <w:rPr>
          <w:rFonts w:eastAsia="Times New Roman" w:cs="Times New Roman"/>
          <w:szCs w:val="24"/>
        </w:rPr>
      </w:pPr>
      <w:r w:rsidRPr="00C20E89">
        <w:rPr>
          <w:rFonts w:eastAsia="Times New Roman" w:cs="Times New Roman"/>
          <w:szCs w:val="24"/>
        </w:rPr>
        <w:t>Salīdzinot ar UIN atvieglojumu ražošanas veicināšanai, iegādājoties jaunas ražošanas tehnoloģiskās iekārtas (</w:t>
      </w:r>
      <w:proofErr w:type="spellStart"/>
      <w:r w:rsidRPr="00C20E89">
        <w:rPr>
          <w:rFonts w:eastAsia="Times New Roman" w:cs="Times New Roman"/>
          <w:szCs w:val="24"/>
        </w:rPr>
        <w:t>skat</w:t>
      </w:r>
      <w:proofErr w:type="spellEnd"/>
      <w:r w:rsidRPr="00C20E89">
        <w:rPr>
          <w:rFonts w:eastAsia="Times New Roman" w:cs="Times New Roman"/>
          <w:szCs w:val="24"/>
        </w:rPr>
        <w:t>. ziņojuma 4.sadaļu), atlaide, realizējot atbalstāmo investīciju projektus</w:t>
      </w:r>
      <w:r w:rsidR="00720803">
        <w:rPr>
          <w:rFonts w:eastAsia="Times New Roman" w:cs="Times New Roman"/>
          <w:szCs w:val="24"/>
        </w:rPr>
        <w:t>,</w:t>
      </w:r>
      <w:r w:rsidRPr="00C20E89">
        <w:rPr>
          <w:rFonts w:eastAsia="Times New Roman" w:cs="Times New Roman"/>
          <w:szCs w:val="24"/>
        </w:rPr>
        <w:t xml:space="preserve"> ir piemērojama tikai noteiktās atbalstāmajās prioritārajās nozarēs un tikai, tad, ja šā projekta rezultātā tiek ieviests jauns produkts, savukārt atvieglojums ražošanas veicināšanai ir piemērojams visām nozarēm, kas arī veicina un attīsta ražošanas attīstību un tam nav saistoši valsts atbalsta piešķiršanas </w:t>
      </w:r>
      <w:r w:rsidR="00720803">
        <w:rPr>
          <w:rFonts w:eastAsia="Times New Roman" w:cs="Times New Roman"/>
          <w:szCs w:val="24"/>
        </w:rPr>
        <w:lastRenderedPageBreak/>
        <w:t xml:space="preserve">ierobežojumi. </w:t>
      </w:r>
      <w:r w:rsidRPr="00C20E89">
        <w:rPr>
          <w:rFonts w:eastAsia="Times New Roman" w:cs="Times New Roman"/>
          <w:szCs w:val="24"/>
        </w:rPr>
        <w:t>Abu atvieglojumu mērķi un ietek</w:t>
      </w:r>
      <w:r w:rsidR="00720803">
        <w:rPr>
          <w:rFonts w:eastAsia="Times New Roman" w:cs="Times New Roman"/>
          <w:szCs w:val="24"/>
        </w:rPr>
        <w:t>mes instrumenti ir līdzīgi, tādē</w:t>
      </w:r>
      <w:r w:rsidRPr="00C20E89">
        <w:rPr>
          <w:rFonts w:eastAsia="Times New Roman" w:cs="Times New Roman"/>
          <w:szCs w:val="24"/>
        </w:rPr>
        <w:t xml:space="preserve">jādi rodas jautājums par to paralēlas izmantošanas efektivitāti. </w:t>
      </w:r>
    </w:p>
    <w:p w:rsidR="00C20E89" w:rsidRPr="00C20E89" w:rsidRDefault="00720803" w:rsidP="00C20E89">
      <w:pPr>
        <w:spacing w:after="0" w:line="240" w:lineRule="auto"/>
        <w:ind w:firstLine="720"/>
        <w:jc w:val="both"/>
        <w:rPr>
          <w:rFonts w:eastAsia="Times New Roman" w:cs="Times New Roman"/>
          <w:szCs w:val="24"/>
        </w:rPr>
      </w:pPr>
      <w:r>
        <w:rPr>
          <w:rFonts w:eastAsia="Times New Roman" w:cs="Times New Roman"/>
          <w:szCs w:val="24"/>
        </w:rPr>
        <w:t>Tā kā UIN ieņēmumi ir būtisks</w:t>
      </w:r>
      <w:r w:rsidR="00C20E89" w:rsidRPr="00C20E89">
        <w:rPr>
          <w:rFonts w:eastAsia="Times New Roman" w:cs="Times New Roman"/>
          <w:szCs w:val="24"/>
        </w:rPr>
        <w:t xml:space="preserve"> valsts pakalpojumu finansēšan</w:t>
      </w:r>
      <w:r>
        <w:rPr>
          <w:rFonts w:eastAsia="Times New Roman" w:cs="Times New Roman"/>
          <w:szCs w:val="24"/>
        </w:rPr>
        <w:t>as avots</w:t>
      </w:r>
      <w:r w:rsidR="00C20E89" w:rsidRPr="00C20E89">
        <w:rPr>
          <w:rFonts w:eastAsia="Times New Roman" w:cs="Times New Roman"/>
          <w:szCs w:val="24"/>
        </w:rPr>
        <w:t>, kas ir nepieciešams gan investīciju vides uzlabošanai, gan sociālo jautājumu risināšanai,  pie nodokļu atvieglojumu paplašināšanas jāpieiet ļoti atbildīgi, ņemot vērā arī budžeta faktoru.</w:t>
      </w:r>
    </w:p>
    <w:p w:rsidR="00C20E89" w:rsidRPr="00C20E89" w:rsidRDefault="00C20E89" w:rsidP="00C20E89">
      <w:pPr>
        <w:spacing w:after="0" w:line="240" w:lineRule="auto"/>
        <w:ind w:firstLine="720"/>
        <w:jc w:val="both"/>
        <w:rPr>
          <w:rFonts w:eastAsia="Times New Roman" w:cs="Times New Roman"/>
          <w:szCs w:val="24"/>
        </w:rPr>
      </w:pPr>
      <w:r w:rsidRPr="00C20E89">
        <w:rPr>
          <w:rFonts w:eastAsia="Times New Roman" w:cs="Times New Roman"/>
          <w:szCs w:val="24"/>
        </w:rPr>
        <w:t xml:space="preserve">UIN atlaide, realizējot atbalstāmo investīciju projektus, tika izstrādāta un ieviesta, ekonomiskās krīzes apstākļos, lai veicinātu ekonomikas ātrāku atveseļošanu, tā ir terminēta līdz 2013.gada 31.decembrim. Uzņēmumu pastiprināta interese par šīs atlaides izmantošanu ir sākusies tikai 2013.gadā, pēc diviem gadiem ar salīdzinoši augstu IKP pieaugumu, kas liecina par tās </w:t>
      </w:r>
      <w:proofErr w:type="spellStart"/>
      <w:r w:rsidRPr="00C20E89">
        <w:rPr>
          <w:rFonts w:eastAsia="Times New Roman" w:cs="Times New Roman"/>
          <w:szCs w:val="24"/>
        </w:rPr>
        <w:t>prociklisko</w:t>
      </w:r>
      <w:proofErr w:type="spellEnd"/>
      <w:r w:rsidRPr="00C20E89">
        <w:rPr>
          <w:rFonts w:eastAsia="Times New Roman" w:cs="Times New Roman"/>
          <w:szCs w:val="24"/>
        </w:rPr>
        <w:t xml:space="preserve"> raksturu. </w:t>
      </w:r>
    </w:p>
    <w:p w:rsidR="00C20E89" w:rsidRPr="00C20E89" w:rsidRDefault="00C20E89" w:rsidP="00C20E89">
      <w:pPr>
        <w:spacing w:after="0" w:line="240" w:lineRule="auto"/>
        <w:ind w:firstLine="720"/>
        <w:jc w:val="both"/>
        <w:rPr>
          <w:rFonts w:eastAsia="Times New Roman" w:cs="Times New Roman"/>
          <w:szCs w:val="24"/>
        </w:rPr>
      </w:pPr>
    </w:p>
    <w:p w:rsidR="00C20E89" w:rsidRPr="00C20E89" w:rsidRDefault="00C20E89" w:rsidP="00C20E89">
      <w:pPr>
        <w:spacing w:after="0" w:line="240" w:lineRule="auto"/>
        <w:ind w:firstLine="720"/>
        <w:jc w:val="both"/>
        <w:rPr>
          <w:rFonts w:eastAsia="Times New Roman" w:cs="Times New Roman"/>
          <w:szCs w:val="24"/>
        </w:rPr>
      </w:pPr>
      <w:r w:rsidRPr="00C20E89">
        <w:rPr>
          <w:rFonts w:eastAsia="Times New Roman" w:cs="Times New Roman"/>
          <w:szCs w:val="24"/>
        </w:rPr>
        <w:t xml:space="preserve">Ņemot vērā augstāk minēto, FM neatbalsta termiņa pagarināšanu UIN atlaidei par atbalstāmo investīciju projektiem. </w:t>
      </w:r>
    </w:p>
    <w:p w:rsidR="00B02F97" w:rsidRDefault="00B02F97" w:rsidP="00E6253F">
      <w:pPr>
        <w:spacing w:after="0" w:line="240" w:lineRule="auto"/>
        <w:ind w:firstLine="720"/>
        <w:jc w:val="both"/>
        <w:rPr>
          <w:rFonts w:eastAsia="Times New Roman" w:cs="Times New Roman"/>
          <w:szCs w:val="24"/>
        </w:rPr>
      </w:pPr>
    </w:p>
    <w:p w:rsidR="009B334E" w:rsidRPr="00585F58" w:rsidRDefault="009B334E" w:rsidP="009C3E3F">
      <w:pPr>
        <w:spacing w:after="0" w:line="240" w:lineRule="auto"/>
        <w:jc w:val="both"/>
        <w:rPr>
          <w:rFonts w:cs="Times New Roman"/>
          <w:szCs w:val="24"/>
        </w:rPr>
      </w:pPr>
    </w:p>
    <w:p w:rsidR="00A3094D" w:rsidRPr="00585F58" w:rsidRDefault="00515B2A" w:rsidP="001327C6">
      <w:pPr>
        <w:pStyle w:val="ListParagraph"/>
        <w:numPr>
          <w:ilvl w:val="0"/>
          <w:numId w:val="4"/>
        </w:numPr>
        <w:spacing w:line="20" w:lineRule="atLeast"/>
        <w:jc w:val="both"/>
        <w:rPr>
          <w:rFonts w:cs="Times New Roman"/>
          <w:b/>
          <w:sz w:val="28"/>
          <w:szCs w:val="28"/>
          <w:u w:val="single"/>
        </w:rPr>
      </w:pPr>
      <w:r w:rsidRPr="00585F58">
        <w:rPr>
          <w:rFonts w:cs="Times New Roman"/>
          <w:b/>
          <w:sz w:val="28"/>
          <w:szCs w:val="28"/>
          <w:u w:val="single"/>
        </w:rPr>
        <w:t xml:space="preserve">Atvieglojums P&amp;A </w:t>
      </w:r>
    </w:p>
    <w:p w:rsidR="00C97978" w:rsidRPr="00585F58" w:rsidRDefault="00C97978" w:rsidP="00C97978">
      <w:pPr>
        <w:spacing w:after="0" w:line="240" w:lineRule="auto"/>
        <w:ind w:firstLine="720"/>
        <w:jc w:val="both"/>
        <w:rPr>
          <w:rFonts w:cs="Times New Roman"/>
          <w:i/>
          <w:szCs w:val="24"/>
          <w:u w:val="single"/>
        </w:rPr>
      </w:pPr>
      <w:r w:rsidRPr="00585F58">
        <w:rPr>
          <w:rFonts w:cs="Times New Roman"/>
          <w:i/>
          <w:szCs w:val="24"/>
          <w:u w:val="single"/>
        </w:rPr>
        <w:t>Atvieglojums izpētei un attīstībai – īpaša izdevumu atzīšanas kārtība izpētes un attīstības izmaksām (likuma „Par uzņēmumu ienākuma nodokli” 13.panta 4.¹ daļa)</w:t>
      </w:r>
    </w:p>
    <w:p w:rsidR="00C97978" w:rsidRPr="00585F58" w:rsidRDefault="00C97978" w:rsidP="00C97978">
      <w:pPr>
        <w:spacing w:after="0" w:line="240" w:lineRule="auto"/>
        <w:ind w:firstLine="720"/>
        <w:jc w:val="both"/>
        <w:rPr>
          <w:rFonts w:cs="Times New Roman"/>
          <w:szCs w:val="24"/>
        </w:rPr>
      </w:pPr>
      <w:r w:rsidRPr="00585F58">
        <w:rPr>
          <w:rFonts w:cs="Times New Roman"/>
          <w:szCs w:val="24"/>
        </w:rPr>
        <w:t xml:space="preserve">Šobrīd likumā „Par uzņēmumu ienākuma nodokli” ir paredzēts atvieglojums nemateriālo ieguldījumu izveidošanai vai iegādei, kuru rezultātā reģistrēta </w:t>
      </w:r>
      <w:r w:rsidR="009576B7" w:rsidRPr="00585F58">
        <w:rPr>
          <w:rFonts w:cs="Times New Roman"/>
          <w:szCs w:val="24"/>
        </w:rPr>
        <w:t>preču</w:t>
      </w:r>
      <w:r w:rsidRPr="00585F58">
        <w:rPr>
          <w:rFonts w:cs="Times New Roman"/>
          <w:szCs w:val="24"/>
        </w:rPr>
        <w:t xml:space="preserve"> zīme vai patents, pirms ieguldījumu norakstīšanas piemērojot vērtību palielinošu koeficientu 1,5. Minēto atvieglojumu nemateriālo ieguldījumu norakstīšanai, kas tiek uzskatīts par atbalstu P&amp;A, ņemot vērā sarežģīto uzskaiti un obligāto prasību, ka pētījuma rezultātā jābūt radītam patentējamam izgudrojumam, uzņēmumi </w:t>
      </w:r>
      <w:r w:rsidR="00851182">
        <w:rPr>
          <w:rFonts w:cs="Times New Roman"/>
          <w:szCs w:val="24"/>
        </w:rPr>
        <w:t>ļoti maz</w:t>
      </w:r>
      <w:r w:rsidR="00851182" w:rsidRPr="00585F58">
        <w:rPr>
          <w:rFonts w:cs="Times New Roman"/>
          <w:szCs w:val="24"/>
        </w:rPr>
        <w:t xml:space="preserve"> </w:t>
      </w:r>
      <w:r w:rsidRPr="00585F58">
        <w:rPr>
          <w:rFonts w:cs="Times New Roman"/>
          <w:szCs w:val="24"/>
        </w:rPr>
        <w:t>izmanto. Saskaņā ar VID datiem 2011.gadā P&amp;A atvieglojumu izmantoja 37 uzņēmumi, kuru kopējais atvieglojuma apmērs bija 12 558 lati. Minētais atvieglojums ir viegli administrējams, tomēr ir vairāki būtiski trūkumi:</w:t>
      </w:r>
    </w:p>
    <w:p w:rsidR="00C97978" w:rsidRPr="00585F58" w:rsidRDefault="00C97978" w:rsidP="001327C6">
      <w:pPr>
        <w:pStyle w:val="ListParagraph"/>
        <w:numPr>
          <w:ilvl w:val="0"/>
          <w:numId w:val="7"/>
        </w:numPr>
        <w:spacing w:after="0" w:line="240" w:lineRule="auto"/>
        <w:ind w:left="567" w:hanging="283"/>
        <w:jc w:val="both"/>
        <w:rPr>
          <w:rFonts w:cs="Times New Roman"/>
          <w:szCs w:val="24"/>
        </w:rPr>
      </w:pPr>
      <w:r w:rsidRPr="00585F58">
        <w:rPr>
          <w:rFonts w:cs="Times New Roman"/>
          <w:szCs w:val="24"/>
        </w:rPr>
        <w:t>pārsvarā izmantojams gadījumos, kad patents vai preču zīme tiek iegādāta, jo attiecīgi var noteikt nemateriālā aktīva izmaksas;</w:t>
      </w:r>
    </w:p>
    <w:p w:rsidR="00C97978" w:rsidRPr="00585F58" w:rsidRDefault="009576B7" w:rsidP="001327C6">
      <w:pPr>
        <w:pStyle w:val="ListParagraph"/>
        <w:numPr>
          <w:ilvl w:val="0"/>
          <w:numId w:val="7"/>
        </w:numPr>
        <w:spacing w:after="0" w:line="240" w:lineRule="auto"/>
        <w:ind w:left="567" w:hanging="283"/>
        <w:jc w:val="both"/>
        <w:rPr>
          <w:rFonts w:cs="Times New Roman"/>
          <w:szCs w:val="24"/>
        </w:rPr>
      </w:pPr>
      <w:r w:rsidRPr="00585F58">
        <w:rPr>
          <w:rFonts w:cs="Times New Roman"/>
          <w:szCs w:val="24"/>
        </w:rPr>
        <w:t xml:space="preserve">ja patents vai preču zīme tiek veidota nevis nopirkta, </w:t>
      </w:r>
      <w:r w:rsidR="00C97978" w:rsidRPr="00585F58">
        <w:rPr>
          <w:rFonts w:cs="Times New Roman"/>
          <w:szCs w:val="24"/>
        </w:rPr>
        <w:t>atvieglojumu nevar izmantot gadā, kad radušās izmaksas - lai izmantotu atvieglojumu, uzņēmumam vairākus gadus jāuzkrāj P&amp;A izmaksas, kamēr tiek radīts patentējams izgudrojums un jāgaida tā reģistrācija (2-3 gadi). Nemateriālos ieguldījumus noraksta 5 gadu laikā;</w:t>
      </w:r>
    </w:p>
    <w:p w:rsidR="009576B7" w:rsidRPr="00585F58" w:rsidRDefault="009576B7" w:rsidP="009576B7">
      <w:pPr>
        <w:pStyle w:val="ListParagraph"/>
        <w:numPr>
          <w:ilvl w:val="0"/>
          <w:numId w:val="7"/>
        </w:numPr>
        <w:spacing w:after="0" w:line="240" w:lineRule="auto"/>
        <w:ind w:left="567" w:hanging="283"/>
        <w:jc w:val="both"/>
        <w:rPr>
          <w:rFonts w:cs="Times New Roman"/>
          <w:szCs w:val="24"/>
        </w:rPr>
      </w:pPr>
      <w:r w:rsidRPr="00585F58">
        <w:rPr>
          <w:rFonts w:cs="Times New Roman"/>
          <w:szCs w:val="24"/>
        </w:rPr>
        <w:t>lai piemērotu atvieglojumu nemateriālo ieguldījumu izveidošanas izmaksām, nepieciešams veikt ats</w:t>
      </w:r>
      <w:r w:rsidR="00E0054D" w:rsidRPr="00585F58">
        <w:rPr>
          <w:rFonts w:cs="Times New Roman"/>
          <w:szCs w:val="24"/>
        </w:rPr>
        <w:t>evišķu grāmatvedības uzskaiti. V</w:t>
      </w:r>
      <w:r w:rsidRPr="00585F58">
        <w:rPr>
          <w:rFonts w:cs="Times New Roman"/>
          <w:szCs w:val="24"/>
        </w:rPr>
        <w:t>ieglāk identificējamās izmaksas, kas saistītas ar patentu un preču zīmes reģistrāciju, ir tikai neliela daļa no P&amp;A izmaksām;</w:t>
      </w:r>
    </w:p>
    <w:p w:rsidR="00C97978" w:rsidRPr="00585F58" w:rsidRDefault="00C97978" w:rsidP="001327C6">
      <w:pPr>
        <w:pStyle w:val="ListParagraph"/>
        <w:numPr>
          <w:ilvl w:val="0"/>
          <w:numId w:val="7"/>
        </w:numPr>
        <w:spacing w:after="120" w:line="240" w:lineRule="auto"/>
        <w:ind w:left="567" w:hanging="283"/>
        <w:contextualSpacing w:val="0"/>
        <w:jc w:val="both"/>
        <w:rPr>
          <w:rFonts w:cs="Times New Roman"/>
          <w:szCs w:val="24"/>
        </w:rPr>
      </w:pPr>
      <w:r w:rsidRPr="00585F58">
        <w:rPr>
          <w:rFonts w:cs="Times New Roman"/>
          <w:szCs w:val="24"/>
        </w:rPr>
        <w:t>atsevišķas nozares, piemēram, informācijas tehnoloģiju nozare, nevar izmantot atvieglojumu, jo pētniecības rezultātus nav iespējams patentēt.</w:t>
      </w:r>
    </w:p>
    <w:p w:rsidR="00C97978" w:rsidRPr="00585F58" w:rsidRDefault="00C97978" w:rsidP="00C97978">
      <w:pPr>
        <w:spacing w:after="0" w:line="240" w:lineRule="auto"/>
        <w:ind w:firstLine="720"/>
        <w:jc w:val="both"/>
        <w:rPr>
          <w:rFonts w:cs="Times New Roman"/>
          <w:szCs w:val="24"/>
        </w:rPr>
      </w:pPr>
      <w:r w:rsidRPr="00585F58">
        <w:rPr>
          <w:rFonts w:cs="Times New Roman"/>
          <w:szCs w:val="24"/>
        </w:rPr>
        <w:t>Ņemot vērā minēto, Ekonomikas ministrija uzskata, ka minētais atvieglojums nav efektīvs un neļauj sasniegt politikas plānošanas dokumentos noteiktās valsts prioritātes un mērķus.</w:t>
      </w:r>
    </w:p>
    <w:p w:rsidR="00515B2A" w:rsidRPr="00585F58" w:rsidRDefault="00515B2A" w:rsidP="00515B2A">
      <w:pPr>
        <w:spacing w:after="0" w:line="20" w:lineRule="atLeast"/>
        <w:ind w:firstLine="709"/>
        <w:jc w:val="both"/>
        <w:rPr>
          <w:rFonts w:cs="Times New Roman"/>
          <w:szCs w:val="24"/>
        </w:rPr>
      </w:pPr>
      <w:r w:rsidRPr="00585F58">
        <w:rPr>
          <w:rFonts w:cs="Times New Roman"/>
          <w:szCs w:val="24"/>
        </w:rPr>
        <w:t>Ekonomikas ministrija sadarbībā ar Latvijas Tirdzniecības un rūpniecības kameru (turpmāk - LTRK) ir izvērtējusi atsevišķu ES valstu analīzi, veikusi uzņēmēju aptauju par P&amp;A darbībām Latvijas uzņēmumos.</w:t>
      </w:r>
    </w:p>
    <w:p w:rsidR="00C97978" w:rsidRPr="00585F58" w:rsidRDefault="00515B2A" w:rsidP="00392105">
      <w:pPr>
        <w:spacing w:after="0" w:line="20" w:lineRule="atLeast"/>
        <w:ind w:firstLine="709"/>
        <w:jc w:val="both"/>
        <w:rPr>
          <w:rFonts w:cs="Times New Roman"/>
          <w:szCs w:val="24"/>
        </w:rPr>
      </w:pPr>
      <w:r w:rsidRPr="00585F58">
        <w:rPr>
          <w:rFonts w:cs="Times New Roman"/>
          <w:szCs w:val="24"/>
        </w:rPr>
        <w:t xml:space="preserve">2013.gadā vairāk nekā 30 valstīs visā pasaulē pastāv nodokļu atvieglojumi, kuru mērķis ir P&amp;A aktivitāšu veicināšana. Ekonomikas ministrija padziļināti ir </w:t>
      </w:r>
      <w:r w:rsidRPr="00585F58">
        <w:rPr>
          <w:rFonts w:cs="Times New Roman"/>
          <w:szCs w:val="24"/>
        </w:rPr>
        <w:lastRenderedPageBreak/>
        <w:t>aplūkosi UIN nodokļa atvieglojuma piemērošanas principus trīs valstīs, kurās nodokļu maksātājiem atļauts piemērot P&amp;A izmaksu vērtību palielinošus koeficientus</w:t>
      </w:r>
      <w:r w:rsidR="00392105" w:rsidRPr="00585F58">
        <w:rPr>
          <w:rFonts w:cs="Times New Roman"/>
          <w:szCs w:val="24"/>
        </w:rPr>
        <w:t xml:space="preserve"> – Lietuvā, Čehijā un Ungārijā.</w:t>
      </w:r>
    </w:p>
    <w:p w:rsidR="008606E2" w:rsidRPr="00585F58" w:rsidRDefault="008606E2" w:rsidP="00C97978">
      <w:pPr>
        <w:spacing w:after="0" w:line="240" w:lineRule="auto"/>
        <w:ind w:firstLine="709"/>
        <w:rPr>
          <w:rFonts w:cs="Times New Roman"/>
          <w:b/>
          <w:szCs w:val="24"/>
          <w:u w:val="single"/>
        </w:rPr>
      </w:pPr>
    </w:p>
    <w:p w:rsidR="00515B2A" w:rsidRPr="00585F58" w:rsidRDefault="00515B2A" w:rsidP="00C97978">
      <w:pPr>
        <w:spacing w:after="0" w:line="240" w:lineRule="auto"/>
        <w:ind w:firstLine="709"/>
        <w:rPr>
          <w:rFonts w:cs="Times New Roman"/>
          <w:b/>
          <w:szCs w:val="24"/>
          <w:u w:val="single"/>
        </w:rPr>
      </w:pPr>
      <w:r w:rsidRPr="00585F58">
        <w:rPr>
          <w:rFonts w:cs="Times New Roman"/>
          <w:b/>
          <w:szCs w:val="24"/>
          <w:u w:val="single"/>
        </w:rPr>
        <w:t>Lietuva</w:t>
      </w:r>
    </w:p>
    <w:p w:rsidR="00515B2A" w:rsidRPr="00585F58" w:rsidRDefault="00515B2A" w:rsidP="00515B2A">
      <w:pPr>
        <w:spacing w:after="0" w:line="240" w:lineRule="auto"/>
        <w:ind w:firstLine="709"/>
        <w:jc w:val="both"/>
        <w:rPr>
          <w:rFonts w:cs="Times New Roman"/>
          <w:szCs w:val="24"/>
        </w:rPr>
      </w:pPr>
      <w:r w:rsidRPr="00585F58">
        <w:rPr>
          <w:rFonts w:cs="Times New Roman"/>
          <w:szCs w:val="24"/>
        </w:rPr>
        <w:t>Liet</w:t>
      </w:r>
      <w:r w:rsidR="009576B7" w:rsidRPr="00585F58">
        <w:rPr>
          <w:rFonts w:cs="Times New Roman"/>
          <w:szCs w:val="24"/>
        </w:rPr>
        <w:t>uvā UIN atvieglojums ieguldījumu</w:t>
      </w:r>
      <w:r w:rsidRPr="00585F58">
        <w:rPr>
          <w:rFonts w:cs="Times New Roman"/>
          <w:szCs w:val="24"/>
        </w:rPr>
        <w:t xml:space="preserve"> veicināšanai P&amp;A tika ieviests </w:t>
      </w:r>
      <w:r w:rsidR="00783D11" w:rsidRPr="00585F58">
        <w:rPr>
          <w:rFonts w:cs="Times New Roman"/>
          <w:szCs w:val="24"/>
        </w:rPr>
        <w:t>2008</w:t>
      </w:r>
      <w:r w:rsidRPr="00585F58">
        <w:rPr>
          <w:rFonts w:cs="Times New Roman"/>
          <w:szCs w:val="24"/>
        </w:rPr>
        <w:t>.gadā, paredzot, ka nodokļu maksātājiem, aprēķinot ar UIN apliekamo ienākumu ir iespējas noteiktas P&amp;A izmaksas norakstīt, piemērojot vērtību palielinošu koeficientu 3.</w:t>
      </w:r>
    </w:p>
    <w:p w:rsidR="00515B2A" w:rsidRPr="00585F58" w:rsidRDefault="00515B2A" w:rsidP="00515B2A">
      <w:pPr>
        <w:spacing w:after="0" w:line="240" w:lineRule="auto"/>
        <w:ind w:firstLine="709"/>
        <w:jc w:val="both"/>
        <w:rPr>
          <w:rFonts w:cs="Times New Roman"/>
          <w:szCs w:val="24"/>
        </w:rPr>
      </w:pPr>
      <w:r w:rsidRPr="00585F58">
        <w:rPr>
          <w:rFonts w:cs="Times New Roman"/>
          <w:szCs w:val="24"/>
        </w:rPr>
        <w:t>UIN atvieglojumu ir iespējams attiecināt uz P&amp;A aktivitātēm, kas ietver fundamentālos pētījumus, lietišķos pētījumus un eksperimentālo izstrādi. Attiecināmas ir sekojošas P&amp;A izmaksas:</w:t>
      </w:r>
    </w:p>
    <w:p w:rsidR="00515B2A" w:rsidRPr="00585F58" w:rsidRDefault="00515B2A" w:rsidP="001327C6">
      <w:pPr>
        <w:numPr>
          <w:ilvl w:val="0"/>
          <w:numId w:val="14"/>
        </w:numPr>
        <w:spacing w:after="0" w:line="240" w:lineRule="auto"/>
        <w:contextualSpacing/>
        <w:jc w:val="both"/>
        <w:rPr>
          <w:rFonts w:cs="Times New Roman"/>
          <w:szCs w:val="24"/>
        </w:rPr>
      </w:pPr>
      <w:r w:rsidRPr="00585F58">
        <w:rPr>
          <w:rFonts w:cs="Times New Roman"/>
          <w:szCs w:val="24"/>
        </w:rPr>
        <w:t>darbinieku, kuri tiešā veidā piedalās P&amp;A darbos, darba samaksas un no tām aprēķināto obligāto veselības apdrošināšanas iemaksu un valsts sociālās apdrošināšanas iemaksu izmaksas;</w:t>
      </w:r>
    </w:p>
    <w:p w:rsidR="00515B2A" w:rsidRPr="00585F58" w:rsidRDefault="00515B2A" w:rsidP="001327C6">
      <w:pPr>
        <w:numPr>
          <w:ilvl w:val="0"/>
          <w:numId w:val="14"/>
        </w:numPr>
        <w:spacing w:after="0" w:line="240" w:lineRule="auto"/>
        <w:contextualSpacing/>
        <w:jc w:val="both"/>
        <w:rPr>
          <w:rFonts w:cs="Times New Roman"/>
          <w:szCs w:val="24"/>
        </w:rPr>
      </w:pPr>
      <w:r w:rsidRPr="00585F58">
        <w:rPr>
          <w:rFonts w:cs="Times New Roman"/>
          <w:szCs w:val="24"/>
        </w:rPr>
        <w:t>komandējumu, kas ir tiešā veidā saistīti ar P&amp;A darbiem un ir nepieciešami P&amp;A darbu veikšanai, izmaksas;</w:t>
      </w:r>
    </w:p>
    <w:p w:rsidR="00515B2A" w:rsidRPr="00585F58" w:rsidRDefault="00515B2A" w:rsidP="001327C6">
      <w:pPr>
        <w:numPr>
          <w:ilvl w:val="0"/>
          <w:numId w:val="14"/>
        </w:numPr>
        <w:spacing w:after="0" w:line="240" w:lineRule="auto"/>
        <w:contextualSpacing/>
        <w:jc w:val="both"/>
        <w:rPr>
          <w:rFonts w:cs="Times New Roman"/>
          <w:szCs w:val="24"/>
        </w:rPr>
      </w:pPr>
      <w:r w:rsidRPr="00585F58">
        <w:rPr>
          <w:rFonts w:cs="Times New Roman"/>
          <w:szCs w:val="24"/>
        </w:rPr>
        <w:t>P&amp;A darbos izmantoto izejvielu un (vai) materiālu, citu apgrozāmo līdzekļu izmaksas;</w:t>
      </w:r>
    </w:p>
    <w:p w:rsidR="00515B2A" w:rsidRPr="00585F58" w:rsidRDefault="00515B2A" w:rsidP="001327C6">
      <w:pPr>
        <w:numPr>
          <w:ilvl w:val="0"/>
          <w:numId w:val="14"/>
        </w:numPr>
        <w:spacing w:after="0" w:line="240" w:lineRule="auto"/>
        <w:contextualSpacing/>
        <w:jc w:val="both"/>
        <w:rPr>
          <w:rFonts w:cs="Times New Roman"/>
          <w:szCs w:val="24"/>
        </w:rPr>
      </w:pPr>
      <w:r w:rsidRPr="00585F58">
        <w:rPr>
          <w:rFonts w:cs="Times New Roman"/>
          <w:szCs w:val="24"/>
        </w:rPr>
        <w:t>izmaksas, kas radušās, pērkot pakalpojumus (zinātniska rakstura konsultācijas, telpu un (vai) iekārtu nomas, komunālo pakalpojumu, remonta, uzglabāšanas, telekomunikāciju un citus pakalpojumus), kas ir tiešā veidā saistīti ar P&amp;A darbiem un ir nepieciešami P&amp;A darbu veikšanai;</w:t>
      </w:r>
    </w:p>
    <w:p w:rsidR="00515B2A" w:rsidRPr="00585F58" w:rsidRDefault="00515B2A" w:rsidP="001327C6">
      <w:pPr>
        <w:numPr>
          <w:ilvl w:val="0"/>
          <w:numId w:val="14"/>
        </w:numPr>
        <w:spacing w:after="120" w:line="240" w:lineRule="auto"/>
        <w:ind w:left="1434" w:hanging="357"/>
        <w:contextualSpacing/>
        <w:jc w:val="both"/>
        <w:rPr>
          <w:rFonts w:cs="Times New Roman"/>
          <w:szCs w:val="24"/>
        </w:rPr>
      </w:pPr>
      <w:r w:rsidRPr="00585F58">
        <w:rPr>
          <w:rFonts w:cs="Times New Roman"/>
          <w:szCs w:val="24"/>
        </w:rPr>
        <w:t>izmaksas, kas radušās, iegādājoties P&amp;A darbu palīgdarbus no citas ar nodokļiem apliekamās vienības vai fiziskās personas, ja šādi iegādātie darbi veikti Eiropas ekonomiskajās zonas valstī vai valstī, kura nepieder Eiropas ekonomiskai zonai, taču ar kuru Lietuvas Republika ir noslēgusi dubultās ar nodokļiem neaplikšanas līgumu un piemēro tā noteikumus.</w:t>
      </w:r>
    </w:p>
    <w:p w:rsidR="00515B2A" w:rsidRPr="00585F58" w:rsidRDefault="00515B2A" w:rsidP="00515B2A">
      <w:pPr>
        <w:spacing w:after="0" w:line="240" w:lineRule="auto"/>
        <w:ind w:firstLine="709"/>
        <w:jc w:val="both"/>
        <w:rPr>
          <w:rFonts w:cs="Times New Roman"/>
          <w:szCs w:val="24"/>
        </w:rPr>
      </w:pPr>
      <w:r w:rsidRPr="00585F58">
        <w:rPr>
          <w:rFonts w:cs="Times New Roman"/>
          <w:szCs w:val="24"/>
        </w:rPr>
        <w:t xml:space="preserve">Uzņēmumam, kurš vēlas piemērot UIN atvieglojumu ir jāsagatavo P&amp;A darbu dokumentācija, kas atspoguļo veicamos P&amp;A darbus un kurā ir norādīts – P&amp;A darba mērķis un uzdevumi, P&amp;A darba gaita, iesaistītie darbinieki un to kvalifikācija, īstenojamo P&amp;A darbu novitāte un progress, izmantojamās metodes, veicot P&amp;A darbus, P&amp;A darbības rezultāti un to izmantošana, kā arī cita svarīga informācija, kas pierāda darba attiecināšanu uz P&amp;A. Papildus gadījumos, kad uzņēmuma darbība un radušās izmaksas attiecināmas ne tikai uz P&amp;A darbu, uzņēmuma pienākums ir izstrādāt un apstiprināt kārtību (kritērijus), kādā uzņēmuma izmaksas proporcionāli tiek attiecinātas uz P&amp;A darbības izmaksām. Minētā dokumentācija ir jāglabā uzņēmumā un jāiesniedz nodokļu administrācijā tikai pēc tās pieprasījuma. Tāpat uzņēmuma pienākums ir glabāt P&amp;A darbu un izmaksu pamatojošos dokumentus, piemēram, darba līgumus, rīkojumus, rēķinus, komandējumu attaisnojošos dokumentus, izmantoto materiālu sarakstus, P&amp;A darbu pamatojošos dokumentus (piemēram, raksti, atskaites, prototipu dokumentācija) </w:t>
      </w:r>
      <w:proofErr w:type="spellStart"/>
      <w:r w:rsidRPr="00585F58">
        <w:rPr>
          <w:rFonts w:cs="Times New Roman"/>
          <w:szCs w:val="24"/>
        </w:rPr>
        <w:t>u.c</w:t>
      </w:r>
      <w:proofErr w:type="spellEnd"/>
      <w:r w:rsidRPr="00585F58">
        <w:rPr>
          <w:rFonts w:cs="Times New Roman"/>
          <w:szCs w:val="24"/>
        </w:rPr>
        <w:t>. dokumentus.</w:t>
      </w:r>
    </w:p>
    <w:p w:rsidR="00515B2A" w:rsidRPr="00585F58" w:rsidRDefault="00515B2A" w:rsidP="00515B2A">
      <w:pPr>
        <w:spacing w:after="0" w:line="240" w:lineRule="auto"/>
        <w:ind w:firstLine="709"/>
        <w:jc w:val="both"/>
        <w:rPr>
          <w:rFonts w:cs="Times New Roman"/>
          <w:szCs w:val="24"/>
        </w:rPr>
      </w:pPr>
      <w:r w:rsidRPr="00585F58">
        <w:rPr>
          <w:rFonts w:cs="Times New Roman"/>
          <w:szCs w:val="24"/>
        </w:rPr>
        <w:t>Lai uzņēmums un nodokļu administrācija spētu identificēt P&amp;A darbības atbilstību, par pamatu tiek izmantots OECD</w:t>
      </w:r>
      <w:r w:rsidR="00085873">
        <w:rPr>
          <w:rFonts w:cs="Times New Roman"/>
          <w:szCs w:val="24"/>
        </w:rPr>
        <w:t xml:space="preserve"> (turpmāk – </w:t>
      </w:r>
      <w:proofErr w:type="spellStart"/>
      <w:r w:rsidR="00085873" w:rsidRPr="00E1734D">
        <w:rPr>
          <w:rFonts w:cs="Times New Roman"/>
          <w:szCs w:val="24"/>
        </w:rPr>
        <w:t>The</w:t>
      </w:r>
      <w:proofErr w:type="spellEnd"/>
      <w:r w:rsidR="00085873" w:rsidRPr="00E1734D">
        <w:rPr>
          <w:rFonts w:cs="Times New Roman"/>
          <w:szCs w:val="24"/>
        </w:rPr>
        <w:t xml:space="preserve"> </w:t>
      </w:r>
      <w:proofErr w:type="spellStart"/>
      <w:r w:rsidR="00E1734D" w:rsidRPr="00E1734D">
        <w:rPr>
          <w:rFonts w:cs="Times New Roman"/>
          <w:szCs w:val="24"/>
        </w:rPr>
        <w:t>Organisation</w:t>
      </w:r>
      <w:proofErr w:type="spellEnd"/>
      <w:r w:rsidR="00085873" w:rsidRPr="00E1734D">
        <w:rPr>
          <w:rFonts w:cs="Times New Roman"/>
          <w:szCs w:val="24"/>
        </w:rPr>
        <w:t xml:space="preserve"> </w:t>
      </w:r>
      <w:proofErr w:type="spellStart"/>
      <w:r w:rsidR="00085873" w:rsidRPr="00E1734D">
        <w:rPr>
          <w:rFonts w:cs="Times New Roman"/>
          <w:szCs w:val="24"/>
        </w:rPr>
        <w:t>for</w:t>
      </w:r>
      <w:proofErr w:type="spellEnd"/>
      <w:r w:rsidR="00085873" w:rsidRPr="00E1734D">
        <w:rPr>
          <w:rFonts w:cs="Times New Roman"/>
          <w:szCs w:val="24"/>
        </w:rPr>
        <w:t xml:space="preserve"> </w:t>
      </w:r>
      <w:proofErr w:type="spellStart"/>
      <w:r w:rsidR="00085873" w:rsidRPr="00E1734D">
        <w:rPr>
          <w:rFonts w:cs="Times New Roman"/>
          <w:szCs w:val="24"/>
        </w:rPr>
        <w:t>Economic</w:t>
      </w:r>
      <w:proofErr w:type="spellEnd"/>
      <w:r w:rsidR="00085873" w:rsidRPr="00E1734D">
        <w:rPr>
          <w:rFonts w:cs="Times New Roman"/>
          <w:szCs w:val="24"/>
        </w:rPr>
        <w:t xml:space="preserve"> </w:t>
      </w:r>
      <w:proofErr w:type="spellStart"/>
      <w:r w:rsidR="00085873" w:rsidRPr="00E1734D">
        <w:rPr>
          <w:rFonts w:cs="Times New Roman"/>
          <w:szCs w:val="24"/>
        </w:rPr>
        <w:t>Co-operation</w:t>
      </w:r>
      <w:proofErr w:type="spellEnd"/>
      <w:r w:rsidR="00085873" w:rsidRPr="00E1734D">
        <w:rPr>
          <w:rFonts w:cs="Times New Roman"/>
          <w:szCs w:val="24"/>
        </w:rPr>
        <w:t xml:space="preserve"> </w:t>
      </w:r>
      <w:proofErr w:type="spellStart"/>
      <w:r w:rsidR="00085873" w:rsidRPr="00E1734D">
        <w:rPr>
          <w:rFonts w:cs="Times New Roman"/>
          <w:szCs w:val="24"/>
        </w:rPr>
        <w:t>Development</w:t>
      </w:r>
      <w:proofErr w:type="spellEnd"/>
      <w:r w:rsidR="00085873">
        <w:rPr>
          <w:rFonts w:cs="Times New Roman"/>
          <w:szCs w:val="24"/>
        </w:rPr>
        <w:t>)</w:t>
      </w:r>
      <w:r w:rsidRPr="00585F58">
        <w:rPr>
          <w:rFonts w:cs="Times New Roman"/>
          <w:szCs w:val="24"/>
        </w:rPr>
        <w:t xml:space="preserve"> izstrādāts dokuments </w:t>
      </w:r>
      <w:proofErr w:type="spellStart"/>
      <w:r w:rsidRPr="00585F58">
        <w:rPr>
          <w:rFonts w:cs="Times New Roman"/>
          <w:i/>
          <w:szCs w:val="24"/>
        </w:rPr>
        <w:t>Frascati</w:t>
      </w:r>
      <w:proofErr w:type="spellEnd"/>
      <w:r w:rsidRPr="00585F58">
        <w:rPr>
          <w:rFonts w:cs="Times New Roman"/>
          <w:i/>
          <w:szCs w:val="24"/>
        </w:rPr>
        <w:t xml:space="preserve"> </w:t>
      </w:r>
      <w:proofErr w:type="spellStart"/>
      <w:r w:rsidRPr="00585F58">
        <w:rPr>
          <w:rFonts w:cs="Times New Roman"/>
          <w:i/>
          <w:szCs w:val="24"/>
        </w:rPr>
        <w:t>Manual</w:t>
      </w:r>
      <w:proofErr w:type="spellEnd"/>
      <w:r w:rsidRPr="00585F58">
        <w:rPr>
          <w:rFonts w:cs="Times New Roman"/>
          <w:i/>
          <w:szCs w:val="24"/>
        </w:rPr>
        <w:t xml:space="preserve"> (2002)</w:t>
      </w:r>
      <w:r w:rsidRPr="00585F58">
        <w:rPr>
          <w:rFonts w:cs="Times New Roman"/>
          <w:szCs w:val="24"/>
        </w:rPr>
        <w:t xml:space="preserve">, kas ietver metodoloģiju, kā tiek apkopota statistika par P&amp;A aktivitātēm, kā arī P&amp;A aktivitāšu definīcijas un skaidrojumus (turpmāk – </w:t>
      </w:r>
      <w:proofErr w:type="spellStart"/>
      <w:r w:rsidRPr="00585F58">
        <w:rPr>
          <w:rFonts w:cs="Times New Roman"/>
          <w:szCs w:val="24"/>
        </w:rPr>
        <w:t>Frascati</w:t>
      </w:r>
      <w:proofErr w:type="spellEnd"/>
      <w:r w:rsidRPr="00585F58">
        <w:rPr>
          <w:rFonts w:cs="Times New Roman"/>
          <w:szCs w:val="24"/>
        </w:rPr>
        <w:t xml:space="preserve"> rokasgrāmata). Balstoties uz </w:t>
      </w:r>
      <w:proofErr w:type="spellStart"/>
      <w:r w:rsidRPr="00585F58">
        <w:rPr>
          <w:rFonts w:cs="Times New Roman"/>
          <w:szCs w:val="24"/>
        </w:rPr>
        <w:t>Frascati</w:t>
      </w:r>
      <w:proofErr w:type="spellEnd"/>
      <w:r w:rsidRPr="00585F58">
        <w:rPr>
          <w:rFonts w:cs="Times New Roman"/>
          <w:szCs w:val="24"/>
        </w:rPr>
        <w:t xml:space="preserve"> rokasgrāmatu, papildus ir izstrādāti pamatkritēriji P&amp;A darbu atšķiršanai </w:t>
      </w:r>
      <w:r w:rsidRPr="00585F58">
        <w:rPr>
          <w:rFonts w:cs="Times New Roman"/>
          <w:szCs w:val="24"/>
        </w:rPr>
        <w:lastRenderedPageBreak/>
        <w:t>no uzņēmuma saimnieciskās darbības. Galvenie kritēriji, kas ļauj identificēt P&amp;A darbību:</w:t>
      </w:r>
    </w:p>
    <w:p w:rsidR="00515B2A" w:rsidRPr="00585F58" w:rsidRDefault="00515B2A" w:rsidP="001327C6">
      <w:pPr>
        <w:numPr>
          <w:ilvl w:val="0"/>
          <w:numId w:val="15"/>
        </w:numPr>
        <w:spacing w:after="0" w:line="240" w:lineRule="auto"/>
        <w:ind w:left="851"/>
        <w:contextualSpacing/>
        <w:jc w:val="both"/>
        <w:rPr>
          <w:rFonts w:cs="Times New Roman"/>
          <w:szCs w:val="24"/>
        </w:rPr>
      </w:pPr>
      <w:r w:rsidRPr="00585F58">
        <w:rPr>
          <w:rFonts w:cs="Times New Roman"/>
          <w:szCs w:val="24"/>
        </w:rPr>
        <w:t>P&amp;A projekta mērķis ir zinātnisks vai tehnoloģisks progress, lai iegūtu jaunas zināšanas, radītu jaunus materiālus, produktus vai iekārtas, atklātu jaunas metodes vai tehnoloģijas (vai uzlabotu esošās);</w:t>
      </w:r>
    </w:p>
    <w:p w:rsidR="00515B2A" w:rsidRPr="00585F58" w:rsidRDefault="00515B2A" w:rsidP="001327C6">
      <w:pPr>
        <w:numPr>
          <w:ilvl w:val="0"/>
          <w:numId w:val="15"/>
        </w:numPr>
        <w:spacing w:after="0" w:line="240" w:lineRule="auto"/>
        <w:ind w:left="851"/>
        <w:contextualSpacing/>
        <w:jc w:val="both"/>
        <w:rPr>
          <w:rFonts w:cs="Times New Roman"/>
          <w:szCs w:val="24"/>
        </w:rPr>
      </w:pPr>
      <w:r w:rsidRPr="00585F58">
        <w:rPr>
          <w:rFonts w:cs="Times New Roman"/>
          <w:szCs w:val="24"/>
        </w:rPr>
        <w:t>sagaidāmais rezultāts ir nozīmīgs ne tikai uzņēmumam, kurš īsteno P&amp;A projektu;</w:t>
      </w:r>
    </w:p>
    <w:p w:rsidR="00515B2A" w:rsidRPr="00585F58" w:rsidRDefault="00515B2A" w:rsidP="001327C6">
      <w:pPr>
        <w:numPr>
          <w:ilvl w:val="0"/>
          <w:numId w:val="15"/>
        </w:numPr>
        <w:spacing w:after="0" w:line="240" w:lineRule="auto"/>
        <w:ind w:left="851"/>
        <w:contextualSpacing/>
        <w:jc w:val="both"/>
        <w:rPr>
          <w:rFonts w:cs="Times New Roman"/>
          <w:szCs w:val="24"/>
        </w:rPr>
      </w:pPr>
      <w:r w:rsidRPr="00585F58">
        <w:rPr>
          <w:rFonts w:cs="Times New Roman"/>
          <w:szCs w:val="24"/>
        </w:rPr>
        <w:t>lielākajai daļai P&amp;A projektā iesaistīto ekspertu ir zinātniskais grāds vai ilggadēja pieredze P&amp;A projektu īstenošanā;</w:t>
      </w:r>
    </w:p>
    <w:p w:rsidR="00515B2A" w:rsidRPr="00585F58" w:rsidRDefault="00515B2A" w:rsidP="001327C6">
      <w:pPr>
        <w:numPr>
          <w:ilvl w:val="0"/>
          <w:numId w:val="15"/>
        </w:numPr>
        <w:spacing w:after="120" w:line="240" w:lineRule="auto"/>
        <w:ind w:left="850" w:hanging="357"/>
        <w:contextualSpacing/>
        <w:jc w:val="both"/>
        <w:rPr>
          <w:rFonts w:cs="Times New Roman"/>
          <w:szCs w:val="24"/>
        </w:rPr>
      </w:pPr>
      <w:r w:rsidRPr="00585F58">
        <w:rPr>
          <w:rFonts w:cs="Times New Roman"/>
          <w:szCs w:val="24"/>
        </w:rPr>
        <w:t>projektā tiek izmantotas universālas metodes jeb tiek radītas jaunas universālas metodes.</w:t>
      </w:r>
    </w:p>
    <w:p w:rsidR="00515B2A" w:rsidRPr="00585F58" w:rsidRDefault="00515B2A" w:rsidP="00515B2A">
      <w:pPr>
        <w:spacing w:after="0" w:line="240" w:lineRule="auto"/>
        <w:ind w:firstLine="709"/>
        <w:jc w:val="both"/>
        <w:rPr>
          <w:rFonts w:cs="Times New Roman"/>
          <w:szCs w:val="24"/>
        </w:rPr>
      </w:pPr>
      <w:r w:rsidRPr="00585F58">
        <w:rPr>
          <w:rFonts w:cs="Times New Roman"/>
          <w:szCs w:val="24"/>
        </w:rPr>
        <w:t>Gadījumos, kad uzņēmumam vai nodokļu administrācijai rodas šaubas par projekta atbilstību P&amp;A darbībai, ir iespējams saņemt Zinātnes, Inovāciju un Tehnoloģiju aģentūras paspārnē izveidotas ekspertu komisijas rekomendējoša rakstura atzinuma. Saskaņā ar Zinātnes, Inovāciju un Tehnoloģiju aģentūras sniegto informāciju 2012.gadā Lietuvas nodokļu administrācija nav izmantojusi iespēju saņemt atzinumu par kāda projekta atbilstību P&amp;A darbībai, savukārt uzņēmumi aģentūrā ir griezušies 12 gadījumos.</w:t>
      </w:r>
    </w:p>
    <w:p w:rsidR="00515B2A" w:rsidRPr="00585F58" w:rsidRDefault="00515B2A" w:rsidP="00515B2A">
      <w:pPr>
        <w:spacing w:after="0" w:line="240" w:lineRule="auto"/>
        <w:ind w:firstLine="709"/>
        <w:jc w:val="both"/>
        <w:rPr>
          <w:rFonts w:cs="Times New Roman"/>
          <w:szCs w:val="24"/>
        </w:rPr>
      </w:pPr>
      <w:r w:rsidRPr="00585F58">
        <w:rPr>
          <w:rFonts w:cs="Times New Roman"/>
          <w:szCs w:val="24"/>
        </w:rPr>
        <w:t>Pēc P&amp;A projektu dokumentācijas sagatavošanas, uzņēmumiem ir tiesības iekļaut attiecināmās P&amp;A izmaksas UIN deklarācijā un samazināt ar UIN apliekamo ienākumu.</w:t>
      </w:r>
    </w:p>
    <w:p w:rsidR="0034407E" w:rsidRPr="00585F58" w:rsidRDefault="005204B5" w:rsidP="00515B2A">
      <w:pPr>
        <w:spacing w:after="0" w:line="240" w:lineRule="auto"/>
        <w:ind w:firstLine="709"/>
        <w:jc w:val="both"/>
        <w:rPr>
          <w:rFonts w:cs="Times New Roman"/>
          <w:szCs w:val="24"/>
        </w:rPr>
      </w:pPr>
      <w:r w:rsidRPr="00585F58">
        <w:rPr>
          <w:rFonts w:cs="Times New Roman"/>
          <w:szCs w:val="24"/>
        </w:rPr>
        <w:t>Lietuvas Finanšu ministrijas dati liecina, ka i</w:t>
      </w:r>
      <w:r w:rsidR="0034407E" w:rsidRPr="00585F58">
        <w:rPr>
          <w:rFonts w:cs="Times New Roman"/>
          <w:szCs w:val="24"/>
        </w:rPr>
        <w:t xml:space="preserve">eviešot UIN atvieglojumu ieguldījumu veicināšanai P&amp;A, </w:t>
      </w:r>
      <w:r w:rsidRPr="00585F58">
        <w:rPr>
          <w:rFonts w:cs="Times New Roman"/>
          <w:szCs w:val="24"/>
        </w:rPr>
        <w:t xml:space="preserve">četru gadu laikā </w:t>
      </w:r>
      <w:r w:rsidR="00874737" w:rsidRPr="00585F58">
        <w:rPr>
          <w:rFonts w:cs="Times New Roman"/>
          <w:szCs w:val="24"/>
        </w:rPr>
        <w:t>nav novērotas būtiskas izmaiņas</w:t>
      </w:r>
      <w:r w:rsidRPr="00585F58">
        <w:rPr>
          <w:rFonts w:cs="Times New Roman"/>
          <w:szCs w:val="24"/>
        </w:rPr>
        <w:t xml:space="preserve"> (4.tab.). Ar katru gadu </w:t>
      </w:r>
      <w:r w:rsidR="00874737" w:rsidRPr="00585F58">
        <w:rPr>
          <w:rFonts w:cs="Times New Roman"/>
          <w:szCs w:val="24"/>
        </w:rPr>
        <w:t xml:space="preserve">samazinās </w:t>
      </w:r>
      <w:r w:rsidRPr="00585F58">
        <w:rPr>
          <w:rFonts w:cs="Times New Roman"/>
          <w:szCs w:val="24"/>
        </w:rPr>
        <w:t>uzņēmumu skaits, kas izmant</w:t>
      </w:r>
      <w:r w:rsidR="00874737" w:rsidRPr="00585F58">
        <w:rPr>
          <w:rFonts w:cs="Times New Roman"/>
          <w:szCs w:val="24"/>
        </w:rPr>
        <w:t>o P&amp;A stimulu.</w:t>
      </w:r>
    </w:p>
    <w:p w:rsidR="00874737" w:rsidRDefault="00874737" w:rsidP="00515B2A">
      <w:pPr>
        <w:spacing w:after="0" w:line="240" w:lineRule="auto"/>
        <w:ind w:firstLine="709"/>
        <w:jc w:val="both"/>
        <w:rPr>
          <w:rFonts w:cs="Times New Roman"/>
          <w:szCs w:val="24"/>
        </w:rPr>
      </w:pPr>
    </w:p>
    <w:p w:rsidR="00BA294A" w:rsidRPr="00585F58" w:rsidRDefault="00BA294A" w:rsidP="00515B2A">
      <w:pPr>
        <w:spacing w:after="0" w:line="240" w:lineRule="auto"/>
        <w:ind w:firstLine="709"/>
        <w:jc w:val="both"/>
        <w:rPr>
          <w:rFonts w:cs="Times New Roman"/>
          <w:szCs w:val="24"/>
        </w:rPr>
      </w:pPr>
    </w:p>
    <w:p w:rsidR="0034407E" w:rsidRPr="00585F58" w:rsidRDefault="0034407E" w:rsidP="00515B2A">
      <w:pPr>
        <w:spacing w:after="0" w:line="240" w:lineRule="auto"/>
        <w:ind w:firstLine="709"/>
        <w:jc w:val="both"/>
        <w:rPr>
          <w:rFonts w:cs="Times New Roman"/>
          <w:szCs w:val="24"/>
        </w:rPr>
      </w:pPr>
      <w:r w:rsidRPr="00585F58">
        <w:rPr>
          <w:rFonts w:cs="Times New Roman"/>
          <w:b/>
          <w:szCs w:val="24"/>
        </w:rPr>
        <w:t>4.tab. Uzņēmumu dinamika, kuri izmantojuši P&amp;A atlaidi Lietuvā</w:t>
      </w:r>
    </w:p>
    <w:tbl>
      <w:tblPr>
        <w:tblW w:w="7151" w:type="dxa"/>
        <w:jc w:val="center"/>
        <w:tblInd w:w="93" w:type="dxa"/>
        <w:tblLook w:val="0600" w:firstRow="0" w:lastRow="0" w:firstColumn="0" w:lastColumn="0" w:noHBand="1" w:noVBand="1"/>
      </w:tblPr>
      <w:tblGrid>
        <w:gridCol w:w="1080"/>
        <w:gridCol w:w="2160"/>
        <w:gridCol w:w="1960"/>
        <w:gridCol w:w="1951"/>
      </w:tblGrid>
      <w:tr w:rsidR="00585F58" w:rsidRPr="00585F58" w:rsidTr="004550C3">
        <w:trPr>
          <w:trHeight w:val="94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07E" w:rsidRPr="00585F58" w:rsidRDefault="0034407E" w:rsidP="004550C3">
            <w:pPr>
              <w:spacing w:after="0" w:line="240" w:lineRule="auto"/>
              <w:jc w:val="center"/>
              <w:rPr>
                <w:rFonts w:eastAsia="Times New Roman" w:cs="Times New Roman"/>
                <w:b/>
                <w:bCs/>
                <w:szCs w:val="24"/>
                <w:lang w:eastAsia="lv-LV"/>
              </w:rPr>
            </w:pPr>
            <w:r w:rsidRPr="00585F58">
              <w:rPr>
                <w:rFonts w:eastAsia="Times New Roman" w:cs="Times New Roman"/>
                <w:b/>
                <w:bCs/>
                <w:szCs w:val="24"/>
                <w:lang w:eastAsia="lv-LV"/>
              </w:rPr>
              <w:t>Gads</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34407E" w:rsidRPr="00585F58" w:rsidRDefault="0034407E" w:rsidP="004550C3">
            <w:pPr>
              <w:spacing w:after="0" w:line="240" w:lineRule="auto"/>
              <w:jc w:val="center"/>
              <w:rPr>
                <w:rFonts w:eastAsia="Times New Roman" w:cs="Times New Roman"/>
                <w:b/>
                <w:bCs/>
                <w:szCs w:val="24"/>
                <w:lang w:eastAsia="lv-LV"/>
              </w:rPr>
            </w:pPr>
            <w:r w:rsidRPr="00585F58">
              <w:rPr>
                <w:rFonts w:eastAsia="Times New Roman" w:cs="Times New Roman"/>
                <w:b/>
                <w:bCs/>
                <w:szCs w:val="24"/>
                <w:lang w:eastAsia="lv-LV"/>
              </w:rPr>
              <w:t>Uzņēmumi, kas iesnieguši UIN deklarācijas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34407E" w:rsidRPr="00585F58" w:rsidRDefault="0034407E" w:rsidP="004550C3">
            <w:pPr>
              <w:spacing w:after="0" w:line="240" w:lineRule="auto"/>
              <w:jc w:val="center"/>
              <w:rPr>
                <w:rFonts w:eastAsia="Times New Roman" w:cs="Times New Roman"/>
                <w:b/>
                <w:bCs/>
                <w:szCs w:val="24"/>
                <w:lang w:eastAsia="lv-LV"/>
              </w:rPr>
            </w:pPr>
            <w:r w:rsidRPr="00585F58">
              <w:rPr>
                <w:rFonts w:eastAsia="Times New Roman" w:cs="Times New Roman"/>
                <w:b/>
                <w:bCs/>
                <w:szCs w:val="24"/>
                <w:lang w:eastAsia="lv-LV"/>
              </w:rPr>
              <w:t>Uzņēmumi, kas izmantojuši P&amp;A stimulu</w:t>
            </w:r>
          </w:p>
        </w:tc>
        <w:tc>
          <w:tcPr>
            <w:tcW w:w="1951" w:type="dxa"/>
            <w:tcBorders>
              <w:top w:val="single" w:sz="4" w:space="0" w:color="auto"/>
              <w:left w:val="nil"/>
              <w:bottom w:val="single" w:sz="4" w:space="0" w:color="auto"/>
              <w:right w:val="single" w:sz="4" w:space="0" w:color="auto"/>
            </w:tcBorders>
            <w:shd w:val="clear" w:color="auto" w:fill="auto"/>
            <w:vAlign w:val="center"/>
            <w:hideMark/>
          </w:tcPr>
          <w:p w:rsidR="0034407E" w:rsidRPr="00585F58" w:rsidRDefault="0034407E" w:rsidP="004550C3">
            <w:pPr>
              <w:spacing w:after="0" w:line="240" w:lineRule="auto"/>
              <w:jc w:val="center"/>
              <w:rPr>
                <w:rFonts w:eastAsia="Times New Roman" w:cs="Times New Roman"/>
                <w:b/>
                <w:bCs/>
                <w:szCs w:val="24"/>
                <w:lang w:eastAsia="lv-LV"/>
              </w:rPr>
            </w:pPr>
            <w:r w:rsidRPr="00585F58">
              <w:rPr>
                <w:rFonts w:eastAsia="Times New Roman" w:cs="Times New Roman"/>
                <w:b/>
                <w:bCs/>
                <w:szCs w:val="24"/>
                <w:lang w:eastAsia="lv-LV"/>
              </w:rPr>
              <w:t>Uzņēmumi, kas izmantojuši P&amp;A stimulu,%</w:t>
            </w:r>
          </w:p>
        </w:tc>
      </w:tr>
      <w:tr w:rsidR="00585F58" w:rsidRPr="00585F58" w:rsidTr="004550C3">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4407E" w:rsidRPr="00585F58" w:rsidRDefault="0034407E" w:rsidP="004550C3">
            <w:pPr>
              <w:spacing w:after="0" w:line="240" w:lineRule="auto"/>
              <w:jc w:val="center"/>
              <w:rPr>
                <w:rFonts w:eastAsia="Times New Roman" w:cs="Times New Roman"/>
                <w:bCs/>
                <w:i/>
                <w:szCs w:val="24"/>
                <w:lang w:eastAsia="lv-LV"/>
              </w:rPr>
            </w:pPr>
            <w:r w:rsidRPr="00585F58">
              <w:rPr>
                <w:rFonts w:eastAsia="Times New Roman" w:cs="Times New Roman"/>
                <w:bCs/>
                <w:i/>
                <w:szCs w:val="24"/>
                <w:lang w:eastAsia="lv-LV"/>
              </w:rPr>
              <w:t>2008</w:t>
            </w:r>
          </w:p>
        </w:tc>
        <w:tc>
          <w:tcPr>
            <w:tcW w:w="2160" w:type="dxa"/>
            <w:tcBorders>
              <w:top w:val="nil"/>
              <w:left w:val="nil"/>
              <w:bottom w:val="single" w:sz="4" w:space="0" w:color="auto"/>
              <w:right w:val="single" w:sz="4" w:space="0" w:color="auto"/>
            </w:tcBorders>
            <w:shd w:val="clear" w:color="auto" w:fill="auto"/>
            <w:vAlign w:val="center"/>
            <w:hideMark/>
          </w:tcPr>
          <w:p w:rsidR="0034407E" w:rsidRPr="00585F58" w:rsidRDefault="0034407E" w:rsidP="004550C3">
            <w:pPr>
              <w:spacing w:after="0" w:line="240" w:lineRule="auto"/>
              <w:jc w:val="center"/>
              <w:rPr>
                <w:rFonts w:eastAsia="Times New Roman" w:cs="Times New Roman"/>
                <w:szCs w:val="24"/>
                <w:lang w:eastAsia="lv-LV"/>
              </w:rPr>
            </w:pPr>
            <w:r w:rsidRPr="00585F58">
              <w:rPr>
                <w:rFonts w:eastAsia="Times New Roman" w:cs="Times New Roman"/>
                <w:szCs w:val="24"/>
                <w:lang w:eastAsia="lv-LV"/>
              </w:rPr>
              <w:t>107 373</w:t>
            </w:r>
          </w:p>
        </w:tc>
        <w:tc>
          <w:tcPr>
            <w:tcW w:w="1960" w:type="dxa"/>
            <w:tcBorders>
              <w:top w:val="nil"/>
              <w:left w:val="nil"/>
              <w:bottom w:val="single" w:sz="4" w:space="0" w:color="auto"/>
              <w:right w:val="single" w:sz="4" w:space="0" w:color="auto"/>
            </w:tcBorders>
            <w:shd w:val="clear" w:color="auto" w:fill="auto"/>
            <w:vAlign w:val="center"/>
            <w:hideMark/>
          </w:tcPr>
          <w:p w:rsidR="0034407E" w:rsidRPr="00585F58" w:rsidRDefault="0034407E" w:rsidP="004550C3">
            <w:pPr>
              <w:spacing w:after="0" w:line="240" w:lineRule="auto"/>
              <w:jc w:val="center"/>
              <w:rPr>
                <w:rFonts w:eastAsia="Times New Roman" w:cs="Times New Roman"/>
                <w:szCs w:val="24"/>
                <w:lang w:eastAsia="lv-LV"/>
              </w:rPr>
            </w:pPr>
            <w:r w:rsidRPr="00585F58">
              <w:rPr>
                <w:rFonts w:eastAsia="Times New Roman" w:cs="Times New Roman"/>
                <w:szCs w:val="24"/>
                <w:lang w:eastAsia="lv-LV"/>
              </w:rPr>
              <w:t>1</w:t>
            </w:r>
          </w:p>
        </w:tc>
        <w:tc>
          <w:tcPr>
            <w:tcW w:w="1951" w:type="dxa"/>
            <w:tcBorders>
              <w:top w:val="nil"/>
              <w:left w:val="nil"/>
              <w:bottom w:val="single" w:sz="4" w:space="0" w:color="auto"/>
              <w:right w:val="single" w:sz="4" w:space="0" w:color="auto"/>
            </w:tcBorders>
            <w:shd w:val="clear" w:color="auto" w:fill="auto"/>
            <w:noWrap/>
            <w:vAlign w:val="bottom"/>
            <w:hideMark/>
          </w:tcPr>
          <w:p w:rsidR="0034407E" w:rsidRPr="00585F58" w:rsidRDefault="0034407E" w:rsidP="004550C3">
            <w:pPr>
              <w:spacing w:after="0" w:line="240" w:lineRule="auto"/>
              <w:jc w:val="center"/>
              <w:rPr>
                <w:rFonts w:eastAsia="Times New Roman" w:cs="Times New Roman"/>
                <w:szCs w:val="24"/>
                <w:lang w:eastAsia="lv-LV"/>
              </w:rPr>
            </w:pPr>
            <w:r w:rsidRPr="00585F58">
              <w:rPr>
                <w:rFonts w:eastAsia="Times New Roman" w:cs="Times New Roman"/>
                <w:szCs w:val="24"/>
                <w:lang w:eastAsia="lv-LV"/>
              </w:rPr>
              <w:t>0,00</w:t>
            </w:r>
          </w:p>
        </w:tc>
      </w:tr>
      <w:tr w:rsidR="00585F58" w:rsidRPr="00585F58" w:rsidTr="004550C3">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4407E" w:rsidRPr="00585F58" w:rsidRDefault="0034407E" w:rsidP="004550C3">
            <w:pPr>
              <w:spacing w:after="0" w:line="240" w:lineRule="auto"/>
              <w:jc w:val="center"/>
              <w:rPr>
                <w:rFonts w:eastAsia="Times New Roman" w:cs="Times New Roman"/>
                <w:bCs/>
                <w:i/>
                <w:szCs w:val="24"/>
                <w:lang w:eastAsia="lv-LV"/>
              </w:rPr>
            </w:pPr>
            <w:r w:rsidRPr="00585F58">
              <w:rPr>
                <w:rFonts w:eastAsia="Times New Roman" w:cs="Times New Roman"/>
                <w:bCs/>
                <w:i/>
                <w:szCs w:val="24"/>
                <w:lang w:eastAsia="lv-LV"/>
              </w:rPr>
              <w:t>2009</w:t>
            </w:r>
          </w:p>
        </w:tc>
        <w:tc>
          <w:tcPr>
            <w:tcW w:w="2160" w:type="dxa"/>
            <w:tcBorders>
              <w:top w:val="nil"/>
              <w:left w:val="nil"/>
              <w:bottom w:val="single" w:sz="4" w:space="0" w:color="auto"/>
              <w:right w:val="single" w:sz="4" w:space="0" w:color="auto"/>
            </w:tcBorders>
            <w:shd w:val="clear" w:color="auto" w:fill="auto"/>
            <w:vAlign w:val="center"/>
            <w:hideMark/>
          </w:tcPr>
          <w:p w:rsidR="0034407E" w:rsidRPr="00585F58" w:rsidRDefault="0034407E" w:rsidP="004550C3">
            <w:pPr>
              <w:spacing w:after="0" w:line="240" w:lineRule="auto"/>
              <w:jc w:val="center"/>
              <w:rPr>
                <w:rFonts w:eastAsia="Times New Roman" w:cs="Times New Roman"/>
                <w:szCs w:val="24"/>
                <w:lang w:eastAsia="lv-LV"/>
              </w:rPr>
            </w:pPr>
            <w:r w:rsidRPr="00585F58">
              <w:rPr>
                <w:rFonts w:eastAsia="Times New Roman" w:cs="Times New Roman"/>
                <w:szCs w:val="24"/>
                <w:lang w:eastAsia="lv-LV"/>
              </w:rPr>
              <w:t>104 593</w:t>
            </w:r>
          </w:p>
        </w:tc>
        <w:tc>
          <w:tcPr>
            <w:tcW w:w="1960" w:type="dxa"/>
            <w:tcBorders>
              <w:top w:val="nil"/>
              <w:left w:val="nil"/>
              <w:bottom w:val="single" w:sz="4" w:space="0" w:color="auto"/>
              <w:right w:val="single" w:sz="4" w:space="0" w:color="auto"/>
            </w:tcBorders>
            <w:shd w:val="clear" w:color="auto" w:fill="auto"/>
            <w:vAlign w:val="center"/>
            <w:hideMark/>
          </w:tcPr>
          <w:p w:rsidR="0034407E" w:rsidRPr="00585F58" w:rsidRDefault="0034407E" w:rsidP="004550C3">
            <w:pPr>
              <w:spacing w:after="0" w:line="240" w:lineRule="auto"/>
              <w:jc w:val="center"/>
              <w:rPr>
                <w:rFonts w:eastAsia="Times New Roman" w:cs="Times New Roman"/>
                <w:szCs w:val="24"/>
                <w:lang w:eastAsia="lv-LV"/>
              </w:rPr>
            </w:pPr>
            <w:r w:rsidRPr="00585F58">
              <w:rPr>
                <w:rFonts w:eastAsia="Times New Roman" w:cs="Times New Roman"/>
                <w:szCs w:val="24"/>
                <w:lang w:eastAsia="lv-LV"/>
              </w:rPr>
              <w:t>212</w:t>
            </w:r>
          </w:p>
        </w:tc>
        <w:tc>
          <w:tcPr>
            <w:tcW w:w="1951" w:type="dxa"/>
            <w:tcBorders>
              <w:top w:val="nil"/>
              <w:left w:val="nil"/>
              <w:bottom w:val="single" w:sz="4" w:space="0" w:color="auto"/>
              <w:right w:val="single" w:sz="4" w:space="0" w:color="auto"/>
            </w:tcBorders>
            <w:shd w:val="clear" w:color="auto" w:fill="auto"/>
            <w:noWrap/>
            <w:vAlign w:val="bottom"/>
            <w:hideMark/>
          </w:tcPr>
          <w:p w:rsidR="0034407E" w:rsidRPr="00585F58" w:rsidRDefault="0034407E" w:rsidP="004550C3">
            <w:pPr>
              <w:spacing w:after="0" w:line="240" w:lineRule="auto"/>
              <w:jc w:val="center"/>
              <w:rPr>
                <w:rFonts w:eastAsia="Times New Roman" w:cs="Times New Roman"/>
                <w:szCs w:val="24"/>
                <w:lang w:eastAsia="lv-LV"/>
              </w:rPr>
            </w:pPr>
            <w:r w:rsidRPr="00585F58">
              <w:rPr>
                <w:rFonts w:eastAsia="Times New Roman" w:cs="Times New Roman"/>
                <w:szCs w:val="24"/>
                <w:lang w:eastAsia="lv-LV"/>
              </w:rPr>
              <w:t>0,20</w:t>
            </w:r>
          </w:p>
        </w:tc>
      </w:tr>
      <w:tr w:rsidR="00585F58" w:rsidRPr="00585F58" w:rsidTr="00BD7C94">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4407E" w:rsidRPr="00585F58" w:rsidRDefault="0034407E" w:rsidP="004550C3">
            <w:pPr>
              <w:spacing w:after="0" w:line="240" w:lineRule="auto"/>
              <w:jc w:val="center"/>
              <w:rPr>
                <w:rFonts w:eastAsia="Times New Roman" w:cs="Times New Roman"/>
                <w:bCs/>
                <w:i/>
                <w:szCs w:val="24"/>
                <w:lang w:eastAsia="lv-LV"/>
              </w:rPr>
            </w:pPr>
            <w:r w:rsidRPr="00585F58">
              <w:rPr>
                <w:rFonts w:eastAsia="Times New Roman" w:cs="Times New Roman"/>
                <w:bCs/>
                <w:i/>
                <w:szCs w:val="24"/>
                <w:lang w:eastAsia="lv-LV"/>
              </w:rPr>
              <w:t>2010</w:t>
            </w:r>
          </w:p>
        </w:tc>
        <w:tc>
          <w:tcPr>
            <w:tcW w:w="2160" w:type="dxa"/>
            <w:tcBorders>
              <w:top w:val="nil"/>
              <w:left w:val="nil"/>
              <w:bottom w:val="single" w:sz="4" w:space="0" w:color="auto"/>
              <w:right w:val="single" w:sz="4" w:space="0" w:color="auto"/>
            </w:tcBorders>
            <w:shd w:val="clear" w:color="auto" w:fill="auto"/>
            <w:vAlign w:val="center"/>
            <w:hideMark/>
          </w:tcPr>
          <w:p w:rsidR="0034407E" w:rsidRPr="00585F58" w:rsidRDefault="0034407E" w:rsidP="004550C3">
            <w:pPr>
              <w:spacing w:after="0" w:line="240" w:lineRule="auto"/>
              <w:jc w:val="center"/>
              <w:rPr>
                <w:rFonts w:eastAsia="Times New Roman" w:cs="Times New Roman"/>
                <w:szCs w:val="24"/>
                <w:lang w:eastAsia="lv-LV"/>
              </w:rPr>
            </w:pPr>
            <w:r w:rsidRPr="00585F58">
              <w:rPr>
                <w:rFonts w:eastAsia="Times New Roman" w:cs="Times New Roman"/>
                <w:szCs w:val="24"/>
                <w:lang w:eastAsia="lv-LV"/>
              </w:rPr>
              <w:t>91 422</w:t>
            </w:r>
          </w:p>
        </w:tc>
        <w:tc>
          <w:tcPr>
            <w:tcW w:w="1960" w:type="dxa"/>
            <w:tcBorders>
              <w:top w:val="nil"/>
              <w:left w:val="nil"/>
              <w:bottom w:val="single" w:sz="4" w:space="0" w:color="auto"/>
              <w:right w:val="single" w:sz="4" w:space="0" w:color="auto"/>
            </w:tcBorders>
            <w:shd w:val="clear" w:color="auto" w:fill="auto"/>
            <w:vAlign w:val="center"/>
            <w:hideMark/>
          </w:tcPr>
          <w:p w:rsidR="0034407E" w:rsidRPr="00585F58" w:rsidRDefault="0034407E" w:rsidP="004550C3">
            <w:pPr>
              <w:spacing w:after="0" w:line="240" w:lineRule="auto"/>
              <w:jc w:val="center"/>
              <w:rPr>
                <w:rFonts w:eastAsia="Times New Roman" w:cs="Times New Roman"/>
                <w:szCs w:val="24"/>
                <w:lang w:eastAsia="lv-LV"/>
              </w:rPr>
            </w:pPr>
            <w:r w:rsidRPr="00585F58">
              <w:rPr>
                <w:rFonts w:eastAsia="Times New Roman" w:cs="Times New Roman"/>
                <w:szCs w:val="24"/>
                <w:lang w:eastAsia="lv-LV"/>
              </w:rPr>
              <w:t>189</w:t>
            </w:r>
          </w:p>
        </w:tc>
        <w:tc>
          <w:tcPr>
            <w:tcW w:w="1951" w:type="dxa"/>
            <w:tcBorders>
              <w:top w:val="nil"/>
              <w:left w:val="nil"/>
              <w:bottom w:val="single" w:sz="4" w:space="0" w:color="auto"/>
              <w:right w:val="single" w:sz="4" w:space="0" w:color="auto"/>
            </w:tcBorders>
            <w:shd w:val="clear" w:color="auto" w:fill="auto"/>
            <w:noWrap/>
            <w:vAlign w:val="bottom"/>
            <w:hideMark/>
          </w:tcPr>
          <w:p w:rsidR="0034407E" w:rsidRPr="00585F58" w:rsidRDefault="0034407E" w:rsidP="004550C3">
            <w:pPr>
              <w:spacing w:after="0" w:line="240" w:lineRule="auto"/>
              <w:jc w:val="center"/>
              <w:rPr>
                <w:rFonts w:eastAsia="Times New Roman" w:cs="Times New Roman"/>
                <w:szCs w:val="24"/>
                <w:lang w:eastAsia="lv-LV"/>
              </w:rPr>
            </w:pPr>
            <w:r w:rsidRPr="00585F58">
              <w:rPr>
                <w:rFonts w:eastAsia="Times New Roman" w:cs="Times New Roman"/>
                <w:szCs w:val="24"/>
                <w:lang w:eastAsia="lv-LV"/>
              </w:rPr>
              <w:t>0,21</w:t>
            </w:r>
          </w:p>
        </w:tc>
      </w:tr>
      <w:tr w:rsidR="00585F58" w:rsidRPr="00585F58" w:rsidTr="00BD7C94">
        <w:trPr>
          <w:trHeight w:val="31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07E" w:rsidRPr="00585F58" w:rsidRDefault="0034407E" w:rsidP="004550C3">
            <w:pPr>
              <w:spacing w:after="0" w:line="240" w:lineRule="auto"/>
              <w:jc w:val="center"/>
              <w:rPr>
                <w:rFonts w:eastAsia="Times New Roman" w:cs="Times New Roman"/>
                <w:bCs/>
                <w:i/>
                <w:szCs w:val="24"/>
                <w:lang w:eastAsia="lv-LV"/>
              </w:rPr>
            </w:pPr>
            <w:r w:rsidRPr="00585F58">
              <w:rPr>
                <w:rFonts w:eastAsia="Times New Roman" w:cs="Times New Roman"/>
                <w:bCs/>
                <w:i/>
                <w:szCs w:val="24"/>
                <w:lang w:eastAsia="lv-LV"/>
              </w:rPr>
              <w:t>2011</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34407E" w:rsidRPr="00585F58" w:rsidRDefault="0034407E" w:rsidP="004550C3">
            <w:pPr>
              <w:spacing w:after="0" w:line="240" w:lineRule="auto"/>
              <w:jc w:val="center"/>
              <w:rPr>
                <w:rFonts w:eastAsia="Times New Roman" w:cs="Times New Roman"/>
                <w:szCs w:val="24"/>
                <w:lang w:eastAsia="lv-LV"/>
              </w:rPr>
            </w:pPr>
            <w:r w:rsidRPr="00585F58">
              <w:rPr>
                <w:rFonts w:eastAsia="Times New Roman" w:cs="Times New Roman"/>
                <w:szCs w:val="24"/>
                <w:lang w:eastAsia="lv-LV"/>
              </w:rPr>
              <w:t>89 547</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34407E" w:rsidRPr="00585F58" w:rsidRDefault="0034407E" w:rsidP="004550C3">
            <w:pPr>
              <w:spacing w:after="0" w:line="240" w:lineRule="auto"/>
              <w:jc w:val="center"/>
              <w:rPr>
                <w:rFonts w:eastAsia="Times New Roman" w:cs="Times New Roman"/>
                <w:szCs w:val="24"/>
                <w:lang w:eastAsia="lv-LV"/>
              </w:rPr>
            </w:pPr>
            <w:r w:rsidRPr="00585F58">
              <w:rPr>
                <w:rFonts w:eastAsia="Times New Roman" w:cs="Times New Roman"/>
                <w:szCs w:val="24"/>
                <w:lang w:eastAsia="lv-LV"/>
              </w:rPr>
              <w:t>170</w:t>
            </w:r>
          </w:p>
        </w:tc>
        <w:tc>
          <w:tcPr>
            <w:tcW w:w="1951" w:type="dxa"/>
            <w:tcBorders>
              <w:top w:val="single" w:sz="4" w:space="0" w:color="auto"/>
              <w:left w:val="nil"/>
              <w:bottom w:val="single" w:sz="4" w:space="0" w:color="auto"/>
              <w:right w:val="single" w:sz="4" w:space="0" w:color="auto"/>
            </w:tcBorders>
            <w:shd w:val="clear" w:color="auto" w:fill="auto"/>
            <w:noWrap/>
            <w:vAlign w:val="bottom"/>
            <w:hideMark/>
          </w:tcPr>
          <w:p w:rsidR="0034407E" w:rsidRPr="00585F58" w:rsidRDefault="0034407E" w:rsidP="004550C3">
            <w:pPr>
              <w:spacing w:after="0" w:line="240" w:lineRule="auto"/>
              <w:jc w:val="center"/>
              <w:rPr>
                <w:rFonts w:eastAsia="Times New Roman" w:cs="Times New Roman"/>
                <w:szCs w:val="24"/>
                <w:lang w:eastAsia="lv-LV"/>
              </w:rPr>
            </w:pPr>
            <w:r w:rsidRPr="00585F58">
              <w:rPr>
                <w:rFonts w:eastAsia="Times New Roman" w:cs="Times New Roman"/>
                <w:szCs w:val="24"/>
                <w:lang w:eastAsia="lv-LV"/>
              </w:rPr>
              <w:t>0,19</w:t>
            </w:r>
          </w:p>
        </w:tc>
      </w:tr>
    </w:tbl>
    <w:p w:rsidR="0034407E" w:rsidRPr="00585F58" w:rsidRDefault="0034407E" w:rsidP="0034407E">
      <w:pPr>
        <w:pStyle w:val="ListParagraph"/>
        <w:spacing w:after="0" w:line="240" w:lineRule="auto"/>
        <w:jc w:val="both"/>
        <w:rPr>
          <w:rFonts w:cs="Times New Roman"/>
          <w:szCs w:val="24"/>
        </w:rPr>
      </w:pPr>
      <w:r w:rsidRPr="00585F58">
        <w:rPr>
          <w:rFonts w:cs="Times New Roman"/>
          <w:szCs w:val="24"/>
        </w:rPr>
        <w:t>Dati: Lietuvas Finanšu ministrija</w:t>
      </w:r>
    </w:p>
    <w:p w:rsidR="00874737" w:rsidRPr="00585F58" w:rsidRDefault="00874737" w:rsidP="005204B5">
      <w:pPr>
        <w:spacing w:after="0" w:line="240" w:lineRule="auto"/>
        <w:ind w:firstLine="709"/>
        <w:jc w:val="both"/>
        <w:rPr>
          <w:rFonts w:cs="Times New Roman"/>
          <w:szCs w:val="24"/>
        </w:rPr>
      </w:pPr>
    </w:p>
    <w:p w:rsidR="00E56AE5" w:rsidRPr="00585F58" w:rsidRDefault="00E56AE5" w:rsidP="005204B5">
      <w:pPr>
        <w:spacing w:after="0" w:line="240" w:lineRule="auto"/>
        <w:ind w:firstLine="709"/>
        <w:jc w:val="both"/>
        <w:rPr>
          <w:rFonts w:cs="Times New Roman"/>
          <w:szCs w:val="24"/>
        </w:rPr>
      </w:pPr>
      <w:r w:rsidRPr="00585F58">
        <w:rPr>
          <w:rFonts w:cs="Times New Roman"/>
          <w:szCs w:val="24"/>
        </w:rPr>
        <w:t>Līdz ar to, ņ</w:t>
      </w:r>
      <w:r w:rsidR="005204B5" w:rsidRPr="00585F58">
        <w:rPr>
          <w:rFonts w:cs="Times New Roman"/>
          <w:szCs w:val="24"/>
        </w:rPr>
        <w:t>emot vērā iepriekš minēto informāciju</w:t>
      </w:r>
      <w:r w:rsidR="00874737" w:rsidRPr="00585F58">
        <w:rPr>
          <w:rFonts w:cs="Times New Roman"/>
          <w:szCs w:val="24"/>
        </w:rPr>
        <w:t xml:space="preserve"> P&amp;A īpatsvars no IKP</w:t>
      </w:r>
      <w:r w:rsidRPr="00585F58">
        <w:rPr>
          <w:rFonts w:cs="Times New Roman"/>
          <w:szCs w:val="24"/>
        </w:rPr>
        <w:t xml:space="preserve"> </w:t>
      </w:r>
      <w:r w:rsidR="00935672">
        <w:rPr>
          <w:rFonts w:cs="Times New Roman"/>
          <w:szCs w:val="24"/>
        </w:rPr>
        <w:t>2011.gadā ir sasniedzis 0,92%</w:t>
      </w:r>
      <w:r w:rsidRPr="00585F58">
        <w:rPr>
          <w:rFonts w:cs="Times New Roman"/>
          <w:szCs w:val="24"/>
        </w:rPr>
        <w:t xml:space="preserve"> (</w:t>
      </w:r>
      <w:r w:rsidR="00783D11" w:rsidRPr="00585F58">
        <w:rPr>
          <w:rFonts w:cs="Times New Roman"/>
          <w:szCs w:val="24"/>
        </w:rPr>
        <w:t>5.tab.</w:t>
      </w:r>
      <w:r w:rsidRPr="00585F58">
        <w:rPr>
          <w:rFonts w:cs="Times New Roman"/>
          <w:szCs w:val="24"/>
        </w:rPr>
        <w:t>).</w:t>
      </w:r>
    </w:p>
    <w:p w:rsidR="00783D11" w:rsidRPr="00585F58" w:rsidRDefault="005204B5" w:rsidP="004A4335">
      <w:pPr>
        <w:spacing w:after="0" w:line="240" w:lineRule="auto"/>
        <w:ind w:firstLine="709"/>
        <w:jc w:val="both"/>
        <w:rPr>
          <w:rFonts w:cs="Times New Roman"/>
          <w:szCs w:val="24"/>
        </w:rPr>
      </w:pPr>
      <w:r w:rsidRPr="00585F58">
        <w:rPr>
          <w:rFonts w:cs="Times New Roman"/>
          <w:szCs w:val="24"/>
        </w:rPr>
        <w:t xml:space="preserve"> </w:t>
      </w:r>
    </w:p>
    <w:p w:rsidR="00E0054D" w:rsidRPr="00585F58" w:rsidRDefault="0034407E" w:rsidP="0034407E">
      <w:pPr>
        <w:spacing w:after="0" w:line="240" w:lineRule="auto"/>
        <w:ind w:firstLine="709"/>
        <w:rPr>
          <w:rFonts w:cs="Times New Roman"/>
          <w:b/>
          <w:szCs w:val="24"/>
        </w:rPr>
      </w:pPr>
      <w:r w:rsidRPr="00585F58">
        <w:rPr>
          <w:rFonts w:cs="Times New Roman"/>
          <w:b/>
          <w:szCs w:val="24"/>
        </w:rPr>
        <w:t>5</w:t>
      </w:r>
      <w:r w:rsidR="00225E7A" w:rsidRPr="00585F58">
        <w:rPr>
          <w:rFonts w:cs="Times New Roman"/>
          <w:b/>
          <w:szCs w:val="24"/>
        </w:rPr>
        <w:t xml:space="preserve">.tab. </w:t>
      </w:r>
      <w:r w:rsidR="00E0054D" w:rsidRPr="00585F58">
        <w:rPr>
          <w:rFonts w:cs="Times New Roman"/>
          <w:b/>
          <w:szCs w:val="24"/>
        </w:rPr>
        <w:t>Lietuvas sasniegtie mērķi</w:t>
      </w:r>
      <w:r w:rsidR="00E00686">
        <w:rPr>
          <w:rFonts w:cs="Times New Roman"/>
          <w:b/>
          <w:szCs w:val="24"/>
        </w:rPr>
        <w:t>,</w:t>
      </w:r>
      <w:r w:rsidR="00E0054D" w:rsidRPr="00585F58">
        <w:rPr>
          <w:rFonts w:cs="Times New Roman"/>
          <w:b/>
          <w:szCs w:val="24"/>
        </w:rPr>
        <w:t xml:space="preserve"> ieviešot </w:t>
      </w:r>
      <w:r w:rsidR="00E00686">
        <w:rPr>
          <w:rFonts w:cs="Times New Roman"/>
          <w:b/>
          <w:szCs w:val="24"/>
        </w:rPr>
        <w:t>P&amp;A</w:t>
      </w:r>
      <w:r w:rsidR="00E0054D" w:rsidRPr="00585F58">
        <w:rPr>
          <w:rFonts w:cs="Times New Roman"/>
          <w:b/>
          <w:szCs w:val="24"/>
        </w:rPr>
        <w:t xml:space="preserve"> nodokļa stimulu</w:t>
      </w:r>
    </w:p>
    <w:tbl>
      <w:tblPr>
        <w:tblStyle w:val="TableGrid"/>
        <w:tblW w:w="0" w:type="auto"/>
        <w:tblInd w:w="108" w:type="dxa"/>
        <w:tblLook w:val="04A0" w:firstRow="1" w:lastRow="0" w:firstColumn="1" w:lastColumn="0" w:noHBand="0" w:noVBand="1"/>
      </w:tblPr>
      <w:tblGrid>
        <w:gridCol w:w="1843"/>
        <w:gridCol w:w="709"/>
        <w:gridCol w:w="850"/>
        <w:gridCol w:w="851"/>
        <w:gridCol w:w="850"/>
        <w:gridCol w:w="851"/>
        <w:gridCol w:w="850"/>
        <w:gridCol w:w="851"/>
        <w:gridCol w:w="765"/>
      </w:tblGrid>
      <w:tr w:rsidR="00585F58" w:rsidRPr="00585F58" w:rsidTr="0034407E">
        <w:tc>
          <w:tcPr>
            <w:tcW w:w="1843" w:type="dxa"/>
          </w:tcPr>
          <w:p w:rsidR="00225E7A" w:rsidRPr="00585F58" w:rsidRDefault="00225E7A" w:rsidP="00225E7A">
            <w:pPr>
              <w:spacing w:line="360" w:lineRule="auto"/>
              <w:jc w:val="both"/>
              <w:rPr>
                <w:rFonts w:ascii="Times New Roman" w:hAnsi="Times New Roman" w:cs="Times New Roman"/>
                <w:b/>
                <w:sz w:val="24"/>
                <w:szCs w:val="24"/>
              </w:rPr>
            </w:pPr>
            <w:r w:rsidRPr="00585F58">
              <w:rPr>
                <w:rFonts w:ascii="Times New Roman" w:hAnsi="Times New Roman" w:cs="Times New Roman"/>
                <w:b/>
                <w:sz w:val="24"/>
                <w:szCs w:val="24"/>
              </w:rPr>
              <w:t>Gads</w:t>
            </w:r>
          </w:p>
        </w:tc>
        <w:tc>
          <w:tcPr>
            <w:tcW w:w="709" w:type="dxa"/>
            <w:vAlign w:val="center"/>
          </w:tcPr>
          <w:p w:rsidR="00225E7A" w:rsidRPr="00585F58" w:rsidRDefault="00225E7A" w:rsidP="00225E7A">
            <w:pPr>
              <w:spacing w:line="360" w:lineRule="auto"/>
              <w:jc w:val="center"/>
              <w:rPr>
                <w:rFonts w:ascii="Times New Roman" w:hAnsi="Times New Roman" w:cs="Times New Roman"/>
                <w:i/>
                <w:sz w:val="24"/>
                <w:szCs w:val="24"/>
              </w:rPr>
            </w:pPr>
            <w:r w:rsidRPr="00585F58">
              <w:rPr>
                <w:rFonts w:ascii="Times New Roman" w:hAnsi="Times New Roman" w:cs="Times New Roman"/>
                <w:i/>
                <w:sz w:val="24"/>
                <w:szCs w:val="24"/>
              </w:rPr>
              <w:t>2004</w:t>
            </w:r>
          </w:p>
        </w:tc>
        <w:tc>
          <w:tcPr>
            <w:tcW w:w="850" w:type="dxa"/>
            <w:vAlign w:val="center"/>
          </w:tcPr>
          <w:p w:rsidR="00225E7A" w:rsidRPr="00585F58" w:rsidRDefault="00225E7A" w:rsidP="00225E7A">
            <w:pPr>
              <w:spacing w:line="360" w:lineRule="auto"/>
              <w:jc w:val="center"/>
              <w:rPr>
                <w:rFonts w:ascii="Times New Roman" w:hAnsi="Times New Roman" w:cs="Times New Roman"/>
                <w:i/>
                <w:sz w:val="24"/>
                <w:szCs w:val="24"/>
              </w:rPr>
            </w:pPr>
            <w:r w:rsidRPr="00585F58">
              <w:rPr>
                <w:rFonts w:ascii="Times New Roman" w:hAnsi="Times New Roman" w:cs="Times New Roman"/>
                <w:i/>
                <w:sz w:val="24"/>
                <w:szCs w:val="24"/>
              </w:rPr>
              <w:t>2005</w:t>
            </w:r>
          </w:p>
        </w:tc>
        <w:tc>
          <w:tcPr>
            <w:tcW w:w="851" w:type="dxa"/>
            <w:vAlign w:val="center"/>
          </w:tcPr>
          <w:p w:rsidR="00225E7A" w:rsidRPr="00585F58" w:rsidRDefault="00225E7A" w:rsidP="00225E7A">
            <w:pPr>
              <w:spacing w:line="360" w:lineRule="auto"/>
              <w:jc w:val="center"/>
              <w:rPr>
                <w:rFonts w:ascii="Times New Roman" w:hAnsi="Times New Roman" w:cs="Times New Roman"/>
                <w:i/>
                <w:sz w:val="24"/>
                <w:szCs w:val="24"/>
              </w:rPr>
            </w:pPr>
            <w:r w:rsidRPr="00585F58">
              <w:rPr>
                <w:rFonts w:ascii="Times New Roman" w:hAnsi="Times New Roman" w:cs="Times New Roman"/>
                <w:i/>
                <w:sz w:val="24"/>
                <w:szCs w:val="24"/>
              </w:rPr>
              <w:t>2006</w:t>
            </w:r>
          </w:p>
        </w:tc>
        <w:tc>
          <w:tcPr>
            <w:tcW w:w="850" w:type="dxa"/>
            <w:vAlign w:val="center"/>
          </w:tcPr>
          <w:p w:rsidR="00225E7A" w:rsidRPr="00585F58" w:rsidRDefault="00225E7A" w:rsidP="00225E7A">
            <w:pPr>
              <w:spacing w:line="360" w:lineRule="auto"/>
              <w:jc w:val="center"/>
              <w:rPr>
                <w:rFonts w:ascii="Times New Roman" w:hAnsi="Times New Roman" w:cs="Times New Roman"/>
                <w:i/>
                <w:sz w:val="24"/>
                <w:szCs w:val="24"/>
              </w:rPr>
            </w:pPr>
            <w:r w:rsidRPr="00585F58">
              <w:rPr>
                <w:rFonts w:ascii="Times New Roman" w:hAnsi="Times New Roman" w:cs="Times New Roman"/>
                <w:i/>
                <w:sz w:val="24"/>
                <w:szCs w:val="24"/>
              </w:rPr>
              <w:t>2007</w:t>
            </w:r>
          </w:p>
        </w:tc>
        <w:tc>
          <w:tcPr>
            <w:tcW w:w="851" w:type="dxa"/>
            <w:vAlign w:val="center"/>
          </w:tcPr>
          <w:p w:rsidR="00225E7A" w:rsidRPr="00585F58" w:rsidRDefault="00225E7A" w:rsidP="00225E7A">
            <w:pPr>
              <w:spacing w:line="360" w:lineRule="auto"/>
              <w:jc w:val="center"/>
              <w:rPr>
                <w:rFonts w:ascii="Times New Roman" w:hAnsi="Times New Roman" w:cs="Times New Roman"/>
                <w:i/>
                <w:sz w:val="24"/>
                <w:szCs w:val="24"/>
              </w:rPr>
            </w:pPr>
            <w:r w:rsidRPr="00585F58">
              <w:rPr>
                <w:rFonts w:ascii="Times New Roman" w:hAnsi="Times New Roman" w:cs="Times New Roman"/>
                <w:i/>
                <w:sz w:val="24"/>
                <w:szCs w:val="24"/>
              </w:rPr>
              <w:t>2008</w:t>
            </w:r>
          </w:p>
        </w:tc>
        <w:tc>
          <w:tcPr>
            <w:tcW w:w="850" w:type="dxa"/>
            <w:vAlign w:val="center"/>
          </w:tcPr>
          <w:p w:rsidR="00225E7A" w:rsidRPr="00585F58" w:rsidRDefault="00225E7A" w:rsidP="00225E7A">
            <w:pPr>
              <w:spacing w:line="360" w:lineRule="auto"/>
              <w:jc w:val="center"/>
              <w:rPr>
                <w:rFonts w:ascii="Times New Roman" w:hAnsi="Times New Roman" w:cs="Times New Roman"/>
                <w:i/>
                <w:sz w:val="24"/>
                <w:szCs w:val="24"/>
              </w:rPr>
            </w:pPr>
            <w:r w:rsidRPr="00585F58">
              <w:rPr>
                <w:rFonts w:ascii="Times New Roman" w:hAnsi="Times New Roman" w:cs="Times New Roman"/>
                <w:i/>
                <w:sz w:val="24"/>
                <w:szCs w:val="24"/>
              </w:rPr>
              <w:t>2009</w:t>
            </w:r>
          </w:p>
        </w:tc>
        <w:tc>
          <w:tcPr>
            <w:tcW w:w="851" w:type="dxa"/>
            <w:vAlign w:val="center"/>
          </w:tcPr>
          <w:p w:rsidR="00225E7A" w:rsidRPr="00585F58" w:rsidRDefault="00225E7A" w:rsidP="00225E7A">
            <w:pPr>
              <w:spacing w:line="360" w:lineRule="auto"/>
              <w:jc w:val="center"/>
              <w:rPr>
                <w:rFonts w:ascii="Times New Roman" w:hAnsi="Times New Roman" w:cs="Times New Roman"/>
                <w:i/>
                <w:sz w:val="24"/>
                <w:szCs w:val="24"/>
              </w:rPr>
            </w:pPr>
            <w:r w:rsidRPr="00585F58">
              <w:rPr>
                <w:rFonts w:ascii="Times New Roman" w:hAnsi="Times New Roman" w:cs="Times New Roman"/>
                <w:i/>
                <w:sz w:val="24"/>
                <w:szCs w:val="24"/>
              </w:rPr>
              <w:t>2010</w:t>
            </w:r>
          </w:p>
        </w:tc>
        <w:tc>
          <w:tcPr>
            <w:tcW w:w="765" w:type="dxa"/>
            <w:vAlign w:val="center"/>
          </w:tcPr>
          <w:p w:rsidR="00225E7A" w:rsidRPr="00585F58" w:rsidRDefault="00225E7A" w:rsidP="00225E7A">
            <w:pPr>
              <w:spacing w:line="360" w:lineRule="auto"/>
              <w:jc w:val="center"/>
              <w:rPr>
                <w:rFonts w:ascii="Times New Roman" w:hAnsi="Times New Roman" w:cs="Times New Roman"/>
                <w:i/>
                <w:sz w:val="24"/>
                <w:szCs w:val="24"/>
              </w:rPr>
            </w:pPr>
            <w:r w:rsidRPr="00585F58">
              <w:rPr>
                <w:rFonts w:ascii="Times New Roman" w:hAnsi="Times New Roman" w:cs="Times New Roman"/>
                <w:i/>
                <w:sz w:val="24"/>
                <w:szCs w:val="24"/>
              </w:rPr>
              <w:t>2011</w:t>
            </w:r>
          </w:p>
        </w:tc>
      </w:tr>
      <w:tr w:rsidR="00585F58" w:rsidRPr="00585F58" w:rsidTr="0034407E">
        <w:tc>
          <w:tcPr>
            <w:tcW w:w="1843" w:type="dxa"/>
          </w:tcPr>
          <w:p w:rsidR="00225E7A" w:rsidRPr="00585F58" w:rsidRDefault="00225E7A" w:rsidP="00225E7A">
            <w:pPr>
              <w:spacing w:line="360" w:lineRule="auto"/>
              <w:jc w:val="both"/>
              <w:rPr>
                <w:rFonts w:ascii="Times New Roman" w:hAnsi="Times New Roman" w:cs="Times New Roman"/>
                <w:b/>
                <w:sz w:val="24"/>
                <w:szCs w:val="24"/>
              </w:rPr>
            </w:pPr>
            <w:r w:rsidRPr="00585F58">
              <w:rPr>
                <w:rFonts w:ascii="Times New Roman" w:hAnsi="Times New Roman" w:cs="Times New Roman"/>
                <w:b/>
                <w:sz w:val="24"/>
                <w:szCs w:val="24"/>
              </w:rPr>
              <w:t>P&amp;A % no IKP</w:t>
            </w:r>
          </w:p>
        </w:tc>
        <w:tc>
          <w:tcPr>
            <w:tcW w:w="709" w:type="dxa"/>
            <w:vAlign w:val="center"/>
          </w:tcPr>
          <w:p w:rsidR="00225E7A" w:rsidRPr="00585F58" w:rsidRDefault="00225E7A" w:rsidP="00225E7A">
            <w:pPr>
              <w:spacing w:line="360" w:lineRule="auto"/>
              <w:jc w:val="center"/>
              <w:rPr>
                <w:rFonts w:ascii="Times New Roman" w:hAnsi="Times New Roman" w:cs="Times New Roman"/>
                <w:sz w:val="24"/>
                <w:szCs w:val="24"/>
              </w:rPr>
            </w:pPr>
            <w:r w:rsidRPr="00585F58">
              <w:rPr>
                <w:rFonts w:ascii="Times New Roman" w:hAnsi="Times New Roman" w:cs="Times New Roman"/>
                <w:sz w:val="24"/>
                <w:szCs w:val="24"/>
              </w:rPr>
              <w:t>0,75</w:t>
            </w:r>
          </w:p>
        </w:tc>
        <w:tc>
          <w:tcPr>
            <w:tcW w:w="850" w:type="dxa"/>
            <w:vAlign w:val="center"/>
          </w:tcPr>
          <w:p w:rsidR="00225E7A" w:rsidRPr="00585F58" w:rsidRDefault="00225E7A" w:rsidP="00225E7A">
            <w:pPr>
              <w:spacing w:line="360" w:lineRule="auto"/>
              <w:jc w:val="center"/>
              <w:rPr>
                <w:rFonts w:ascii="Times New Roman" w:hAnsi="Times New Roman" w:cs="Times New Roman"/>
                <w:sz w:val="24"/>
                <w:szCs w:val="24"/>
              </w:rPr>
            </w:pPr>
            <w:r w:rsidRPr="00585F58">
              <w:rPr>
                <w:rFonts w:ascii="Times New Roman" w:hAnsi="Times New Roman" w:cs="Times New Roman"/>
                <w:sz w:val="24"/>
                <w:szCs w:val="24"/>
              </w:rPr>
              <w:t>0,75</w:t>
            </w:r>
          </w:p>
        </w:tc>
        <w:tc>
          <w:tcPr>
            <w:tcW w:w="851" w:type="dxa"/>
            <w:vAlign w:val="center"/>
          </w:tcPr>
          <w:p w:rsidR="00225E7A" w:rsidRPr="00585F58" w:rsidRDefault="00225E7A" w:rsidP="00225E7A">
            <w:pPr>
              <w:spacing w:line="360" w:lineRule="auto"/>
              <w:jc w:val="center"/>
              <w:rPr>
                <w:rFonts w:ascii="Times New Roman" w:hAnsi="Times New Roman" w:cs="Times New Roman"/>
                <w:sz w:val="24"/>
                <w:szCs w:val="24"/>
              </w:rPr>
            </w:pPr>
            <w:r w:rsidRPr="00585F58">
              <w:rPr>
                <w:rFonts w:ascii="Times New Roman" w:hAnsi="Times New Roman" w:cs="Times New Roman"/>
                <w:sz w:val="24"/>
                <w:szCs w:val="24"/>
              </w:rPr>
              <w:t>0,79</w:t>
            </w:r>
          </w:p>
        </w:tc>
        <w:tc>
          <w:tcPr>
            <w:tcW w:w="850" w:type="dxa"/>
            <w:vAlign w:val="center"/>
          </w:tcPr>
          <w:p w:rsidR="00225E7A" w:rsidRPr="00585F58" w:rsidRDefault="00225E7A" w:rsidP="00225E7A">
            <w:pPr>
              <w:spacing w:line="360" w:lineRule="auto"/>
              <w:jc w:val="center"/>
              <w:rPr>
                <w:rFonts w:ascii="Times New Roman" w:hAnsi="Times New Roman" w:cs="Times New Roman"/>
                <w:sz w:val="24"/>
                <w:szCs w:val="24"/>
              </w:rPr>
            </w:pPr>
            <w:r w:rsidRPr="00585F58">
              <w:rPr>
                <w:rFonts w:ascii="Times New Roman" w:hAnsi="Times New Roman" w:cs="Times New Roman"/>
                <w:sz w:val="24"/>
                <w:szCs w:val="24"/>
              </w:rPr>
              <w:t>0,81</w:t>
            </w:r>
          </w:p>
        </w:tc>
        <w:tc>
          <w:tcPr>
            <w:tcW w:w="851" w:type="dxa"/>
            <w:vAlign w:val="center"/>
          </w:tcPr>
          <w:p w:rsidR="00225E7A" w:rsidRPr="00585F58" w:rsidRDefault="00225E7A" w:rsidP="00225E7A">
            <w:pPr>
              <w:spacing w:line="360" w:lineRule="auto"/>
              <w:jc w:val="center"/>
              <w:rPr>
                <w:rFonts w:ascii="Times New Roman" w:hAnsi="Times New Roman" w:cs="Times New Roman"/>
                <w:sz w:val="24"/>
                <w:szCs w:val="24"/>
              </w:rPr>
            </w:pPr>
            <w:r w:rsidRPr="00585F58">
              <w:rPr>
                <w:rFonts w:ascii="Times New Roman" w:hAnsi="Times New Roman" w:cs="Times New Roman"/>
                <w:sz w:val="24"/>
                <w:szCs w:val="24"/>
              </w:rPr>
              <w:t>0,79</w:t>
            </w:r>
          </w:p>
        </w:tc>
        <w:tc>
          <w:tcPr>
            <w:tcW w:w="850" w:type="dxa"/>
            <w:vAlign w:val="center"/>
          </w:tcPr>
          <w:p w:rsidR="00225E7A" w:rsidRPr="00585F58" w:rsidRDefault="00225E7A" w:rsidP="00225E7A">
            <w:pPr>
              <w:spacing w:line="360" w:lineRule="auto"/>
              <w:jc w:val="center"/>
              <w:rPr>
                <w:rFonts w:ascii="Times New Roman" w:hAnsi="Times New Roman" w:cs="Times New Roman"/>
                <w:sz w:val="24"/>
                <w:szCs w:val="24"/>
              </w:rPr>
            </w:pPr>
            <w:r w:rsidRPr="00585F58">
              <w:rPr>
                <w:rFonts w:ascii="Times New Roman" w:hAnsi="Times New Roman" w:cs="Times New Roman"/>
                <w:sz w:val="24"/>
                <w:szCs w:val="24"/>
              </w:rPr>
              <w:t>0,84</w:t>
            </w:r>
          </w:p>
        </w:tc>
        <w:tc>
          <w:tcPr>
            <w:tcW w:w="851" w:type="dxa"/>
            <w:vAlign w:val="center"/>
          </w:tcPr>
          <w:p w:rsidR="00225E7A" w:rsidRPr="00585F58" w:rsidRDefault="00225E7A" w:rsidP="00225E7A">
            <w:pPr>
              <w:spacing w:line="360" w:lineRule="auto"/>
              <w:jc w:val="center"/>
              <w:rPr>
                <w:rFonts w:ascii="Times New Roman" w:hAnsi="Times New Roman" w:cs="Times New Roman"/>
                <w:sz w:val="24"/>
                <w:szCs w:val="24"/>
              </w:rPr>
            </w:pPr>
            <w:r w:rsidRPr="00585F58">
              <w:rPr>
                <w:rFonts w:ascii="Times New Roman" w:hAnsi="Times New Roman" w:cs="Times New Roman"/>
                <w:sz w:val="24"/>
                <w:szCs w:val="24"/>
              </w:rPr>
              <w:t>0,80</w:t>
            </w:r>
          </w:p>
        </w:tc>
        <w:tc>
          <w:tcPr>
            <w:tcW w:w="765" w:type="dxa"/>
            <w:vAlign w:val="center"/>
          </w:tcPr>
          <w:p w:rsidR="00225E7A" w:rsidRPr="00585F58" w:rsidRDefault="00225E7A" w:rsidP="00225E7A">
            <w:pPr>
              <w:spacing w:line="360" w:lineRule="auto"/>
              <w:jc w:val="center"/>
              <w:rPr>
                <w:rFonts w:ascii="Times New Roman" w:hAnsi="Times New Roman" w:cs="Times New Roman"/>
                <w:sz w:val="24"/>
                <w:szCs w:val="24"/>
              </w:rPr>
            </w:pPr>
            <w:r w:rsidRPr="00585F58">
              <w:rPr>
                <w:rFonts w:ascii="Times New Roman" w:hAnsi="Times New Roman" w:cs="Times New Roman"/>
                <w:sz w:val="24"/>
                <w:szCs w:val="24"/>
              </w:rPr>
              <w:t>0,92</w:t>
            </w:r>
          </w:p>
        </w:tc>
      </w:tr>
    </w:tbl>
    <w:p w:rsidR="00E0054D" w:rsidRPr="00585F58" w:rsidRDefault="00E0054D" w:rsidP="00225E7A">
      <w:pPr>
        <w:spacing w:after="0" w:line="240" w:lineRule="auto"/>
        <w:jc w:val="both"/>
        <w:rPr>
          <w:rFonts w:cs="Times New Roman"/>
          <w:szCs w:val="24"/>
        </w:rPr>
      </w:pPr>
      <w:r w:rsidRPr="00585F58">
        <w:rPr>
          <w:rFonts w:cs="Times New Roman"/>
          <w:szCs w:val="24"/>
        </w:rPr>
        <w:t>Dati: Lietuvas Finanšu ministrija</w:t>
      </w:r>
    </w:p>
    <w:p w:rsidR="00C97978" w:rsidRPr="00585F58" w:rsidRDefault="00C97978" w:rsidP="00C97978">
      <w:pPr>
        <w:spacing w:after="0" w:line="240" w:lineRule="auto"/>
        <w:ind w:firstLine="709"/>
        <w:contextualSpacing/>
        <w:jc w:val="both"/>
        <w:rPr>
          <w:rFonts w:cs="Times New Roman"/>
          <w:b/>
          <w:szCs w:val="24"/>
          <w:u w:val="single"/>
        </w:rPr>
      </w:pPr>
    </w:p>
    <w:p w:rsidR="00515B2A" w:rsidRPr="00585F58" w:rsidRDefault="00C97978" w:rsidP="00C97978">
      <w:pPr>
        <w:spacing w:after="0" w:line="240" w:lineRule="auto"/>
        <w:ind w:firstLine="709"/>
        <w:contextualSpacing/>
        <w:jc w:val="both"/>
        <w:rPr>
          <w:rFonts w:cs="Times New Roman"/>
          <w:b/>
          <w:szCs w:val="24"/>
          <w:u w:val="single"/>
        </w:rPr>
      </w:pPr>
      <w:r w:rsidRPr="00585F58">
        <w:rPr>
          <w:rFonts w:cs="Times New Roman"/>
          <w:b/>
          <w:szCs w:val="24"/>
          <w:u w:val="single"/>
        </w:rPr>
        <w:t>Čehija</w:t>
      </w:r>
    </w:p>
    <w:p w:rsidR="00515B2A" w:rsidRPr="00585F58" w:rsidRDefault="00515B2A" w:rsidP="00515B2A">
      <w:pPr>
        <w:spacing w:after="0" w:line="240" w:lineRule="auto"/>
        <w:ind w:firstLine="709"/>
        <w:jc w:val="both"/>
        <w:rPr>
          <w:rFonts w:cs="Times New Roman"/>
          <w:szCs w:val="24"/>
        </w:rPr>
      </w:pPr>
      <w:r w:rsidRPr="00585F58">
        <w:rPr>
          <w:rFonts w:cs="Times New Roman"/>
          <w:szCs w:val="24"/>
        </w:rPr>
        <w:t>UIN atvieglojums ieguldījumu veicināšanai P&amp;A ieviests 2006.gadā, ļaujot uzņēmumiem, aprēķinot ar UIN apliekamo ienākumu, norakstīt noteikta veida P&amp;A izmaksas divkāršā apmērā.</w:t>
      </w:r>
    </w:p>
    <w:p w:rsidR="00515B2A" w:rsidRPr="00585F58" w:rsidRDefault="00515B2A" w:rsidP="00515B2A">
      <w:pPr>
        <w:spacing w:after="0" w:line="240" w:lineRule="auto"/>
        <w:ind w:firstLine="709"/>
        <w:jc w:val="both"/>
        <w:rPr>
          <w:rFonts w:cs="Times New Roman"/>
          <w:szCs w:val="24"/>
        </w:rPr>
      </w:pPr>
      <w:r w:rsidRPr="00585F58">
        <w:rPr>
          <w:rFonts w:cs="Times New Roman"/>
          <w:szCs w:val="24"/>
        </w:rPr>
        <w:lastRenderedPageBreak/>
        <w:t>Līdzīgi kā Lietuvā P&amp;A aktivitātes ietver fundamentālos pētījumus, lietišķos pētījumus un eksperimentālo izstrādi. Galvenās P&amp;A attiecināmās izmaksas, kas kvalificējas UIN atvieglojumam, ir darba algas, materiālo un nemateriā</w:t>
      </w:r>
      <w:r w:rsidR="009576B7" w:rsidRPr="00585F58">
        <w:rPr>
          <w:rFonts w:cs="Times New Roman"/>
          <w:szCs w:val="24"/>
        </w:rPr>
        <w:t>lo aktīvu nolietojums, kas tieši</w:t>
      </w:r>
      <w:r w:rsidRPr="00585F58">
        <w:rPr>
          <w:rFonts w:cs="Times New Roman"/>
          <w:szCs w:val="24"/>
        </w:rPr>
        <w:t xml:space="preserve"> saistīts ar P&amp;A projektu, mērījumu un testēšanas pakalpojumu izmaksas, materiālu izmaksas, kā arī citas saimnieciskās darbības izmaksas, kas radušās saistībā ar P&amp;A projektu (piemēram, komunālie pakalpojumi, inventāra iegādes un nomas izmaksas, komandējumu izmaksas, sertifikācijas izdevumi </w:t>
      </w:r>
      <w:proofErr w:type="spellStart"/>
      <w:r w:rsidRPr="00585F58">
        <w:rPr>
          <w:rFonts w:cs="Times New Roman"/>
          <w:szCs w:val="24"/>
        </w:rPr>
        <w:t>u.c</w:t>
      </w:r>
      <w:proofErr w:type="spellEnd"/>
      <w:r w:rsidRPr="00585F58">
        <w:rPr>
          <w:rFonts w:cs="Times New Roman"/>
          <w:szCs w:val="24"/>
        </w:rPr>
        <w:t>.). Ārpakalpojumi, izņemot mērījumus un testēšanu, nekvalificējas nodokļu atvieglojumiem. Nākotnē tiek plānots nodokļu atvieglojumus attiecināt arī uz universitāšu un zinātnisko institūtu sniegtajiem pakalpojumiem.</w:t>
      </w:r>
    </w:p>
    <w:p w:rsidR="00515B2A" w:rsidRPr="00585F58" w:rsidRDefault="00515B2A" w:rsidP="00515B2A">
      <w:pPr>
        <w:spacing w:after="0" w:line="240" w:lineRule="auto"/>
        <w:ind w:firstLine="709"/>
        <w:jc w:val="both"/>
        <w:rPr>
          <w:rFonts w:cs="Times New Roman"/>
          <w:szCs w:val="24"/>
        </w:rPr>
      </w:pPr>
      <w:r w:rsidRPr="00585F58">
        <w:rPr>
          <w:rFonts w:cs="Times New Roman"/>
          <w:szCs w:val="24"/>
        </w:rPr>
        <w:t xml:space="preserve">P&amp;A darba identificēšanai tiek izmantota </w:t>
      </w:r>
      <w:proofErr w:type="spellStart"/>
      <w:r w:rsidRPr="00585F58">
        <w:rPr>
          <w:rFonts w:cs="Times New Roman"/>
          <w:szCs w:val="24"/>
        </w:rPr>
        <w:t>Frascati</w:t>
      </w:r>
      <w:proofErr w:type="spellEnd"/>
      <w:r w:rsidRPr="00585F58">
        <w:rPr>
          <w:rFonts w:cs="Times New Roman"/>
          <w:szCs w:val="24"/>
        </w:rPr>
        <w:t xml:space="preserve"> rokasgrāmata. Vienlaikus Čehijā ir noteikti papildus kritēriji, kas palīdz uzņēmumam un nodokļu administrācijai izvērtēt, vai uzņēmuma darbība atbilst P&amp;A, piemēram:</w:t>
      </w:r>
    </w:p>
    <w:p w:rsidR="00515B2A" w:rsidRPr="00585F58" w:rsidRDefault="00515B2A" w:rsidP="001327C6">
      <w:pPr>
        <w:numPr>
          <w:ilvl w:val="0"/>
          <w:numId w:val="16"/>
        </w:numPr>
        <w:spacing w:after="0" w:line="240" w:lineRule="auto"/>
        <w:ind w:left="851"/>
        <w:contextualSpacing/>
        <w:jc w:val="both"/>
        <w:rPr>
          <w:rFonts w:cs="Times New Roman"/>
          <w:szCs w:val="24"/>
        </w:rPr>
      </w:pPr>
      <w:r w:rsidRPr="00585F58">
        <w:rPr>
          <w:rFonts w:cs="Times New Roman"/>
          <w:szCs w:val="24"/>
        </w:rPr>
        <w:t>projekta mērķis (vai ir noteikts mērķis un to ir iespējams novērtēt pēc projekta īstenošanas);</w:t>
      </w:r>
    </w:p>
    <w:p w:rsidR="00515B2A" w:rsidRPr="00585F58" w:rsidRDefault="00515B2A" w:rsidP="001327C6">
      <w:pPr>
        <w:numPr>
          <w:ilvl w:val="0"/>
          <w:numId w:val="16"/>
        </w:numPr>
        <w:spacing w:after="0" w:line="240" w:lineRule="auto"/>
        <w:ind w:left="851"/>
        <w:contextualSpacing/>
        <w:jc w:val="both"/>
        <w:rPr>
          <w:rFonts w:cs="Times New Roman"/>
          <w:szCs w:val="24"/>
        </w:rPr>
      </w:pPr>
      <w:r w:rsidRPr="00585F58">
        <w:rPr>
          <w:rFonts w:cs="Times New Roman"/>
          <w:szCs w:val="24"/>
        </w:rPr>
        <w:t>projekta jaunrades un novitātes elements;</w:t>
      </w:r>
    </w:p>
    <w:p w:rsidR="00515B2A" w:rsidRPr="00585F58" w:rsidRDefault="00515B2A" w:rsidP="001327C6">
      <w:pPr>
        <w:numPr>
          <w:ilvl w:val="0"/>
          <w:numId w:val="16"/>
        </w:numPr>
        <w:spacing w:after="0" w:line="240" w:lineRule="auto"/>
        <w:ind w:left="851"/>
        <w:contextualSpacing/>
        <w:jc w:val="both"/>
        <w:rPr>
          <w:rFonts w:cs="Times New Roman"/>
          <w:szCs w:val="24"/>
        </w:rPr>
      </w:pPr>
      <w:r w:rsidRPr="00585F58">
        <w:rPr>
          <w:rFonts w:cs="Times New Roman"/>
          <w:szCs w:val="24"/>
        </w:rPr>
        <w:t>tehnoloģiskās neskaidrības noteikšana;</w:t>
      </w:r>
    </w:p>
    <w:p w:rsidR="00515B2A" w:rsidRPr="00585F58" w:rsidRDefault="00515B2A" w:rsidP="001327C6">
      <w:pPr>
        <w:numPr>
          <w:ilvl w:val="0"/>
          <w:numId w:val="16"/>
        </w:numPr>
        <w:spacing w:after="0" w:line="240" w:lineRule="auto"/>
        <w:ind w:left="851"/>
        <w:contextualSpacing/>
        <w:jc w:val="both"/>
        <w:rPr>
          <w:rFonts w:cs="Times New Roman"/>
          <w:szCs w:val="24"/>
        </w:rPr>
      </w:pPr>
      <w:r w:rsidRPr="00585F58">
        <w:rPr>
          <w:rFonts w:cs="Times New Roman"/>
          <w:szCs w:val="24"/>
        </w:rPr>
        <w:t>sagaidāmais rezultāts ir dziļāka izpratne par parādībām, principiem, jauns vai uzlabots produkts, pakalpojums, process vai tehnoloģija, kas ir nozīmīgs arī ārpus uzņēmuma;</w:t>
      </w:r>
    </w:p>
    <w:p w:rsidR="00515B2A" w:rsidRPr="00585F58" w:rsidRDefault="00515B2A" w:rsidP="001327C6">
      <w:pPr>
        <w:numPr>
          <w:ilvl w:val="0"/>
          <w:numId w:val="16"/>
        </w:numPr>
        <w:spacing w:after="0" w:line="240" w:lineRule="auto"/>
        <w:ind w:left="851"/>
        <w:contextualSpacing/>
        <w:jc w:val="both"/>
        <w:rPr>
          <w:rFonts w:cs="Times New Roman"/>
          <w:szCs w:val="24"/>
        </w:rPr>
      </w:pPr>
      <w:r w:rsidRPr="00585F58">
        <w:rPr>
          <w:rFonts w:cs="Times New Roman"/>
          <w:szCs w:val="24"/>
        </w:rPr>
        <w:t xml:space="preserve">paredzams, ka P&amp;A darba rezultātā varētu rasties patents, licence, reģistrēta preču zīme </w:t>
      </w:r>
      <w:proofErr w:type="spellStart"/>
      <w:r w:rsidRPr="00585F58">
        <w:rPr>
          <w:rFonts w:cs="Times New Roman"/>
          <w:szCs w:val="24"/>
        </w:rPr>
        <w:t>u.c</w:t>
      </w:r>
      <w:proofErr w:type="spellEnd"/>
      <w:r w:rsidRPr="00585F58">
        <w:rPr>
          <w:rFonts w:cs="Times New Roman"/>
          <w:szCs w:val="24"/>
        </w:rPr>
        <w:t>. (nav obligāti piemērojams nosacījums);</w:t>
      </w:r>
    </w:p>
    <w:p w:rsidR="00515B2A" w:rsidRPr="00585F58" w:rsidRDefault="00515B2A" w:rsidP="001327C6">
      <w:pPr>
        <w:numPr>
          <w:ilvl w:val="0"/>
          <w:numId w:val="16"/>
        </w:numPr>
        <w:spacing w:after="0" w:line="240" w:lineRule="auto"/>
        <w:ind w:left="851"/>
        <w:contextualSpacing/>
        <w:jc w:val="both"/>
        <w:rPr>
          <w:rFonts w:cs="Times New Roman"/>
          <w:szCs w:val="24"/>
        </w:rPr>
      </w:pPr>
      <w:r w:rsidRPr="00585F58">
        <w:rPr>
          <w:rFonts w:cs="Times New Roman"/>
          <w:szCs w:val="24"/>
        </w:rPr>
        <w:t>P&amp;A darbā iesaistītā personāla kvalifikācijas atbilstība;</w:t>
      </w:r>
    </w:p>
    <w:p w:rsidR="00515B2A" w:rsidRPr="00585F58" w:rsidRDefault="009576B7" w:rsidP="001327C6">
      <w:pPr>
        <w:numPr>
          <w:ilvl w:val="0"/>
          <w:numId w:val="16"/>
        </w:numPr>
        <w:spacing w:after="120" w:line="240" w:lineRule="auto"/>
        <w:ind w:left="850" w:hanging="357"/>
        <w:contextualSpacing/>
        <w:jc w:val="both"/>
        <w:rPr>
          <w:rFonts w:cs="Times New Roman"/>
          <w:szCs w:val="24"/>
        </w:rPr>
      </w:pPr>
      <w:r w:rsidRPr="00585F58">
        <w:rPr>
          <w:rFonts w:cs="Times New Roman"/>
          <w:szCs w:val="24"/>
        </w:rPr>
        <w:t>i</w:t>
      </w:r>
      <w:r w:rsidR="00515B2A" w:rsidRPr="00585F58">
        <w:rPr>
          <w:rFonts w:cs="Times New Roman"/>
          <w:szCs w:val="24"/>
        </w:rPr>
        <w:t>zmantotās metodes.</w:t>
      </w:r>
    </w:p>
    <w:p w:rsidR="00515B2A" w:rsidRPr="00585F58" w:rsidRDefault="00515B2A" w:rsidP="00515B2A">
      <w:pPr>
        <w:spacing w:after="0" w:line="240" w:lineRule="auto"/>
        <w:ind w:firstLine="709"/>
        <w:jc w:val="both"/>
        <w:rPr>
          <w:rFonts w:cs="Times New Roman"/>
          <w:szCs w:val="24"/>
        </w:rPr>
      </w:pPr>
      <w:r w:rsidRPr="00585F58">
        <w:rPr>
          <w:rFonts w:cs="Times New Roman"/>
          <w:szCs w:val="24"/>
        </w:rPr>
        <w:t xml:space="preserve">Uzņēmumam nav jānodrošina visu minēto kritēriju </w:t>
      </w:r>
      <w:r w:rsidR="009576B7" w:rsidRPr="00585F58">
        <w:rPr>
          <w:rFonts w:cs="Times New Roman"/>
          <w:szCs w:val="24"/>
        </w:rPr>
        <w:t>atbilstība, lai noteiktu, ka tā</w:t>
      </w:r>
      <w:r w:rsidRPr="00585F58">
        <w:rPr>
          <w:rFonts w:cs="Times New Roman"/>
          <w:szCs w:val="24"/>
        </w:rPr>
        <w:t xml:space="preserve"> darbība ir P&amp;A. Jaunrades un tehnoloģiskās neskaidrības elements var tikt pamatots arī ar pierādījumiem, ka risinājums uzņēmumam projekta laikā nav bijis zināms vai nav bijis pieejams (piemēram, ekonomisku apsvērumu dēļ).</w:t>
      </w:r>
    </w:p>
    <w:p w:rsidR="00515B2A" w:rsidRPr="00585F58" w:rsidRDefault="00515B2A" w:rsidP="00515B2A">
      <w:pPr>
        <w:spacing w:after="0" w:line="240" w:lineRule="auto"/>
        <w:ind w:firstLine="709"/>
        <w:jc w:val="both"/>
        <w:rPr>
          <w:rFonts w:cs="Times New Roman"/>
          <w:szCs w:val="24"/>
        </w:rPr>
      </w:pPr>
      <w:r w:rsidRPr="00585F58">
        <w:rPr>
          <w:rFonts w:cs="Times New Roman"/>
          <w:szCs w:val="24"/>
        </w:rPr>
        <w:t>Pirms projekta uzsākšanas uzņēmumam ir jāsagatavo vispārīgs projekta apraksts, kā arī jānodrošina P&amp;A iedalīšana projektos un tāda grāmatvedības uzskaite, kas ļauj viegli un caurskatāmi pārliecināties par UIN atvieglojuma pareizu piemērošanu. Projekta apraksts ir iekšējs dokuments, kurš pirms projekta uzsākšanas nav jāiesniedz valsts iestādēm. Projekta apraksts ietver projekta mērķu aprakstu, projekta laika grafiku un posmus, projekta īstenošanai nepieciešamā personāla aprakstu, projekta administrēšanas aprakstu, kā arī projekta budžeta aprakstu.</w:t>
      </w:r>
    </w:p>
    <w:p w:rsidR="00783D11" w:rsidRDefault="00515B2A" w:rsidP="004A4335">
      <w:pPr>
        <w:spacing w:after="0" w:line="240" w:lineRule="auto"/>
        <w:ind w:firstLine="709"/>
        <w:jc w:val="both"/>
        <w:rPr>
          <w:rFonts w:cs="Times New Roman"/>
          <w:szCs w:val="24"/>
        </w:rPr>
      </w:pPr>
      <w:r w:rsidRPr="00585F58">
        <w:rPr>
          <w:rFonts w:cs="Times New Roman"/>
          <w:szCs w:val="24"/>
        </w:rPr>
        <w:t>Strīdīgos gadījumos uzņēmums ir tiesības sagatavot pieteikumu, lai saņemtu saistošu lēmumu par P&amp;A izmaksu attiecināšanu.</w:t>
      </w:r>
    </w:p>
    <w:p w:rsidR="00C37660" w:rsidRPr="00585F58" w:rsidRDefault="00C37660" w:rsidP="004A4335">
      <w:pPr>
        <w:spacing w:after="0" w:line="240" w:lineRule="auto"/>
        <w:ind w:firstLine="709"/>
        <w:jc w:val="both"/>
        <w:rPr>
          <w:rFonts w:cs="Times New Roman"/>
          <w:szCs w:val="24"/>
        </w:rPr>
      </w:pPr>
    </w:p>
    <w:p w:rsidR="00515B2A" w:rsidRPr="00585F58" w:rsidRDefault="00515B2A" w:rsidP="00C97978">
      <w:pPr>
        <w:spacing w:after="0" w:line="240" w:lineRule="auto"/>
        <w:ind w:firstLine="709"/>
        <w:contextualSpacing/>
        <w:jc w:val="both"/>
        <w:rPr>
          <w:rFonts w:cs="Times New Roman"/>
          <w:b/>
          <w:szCs w:val="24"/>
          <w:u w:val="single"/>
        </w:rPr>
      </w:pPr>
      <w:r w:rsidRPr="00585F58">
        <w:rPr>
          <w:rFonts w:cs="Times New Roman"/>
          <w:b/>
          <w:szCs w:val="24"/>
          <w:u w:val="single"/>
        </w:rPr>
        <w:t>Ungārija</w:t>
      </w:r>
    </w:p>
    <w:p w:rsidR="00515B2A" w:rsidRPr="00585F58" w:rsidRDefault="00515B2A" w:rsidP="00515B2A">
      <w:pPr>
        <w:spacing w:after="0" w:line="240" w:lineRule="auto"/>
        <w:ind w:firstLine="709"/>
        <w:jc w:val="both"/>
        <w:rPr>
          <w:rFonts w:cs="Times New Roman"/>
          <w:szCs w:val="24"/>
        </w:rPr>
      </w:pPr>
      <w:r w:rsidRPr="00585F58">
        <w:rPr>
          <w:rFonts w:cs="Times New Roman"/>
          <w:szCs w:val="24"/>
        </w:rPr>
        <w:t>Uzņēmumiem Ungārijā ir iespēja, aprēķinot ar UIN apliekamo ienākumu, norakstīt noteikta veida P&amp;A izmaksas divkāršā apmērā.</w:t>
      </w:r>
    </w:p>
    <w:p w:rsidR="00515B2A" w:rsidRPr="00585F58" w:rsidRDefault="00515B2A" w:rsidP="00515B2A">
      <w:pPr>
        <w:spacing w:after="0" w:line="240" w:lineRule="auto"/>
        <w:ind w:firstLine="709"/>
        <w:jc w:val="both"/>
        <w:rPr>
          <w:rFonts w:cs="Times New Roman"/>
          <w:szCs w:val="24"/>
        </w:rPr>
      </w:pPr>
      <w:r w:rsidRPr="00585F58">
        <w:rPr>
          <w:rFonts w:cs="Times New Roman"/>
          <w:szCs w:val="24"/>
        </w:rPr>
        <w:t>Līdzīgi kā Lietuvā un Čehijā, P&amp;A aktivitātes ietver fundamentālos pētījumus, lietišķos pētījumus un eksperimentālo izstrādi. Galvenās P&amp;A attiecināmās izmaksas, kas kvalificējas UIN atvieglojumam, ir visas tiešās P&amp;A izmaksas, tajā skaitā, darba algas, ārpakalpojumi, ēku un iekārtu nolietojums, materiālu izmaksas un citas izmaksas, kas ir tieši saistītas ar P&amp;A projektu.</w:t>
      </w:r>
    </w:p>
    <w:p w:rsidR="00331289" w:rsidRPr="00585F58" w:rsidRDefault="00515B2A" w:rsidP="00515B2A">
      <w:pPr>
        <w:spacing w:after="0" w:line="240" w:lineRule="auto"/>
        <w:ind w:firstLine="709"/>
        <w:jc w:val="both"/>
        <w:rPr>
          <w:rFonts w:cs="Times New Roman"/>
          <w:szCs w:val="24"/>
        </w:rPr>
      </w:pPr>
      <w:r w:rsidRPr="00585F58">
        <w:rPr>
          <w:rFonts w:cs="Times New Roman"/>
          <w:szCs w:val="24"/>
        </w:rPr>
        <w:t xml:space="preserve">P&amp;A izmaksu noteikšana principiāli neatšķiras no </w:t>
      </w:r>
      <w:proofErr w:type="spellStart"/>
      <w:r w:rsidRPr="00585F58">
        <w:rPr>
          <w:rFonts w:cs="Times New Roman"/>
          <w:szCs w:val="24"/>
        </w:rPr>
        <w:t>Frascati</w:t>
      </w:r>
      <w:proofErr w:type="spellEnd"/>
      <w:r w:rsidRPr="00585F58">
        <w:rPr>
          <w:rFonts w:cs="Times New Roman"/>
          <w:szCs w:val="24"/>
        </w:rPr>
        <w:t xml:space="preserve"> rokasgrāmatā noteiktajām vadlīnijām. P&amp;A projekta mērķis ir zinātnisks vai tehnoloģisks progress, kura sagaidāmajam rezultātam jābūt nozīmīgam ne tikai uzņēmumam, kurš īsteno P&amp;A projektu. Atsevišķi tiek izceltas P&amp;A aktivitātes, kas vērstas uz vairāku personu </w:t>
      </w:r>
      <w:r w:rsidRPr="00585F58">
        <w:rPr>
          <w:rFonts w:cs="Times New Roman"/>
          <w:szCs w:val="24"/>
        </w:rPr>
        <w:lastRenderedPageBreak/>
        <w:t>kopīgi īstenotiem P&amp;A projektiem. Ungārijā papildus palielinātai izmaksu norakstīšanai, eksistē virkne citu nodokļ</w:t>
      </w:r>
      <w:r w:rsidR="00331289" w:rsidRPr="00585F58">
        <w:rPr>
          <w:rFonts w:cs="Times New Roman"/>
          <w:szCs w:val="24"/>
        </w:rPr>
        <w:t>u atvieglojumu P&amp;A stimulēšanai.</w:t>
      </w:r>
    </w:p>
    <w:p w:rsidR="00515B2A" w:rsidRPr="00585F58" w:rsidRDefault="00515B2A" w:rsidP="00515B2A">
      <w:pPr>
        <w:spacing w:after="0" w:line="240" w:lineRule="auto"/>
        <w:ind w:firstLine="709"/>
        <w:jc w:val="both"/>
        <w:rPr>
          <w:rFonts w:cs="Times New Roman"/>
          <w:szCs w:val="24"/>
        </w:rPr>
      </w:pPr>
      <w:r w:rsidRPr="00585F58">
        <w:rPr>
          <w:rFonts w:cs="Times New Roman"/>
          <w:szCs w:val="24"/>
        </w:rPr>
        <w:t>Uzņēmumam P&amp;A projekti ir jādokumentē pēc līdzīga principa kā Lietuvā un Čehijā. Kopš 2012.gada uzņēmumi un nodokļu administrācija var lūgt P&amp;A projekta izvērtējumu Ungārijas Intelektuālā īpašuma departamentā. Departamenta atzinums par projekta (bet ne konkrētu izmaksu) atbilstību P&amp;A projekta kritērijiem ir saistošs, ja tas ir lūgts pirms projekta īstenošanas uzsākšanas.</w:t>
      </w:r>
    </w:p>
    <w:p w:rsidR="00515B2A" w:rsidRPr="00585F58" w:rsidRDefault="00515B2A" w:rsidP="00515B2A">
      <w:pPr>
        <w:spacing w:after="0" w:line="240" w:lineRule="auto"/>
        <w:ind w:firstLine="709"/>
        <w:jc w:val="both"/>
        <w:rPr>
          <w:rFonts w:cs="Times New Roman"/>
          <w:szCs w:val="24"/>
        </w:rPr>
      </w:pPr>
      <w:r w:rsidRPr="00585F58">
        <w:rPr>
          <w:rFonts w:cs="Times New Roman"/>
          <w:szCs w:val="24"/>
        </w:rPr>
        <w:t>Būtiski ir atzīmēt, ka visās iepriekš minētajās valstīs nav noteikti nozaru ierobežojumi, kas var kvalificēties UIN atvieglojumam, kā arī kā papildus kritērijs P&amp;A atbilstībai ir noteikta prasība, kas paredz, ka uzņēmuma veiktajiem P&amp;A darbiem ir jābūt saistītiem ar uzņēmumam esošo vai plānoto saimniecisko darbību.</w:t>
      </w:r>
    </w:p>
    <w:p w:rsidR="00515B2A" w:rsidRPr="00585F58" w:rsidRDefault="00515B2A" w:rsidP="00515B2A">
      <w:pPr>
        <w:spacing w:after="0" w:line="240" w:lineRule="auto"/>
        <w:ind w:firstLine="709"/>
        <w:jc w:val="both"/>
        <w:rPr>
          <w:rFonts w:cs="Times New Roman"/>
          <w:szCs w:val="24"/>
        </w:rPr>
      </w:pPr>
    </w:p>
    <w:p w:rsidR="00515B2A" w:rsidRPr="00585F58" w:rsidRDefault="00515B2A" w:rsidP="00C97978">
      <w:pPr>
        <w:spacing w:after="0" w:line="240" w:lineRule="auto"/>
        <w:ind w:left="720"/>
        <w:contextualSpacing/>
        <w:jc w:val="both"/>
        <w:rPr>
          <w:rFonts w:cs="Times New Roman"/>
          <w:b/>
          <w:szCs w:val="24"/>
          <w:u w:val="single"/>
        </w:rPr>
      </w:pPr>
      <w:r w:rsidRPr="00585F58">
        <w:rPr>
          <w:rFonts w:cs="Times New Roman"/>
          <w:b/>
          <w:szCs w:val="24"/>
          <w:u w:val="single"/>
        </w:rPr>
        <w:t>Uzņēmēju aptauja</w:t>
      </w:r>
    </w:p>
    <w:p w:rsidR="00515B2A" w:rsidRPr="00585F58" w:rsidRDefault="00515B2A" w:rsidP="00515B2A">
      <w:pPr>
        <w:spacing w:after="0" w:line="240" w:lineRule="auto"/>
        <w:ind w:firstLine="709"/>
        <w:jc w:val="both"/>
        <w:rPr>
          <w:rFonts w:cs="Times New Roman"/>
          <w:szCs w:val="24"/>
        </w:rPr>
      </w:pPr>
      <w:r w:rsidRPr="00585F58">
        <w:rPr>
          <w:rFonts w:cs="Times New Roman"/>
          <w:szCs w:val="24"/>
        </w:rPr>
        <w:t xml:space="preserve">Lai iegūtu pilnīgāku izpratni par to, kādu P&amp;A izmaksu atbalstīšana būtu uzskatāma par prioritāru, </w:t>
      </w:r>
      <w:r w:rsidR="006D41F8" w:rsidRPr="00585F58">
        <w:rPr>
          <w:rFonts w:cs="Times New Roman"/>
          <w:szCs w:val="24"/>
        </w:rPr>
        <w:t>LTRK</w:t>
      </w:r>
      <w:r w:rsidRPr="00585F58">
        <w:rPr>
          <w:rFonts w:cs="Times New Roman"/>
          <w:szCs w:val="24"/>
        </w:rPr>
        <w:t xml:space="preserve"> ir veikusi tās biedru aptauju. Aptaujas gaitā tika saņemtas aizpildītas anketas no 25 biedriem, kuri galvenokārt pārstāv dažādas ražošanas nozares, bet vēl virkne respondentu norādīja, ka P&amp;A izmaksas atsevišķi neuzskaita un P&amp;A izmaksas uzņēmumā nesastāda būtisku izdevumu pozīciju. Papildus tika organizētas individuālas uzņēmumu intervijas par P&amp;A darbību.</w:t>
      </w:r>
    </w:p>
    <w:p w:rsidR="00515B2A" w:rsidRPr="00585F58" w:rsidRDefault="00515B2A" w:rsidP="00515B2A">
      <w:pPr>
        <w:spacing w:after="0" w:line="240" w:lineRule="auto"/>
        <w:ind w:firstLine="709"/>
        <w:jc w:val="both"/>
        <w:rPr>
          <w:rFonts w:cs="Times New Roman"/>
          <w:szCs w:val="24"/>
        </w:rPr>
      </w:pPr>
      <w:r w:rsidRPr="00585F58">
        <w:rPr>
          <w:rFonts w:cs="Times New Roman"/>
          <w:szCs w:val="24"/>
        </w:rPr>
        <w:t>Aptaujas gaitā tika secināts, ka tikai divi no respondentiem neuzskata, ka Ekonomikas ministrijas piedāvātais nodokļu atvieglojums veicinātu papildus P&amp;A aktivitāšu veikšanu uzņēmumā, kamēr pārējie respondenti saredz atvieglojuma stimulējošo ietekmi. Līdz ar to var secināt, ka piedāvātais nodokļu atvieglojums varētu būt viens no efektīviem mehānismiem P&amp;A darbības veicināšanā Latvijā, ar sekojošu pozitīvu efektu uz tautsaimniecību.</w:t>
      </w:r>
    </w:p>
    <w:p w:rsidR="00515B2A" w:rsidRPr="00585F58" w:rsidRDefault="00515B2A" w:rsidP="00515B2A">
      <w:pPr>
        <w:spacing w:after="0" w:line="240" w:lineRule="auto"/>
        <w:ind w:firstLine="709"/>
        <w:jc w:val="both"/>
        <w:rPr>
          <w:rFonts w:cs="Times New Roman"/>
          <w:szCs w:val="24"/>
        </w:rPr>
      </w:pPr>
      <w:r w:rsidRPr="00585F58">
        <w:rPr>
          <w:rFonts w:cs="Times New Roman"/>
          <w:szCs w:val="24"/>
        </w:rPr>
        <w:t>Atbildot uz jautājumu par uzņēmumā veikto P&amp;A darbu mērķi, vairāk nekā 80% respondentu norādījuši, ka uzņēmumu definētais P&amp;A projektu mērķis ir jaunu produktu izstrāde vai tehnoloģiju pārnese, pie tam 50% no visiem projektiem ir vērsti tieši uz unikālu produktu vai procesu ieviešana uzņēmumā (</w:t>
      </w:r>
      <w:r w:rsidR="00D27CB9" w:rsidRPr="00585F58">
        <w:rPr>
          <w:rFonts w:cs="Times New Roman"/>
          <w:szCs w:val="24"/>
        </w:rPr>
        <w:t>8</w:t>
      </w:r>
      <w:r w:rsidRPr="00585F58">
        <w:rPr>
          <w:rFonts w:cs="Times New Roman"/>
          <w:szCs w:val="24"/>
        </w:rPr>
        <w:t>.att.).</w:t>
      </w:r>
    </w:p>
    <w:p w:rsidR="00515B2A" w:rsidRPr="00585F58" w:rsidRDefault="00515B2A" w:rsidP="00515B2A">
      <w:pPr>
        <w:spacing w:after="0" w:line="240" w:lineRule="auto"/>
        <w:ind w:firstLine="709"/>
        <w:jc w:val="both"/>
        <w:rPr>
          <w:rFonts w:cs="Times New Roman"/>
          <w:szCs w:val="24"/>
        </w:rPr>
      </w:pPr>
    </w:p>
    <w:p w:rsidR="00515B2A" w:rsidRPr="00585F58" w:rsidRDefault="00515B2A" w:rsidP="00515B2A">
      <w:pPr>
        <w:spacing w:after="0" w:line="240" w:lineRule="auto"/>
        <w:ind w:firstLine="709"/>
        <w:jc w:val="center"/>
        <w:rPr>
          <w:rFonts w:cs="Times New Roman"/>
          <w:szCs w:val="24"/>
        </w:rPr>
      </w:pPr>
      <w:r w:rsidRPr="00585F58">
        <w:rPr>
          <w:rFonts w:cs="Times New Roman"/>
          <w:noProof/>
          <w:szCs w:val="24"/>
          <w:lang w:eastAsia="lv-LV"/>
        </w:rPr>
        <w:drawing>
          <wp:inline distT="0" distB="0" distL="0" distR="0" wp14:anchorId="47E933EB" wp14:editId="5879AAA4">
            <wp:extent cx="3965944" cy="254118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65944" cy="2541181"/>
                    </a:xfrm>
                    <a:prstGeom prst="rect">
                      <a:avLst/>
                    </a:prstGeom>
                    <a:noFill/>
                    <a:ln>
                      <a:noFill/>
                    </a:ln>
                  </pic:spPr>
                </pic:pic>
              </a:graphicData>
            </a:graphic>
          </wp:inline>
        </w:drawing>
      </w:r>
    </w:p>
    <w:p w:rsidR="001A0CFC" w:rsidRPr="00585F58" w:rsidRDefault="001A0CFC" w:rsidP="001A0CFC">
      <w:pPr>
        <w:pStyle w:val="ListParagraph"/>
        <w:spacing w:after="0" w:line="240" w:lineRule="auto"/>
        <w:jc w:val="both"/>
        <w:rPr>
          <w:rFonts w:cs="Times New Roman"/>
          <w:szCs w:val="24"/>
        </w:rPr>
      </w:pPr>
      <w:r w:rsidRPr="00585F58">
        <w:rPr>
          <w:rFonts w:cs="Times New Roman"/>
          <w:szCs w:val="24"/>
        </w:rPr>
        <w:t>Dati: Ekonomikas ministrija</w:t>
      </w:r>
    </w:p>
    <w:p w:rsidR="00515B2A" w:rsidRPr="00585F58" w:rsidRDefault="00D27CB9" w:rsidP="00515B2A">
      <w:pPr>
        <w:spacing w:after="0" w:line="240" w:lineRule="auto"/>
        <w:jc w:val="center"/>
        <w:rPr>
          <w:rFonts w:cs="Times New Roman"/>
          <w:b/>
          <w:szCs w:val="24"/>
        </w:rPr>
      </w:pPr>
      <w:r w:rsidRPr="00585F58">
        <w:rPr>
          <w:rFonts w:cs="Times New Roman"/>
          <w:b/>
          <w:szCs w:val="24"/>
        </w:rPr>
        <w:t>8</w:t>
      </w:r>
      <w:r w:rsidR="00515B2A" w:rsidRPr="00585F58">
        <w:rPr>
          <w:rFonts w:cs="Times New Roman"/>
          <w:b/>
          <w:szCs w:val="24"/>
        </w:rPr>
        <w:t>.att. P&amp;A projektu mērķis</w:t>
      </w:r>
    </w:p>
    <w:p w:rsidR="00515B2A" w:rsidRPr="00585F58" w:rsidRDefault="00515B2A" w:rsidP="00515B2A">
      <w:pPr>
        <w:spacing w:after="0" w:line="20" w:lineRule="atLeast"/>
        <w:ind w:firstLine="709"/>
        <w:jc w:val="both"/>
        <w:rPr>
          <w:rFonts w:eastAsia="Times New Roman" w:cs="Times New Roman"/>
          <w:bCs/>
          <w:szCs w:val="24"/>
          <w:lang w:eastAsia="lv-LV"/>
        </w:rPr>
      </w:pPr>
    </w:p>
    <w:p w:rsidR="00515B2A" w:rsidRPr="00585F58" w:rsidRDefault="00515B2A" w:rsidP="00515B2A">
      <w:pPr>
        <w:spacing w:after="0" w:line="240" w:lineRule="auto"/>
        <w:ind w:firstLine="709"/>
        <w:jc w:val="both"/>
        <w:rPr>
          <w:rFonts w:cs="Times New Roman"/>
          <w:szCs w:val="24"/>
        </w:rPr>
      </w:pPr>
      <w:r w:rsidRPr="00585F58">
        <w:rPr>
          <w:rFonts w:cs="Times New Roman"/>
          <w:szCs w:val="24"/>
        </w:rPr>
        <w:t>Vienlaikus jānorāda, ka, veicot individuālas uzņēmēju intervijas, var izdarīt sekojošus papildus secinājumus par P&amp;A procesu:</w:t>
      </w:r>
    </w:p>
    <w:p w:rsidR="00515B2A" w:rsidRPr="00585F58" w:rsidRDefault="00515B2A" w:rsidP="001327C6">
      <w:pPr>
        <w:numPr>
          <w:ilvl w:val="0"/>
          <w:numId w:val="17"/>
        </w:numPr>
        <w:spacing w:after="0" w:line="240" w:lineRule="auto"/>
        <w:ind w:left="851"/>
        <w:contextualSpacing/>
        <w:jc w:val="both"/>
        <w:rPr>
          <w:rFonts w:cs="Times New Roman"/>
          <w:szCs w:val="24"/>
        </w:rPr>
      </w:pPr>
      <w:r w:rsidRPr="00585F58">
        <w:rPr>
          <w:rFonts w:cs="Times New Roman"/>
          <w:szCs w:val="24"/>
        </w:rPr>
        <w:lastRenderedPageBreak/>
        <w:t xml:space="preserve">pamatā </w:t>
      </w:r>
      <w:r w:rsidR="00F14393" w:rsidRPr="00585F58">
        <w:rPr>
          <w:rFonts w:cs="Times New Roman"/>
          <w:szCs w:val="24"/>
        </w:rPr>
        <w:t>aptaujātos</w:t>
      </w:r>
      <w:r w:rsidRPr="00585F58">
        <w:rPr>
          <w:rFonts w:cs="Times New Roman"/>
          <w:szCs w:val="24"/>
        </w:rPr>
        <w:t xml:space="preserve"> uzņēmumos P&amp;A darbības ir vērstas uz eksperimentālo izstrādni, galvenokārt būtiski uzlabojot esošo produktu īpašības;</w:t>
      </w:r>
    </w:p>
    <w:p w:rsidR="00515B2A" w:rsidRPr="00585F58" w:rsidRDefault="00515B2A" w:rsidP="001327C6">
      <w:pPr>
        <w:numPr>
          <w:ilvl w:val="0"/>
          <w:numId w:val="17"/>
        </w:numPr>
        <w:spacing w:after="0" w:line="240" w:lineRule="auto"/>
        <w:ind w:left="851"/>
        <w:contextualSpacing/>
        <w:jc w:val="both"/>
        <w:rPr>
          <w:rFonts w:cs="Times New Roman"/>
          <w:szCs w:val="24"/>
        </w:rPr>
      </w:pPr>
      <w:r w:rsidRPr="00585F58">
        <w:rPr>
          <w:rFonts w:cs="Times New Roman"/>
          <w:szCs w:val="24"/>
        </w:rPr>
        <w:t>rūpnieciskie pētījumi ir koncentrēti lielākajos nozaru uzņēmumos, nereti tie balstās uz piesaistīto ārzemju ekspertu zināšanām;</w:t>
      </w:r>
    </w:p>
    <w:p w:rsidR="00515B2A" w:rsidRPr="00585F58" w:rsidRDefault="00515B2A" w:rsidP="001327C6">
      <w:pPr>
        <w:numPr>
          <w:ilvl w:val="0"/>
          <w:numId w:val="17"/>
        </w:numPr>
        <w:spacing w:after="120" w:line="240" w:lineRule="auto"/>
        <w:ind w:left="850" w:hanging="357"/>
        <w:jc w:val="both"/>
        <w:rPr>
          <w:rFonts w:cs="Times New Roman"/>
          <w:szCs w:val="24"/>
        </w:rPr>
      </w:pPr>
      <w:r w:rsidRPr="00585F58">
        <w:rPr>
          <w:rFonts w:cs="Times New Roman"/>
          <w:szCs w:val="24"/>
        </w:rPr>
        <w:t>P&amp;A process šobrīd lielākajā daļā uzņēmumu nav sīkāk sadalīts pa atsevišķiem projektiem un parasti netiek detalizēti dokumentēts.</w:t>
      </w:r>
    </w:p>
    <w:p w:rsidR="001A0CFC" w:rsidRPr="00585F58" w:rsidRDefault="00515B2A" w:rsidP="00783D11">
      <w:pPr>
        <w:spacing w:after="0" w:line="240" w:lineRule="auto"/>
        <w:ind w:firstLine="709"/>
        <w:jc w:val="both"/>
        <w:rPr>
          <w:rFonts w:cs="Times New Roman"/>
          <w:szCs w:val="24"/>
        </w:rPr>
      </w:pPr>
      <w:r w:rsidRPr="00585F58">
        <w:rPr>
          <w:rFonts w:cs="Times New Roman"/>
          <w:szCs w:val="24"/>
        </w:rPr>
        <w:t>Lielākajā daļā uzņēmumu P&amp;A projekts ilgst vairāk nekā gadu, tomēr tikai nelielā daļā uzņēmumu P&amp;A projekta ilgums pārsniedz 3 gadus (</w:t>
      </w:r>
      <w:r w:rsidR="00D27CB9" w:rsidRPr="00585F58">
        <w:rPr>
          <w:rFonts w:cs="Times New Roman"/>
          <w:szCs w:val="24"/>
        </w:rPr>
        <w:t>9</w:t>
      </w:r>
      <w:r w:rsidRPr="00585F58">
        <w:rPr>
          <w:rFonts w:cs="Times New Roman"/>
          <w:szCs w:val="24"/>
        </w:rPr>
        <w:t>.att.). Šādam secinājumam ir būtiska nozīme, jo tas liecina, ka sagaidāmā P&amp;A atdeve uzņēmumiem un tautsaimniecībai parādīsies vidējā termiņā. Sevišķi svarīgi tas būtu attiecībā uz jaunizveidotiem uzņēmumiem, kuriem peļņa P&amp;A projektu īstenošanas rezultātā varētu būt sag</w:t>
      </w:r>
      <w:r w:rsidR="000301D1" w:rsidRPr="00585F58">
        <w:rPr>
          <w:rFonts w:cs="Times New Roman"/>
          <w:szCs w:val="24"/>
        </w:rPr>
        <w:t>aidāma 3-5 gados vai pat vēlāk.</w:t>
      </w:r>
    </w:p>
    <w:p w:rsidR="001A0CFC" w:rsidRPr="00585F58" w:rsidRDefault="00AE61C7" w:rsidP="001A0CFC">
      <w:pPr>
        <w:pStyle w:val="ListParagraph"/>
        <w:spacing w:after="0" w:line="240" w:lineRule="auto"/>
        <w:jc w:val="both"/>
        <w:rPr>
          <w:rFonts w:cs="Times New Roman"/>
          <w:szCs w:val="24"/>
        </w:rPr>
      </w:pPr>
      <w:r w:rsidRPr="00585F58">
        <w:rPr>
          <w:rFonts w:cs="Times New Roman"/>
          <w:noProof/>
          <w:szCs w:val="24"/>
          <w:lang w:eastAsia="lv-LV"/>
        </w:rPr>
        <w:drawing>
          <wp:anchor distT="0" distB="0" distL="114300" distR="114300" simplePos="0" relativeHeight="251659264" behindDoc="0" locked="0" layoutInCell="1" allowOverlap="1" wp14:anchorId="6D974AF0" wp14:editId="6022DB90">
            <wp:simplePos x="0" y="0"/>
            <wp:positionH relativeFrom="column">
              <wp:posOffset>894080</wp:posOffset>
            </wp:positionH>
            <wp:positionV relativeFrom="paragraph">
              <wp:posOffset>94615</wp:posOffset>
            </wp:positionV>
            <wp:extent cx="3602990" cy="2152015"/>
            <wp:effectExtent l="0" t="0" r="0" b="63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2990" cy="2152015"/>
                    </a:xfrm>
                    <a:prstGeom prst="rect">
                      <a:avLst/>
                    </a:prstGeom>
                    <a:noFill/>
                  </pic:spPr>
                </pic:pic>
              </a:graphicData>
            </a:graphic>
            <wp14:sizeRelH relativeFrom="page">
              <wp14:pctWidth>0</wp14:pctWidth>
            </wp14:sizeRelH>
            <wp14:sizeRelV relativeFrom="page">
              <wp14:pctHeight>0</wp14:pctHeight>
            </wp14:sizeRelV>
          </wp:anchor>
        </w:drawing>
      </w:r>
      <w:r w:rsidR="001A0CFC" w:rsidRPr="00585F58">
        <w:rPr>
          <w:rFonts w:cs="Times New Roman"/>
          <w:szCs w:val="24"/>
        </w:rPr>
        <w:t>Dati: Ekonomikas ministrija</w:t>
      </w:r>
    </w:p>
    <w:p w:rsidR="00515B2A" w:rsidRPr="00585F58" w:rsidRDefault="00D27CB9" w:rsidP="001A0CFC">
      <w:pPr>
        <w:jc w:val="center"/>
        <w:rPr>
          <w:rFonts w:cs="Times New Roman"/>
          <w:b/>
          <w:szCs w:val="24"/>
        </w:rPr>
      </w:pPr>
      <w:r w:rsidRPr="00585F58">
        <w:rPr>
          <w:rFonts w:cs="Times New Roman"/>
          <w:b/>
          <w:szCs w:val="24"/>
        </w:rPr>
        <w:t>9</w:t>
      </w:r>
      <w:r w:rsidR="00515B2A" w:rsidRPr="00585F58">
        <w:rPr>
          <w:rFonts w:cs="Times New Roman"/>
          <w:b/>
          <w:szCs w:val="24"/>
        </w:rPr>
        <w:t>.att. P&amp;A projektu ilgums</w:t>
      </w:r>
    </w:p>
    <w:p w:rsidR="00515B2A" w:rsidRPr="00585F58" w:rsidRDefault="00515B2A" w:rsidP="00515B2A">
      <w:pPr>
        <w:spacing w:after="0" w:line="240" w:lineRule="auto"/>
        <w:ind w:firstLine="709"/>
        <w:jc w:val="both"/>
        <w:rPr>
          <w:rFonts w:cs="Times New Roman"/>
          <w:szCs w:val="24"/>
        </w:rPr>
      </w:pPr>
      <w:r w:rsidRPr="00585F58">
        <w:rPr>
          <w:rFonts w:cs="Times New Roman"/>
          <w:szCs w:val="24"/>
        </w:rPr>
        <w:t>Saskaņā ar aptaujas rezultātiem lielākās P&amp;A izmaksu pozīcijas uzņēmumos ir darba algas, ārpakalpojumi un materiāli. Pamatlīdzekļu nolietojums, nemateriālo aktīvu nolietojums, kā arī citi izdevumi, nevienam no respondentiem nesastāda vairāk kā 30</w:t>
      </w:r>
      <w:r w:rsidR="009576B7" w:rsidRPr="00585F58">
        <w:rPr>
          <w:rFonts w:cs="Times New Roman"/>
          <w:szCs w:val="24"/>
        </w:rPr>
        <w:t>% no P&amp;A izmaksām</w:t>
      </w:r>
      <w:r w:rsidRPr="00585F58">
        <w:rPr>
          <w:rFonts w:cs="Times New Roman"/>
          <w:szCs w:val="24"/>
        </w:rPr>
        <w:t>, pie tam liela daļa uzņēmumu ir norādījuši, ka šādu P&amp;A izmaksu pozīciju tiem vispār nav. Grafiks atspoguļo uzņēmumu sadalījumu pēc attiecīgo izmaksu īpatsvara kopējās uzņēmuma P&amp;A izmaksās. Redzams, ka, piemēram, darba algas vairāk nekā 30% uzņēmumu sastāda vairāk kā 60% kopējās P&amp;A izmaksās, kamēr ārpakalpojumu un materiālu īpatsvars vairāk nekā 75% uzņēmumu ir mazāks par 30%.</w:t>
      </w:r>
    </w:p>
    <w:p w:rsidR="00515B2A" w:rsidRPr="00585F58" w:rsidRDefault="00515B2A" w:rsidP="00515B2A">
      <w:pPr>
        <w:spacing w:after="0" w:line="240" w:lineRule="auto"/>
        <w:ind w:firstLine="709"/>
        <w:jc w:val="both"/>
        <w:rPr>
          <w:rFonts w:cs="Times New Roman"/>
          <w:szCs w:val="24"/>
        </w:rPr>
      </w:pPr>
      <w:r w:rsidRPr="00585F58">
        <w:rPr>
          <w:rFonts w:cs="Times New Roman"/>
          <w:szCs w:val="24"/>
        </w:rPr>
        <w:t xml:space="preserve">Aptaujas rezultāti ļauj secināt, ka apmēram </w:t>
      </w:r>
      <w:r w:rsidR="009576B7" w:rsidRPr="00585F58">
        <w:rPr>
          <w:rFonts w:cs="Times New Roman"/>
          <w:szCs w:val="24"/>
        </w:rPr>
        <w:t>58</w:t>
      </w:r>
      <w:r w:rsidRPr="00585F58">
        <w:rPr>
          <w:rFonts w:cs="Times New Roman"/>
          <w:szCs w:val="24"/>
        </w:rPr>
        <w:t>% uzņēmumu P&amp;A izmaksas nepārsniedz 5% no apgrozījuma, kas ir salīdzinoši augsts slieksnis (</w:t>
      </w:r>
      <w:r w:rsidR="00653C72" w:rsidRPr="00585F58">
        <w:rPr>
          <w:rFonts w:cs="Times New Roman"/>
          <w:szCs w:val="24"/>
        </w:rPr>
        <w:t>1</w:t>
      </w:r>
      <w:r w:rsidR="00D27CB9" w:rsidRPr="00585F58">
        <w:rPr>
          <w:rFonts w:cs="Times New Roman"/>
          <w:szCs w:val="24"/>
        </w:rPr>
        <w:t>0</w:t>
      </w:r>
      <w:r w:rsidRPr="00585F58">
        <w:rPr>
          <w:rFonts w:cs="Times New Roman"/>
          <w:szCs w:val="24"/>
        </w:rPr>
        <w:t xml:space="preserve">.att.). Dati par P&amp;A izmaksu un apgrozījuma attiecību būtu vērtējami kritiski un </w:t>
      </w:r>
      <w:r w:rsidR="009576B7" w:rsidRPr="00585F58">
        <w:rPr>
          <w:rFonts w:cs="Times New Roman"/>
          <w:szCs w:val="24"/>
        </w:rPr>
        <w:t xml:space="preserve">LTRK ieskatā </w:t>
      </w:r>
      <w:r w:rsidRPr="00585F58">
        <w:rPr>
          <w:rFonts w:cs="Times New Roman"/>
          <w:szCs w:val="24"/>
        </w:rPr>
        <w:t>nākotnē varētu būtiski atšķirties.</w:t>
      </w:r>
    </w:p>
    <w:p w:rsidR="00515B2A" w:rsidRPr="00585F58" w:rsidRDefault="001A0CFC" w:rsidP="001A0CFC">
      <w:pPr>
        <w:pStyle w:val="ListParagraph"/>
        <w:spacing w:after="0" w:line="240" w:lineRule="auto"/>
        <w:jc w:val="both"/>
        <w:rPr>
          <w:rFonts w:cs="Times New Roman"/>
          <w:szCs w:val="24"/>
        </w:rPr>
      </w:pPr>
      <w:r w:rsidRPr="00585F58">
        <w:rPr>
          <w:rFonts w:cs="Times New Roman"/>
          <w:noProof/>
          <w:szCs w:val="24"/>
          <w:lang w:eastAsia="lv-LV"/>
        </w:rPr>
        <w:lastRenderedPageBreak/>
        <w:drawing>
          <wp:anchor distT="0" distB="0" distL="114300" distR="114300" simplePos="0" relativeHeight="251660288" behindDoc="0" locked="0" layoutInCell="1" allowOverlap="1" wp14:anchorId="2038253C" wp14:editId="24F921C0">
            <wp:simplePos x="0" y="0"/>
            <wp:positionH relativeFrom="column">
              <wp:posOffset>1076325</wp:posOffset>
            </wp:positionH>
            <wp:positionV relativeFrom="paragraph">
              <wp:posOffset>80645</wp:posOffset>
            </wp:positionV>
            <wp:extent cx="3408045" cy="1767840"/>
            <wp:effectExtent l="0" t="0" r="1905" b="381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08045" cy="1767840"/>
                    </a:xfrm>
                    <a:prstGeom prst="rect">
                      <a:avLst/>
                    </a:prstGeom>
                    <a:noFill/>
                  </pic:spPr>
                </pic:pic>
              </a:graphicData>
            </a:graphic>
            <wp14:sizeRelH relativeFrom="page">
              <wp14:pctWidth>0</wp14:pctWidth>
            </wp14:sizeRelH>
            <wp14:sizeRelV relativeFrom="page">
              <wp14:pctHeight>0</wp14:pctHeight>
            </wp14:sizeRelV>
          </wp:anchor>
        </w:drawing>
      </w:r>
      <w:r w:rsidRPr="00585F58">
        <w:rPr>
          <w:rFonts w:cs="Times New Roman"/>
          <w:szCs w:val="24"/>
        </w:rPr>
        <w:t>Dati: Ekonomikas ministrija</w:t>
      </w:r>
    </w:p>
    <w:p w:rsidR="00515B2A" w:rsidRPr="00585F58" w:rsidRDefault="00107337" w:rsidP="00515B2A">
      <w:pPr>
        <w:spacing w:after="0" w:line="240" w:lineRule="auto"/>
        <w:ind w:left="1134" w:firstLine="153"/>
        <w:jc w:val="center"/>
        <w:rPr>
          <w:rFonts w:cs="Times New Roman"/>
          <w:b/>
          <w:szCs w:val="24"/>
        </w:rPr>
      </w:pPr>
      <w:r w:rsidRPr="00585F58">
        <w:rPr>
          <w:rFonts w:cs="Times New Roman"/>
          <w:b/>
          <w:szCs w:val="24"/>
        </w:rPr>
        <w:t>1</w:t>
      </w:r>
      <w:r w:rsidR="00D27CB9" w:rsidRPr="00585F58">
        <w:rPr>
          <w:rFonts w:cs="Times New Roman"/>
          <w:b/>
          <w:szCs w:val="24"/>
        </w:rPr>
        <w:t>0</w:t>
      </w:r>
      <w:r w:rsidR="00515B2A" w:rsidRPr="00585F58">
        <w:rPr>
          <w:rFonts w:cs="Times New Roman"/>
          <w:b/>
          <w:szCs w:val="24"/>
        </w:rPr>
        <w:t>.att. P&amp;A izmaksas pret apgrozījumu</w:t>
      </w:r>
    </w:p>
    <w:p w:rsidR="00515B2A" w:rsidRPr="00585F58" w:rsidRDefault="00515B2A" w:rsidP="00A3094D">
      <w:pPr>
        <w:spacing w:after="0" w:line="240" w:lineRule="auto"/>
        <w:ind w:firstLine="720"/>
        <w:jc w:val="both"/>
        <w:rPr>
          <w:rFonts w:cs="Times New Roman"/>
          <w:szCs w:val="24"/>
        </w:rPr>
      </w:pPr>
    </w:p>
    <w:p w:rsidR="00A3094D" w:rsidRPr="00585F58" w:rsidRDefault="00A3094D" w:rsidP="00A3094D">
      <w:pPr>
        <w:spacing w:after="0" w:line="240" w:lineRule="auto"/>
        <w:ind w:firstLine="720"/>
        <w:jc w:val="both"/>
        <w:rPr>
          <w:rFonts w:cs="Times New Roman"/>
          <w:szCs w:val="24"/>
        </w:rPr>
      </w:pPr>
      <w:r w:rsidRPr="00585F58">
        <w:rPr>
          <w:rFonts w:cs="Times New Roman"/>
          <w:szCs w:val="24"/>
        </w:rPr>
        <w:t>Inovācija</w:t>
      </w:r>
      <w:r w:rsidR="004D2135" w:rsidRPr="00585F58">
        <w:rPr>
          <w:rFonts w:cs="Times New Roman"/>
          <w:szCs w:val="24"/>
        </w:rPr>
        <w:t>s</w:t>
      </w:r>
      <w:r w:rsidRPr="00585F58">
        <w:rPr>
          <w:rFonts w:cs="Times New Roman"/>
          <w:szCs w:val="24"/>
        </w:rPr>
        <w:t xml:space="preserve"> un pētniecība ir būtisks priekšnosacījums, lai nodrošinātu tautsaimniecības izaugsmi un konkurētspēju. Saskaņā ar GCI</w:t>
      </w:r>
      <w:r w:rsidR="00AC1682" w:rsidRPr="00585F58">
        <w:rPr>
          <w:rFonts w:cs="Times New Roman"/>
          <w:szCs w:val="24"/>
        </w:rPr>
        <w:t xml:space="preserve"> (turpmāk – </w:t>
      </w:r>
      <w:proofErr w:type="spellStart"/>
      <w:r w:rsidR="00AC1682" w:rsidRPr="00585F58">
        <w:rPr>
          <w:rFonts w:cs="Times New Roman"/>
          <w:szCs w:val="24"/>
        </w:rPr>
        <w:t>Global</w:t>
      </w:r>
      <w:proofErr w:type="spellEnd"/>
      <w:r w:rsidR="00AC1682" w:rsidRPr="00585F58">
        <w:rPr>
          <w:rFonts w:cs="Times New Roman"/>
          <w:szCs w:val="24"/>
        </w:rPr>
        <w:t xml:space="preserve"> </w:t>
      </w:r>
      <w:proofErr w:type="spellStart"/>
      <w:r w:rsidR="00AC1682" w:rsidRPr="00585F58">
        <w:rPr>
          <w:rFonts w:cs="Times New Roman"/>
          <w:szCs w:val="24"/>
        </w:rPr>
        <w:t>Competitiveness</w:t>
      </w:r>
      <w:proofErr w:type="spellEnd"/>
      <w:r w:rsidR="00AC1682" w:rsidRPr="00585F58">
        <w:rPr>
          <w:rFonts w:cs="Times New Roman"/>
          <w:szCs w:val="24"/>
        </w:rPr>
        <w:t xml:space="preserve"> </w:t>
      </w:r>
      <w:proofErr w:type="spellStart"/>
      <w:r w:rsidR="00AC1682" w:rsidRPr="00585F58">
        <w:rPr>
          <w:rFonts w:cs="Times New Roman"/>
          <w:szCs w:val="24"/>
        </w:rPr>
        <w:t>Report</w:t>
      </w:r>
      <w:proofErr w:type="spellEnd"/>
      <w:r w:rsidR="00AC1682" w:rsidRPr="00585F58">
        <w:rPr>
          <w:rFonts w:cs="Times New Roman"/>
          <w:szCs w:val="24"/>
        </w:rPr>
        <w:t xml:space="preserve"> 2012-2013)</w:t>
      </w:r>
      <w:r w:rsidRPr="00585F58">
        <w:rPr>
          <w:rFonts w:cs="Times New Roman"/>
          <w:szCs w:val="24"/>
        </w:rPr>
        <w:t xml:space="preserve"> Latvija vēl aizvien atrodas to valstu grupā, kuru ekonomikas virzītājspēks ir produktivitāte, nevis inovācija. Pēc 2011.gada Inovāciju progresa ziņojuma (</w:t>
      </w:r>
      <w:proofErr w:type="spellStart"/>
      <w:r w:rsidRPr="00585F58">
        <w:rPr>
          <w:rFonts w:cs="Times New Roman"/>
          <w:szCs w:val="24"/>
        </w:rPr>
        <w:t>Innovation</w:t>
      </w:r>
      <w:proofErr w:type="spellEnd"/>
      <w:r w:rsidRPr="00585F58">
        <w:rPr>
          <w:rFonts w:cs="Times New Roman"/>
          <w:szCs w:val="24"/>
        </w:rPr>
        <w:t xml:space="preserve"> </w:t>
      </w:r>
      <w:proofErr w:type="spellStart"/>
      <w:r w:rsidRPr="00585F58">
        <w:rPr>
          <w:rFonts w:cs="Times New Roman"/>
          <w:szCs w:val="24"/>
        </w:rPr>
        <w:t>Union</w:t>
      </w:r>
      <w:proofErr w:type="spellEnd"/>
      <w:r w:rsidRPr="00585F58">
        <w:rPr>
          <w:rFonts w:cs="Times New Roman"/>
          <w:szCs w:val="24"/>
        </w:rPr>
        <w:t xml:space="preserve"> </w:t>
      </w:r>
      <w:proofErr w:type="spellStart"/>
      <w:r w:rsidRPr="00585F58">
        <w:rPr>
          <w:rFonts w:cs="Times New Roman"/>
          <w:szCs w:val="24"/>
        </w:rPr>
        <w:t>Scoreboard</w:t>
      </w:r>
      <w:proofErr w:type="spellEnd"/>
      <w:r w:rsidRPr="00585F58">
        <w:rPr>
          <w:rFonts w:cs="Times New Roman"/>
          <w:szCs w:val="24"/>
        </w:rPr>
        <w:t xml:space="preserve"> 2011) datiem Latvija </w:t>
      </w:r>
      <w:r w:rsidR="00EC32D1" w:rsidRPr="00585F58">
        <w:rPr>
          <w:rFonts w:cs="Times New Roman"/>
          <w:szCs w:val="24"/>
        </w:rPr>
        <w:t>ierindojas 25.</w:t>
      </w:r>
      <w:r w:rsidRPr="00585F58">
        <w:rPr>
          <w:rFonts w:cs="Times New Roman"/>
          <w:szCs w:val="24"/>
        </w:rPr>
        <w:t xml:space="preserve"> vietā </w:t>
      </w:r>
      <w:r w:rsidR="00EC32D1" w:rsidRPr="00585F58">
        <w:rPr>
          <w:rFonts w:cs="Times New Roman"/>
          <w:szCs w:val="24"/>
        </w:rPr>
        <w:t xml:space="preserve">starp 27 </w:t>
      </w:r>
      <w:r w:rsidRPr="00585F58">
        <w:rPr>
          <w:rFonts w:cs="Times New Roman"/>
          <w:szCs w:val="24"/>
        </w:rPr>
        <w:t>ES</w:t>
      </w:r>
      <w:r w:rsidR="00EC32D1" w:rsidRPr="00585F58">
        <w:rPr>
          <w:rFonts w:cs="Times New Roman"/>
          <w:szCs w:val="24"/>
        </w:rPr>
        <w:t xml:space="preserve"> dalībvalstīm</w:t>
      </w:r>
      <w:r w:rsidRPr="00585F58">
        <w:rPr>
          <w:rFonts w:cs="Times New Roman"/>
          <w:szCs w:val="24"/>
        </w:rPr>
        <w:t xml:space="preserve"> inovāciju jomā. Latvijas rādītāji ir zemi gan pētniecības kapacitātes un ekselences, gan uzņēmumu un pētniecības sektoru sadarbības, gan publiskā un privātā sektora investīciju un inovācijas aktivitātes jomās.</w:t>
      </w:r>
    </w:p>
    <w:p w:rsidR="00A3094D" w:rsidRPr="00585F58" w:rsidRDefault="00A3094D" w:rsidP="00A3094D">
      <w:pPr>
        <w:spacing w:after="0" w:line="240" w:lineRule="auto"/>
        <w:ind w:firstLine="720"/>
        <w:jc w:val="both"/>
        <w:rPr>
          <w:rFonts w:cs="Times New Roman"/>
          <w:szCs w:val="24"/>
        </w:rPr>
      </w:pPr>
      <w:r w:rsidRPr="00585F58">
        <w:rPr>
          <w:rFonts w:cs="Times New Roman"/>
          <w:szCs w:val="24"/>
        </w:rPr>
        <w:t>Latvijā ir viens no zemākajiem finansējumiem pētniecībai un att</w:t>
      </w:r>
      <w:r w:rsidR="002D1038" w:rsidRPr="00585F58">
        <w:rPr>
          <w:rFonts w:cs="Times New Roman"/>
          <w:szCs w:val="24"/>
        </w:rPr>
        <w:t>īstībai, kas 2011.gadā bija 0,7</w:t>
      </w:r>
      <w:r w:rsidRPr="00585F58">
        <w:rPr>
          <w:rFonts w:cs="Times New Roman"/>
          <w:szCs w:val="24"/>
        </w:rPr>
        <w:t>% no IKP (salīdzinājumam – vidēji ES 2,0% no IKP 2010.gadā)</w:t>
      </w:r>
      <w:r w:rsidR="002D1038" w:rsidRPr="00585F58">
        <w:rPr>
          <w:rFonts w:cs="Times New Roman"/>
          <w:szCs w:val="24"/>
        </w:rPr>
        <w:t>, kas ir par 0,1</w:t>
      </w:r>
      <w:r w:rsidRPr="00585F58">
        <w:rPr>
          <w:rFonts w:cs="Times New Roman"/>
          <w:szCs w:val="24"/>
        </w:rPr>
        <w:t xml:space="preserve"> procentpunktu vairāk nekā 2010.gadā. Saskaņā ar Centrālās statistikas pārvaldes  datiem </w:t>
      </w:r>
      <w:r w:rsidR="005833F7" w:rsidRPr="00585F58">
        <w:rPr>
          <w:rFonts w:cs="Times New Roman"/>
          <w:szCs w:val="24"/>
        </w:rPr>
        <w:t xml:space="preserve">(turpmāk - CSP) </w:t>
      </w:r>
      <w:r w:rsidRPr="00585F58">
        <w:rPr>
          <w:rFonts w:cs="Times New Roman"/>
          <w:szCs w:val="24"/>
        </w:rPr>
        <w:t xml:space="preserve">2011.gadā izdevumi P&amp;A ir sasnieguši 99 472 </w:t>
      </w:r>
      <w:proofErr w:type="spellStart"/>
      <w:r w:rsidRPr="00585F58">
        <w:rPr>
          <w:rFonts w:cs="Times New Roman"/>
          <w:szCs w:val="24"/>
        </w:rPr>
        <w:t>tūkst</w:t>
      </w:r>
      <w:proofErr w:type="spellEnd"/>
      <w:r w:rsidRPr="00585F58">
        <w:rPr>
          <w:rFonts w:cs="Times New Roman"/>
          <w:szCs w:val="24"/>
        </w:rPr>
        <w:t>. latu, kas ir par 22,6% vairāk nekā 2010.gadā. Privātā sektora finansējums pētniecībai un attīstībai 2011.gadā bija tikai 25% no kopējā P&amp;A finansējuma.</w:t>
      </w:r>
    </w:p>
    <w:p w:rsidR="00A3094D" w:rsidRPr="00585F58" w:rsidRDefault="00A3094D" w:rsidP="00A3094D">
      <w:pPr>
        <w:spacing w:after="0" w:line="240" w:lineRule="auto"/>
        <w:ind w:firstLine="720"/>
        <w:jc w:val="both"/>
        <w:rPr>
          <w:rFonts w:cs="Times New Roman"/>
          <w:szCs w:val="24"/>
        </w:rPr>
      </w:pPr>
    </w:p>
    <w:p w:rsidR="00A3094D" w:rsidRPr="00585F58" w:rsidRDefault="00A3094D" w:rsidP="00A3094D">
      <w:pPr>
        <w:pStyle w:val="ListParagraph"/>
        <w:spacing w:after="0" w:line="240" w:lineRule="auto"/>
        <w:jc w:val="both"/>
        <w:rPr>
          <w:rFonts w:cs="Times New Roman"/>
          <w:szCs w:val="24"/>
        </w:rPr>
      </w:pPr>
      <w:r w:rsidRPr="00585F58">
        <w:rPr>
          <w:rFonts w:cs="Times New Roman"/>
          <w:noProof/>
          <w:szCs w:val="24"/>
          <w:lang w:eastAsia="lv-LV"/>
        </w:rPr>
        <w:drawing>
          <wp:inline distT="0" distB="0" distL="0" distR="0" wp14:anchorId="1E37A7FA" wp14:editId="5833F0DE">
            <wp:extent cx="4572000" cy="3104707"/>
            <wp:effectExtent l="0" t="0" r="0" b="635"/>
            <wp:docPr id="1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3094D" w:rsidRPr="00585F58" w:rsidRDefault="00A3094D" w:rsidP="00A3094D">
      <w:pPr>
        <w:spacing w:after="0" w:line="240" w:lineRule="auto"/>
        <w:ind w:left="360"/>
        <w:jc w:val="both"/>
        <w:rPr>
          <w:rFonts w:cs="Times New Roman"/>
          <w:sz w:val="22"/>
        </w:rPr>
      </w:pPr>
      <w:r w:rsidRPr="00585F58">
        <w:rPr>
          <w:rFonts w:cs="Times New Roman"/>
          <w:sz w:val="22"/>
        </w:rPr>
        <w:t xml:space="preserve">Dati: </w:t>
      </w:r>
      <w:proofErr w:type="spellStart"/>
      <w:r w:rsidRPr="00585F58">
        <w:rPr>
          <w:rFonts w:cs="Times New Roman"/>
          <w:sz w:val="22"/>
        </w:rPr>
        <w:t>Eurostat</w:t>
      </w:r>
      <w:proofErr w:type="spellEnd"/>
      <w:r w:rsidRPr="00585F58">
        <w:rPr>
          <w:rFonts w:cs="Times New Roman"/>
          <w:sz w:val="22"/>
        </w:rPr>
        <w:t>, uz 14.01.2013</w:t>
      </w:r>
    </w:p>
    <w:p w:rsidR="00A3094D" w:rsidRPr="00585F58" w:rsidRDefault="00C97978" w:rsidP="00515B2A">
      <w:pPr>
        <w:spacing w:line="20" w:lineRule="atLeast"/>
        <w:ind w:firstLine="567"/>
        <w:jc w:val="center"/>
        <w:rPr>
          <w:rFonts w:cs="Times New Roman"/>
          <w:b/>
        </w:rPr>
      </w:pPr>
      <w:r w:rsidRPr="00585F58">
        <w:rPr>
          <w:rFonts w:cs="Times New Roman"/>
          <w:b/>
        </w:rPr>
        <w:t>1</w:t>
      </w:r>
      <w:r w:rsidR="00D27CB9" w:rsidRPr="00585F58">
        <w:rPr>
          <w:rFonts w:cs="Times New Roman"/>
          <w:b/>
        </w:rPr>
        <w:t>1</w:t>
      </w:r>
      <w:r w:rsidR="00A3094D" w:rsidRPr="00585F58">
        <w:rPr>
          <w:rFonts w:cs="Times New Roman"/>
          <w:b/>
        </w:rPr>
        <w:t>.att. P&amp;A izmaksas, % no IKP</w:t>
      </w:r>
    </w:p>
    <w:p w:rsidR="00A3094D" w:rsidRPr="00585F58" w:rsidRDefault="00C97978" w:rsidP="00A3094D">
      <w:pPr>
        <w:autoSpaceDE w:val="0"/>
        <w:autoSpaceDN w:val="0"/>
        <w:adjustRightInd w:val="0"/>
        <w:spacing w:after="0" w:line="240" w:lineRule="auto"/>
        <w:ind w:firstLine="567"/>
        <w:jc w:val="both"/>
        <w:rPr>
          <w:rFonts w:cs="Times New Roman"/>
          <w:szCs w:val="24"/>
        </w:rPr>
      </w:pPr>
      <w:r w:rsidRPr="00585F58">
        <w:rPr>
          <w:rFonts w:cs="Times New Roman"/>
          <w:szCs w:val="24"/>
        </w:rPr>
        <w:lastRenderedPageBreak/>
        <w:t>1</w:t>
      </w:r>
      <w:r w:rsidR="00D27CB9" w:rsidRPr="00585F58">
        <w:rPr>
          <w:rFonts w:cs="Times New Roman"/>
          <w:szCs w:val="24"/>
        </w:rPr>
        <w:t>1</w:t>
      </w:r>
      <w:r w:rsidR="00A3094D" w:rsidRPr="00585F58">
        <w:rPr>
          <w:rFonts w:cs="Times New Roman"/>
          <w:szCs w:val="24"/>
        </w:rPr>
        <w:t>.attēlā redzama P&amp;A izmaksu dinamika Baltijas valstīs</w:t>
      </w:r>
      <w:r w:rsidR="002D1038" w:rsidRPr="00585F58">
        <w:rPr>
          <w:rFonts w:cs="Times New Roman"/>
          <w:szCs w:val="24"/>
        </w:rPr>
        <w:t xml:space="preserve"> % no IKP</w:t>
      </w:r>
      <w:r w:rsidR="00A3094D" w:rsidRPr="00585F58">
        <w:rPr>
          <w:rFonts w:cs="Times New Roman"/>
          <w:szCs w:val="24"/>
        </w:rPr>
        <w:t>. Jāatzīst, ka P&amp;A reālo izmaksu statistiskais novērtējums un salīdzināmība starp valstīm ir vērtējama piesardzīgi, jo ne visi uzņēmumi izvēlas uzņemties papildu administratīvo slogu P&amp;A izmaksu atsevišķai uzskaitei, it īpaši, ja tas nav nepieciešams uzņēmuma vajadzībām.</w:t>
      </w:r>
    </w:p>
    <w:p w:rsidR="00A3094D" w:rsidRPr="00585F58" w:rsidRDefault="00A3094D" w:rsidP="00A3094D">
      <w:pPr>
        <w:autoSpaceDE w:val="0"/>
        <w:autoSpaceDN w:val="0"/>
        <w:adjustRightInd w:val="0"/>
        <w:spacing w:after="0" w:line="240" w:lineRule="auto"/>
        <w:ind w:firstLine="567"/>
        <w:jc w:val="both"/>
        <w:rPr>
          <w:rFonts w:cs="Times New Roman"/>
          <w:szCs w:val="24"/>
        </w:rPr>
      </w:pPr>
      <w:r w:rsidRPr="00585F58">
        <w:rPr>
          <w:rFonts w:cs="Times New Roman"/>
          <w:szCs w:val="24"/>
        </w:rPr>
        <w:t>2011.gadā Latvijā vairāk nekā puse (51,0%) finansējuma pētniecības darbiem bija no ārvalstīm</w:t>
      </w:r>
      <w:r w:rsidR="00B37250" w:rsidRPr="00585F58">
        <w:rPr>
          <w:rStyle w:val="FootnoteReference"/>
          <w:rFonts w:cs="Times New Roman"/>
          <w:szCs w:val="24"/>
        </w:rPr>
        <w:footnoteReference w:id="5"/>
      </w:r>
      <w:r w:rsidRPr="00585F58">
        <w:rPr>
          <w:rFonts w:cs="Times New Roman"/>
          <w:szCs w:val="24"/>
        </w:rPr>
        <w:t xml:space="preserve">, 24,8% uzņēmumu finansējums, 22,5% valsts finansējums un 1,7% augstākās izglītības iestāžu finansējums. </w:t>
      </w:r>
    </w:p>
    <w:p w:rsidR="00A3094D" w:rsidRPr="00585F58" w:rsidRDefault="00A3094D" w:rsidP="00A3094D">
      <w:pPr>
        <w:autoSpaceDE w:val="0"/>
        <w:autoSpaceDN w:val="0"/>
        <w:adjustRightInd w:val="0"/>
        <w:spacing w:after="0" w:line="240" w:lineRule="auto"/>
        <w:ind w:firstLine="567"/>
        <w:jc w:val="both"/>
        <w:rPr>
          <w:rFonts w:cs="Times New Roman"/>
          <w:szCs w:val="24"/>
        </w:rPr>
      </w:pPr>
      <w:r w:rsidRPr="00585F58">
        <w:rPr>
          <w:rFonts w:cs="Times New Roman"/>
          <w:szCs w:val="24"/>
        </w:rPr>
        <w:t xml:space="preserve">Pētniecībā 2011.gadā bija 10 108 strādājošo (strādā normālu un nepilnu darba laiku), no tiem lielākā daļa – 7 377 (73,0%) - zinātniskais personāls. </w:t>
      </w:r>
    </w:p>
    <w:p w:rsidR="00A3094D" w:rsidRPr="00585F58" w:rsidRDefault="00A3094D" w:rsidP="00A3094D">
      <w:pPr>
        <w:autoSpaceDE w:val="0"/>
        <w:autoSpaceDN w:val="0"/>
        <w:adjustRightInd w:val="0"/>
        <w:spacing w:after="0" w:line="240" w:lineRule="auto"/>
        <w:ind w:firstLine="567"/>
        <w:jc w:val="both"/>
        <w:rPr>
          <w:rFonts w:cs="Times New Roman"/>
          <w:szCs w:val="24"/>
        </w:rPr>
      </w:pPr>
      <w:r w:rsidRPr="00585F58">
        <w:rPr>
          <w:rFonts w:cs="Times New Roman"/>
          <w:szCs w:val="24"/>
        </w:rPr>
        <w:t>Uzņēmējdarbības sektorā P&amp;A izdevumi 2011.gadā bija 27 570 tūkstoši latu (2010.gadā – 28 474 tūkstoši latu), no kuriem 30,9% veidoja lietišķie pētījumi, 66,0% - eksperimentālās izstrādes.</w:t>
      </w:r>
    </w:p>
    <w:p w:rsidR="00A3094D" w:rsidRPr="00585F58" w:rsidRDefault="00A3094D" w:rsidP="00A3094D">
      <w:pPr>
        <w:spacing w:after="0" w:line="240" w:lineRule="auto"/>
        <w:ind w:firstLine="567"/>
        <w:jc w:val="both"/>
        <w:rPr>
          <w:rFonts w:cs="Times New Roman"/>
          <w:szCs w:val="24"/>
        </w:rPr>
      </w:pPr>
      <w:r w:rsidRPr="00585F58">
        <w:rPr>
          <w:rFonts w:cs="Times New Roman"/>
          <w:szCs w:val="24"/>
        </w:rPr>
        <w:t xml:space="preserve">CSP apsekojuma dati rāda, ka Latvijā laikā no 2008. līdz 2010.gadam </w:t>
      </w:r>
      <w:r w:rsidR="00F14393" w:rsidRPr="00585F58">
        <w:rPr>
          <w:rFonts w:cs="Times New Roman"/>
          <w:szCs w:val="24"/>
        </w:rPr>
        <w:t>no visiem uzņēmumiem inovācijas</w:t>
      </w:r>
      <w:r w:rsidRPr="00585F58">
        <w:rPr>
          <w:rFonts w:cs="Times New Roman"/>
          <w:szCs w:val="24"/>
        </w:rPr>
        <w:t xml:space="preserve"> ieviesa 29,9% uzņēmumu, tai skaitā 62,2% lielo (vairāk nekā 250 strādājošie) uzņēmumu, 38,4 % vidējo (50 - 249 strādājošie) uzņēmumu un 26,7% mazo (10 - 49) uzņēmumu. </w:t>
      </w:r>
    </w:p>
    <w:p w:rsidR="00A3094D" w:rsidRPr="00585F58" w:rsidRDefault="00A3094D" w:rsidP="00A3094D">
      <w:pPr>
        <w:spacing w:after="0" w:line="240" w:lineRule="auto"/>
        <w:ind w:firstLine="567"/>
        <w:jc w:val="both"/>
        <w:rPr>
          <w:rFonts w:cs="Times New Roman"/>
          <w:szCs w:val="24"/>
        </w:rPr>
      </w:pPr>
      <w:r w:rsidRPr="00585F58">
        <w:rPr>
          <w:rFonts w:cs="Times New Roman"/>
          <w:szCs w:val="24"/>
        </w:rPr>
        <w:t>Laika periodā no 2008. līdz 2010.gadam 19,2% uzņēmumu ieviesa tikai procesa inovācijas, bet 15,2% – tikai produktu inovācijas. Savukārt 16,4% uzņēmumu ieviesa gan produktu, gan procesu inovācijas.</w:t>
      </w:r>
    </w:p>
    <w:p w:rsidR="00A3094D" w:rsidRPr="00585F58" w:rsidRDefault="00A3094D" w:rsidP="00A3094D">
      <w:pPr>
        <w:spacing w:after="0" w:line="240" w:lineRule="auto"/>
        <w:ind w:firstLine="567"/>
        <w:jc w:val="both"/>
        <w:rPr>
          <w:rFonts w:cs="Times New Roman"/>
          <w:szCs w:val="24"/>
        </w:rPr>
      </w:pPr>
      <w:r w:rsidRPr="00585F58">
        <w:rPr>
          <w:rFonts w:cs="Times New Roman"/>
          <w:szCs w:val="24"/>
        </w:rPr>
        <w:t xml:space="preserve">2010.gadā izdevumi tehnoloģiskajām inovācijām bija 92,6 milj.latu, no kuriem 71,7 milj.latu jeb 77,4% tika novirzīti jaunu iekārtu, mašīnu, datortehnikas un programmatūras iegādei, 11,0 </w:t>
      </w:r>
      <w:proofErr w:type="spellStart"/>
      <w:r w:rsidRPr="00585F58">
        <w:rPr>
          <w:rFonts w:cs="Times New Roman"/>
          <w:szCs w:val="24"/>
        </w:rPr>
        <w:t>milj.latu</w:t>
      </w:r>
      <w:proofErr w:type="spellEnd"/>
      <w:r w:rsidRPr="00585F58">
        <w:rPr>
          <w:rFonts w:cs="Times New Roman"/>
          <w:szCs w:val="24"/>
        </w:rPr>
        <w:t xml:space="preserve"> jeb 11,9% – pētniecības darbiem uzņēmumā.</w:t>
      </w:r>
    </w:p>
    <w:p w:rsidR="00A3094D" w:rsidRPr="00585F58" w:rsidRDefault="00A3094D" w:rsidP="00A3094D">
      <w:pPr>
        <w:spacing w:after="0" w:line="240" w:lineRule="auto"/>
        <w:ind w:firstLine="567"/>
        <w:jc w:val="both"/>
        <w:rPr>
          <w:rFonts w:cs="Times New Roman"/>
          <w:szCs w:val="24"/>
        </w:rPr>
      </w:pPr>
      <w:r w:rsidRPr="00585F58">
        <w:rPr>
          <w:rFonts w:cs="Times New Roman"/>
          <w:szCs w:val="24"/>
        </w:rPr>
        <w:t>15,5% no visiem inovatīvajiem uzņēmumiem vairāk kā 75% strādājošo ir augstākā izglītība. Apkalpojošās sfēras inovatīvajos uzņēmumos šis rādītājs ir ap 26,5%.</w:t>
      </w:r>
    </w:p>
    <w:p w:rsidR="00A3094D" w:rsidRPr="00585F58" w:rsidRDefault="00A3094D" w:rsidP="00A3094D">
      <w:pPr>
        <w:spacing w:after="0" w:line="240" w:lineRule="auto"/>
        <w:ind w:firstLine="720"/>
        <w:jc w:val="both"/>
        <w:rPr>
          <w:rFonts w:cs="Times New Roman"/>
          <w:szCs w:val="24"/>
        </w:rPr>
      </w:pPr>
      <w:r w:rsidRPr="00585F58">
        <w:rPr>
          <w:rFonts w:cs="Times New Roman"/>
          <w:szCs w:val="24"/>
        </w:rPr>
        <w:t xml:space="preserve">Kā galveno tehnoloģisko inovāciju ieviešanu kavējošu faktoru 29% uzņēmumu min pārāk augstās inovāciju izmaksas. Nākamie nozīmīgākie faktori ir – līdzekļu trūkums uzņēmumā vai uzņēmumu grupā (23,1%) un tas, ka tirgū dominē jau nostabilizējušies uzņēmumi (18,1%). </w:t>
      </w:r>
    </w:p>
    <w:p w:rsidR="00A3094D" w:rsidRPr="00585F58" w:rsidRDefault="00A3094D" w:rsidP="00A3094D">
      <w:pPr>
        <w:spacing w:after="0" w:line="240" w:lineRule="auto"/>
        <w:ind w:firstLine="720"/>
        <w:jc w:val="both"/>
        <w:rPr>
          <w:rFonts w:cs="Times New Roman"/>
          <w:szCs w:val="24"/>
        </w:rPr>
      </w:pPr>
      <w:r w:rsidRPr="00585F58">
        <w:rPr>
          <w:rFonts w:cs="Times New Roman"/>
          <w:szCs w:val="24"/>
        </w:rPr>
        <w:t>Kā norādīts NAP, attīstīta pētniecība un inovācija</w:t>
      </w:r>
      <w:r w:rsidR="004D2135" w:rsidRPr="00585F58">
        <w:rPr>
          <w:rFonts w:cs="Times New Roman"/>
          <w:szCs w:val="24"/>
        </w:rPr>
        <w:t>s</w:t>
      </w:r>
      <w:r w:rsidRPr="00585F58">
        <w:rPr>
          <w:rFonts w:cs="Times New Roman"/>
          <w:szCs w:val="24"/>
        </w:rPr>
        <w:t>, kas tiek sekmīgi komercializēta</w:t>
      </w:r>
      <w:r w:rsidR="002D1038" w:rsidRPr="00585F58">
        <w:rPr>
          <w:rFonts w:cs="Times New Roman"/>
          <w:szCs w:val="24"/>
        </w:rPr>
        <w:t>s</w:t>
      </w:r>
      <w:r w:rsidRPr="00585F58">
        <w:rPr>
          <w:rFonts w:cs="Times New Roman"/>
          <w:szCs w:val="24"/>
        </w:rPr>
        <w:t>, dod iespēju valstij ražot eksportējamus produktus un sniegt starptautiski konkurētspējīgus pakalpojumus. Pētniecība un inovācija</w:t>
      </w:r>
      <w:r w:rsidR="004D2135" w:rsidRPr="00585F58">
        <w:rPr>
          <w:rFonts w:cs="Times New Roman"/>
          <w:szCs w:val="24"/>
        </w:rPr>
        <w:t>s</w:t>
      </w:r>
      <w:r w:rsidRPr="00585F58">
        <w:rPr>
          <w:rFonts w:cs="Times New Roman"/>
          <w:szCs w:val="24"/>
        </w:rPr>
        <w:t xml:space="preserve"> var kalpot produktivitātes celšanai, kas nav saistīta ar darbaspēka izmaksu samazināšanu.</w:t>
      </w:r>
    </w:p>
    <w:p w:rsidR="00A3094D" w:rsidRPr="00585F58" w:rsidRDefault="00A3094D" w:rsidP="00A3094D">
      <w:pPr>
        <w:spacing w:after="0" w:line="240" w:lineRule="auto"/>
        <w:ind w:firstLine="720"/>
        <w:jc w:val="both"/>
        <w:rPr>
          <w:rFonts w:cs="Times New Roman"/>
          <w:szCs w:val="24"/>
        </w:rPr>
      </w:pPr>
      <w:r w:rsidRPr="00585F58">
        <w:rPr>
          <w:rFonts w:cs="Times New Roman"/>
          <w:szCs w:val="24"/>
        </w:rPr>
        <w:t xml:space="preserve">Jāņem vērā, ka Latvijas biznesa struktūru galvenokārt veido </w:t>
      </w:r>
      <w:proofErr w:type="spellStart"/>
      <w:r w:rsidRPr="00585F58">
        <w:rPr>
          <w:rFonts w:cs="Times New Roman"/>
          <w:szCs w:val="24"/>
        </w:rPr>
        <w:t>mikro</w:t>
      </w:r>
      <w:proofErr w:type="spellEnd"/>
      <w:r w:rsidRPr="00585F58">
        <w:rPr>
          <w:rFonts w:cs="Times New Roman"/>
          <w:szCs w:val="24"/>
        </w:rPr>
        <w:t>, mazie un vidējie uzņēmumi, kuriem ir ierobežota inovācijas kapacitāte, kā rezultātā augsto tehnoloģiju sektors ir vāji attīstīts.</w:t>
      </w:r>
    </w:p>
    <w:p w:rsidR="00A3094D" w:rsidRPr="00585F58" w:rsidRDefault="00A3094D" w:rsidP="00A3094D">
      <w:pPr>
        <w:spacing w:after="0" w:line="240" w:lineRule="auto"/>
        <w:ind w:firstLine="720"/>
        <w:jc w:val="both"/>
        <w:rPr>
          <w:rFonts w:cs="Times New Roman"/>
          <w:szCs w:val="24"/>
        </w:rPr>
      </w:pPr>
      <w:r w:rsidRPr="00585F58">
        <w:rPr>
          <w:rFonts w:cs="Times New Roman"/>
          <w:szCs w:val="24"/>
        </w:rPr>
        <w:t xml:space="preserve">Kā jau arī iepriekš tika norādīts, finanšu pieejamība pašreizējos apstākļos ir stipri ierobežota - ES struktūrfondu atbalsta programmas un tajās pieejamie finanšu līdzekļi uzņēmējdarbības veicināšanai ir ierobežoti gan to pieejamības nosacījumu, gan apjoma ziņā. Savukārt, banku kreditēšanas politika </w:t>
      </w:r>
      <w:proofErr w:type="spellStart"/>
      <w:r w:rsidRPr="00585F58">
        <w:rPr>
          <w:rFonts w:cs="Times New Roman"/>
          <w:szCs w:val="24"/>
        </w:rPr>
        <w:t>pēckrīzes</w:t>
      </w:r>
      <w:proofErr w:type="spellEnd"/>
      <w:r w:rsidRPr="00585F58">
        <w:rPr>
          <w:rFonts w:cs="Times New Roman"/>
          <w:szCs w:val="24"/>
        </w:rPr>
        <w:t xml:space="preserve"> periodā ir vairāk orientēta uz uzņēmumiem ar stabiliem finanšu rādītājiem un pozīciju tirgū. </w:t>
      </w:r>
      <w:r w:rsidR="004D2135" w:rsidRPr="00585F58">
        <w:rPr>
          <w:rFonts w:cs="Times New Roman"/>
          <w:szCs w:val="24"/>
        </w:rPr>
        <w:t>Tādēļ</w:t>
      </w:r>
      <w:r w:rsidRPr="00585F58">
        <w:rPr>
          <w:rFonts w:cs="Times New Roman"/>
          <w:szCs w:val="24"/>
        </w:rPr>
        <w:t xml:space="preserve"> ir nepieciešams veidot gan valsts stimulus finanšu pieejamības veicināšanai ieguldījumu veicināšanai P&amp;A, piemēram riska kapitāla instrumentus, gan arī veidot atbilstošu no</w:t>
      </w:r>
      <w:r w:rsidR="004D2135" w:rsidRPr="00585F58">
        <w:rPr>
          <w:rFonts w:cs="Times New Roman"/>
          <w:szCs w:val="24"/>
        </w:rPr>
        <w:t>dokļu politiku P&amp;A veicināšanai</w:t>
      </w:r>
      <w:r w:rsidRPr="00585F58">
        <w:rPr>
          <w:rFonts w:cs="Times New Roman"/>
          <w:szCs w:val="24"/>
        </w:rPr>
        <w:t>, stimulējot veikt investīcijas P&amp;A gan vidējā termiņā, gan ilgtermiņā.</w:t>
      </w:r>
    </w:p>
    <w:p w:rsidR="00A3094D" w:rsidRPr="00585F58" w:rsidRDefault="00A3094D" w:rsidP="00A3094D">
      <w:pPr>
        <w:spacing w:after="0" w:line="240" w:lineRule="auto"/>
        <w:ind w:firstLine="720"/>
        <w:jc w:val="both"/>
        <w:rPr>
          <w:rFonts w:cs="Times New Roman"/>
          <w:szCs w:val="24"/>
        </w:rPr>
      </w:pPr>
      <w:r w:rsidRPr="00585F58">
        <w:rPr>
          <w:rFonts w:cs="Times New Roman"/>
          <w:szCs w:val="24"/>
        </w:rPr>
        <w:lastRenderedPageBreak/>
        <w:t xml:space="preserve">Nodokļu politikas nozīme inovāciju un augsto tehnoloģiju attīstībā ir uzsvērta arī galvenajos politikas plānošanas dokumentos, kuros ir izvirzīts mērķis līdz 2020.gadam palielināt ieguldījumu </w:t>
      </w:r>
      <w:r w:rsidR="005650EE" w:rsidRPr="00585F58">
        <w:rPr>
          <w:rFonts w:cs="Times New Roman"/>
          <w:szCs w:val="24"/>
        </w:rPr>
        <w:t>apjomu P&amp;A</w:t>
      </w:r>
      <w:r w:rsidRPr="00585F58">
        <w:rPr>
          <w:rFonts w:cs="Times New Roman"/>
          <w:szCs w:val="24"/>
        </w:rPr>
        <w:t xml:space="preserve"> līdz 1,5% no </w:t>
      </w:r>
      <w:r w:rsidR="005650EE" w:rsidRPr="00585F58">
        <w:rPr>
          <w:rFonts w:cs="Times New Roman"/>
          <w:szCs w:val="24"/>
        </w:rPr>
        <w:t>IKP</w:t>
      </w:r>
      <w:r w:rsidRPr="00585F58">
        <w:rPr>
          <w:rFonts w:cs="Times New Roman"/>
          <w:szCs w:val="24"/>
        </w:rPr>
        <w:t>. NAP paredz pilnveidot nodokļu stimulu sistēmu, lai atbalstītu jaunu produktu izstrādi un investīciju piesaisti uzņēmumu konkurētspējas stiprināšanai. Latvijas ilgtspējīgas attīstības stratēģij</w:t>
      </w:r>
      <w:r w:rsidR="005650EE" w:rsidRPr="00585F58">
        <w:rPr>
          <w:rFonts w:cs="Times New Roman"/>
          <w:szCs w:val="24"/>
        </w:rPr>
        <w:t>ā</w:t>
      </w:r>
      <w:r w:rsidRPr="00585F58">
        <w:rPr>
          <w:rFonts w:cs="Times New Roman"/>
          <w:szCs w:val="24"/>
        </w:rPr>
        <w:t xml:space="preserve"> līdz 2030.gadam ir secināts, ka pētījumi citās valstīs pierāda, ka P&amp;A paredzēts nodokļu atvieglojums var pozitīvi ietekmēt inovāciju skaita pieaugumu, kas ļauj P&amp;A jomā strādājošiem uzņēmumiem saņemt nodokļu atvieglojumus leģitīmiem izdevumiem.</w:t>
      </w:r>
    </w:p>
    <w:p w:rsidR="0068477E" w:rsidRPr="00585F58" w:rsidRDefault="0068477E" w:rsidP="00A3094D">
      <w:pPr>
        <w:spacing w:after="0" w:line="240" w:lineRule="auto"/>
        <w:ind w:firstLine="720"/>
        <w:jc w:val="both"/>
        <w:rPr>
          <w:rFonts w:cs="Times New Roman"/>
          <w:szCs w:val="24"/>
        </w:rPr>
      </w:pPr>
    </w:p>
    <w:p w:rsidR="00653C72" w:rsidRPr="00585F58" w:rsidRDefault="0068477E" w:rsidP="0068477E">
      <w:pPr>
        <w:spacing w:after="0" w:line="240" w:lineRule="auto"/>
        <w:ind w:firstLine="720"/>
        <w:rPr>
          <w:rFonts w:cs="Times New Roman"/>
          <w:b/>
          <w:szCs w:val="24"/>
          <w:u w:val="single"/>
        </w:rPr>
      </w:pPr>
      <w:r w:rsidRPr="00585F58">
        <w:rPr>
          <w:rFonts w:cs="Times New Roman"/>
          <w:b/>
          <w:szCs w:val="24"/>
          <w:u w:val="single"/>
        </w:rPr>
        <w:t>6.1. Ekonomikas ministrijas priekšlikums</w:t>
      </w:r>
    </w:p>
    <w:p w:rsidR="0068477E" w:rsidRPr="00585F58" w:rsidRDefault="0068477E" w:rsidP="0068477E">
      <w:pPr>
        <w:spacing w:after="0" w:line="240" w:lineRule="auto"/>
        <w:ind w:firstLine="720"/>
        <w:rPr>
          <w:rFonts w:cs="Times New Roman"/>
          <w:b/>
          <w:szCs w:val="24"/>
          <w:u w:val="single"/>
        </w:rPr>
      </w:pPr>
    </w:p>
    <w:p w:rsidR="0068477E" w:rsidRPr="00585F58" w:rsidRDefault="00653C72" w:rsidP="00FD3B93">
      <w:pPr>
        <w:spacing w:after="0" w:line="240" w:lineRule="auto"/>
        <w:ind w:firstLine="709"/>
        <w:jc w:val="both"/>
        <w:rPr>
          <w:rFonts w:cs="Times New Roman"/>
          <w:szCs w:val="24"/>
        </w:rPr>
      </w:pPr>
      <w:r w:rsidRPr="00585F58">
        <w:rPr>
          <w:rFonts w:cs="Times New Roman"/>
          <w:szCs w:val="24"/>
        </w:rPr>
        <w:t xml:space="preserve">Ņemot vērā valsts noteiktās prioritātes, kā arī citu valstu pieredzes analīzi un </w:t>
      </w:r>
      <w:r w:rsidR="009576B7" w:rsidRPr="00585F58">
        <w:rPr>
          <w:rFonts w:cs="Times New Roman"/>
          <w:szCs w:val="24"/>
        </w:rPr>
        <w:t xml:space="preserve">LTRK </w:t>
      </w:r>
      <w:r w:rsidRPr="00585F58">
        <w:rPr>
          <w:rFonts w:cs="Times New Roman"/>
          <w:szCs w:val="24"/>
        </w:rPr>
        <w:t>veikto uzņēmēju aptauju, Ekonomikas ministrija ir izstrādājusi priekšlikumu privāto ieguldījumu veicināšanai P&amp;A, kas paredz</w:t>
      </w:r>
      <w:r w:rsidR="009576B7" w:rsidRPr="00585F58">
        <w:rPr>
          <w:rFonts w:cs="Times New Roman"/>
          <w:szCs w:val="24"/>
        </w:rPr>
        <w:t>,</w:t>
      </w:r>
      <w:r w:rsidRPr="00585F58">
        <w:rPr>
          <w:rFonts w:cs="Times New Roman"/>
          <w:szCs w:val="24"/>
        </w:rPr>
        <w:t xml:space="preserve"> sākot ar 2014.gadu aizstāt jeb pilnveidot esošo P&amp;A atvieglojumu, nosakot, ka pētniecības un attīstības izmaksas tiek norakstītas trīskāršā apmērā tajā gadā, kad tās radušās, piemērojot noteiktām izmaksu pozīcijām vērtību palielinošu koeficientu – 3. Nodokļa atvieglojuma mērķis ir veicināt uzņēmuma ieguldījumus P&amp;A darbībās, kas orientētas uz jaunu zināšanu un paņēmienu ieguvi jaunu produktu un tehnoloģiju izstrādei vai būtiskai uzlabošanai, kā arī zinātnisko atziņu, tehnoloģisko, komerciālo vai citu būtisku zināšanu vai prasmju kombinēšanu, modelēšanu vai izmantošanu, lai radītu jaunus vai būtiski uzlab</w:t>
      </w:r>
      <w:r w:rsidR="00FD3B93">
        <w:rPr>
          <w:rFonts w:cs="Times New Roman"/>
          <w:szCs w:val="24"/>
        </w:rPr>
        <w:t>otus produktus un tehnoloģijas.</w:t>
      </w:r>
      <w:r w:rsidR="00ED2950">
        <w:rPr>
          <w:rFonts w:cs="Times New Roman"/>
          <w:szCs w:val="24"/>
        </w:rPr>
        <w:t xml:space="preserve"> Papildus Ekonomikas ministrija ir sagatavojusi pilnveidotu P&amp;A UIN atvieglojuma piemērošanas modeli (Pielikums). </w:t>
      </w:r>
    </w:p>
    <w:p w:rsidR="00A3094D" w:rsidRPr="00585F58" w:rsidRDefault="00A3094D" w:rsidP="00A3094D">
      <w:pPr>
        <w:spacing w:after="0" w:line="240" w:lineRule="auto"/>
        <w:ind w:firstLine="720"/>
        <w:jc w:val="both"/>
        <w:rPr>
          <w:rFonts w:cs="Times New Roman"/>
          <w:szCs w:val="24"/>
        </w:rPr>
      </w:pPr>
      <w:r w:rsidRPr="00585F58">
        <w:rPr>
          <w:rFonts w:cs="Times New Roman"/>
          <w:szCs w:val="24"/>
        </w:rPr>
        <w:t xml:space="preserve">Papildus Ekonomikas ministrija </w:t>
      </w:r>
      <w:r w:rsidR="005650EE" w:rsidRPr="00585F58">
        <w:rPr>
          <w:rFonts w:cs="Times New Roman"/>
          <w:szCs w:val="24"/>
        </w:rPr>
        <w:t>plāno noteikt ierobežojumus atv</w:t>
      </w:r>
      <w:r w:rsidRPr="00585F58">
        <w:rPr>
          <w:rFonts w:cs="Times New Roman"/>
          <w:szCs w:val="24"/>
        </w:rPr>
        <w:t>ieglojuma izmantošanai – P&amp;A attiecināmo izmaksu summā netiek iekļauts pievienotās vērtības nodoklis, kā arī izmaksas, kas saistītas ar P&amp;A pakalpojumu sniegšanu (šīs izmaksas attiecina pakalpojumu saņēmējs) un ārpakalpojumu izmaksas, ja konkrētie pakalpojumi iegādāti no zemu nodokļu vai beznodokļu valstīm. Tāpat P&amp;A attiecināmo izmaksu summā netiek iekļauta tā P&amp;A izmaksu daļa, par kuru saņemts valsts atbalsts</w:t>
      </w:r>
      <w:r w:rsidR="002401A7" w:rsidRPr="00585F58">
        <w:rPr>
          <w:rFonts w:cs="Times New Roman"/>
          <w:szCs w:val="24"/>
        </w:rPr>
        <w:t>, neatkarīgi no tā, vai atbalsts</w:t>
      </w:r>
      <w:r w:rsidRPr="00585F58">
        <w:rPr>
          <w:rFonts w:cs="Times New Roman"/>
          <w:szCs w:val="24"/>
        </w:rPr>
        <w:t xml:space="preserve"> </w:t>
      </w:r>
      <w:r w:rsidR="002401A7" w:rsidRPr="00585F58">
        <w:rPr>
          <w:rFonts w:cs="Times New Roman"/>
          <w:szCs w:val="24"/>
        </w:rPr>
        <w:t>saņemts</w:t>
      </w:r>
      <w:r w:rsidRPr="00585F58">
        <w:rPr>
          <w:rFonts w:cs="Times New Roman"/>
          <w:szCs w:val="24"/>
        </w:rPr>
        <w:t xml:space="preserve"> no valsts, pašvaldības vai </w:t>
      </w:r>
      <w:r w:rsidR="00265455" w:rsidRPr="00585F58">
        <w:rPr>
          <w:rFonts w:cs="Times New Roman"/>
          <w:szCs w:val="24"/>
        </w:rPr>
        <w:t>ES</w:t>
      </w:r>
      <w:r w:rsidRPr="00585F58">
        <w:rPr>
          <w:rFonts w:cs="Times New Roman"/>
          <w:szCs w:val="24"/>
        </w:rPr>
        <w:t xml:space="preserve"> līdzekļiem.</w:t>
      </w:r>
    </w:p>
    <w:p w:rsidR="00A3094D" w:rsidRPr="00585F58" w:rsidRDefault="00A3094D" w:rsidP="00A3094D">
      <w:pPr>
        <w:spacing w:after="0" w:line="240" w:lineRule="auto"/>
        <w:ind w:firstLine="567"/>
        <w:jc w:val="both"/>
        <w:rPr>
          <w:rFonts w:cs="Times New Roman"/>
        </w:rPr>
      </w:pPr>
      <w:r w:rsidRPr="00585F58">
        <w:rPr>
          <w:rFonts w:cs="Times New Roman"/>
        </w:rPr>
        <w:t>Ņemot vērā, ka priekšlikums būtiski atšķiras no šobrīd spēkā esošā nodokļa atvieglojuma P&amp;A, Ekonomikas ministrija uzskata, ka fiskālo ietekmi UIN atlaides piemērošanai ar P&amp;A saistītām izmaksām var noteikt tikai indikatīvi, ņemot vērā aktuālākos pieejamos statistikas datus par uzņēmumu peļņu vai zaudējumiem pirms nodokļiem, uzņēmējdarbības sektora veiktajiem ieguldījumiem P&amp;A, kā arī valst</w:t>
      </w:r>
      <w:r w:rsidR="00B17AAF" w:rsidRPr="00585F58">
        <w:rPr>
          <w:rFonts w:cs="Times New Roman"/>
        </w:rPr>
        <w:t>s budžetā iekasēto UIN apjomu (</w:t>
      </w:r>
      <w:r w:rsidR="00FD3B93">
        <w:rPr>
          <w:rFonts w:cs="Times New Roman"/>
        </w:rPr>
        <w:t>6</w:t>
      </w:r>
      <w:r w:rsidRPr="00585F58">
        <w:rPr>
          <w:rFonts w:cs="Times New Roman"/>
        </w:rPr>
        <w:t xml:space="preserve">.tabula). </w:t>
      </w:r>
    </w:p>
    <w:p w:rsidR="00B17AAF" w:rsidRPr="00585F58" w:rsidRDefault="00B17AAF" w:rsidP="00A3094D">
      <w:pPr>
        <w:spacing w:after="0" w:line="240" w:lineRule="auto"/>
        <w:ind w:firstLine="567"/>
        <w:jc w:val="both"/>
        <w:rPr>
          <w:rFonts w:cs="Times New Roman"/>
        </w:rPr>
      </w:pPr>
    </w:p>
    <w:p w:rsidR="00A3094D" w:rsidRPr="00585F58" w:rsidRDefault="00FD3B93" w:rsidP="00A3094D">
      <w:pPr>
        <w:pStyle w:val="ListParagraph"/>
        <w:spacing w:after="0" w:line="240" w:lineRule="auto"/>
        <w:jc w:val="both"/>
        <w:rPr>
          <w:rFonts w:cs="Times New Roman"/>
          <w:szCs w:val="24"/>
        </w:rPr>
      </w:pPr>
      <w:r>
        <w:rPr>
          <w:rFonts w:cs="Times New Roman"/>
          <w:b/>
          <w:szCs w:val="24"/>
        </w:rPr>
        <w:t>6</w:t>
      </w:r>
      <w:r w:rsidR="0003018B" w:rsidRPr="00585F58">
        <w:rPr>
          <w:rFonts w:cs="Times New Roman"/>
          <w:b/>
          <w:szCs w:val="24"/>
        </w:rPr>
        <w:t>.tab. Fiskālās ietekmes aprēķinā izmantotie dati</w:t>
      </w:r>
      <w:r w:rsidR="0003018B" w:rsidRPr="00585F58">
        <w:rPr>
          <w:rFonts w:cs="Times New Roman"/>
          <w:b/>
          <w:szCs w:val="24"/>
        </w:rPr>
        <w:tab/>
      </w:r>
    </w:p>
    <w:tbl>
      <w:tblPr>
        <w:tblStyle w:val="TableGrid"/>
        <w:tblW w:w="0" w:type="auto"/>
        <w:jc w:val="center"/>
        <w:tblLook w:val="04A0" w:firstRow="1" w:lastRow="0" w:firstColumn="1" w:lastColumn="0" w:noHBand="0" w:noVBand="1"/>
      </w:tblPr>
      <w:tblGrid>
        <w:gridCol w:w="5430"/>
        <w:gridCol w:w="2616"/>
      </w:tblGrid>
      <w:tr w:rsidR="00585F58" w:rsidRPr="00585F58" w:rsidTr="00F17FB1">
        <w:trPr>
          <w:jc w:val="center"/>
        </w:trPr>
        <w:tc>
          <w:tcPr>
            <w:tcW w:w="5430" w:type="dxa"/>
          </w:tcPr>
          <w:p w:rsidR="0003018B" w:rsidRPr="00585F58" w:rsidRDefault="0003018B" w:rsidP="00F17FB1">
            <w:pPr>
              <w:jc w:val="both"/>
              <w:rPr>
                <w:rFonts w:ascii="Times New Roman" w:hAnsi="Times New Roman" w:cs="Times New Roman"/>
                <w:sz w:val="24"/>
                <w:szCs w:val="24"/>
              </w:rPr>
            </w:pPr>
          </w:p>
        </w:tc>
        <w:tc>
          <w:tcPr>
            <w:tcW w:w="2616" w:type="dxa"/>
          </w:tcPr>
          <w:p w:rsidR="0003018B" w:rsidRPr="00585F58" w:rsidRDefault="0003018B" w:rsidP="00F17FB1">
            <w:pPr>
              <w:jc w:val="center"/>
              <w:rPr>
                <w:rFonts w:ascii="Times New Roman" w:hAnsi="Times New Roman" w:cs="Times New Roman"/>
                <w:b/>
                <w:sz w:val="24"/>
                <w:szCs w:val="24"/>
              </w:rPr>
            </w:pPr>
            <w:r w:rsidRPr="00585F58">
              <w:rPr>
                <w:rFonts w:ascii="Times New Roman" w:hAnsi="Times New Roman" w:cs="Times New Roman"/>
                <w:b/>
                <w:sz w:val="24"/>
                <w:szCs w:val="24"/>
              </w:rPr>
              <w:t>2011.gads</w:t>
            </w:r>
          </w:p>
        </w:tc>
      </w:tr>
      <w:tr w:rsidR="00585F58" w:rsidRPr="00585F58" w:rsidTr="00F17FB1">
        <w:trPr>
          <w:trHeight w:val="340"/>
          <w:jc w:val="center"/>
        </w:trPr>
        <w:tc>
          <w:tcPr>
            <w:tcW w:w="5430" w:type="dxa"/>
          </w:tcPr>
          <w:p w:rsidR="0003018B" w:rsidRPr="00585F58" w:rsidRDefault="0003018B" w:rsidP="00F17FB1">
            <w:pPr>
              <w:jc w:val="both"/>
              <w:rPr>
                <w:rFonts w:ascii="Times New Roman" w:hAnsi="Times New Roman" w:cs="Times New Roman"/>
                <w:sz w:val="24"/>
                <w:szCs w:val="24"/>
              </w:rPr>
            </w:pPr>
            <w:r w:rsidRPr="00585F58">
              <w:rPr>
                <w:rFonts w:ascii="Times New Roman" w:hAnsi="Times New Roman" w:cs="Times New Roman"/>
                <w:sz w:val="24"/>
                <w:szCs w:val="24"/>
              </w:rPr>
              <w:t xml:space="preserve">Peļņa vai zaudējumi pirms nodokļiem </w:t>
            </w:r>
          </w:p>
        </w:tc>
        <w:tc>
          <w:tcPr>
            <w:tcW w:w="2616" w:type="dxa"/>
          </w:tcPr>
          <w:p w:rsidR="0003018B" w:rsidRPr="00585F58" w:rsidRDefault="0003018B" w:rsidP="00F17FB1">
            <w:pPr>
              <w:tabs>
                <w:tab w:val="decimal" w:pos="886"/>
              </w:tabs>
              <w:rPr>
                <w:rFonts w:ascii="Times New Roman" w:hAnsi="Times New Roman" w:cs="Times New Roman"/>
                <w:sz w:val="24"/>
                <w:szCs w:val="24"/>
              </w:rPr>
            </w:pPr>
            <w:r w:rsidRPr="00585F58">
              <w:rPr>
                <w:rFonts w:ascii="Times New Roman" w:hAnsi="Times New Roman" w:cs="Times New Roman"/>
                <w:sz w:val="24"/>
                <w:szCs w:val="24"/>
              </w:rPr>
              <w:t xml:space="preserve">904,3 </w:t>
            </w:r>
            <w:proofErr w:type="spellStart"/>
            <w:r w:rsidRPr="00585F58">
              <w:rPr>
                <w:rFonts w:ascii="Times New Roman" w:hAnsi="Times New Roman" w:cs="Times New Roman"/>
                <w:sz w:val="24"/>
                <w:szCs w:val="24"/>
              </w:rPr>
              <w:t>milj</w:t>
            </w:r>
            <w:proofErr w:type="spellEnd"/>
            <w:r w:rsidRPr="00585F58">
              <w:rPr>
                <w:rFonts w:ascii="Times New Roman" w:hAnsi="Times New Roman" w:cs="Times New Roman"/>
                <w:sz w:val="24"/>
                <w:szCs w:val="24"/>
              </w:rPr>
              <w:t>. latu</w:t>
            </w:r>
          </w:p>
        </w:tc>
      </w:tr>
      <w:tr w:rsidR="00585F58" w:rsidRPr="00585F58" w:rsidTr="00F17FB1">
        <w:trPr>
          <w:trHeight w:val="340"/>
          <w:jc w:val="center"/>
        </w:trPr>
        <w:tc>
          <w:tcPr>
            <w:tcW w:w="5430" w:type="dxa"/>
          </w:tcPr>
          <w:p w:rsidR="0003018B" w:rsidRPr="00585F58" w:rsidRDefault="0003018B" w:rsidP="00F17FB1">
            <w:pPr>
              <w:jc w:val="both"/>
              <w:rPr>
                <w:rFonts w:ascii="Times New Roman" w:hAnsi="Times New Roman" w:cs="Times New Roman"/>
                <w:sz w:val="24"/>
                <w:szCs w:val="24"/>
              </w:rPr>
            </w:pPr>
            <w:r w:rsidRPr="00585F58">
              <w:rPr>
                <w:rFonts w:ascii="Times New Roman" w:hAnsi="Times New Roman" w:cs="Times New Roman"/>
                <w:sz w:val="24"/>
                <w:szCs w:val="24"/>
              </w:rPr>
              <w:t>Uzņēmējdarbības sektora ieguldījums P&amp;A</w:t>
            </w:r>
          </w:p>
        </w:tc>
        <w:tc>
          <w:tcPr>
            <w:tcW w:w="2616" w:type="dxa"/>
          </w:tcPr>
          <w:p w:rsidR="0003018B" w:rsidRPr="00585F58" w:rsidRDefault="0003018B" w:rsidP="00F17FB1">
            <w:pPr>
              <w:tabs>
                <w:tab w:val="decimal" w:pos="886"/>
              </w:tabs>
              <w:rPr>
                <w:rFonts w:ascii="Times New Roman" w:hAnsi="Times New Roman" w:cs="Times New Roman"/>
                <w:sz w:val="24"/>
                <w:szCs w:val="24"/>
              </w:rPr>
            </w:pPr>
            <w:r w:rsidRPr="00585F58">
              <w:rPr>
                <w:rFonts w:ascii="Times New Roman" w:hAnsi="Times New Roman" w:cs="Times New Roman"/>
                <w:sz w:val="24"/>
                <w:szCs w:val="24"/>
              </w:rPr>
              <w:t xml:space="preserve">27,6 </w:t>
            </w:r>
            <w:proofErr w:type="spellStart"/>
            <w:r w:rsidRPr="00585F58">
              <w:rPr>
                <w:rFonts w:ascii="Times New Roman" w:hAnsi="Times New Roman" w:cs="Times New Roman"/>
                <w:sz w:val="24"/>
                <w:szCs w:val="24"/>
              </w:rPr>
              <w:t>milj</w:t>
            </w:r>
            <w:proofErr w:type="spellEnd"/>
            <w:r w:rsidRPr="00585F58">
              <w:rPr>
                <w:rFonts w:ascii="Times New Roman" w:hAnsi="Times New Roman" w:cs="Times New Roman"/>
                <w:sz w:val="24"/>
                <w:szCs w:val="24"/>
              </w:rPr>
              <w:t>. latu</w:t>
            </w:r>
          </w:p>
        </w:tc>
      </w:tr>
      <w:tr w:rsidR="00585F58" w:rsidRPr="00585F58" w:rsidTr="00F17FB1">
        <w:trPr>
          <w:trHeight w:val="340"/>
          <w:jc w:val="center"/>
        </w:trPr>
        <w:tc>
          <w:tcPr>
            <w:tcW w:w="5430" w:type="dxa"/>
          </w:tcPr>
          <w:p w:rsidR="0003018B" w:rsidRPr="00585F58" w:rsidRDefault="0003018B" w:rsidP="00F17FB1">
            <w:pPr>
              <w:jc w:val="both"/>
              <w:rPr>
                <w:rFonts w:ascii="Times New Roman" w:hAnsi="Times New Roman" w:cs="Times New Roman"/>
                <w:sz w:val="24"/>
                <w:szCs w:val="24"/>
              </w:rPr>
            </w:pPr>
            <w:r w:rsidRPr="00585F58">
              <w:rPr>
                <w:rFonts w:ascii="Times New Roman" w:hAnsi="Times New Roman" w:cs="Times New Roman"/>
                <w:sz w:val="24"/>
                <w:szCs w:val="24"/>
              </w:rPr>
              <w:t>UIN ieņēmumi</w:t>
            </w:r>
          </w:p>
        </w:tc>
        <w:tc>
          <w:tcPr>
            <w:tcW w:w="2616" w:type="dxa"/>
          </w:tcPr>
          <w:p w:rsidR="0003018B" w:rsidRPr="00585F58" w:rsidRDefault="0003018B" w:rsidP="00F17FB1">
            <w:pPr>
              <w:tabs>
                <w:tab w:val="decimal" w:pos="886"/>
              </w:tabs>
              <w:rPr>
                <w:rFonts w:ascii="Times New Roman" w:hAnsi="Times New Roman" w:cs="Times New Roman"/>
                <w:sz w:val="24"/>
                <w:szCs w:val="24"/>
              </w:rPr>
            </w:pPr>
            <w:r w:rsidRPr="00585F58">
              <w:rPr>
                <w:rFonts w:ascii="Times New Roman" w:hAnsi="Times New Roman" w:cs="Times New Roman"/>
                <w:sz w:val="24"/>
                <w:szCs w:val="24"/>
              </w:rPr>
              <w:t xml:space="preserve">196,4 </w:t>
            </w:r>
            <w:proofErr w:type="spellStart"/>
            <w:r w:rsidRPr="00585F58">
              <w:rPr>
                <w:rFonts w:ascii="Times New Roman" w:hAnsi="Times New Roman" w:cs="Times New Roman"/>
                <w:sz w:val="24"/>
                <w:szCs w:val="24"/>
              </w:rPr>
              <w:t>milj</w:t>
            </w:r>
            <w:proofErr w:type="spellEnd"/>
            <w:r w:rsidRPr="00585F58">
              <w:rPr>
                <w:rFonts w:ascii="Times New Roman" w:hAnsi="Times New Roman" w:cs="Times New Roman"/>
                <w:sz w:val="24"/>
                <w:szCs w:val="24"/>
              </w:rPr>
              <w:t>. latu</w:t>
            </w:r>
          </w:p>
        </w:tc>
      </w:tr>
      <w:tr w:rsidR="00585F58" w:rsidRPr="00585F58" w:rsidTr="00FD0E6C">
        <w:trPr>
          <w:trHeight w:val="340"/>
          <w:jc w:val="center"/>
        </w:trPr>
        <w:tc>
          <w:tcPr>
            <w:tcW w:w="5430" w:type="dxa"/>
          </w:tcPr>
          <w:p w:rsidR="0003018B" w:rsidRPr="00585F58" w:rsidRDefault="0003018B" w:rsidP="00F17FB1">
            <w:pPr>
              <w:jc w:val="both"/>
              <w:rPr>
                <w:rFonts w:ascii="Times New Roman" w:hAnsi="Times New Roman" w:cs="Times New Roman"/>
                <w:sz w:val="24"/>
                <w:szCs w:val="24"/>
              </w:rPr>
            </w:pPr>
            <w:r w:rsidRPr="00585F58">
              <w:rPr>
                <w:rFonts w:ascii="Times New Roman" w:hAnsi="Times New Roman" w:cs="Times New Roman"/>
                <w:sz w:val="24"/>
                <w:szCs w:val="24"/>
              </w:rPr>
              <w:t>Ar UIN apliekamā ienākuma izmaiņas par pētniecības un attīstības izmaksām</w:t>
            </w:r>
          </w:p>
        </w:tc>
        <w:tc>
          <w:tcPr>
            <w:tcW w:w="2616" w:type="dxa"/>
            <w:vAlign w:val="center"/>
          </w:tcPr>
          <w:p w:rsidR="0003018B" w:rsidRPr="00585F58" w:rsidRDefault="0003018B" w:rsidP="00FD0E6C">
            <w:pPr>
              <w:tabs>
                <w:tab w:val="decimal" w:pos="886"/>
              </w:tabs>
              <w:rPr>
                <w:rFonts w:ascii="Times New Roman" w:hAnsi="Times New Roman" w:cs="Times New Roman"/>
                <w:sz w:val="24"/>
                <w:szCs w:val="24"/>
              </w:rPr>
            </w:pPr>
            <w:r w:rsidRPr="00585F58">
              <w:rPr>
                <w:rFonts w:ascii="Times New Roman" w:hAnsi="Times New Roman" w:cs="Times New Roman"/>
                <w:sz w:val="24"/>
                <w:szCs w:val="24"/>
              </w:rPr>
              <w:t xml:space="preserve">-55,2 </w:t>
            </w:r>
            <w:proofErr w:type="spellStart"/>
            <w:r w:rsidRPr="00585F58">
              <w:rPr>
                <w:rFonts w:ascii="Times New Roman" w:hAnsi="Times New Roman" w:cs="Times New Roman"/>
                <w:sz w:val="24"/>
                <w:szCs w:val="24"/>
              </w:rPr>
              <w:t>milj</w:t>
            </w:r>
            <w:proofErr w:type="spellEnd"/>
            <w:r w:rsidRPr="00585F58">
              <w:rPr>
                <w:rFonts w:ascii="Times New Roman" w:hAnsi="Times New Roman" w:cs="Times New Roman"/>
                <w:sz w:val="24"/>
                <w:szCs w:val="24"/>
              </w:rPr>
              <w:t>. latu</w:t>
            </w:r>
          </w:p>
        </w:tc>
      </w:tr>
      <w:tr w:rsidR="00585F58" w:rsidRPr="00585F58" w:rsidTr="00F17FB1">
        <w:trPr>
          <w:trHeight w:val="340"/>
          <w:jc w:val="center"/>
        </w:trPr>
        <w:tc>
          <w:tcPr>
            <w:tcW w:w="5430" w:type="dxa"/>
          </w:tcPr>
          <w:p w:rsidR="0003018B" w:rsidRPr="00585F58" w:rsidRDefault="0003018B" w:rsidP="001327C6">
            <w:pPr>
              <w:pStyle w:val="ListParagraph"/>
              <w:numPr>
                <w:ilvl w:val="0"/>
                <w:numId w:val="6"/>
              </w:numPr>
              <w:jc w:val="both"/>
              <w:rPr>
                <w:rFonts w:ascii="Times New Roman" w:hAnsi="Times New Roman" w:cs="Times New Roman"/>
                <w:sz w:val="24"/>
                <w:szCs w:val="24"/>
              </w:rPr>
            </w:pPr>
            <w:r w:rsidRPr="00585F58">
              <w:rPr>
                <w:rFonts w:ascii="Times New Roman" w:hAnsi="Times New Roman" w:cs="Times New Roman"/>
                <w:sz w:val="24"/>
                <w:szCs w:val="24"/>
              </w:rPr>
              <w:t>palielināšana par finanšu izmaksām</w:t>
            </w:r>
          </w:p>
        </w:tc>
        <w:tc>
          <w:tcPr>
            <w:tcW w:w="2616" w:type="dxa"/>
          </w:tcPr>
          <w:p w:rsidR="0003018B" w:rsidRPr="00585F58" w:rsidRDefault="0003018B" w:rsidP="00F17FB1">
            <w:pPr>
              <w:tabs>
                <w:tab w:val="decimal" w:pos="886"/>
              </w:tabs>
              <w:rPr>
                <w:rFonts w:ascii="Times New Roman" w:hAnsi="Times New Roman" w:cs="Times New Roman"/>
                <w:sz w:val="24"/>
                <w:szCs w:val="24"/>
              </w:rPr>
            </w:pPr>
            <w:r w:rsidRPr="00585F58">
              <w:rPr>
                <w:rFonts w:ascii="Times New Roman" w:hAnsi="Times New Roman" w:cs="Times New Roman"/>
                <w:sz w:val="24"/>
                <w:szCs w:val="24"/>
              </w:rPr>
              <w:t xml:space="preserve">27,6 </w:t>
            </w:r>
            <w:proofErr w:type="spellStart"/>
            <w:r w:rsidRPr="00585F58">
              <w:rPr>
                <w:rFonts w:ascii="Times New Roman" w:hAnsi="Times New Roman" w:cs="Times New Roman"/>
                <w:sz w:val="24"/>
                <w:szCs w:val="24"/>
              </w:rPr>
              <w:t>milj</w:t>
            </w:r>
            <w:proofErr w:type="spellEnd"/>
            <w:r w:rsidRPr="00585F58">
              <w:rPr>
                <w:rFonts w:ascii="Times New Roman" w:hAnsi="Times New Roman" w:cs="Times New Roman"/>
                <w:sz w:val="24"/>
                <w:szCs w:val="24"/>
              </w:rPr>
              <w:t>. latu</w:t>
            </w:r>
          </w:p>
        </w:tc>
      </w:tr>
      <w:tr w:rsidR="00585F58" w:rsidRPr="00585F58" w:rsidTr="00F17FB1">
        <w:trPr>
          <w:trHeight w:val="340"/>
          <w:jc w:val="center"/>
        </w:trPr>
        <w:tc>
          <w:tcPr>
            <w:tcW w:w="5430" w:type="dxa"/>
          </w:tcPr>
          <w:p w:rsidR="0003018B" w:rsidRPr="00585F58" w:rsidRDefault="0003018B" w:rsidP="001327C6">
            <w:pPr>
              <w:pStyle w:val="ListParagraph"/>
              <w:numPr>
                <w:ilvl w:val="0"/>
                <w:numId w:val="6"/>
              </w:numPr>
              <w:jc w:val="both"/>
              <w:rPr>
                <w:rFonts w:ascii="Times New Roman" w:hAnsi="Times New Roman" w:cs="Times New Roman"/>
                <w:sz w:val="24"/>
                <w:szCs w:val="24"/>
              </w:rPr>
            </w:pPr>
            <w:r w:rsidRPr="00585F58">
              <w:rPr>
                <w:rFonts w:ascii="Times New Roman" w:hAnsi="Times New Roman" w:cs="Times New Roman"/>
                <w:sz w:val="24"/>
                <w:szCs w:val="24"/>
              </w:rPr>
              <w:t>samazināšana, koeficients 3</w:t>
            </w:r>
          </w:p>
        </w:tc>
        <w:tc>
          <w:tcPr>
            <w:tcW w:w="2616" w:type="dxa"/>
          </w:tcPr>
          <w:p w:rsidR="0003018B" w:rsidRPr="00585F58" w:rsidRDefault="0003018B" w:rsidP="00F17FB1">
            <w:pPr>
              <w:tabs>
                <w:tab w:val="decimal" w:pos="886"/>
              </w:tabs>
              <w:rPr>
                <w:rFonts w:ascii="Times New Roman" w:hAnsi="Times New Roman" w:cs="Times New Roman"/>
                <w:sz w:val="24"/>
                <w:szCs w:val="24"/>
              </w:rPr>
            </w:pPr>
            <w:r w:rsidRPr="00585F58">
              <w:rPr>
                <w:rFonts w:ascii="Times New Roman" w:hAnsi="Times New Roman" w:cs="Times New Roman"/>
                <w:sz w:val="24"/>
                <w:szCs w:val="24"/>
              </w:rPr>
              <w:t xml:space="preserve">-82,8 </w:t>
            </w:r>
            <w:proofErr w:type="spellStart"/>
            <w:r w:rsidRPr="00585F58">
              <w:rPr>
                <w:rFonts w:ascii="Times New Roman" w:hAnsi="Times New Roman" w:cs="Times New Roman"/>
                <w:sz w:val="24"/>
                <w:szCs w:val="24"/>
              </w:rPr>
              <w:t>milj</w:t>
            </w:r>
            <w:proofErr w:type="spellEnd"/>
            <w:r w:rsidRPr="00585F58">
              <w:rPr>
                <w:rFonts w:ascii="Times New Roman" w:hAnsi="Times New Roman" w:cs="Times New Roman"/>
                <w:sz w:val="24"/>
                <w:szCs w:val="24"/>
              </w:rPr>
              <w:t>.</w:t>
            </w:r>
            <w:r w:rsidR="00FD0E6C" w:rsidRPr="00585F58">
              <w:rPr>
                <w:rFonts w:ascii="Times New Roman" w:hAnsi="Times New Roman" w:cs="Times New Roman"/>
                <w:sz w:val="24"/>
                <w:szCs w:val="24"/>
              </w:rPr>
              <w:t xml:space="preserve"> latu</w:t>
            </w:r>
          </w:p>
        </w:tc>
      </w:tr>
      <w:tr w:rsidR="00585F58" w:rsidRPr="00585F58" w:rsidTr="00FD0E6C">
        <w:trPr>
          <w:trHeight w:val="340"/>
          <w:jc w:val="center"/>
        </w:trPr>
        <w:tc>
          <w:tcPr>
            <w:tcW w:w="5430" w:type="dxa"/>
          </w:tcPr>
          <w:p w:rsidR="0003018B" w:rsidRPr="00585F58" w:rsidRDefault="0003018B" w:rsidP="00F17FB1">
            <w:pPr>
              <w:jc w:val="both"/>
              <w:rPr>
                <w:rFonts w:ascii="Times New Roman" w:hAnsi="Times New Roman" w:cs="Times New Roman"/>
                <w:sz w:val="24"/>
                <w:szCs w:val="24"/>
              </w:rPr>
            </w:pPr>
            <w:r w:rsidRPr="00585F58">
              <w:rPr>
                <w:rFonts w:ascii="Times New Roman" w:hAnsi="Times New Roman" w:cs="Times New Roman"/>
                <w:sz w:val="24"/>
                <w:szCs w:val="24"/>
              </w:rPr>
              <w:lastRenderedPageBreak/>
              <w:t xml:space="preserve">Neiegūtais UIN no pētniecības un attīstības izmaksām (55,2 </w:t>
            </w:r>
            <w:proofErr w:type="spellStart"/>
            <w:r w:rsidRPr="00585F58">
              <w:rPr>
                <w:rFonts w:ascii="Times New Roman" w:hAnsi="Times New Roman" w:cs="Times New Roman"/>
                <w:sz w:val="24"/>
                <w:szCs w:val="24"/>
              </w:rPr>
              <w:t>milj</w:t>
            </w:r>
            <w:proofErr w:type="spellEnd"/>
            <w:r w:rsidRPr="00585F58">
              <w:rPr>
                <w:rFonts w:ascii="Times New Roman" w:hAnsi="Times New Roman" w:cs="Times New Roman"/>
                <w:sz w:val="24"/>
                <w:szCs w:val="24"/>
              </w:rPr>
              <w:t>. latu x UIN likme)</w:t>
            </w:r>
          </w:p>
        </w:tc>
        <w:tc>
          <w:tcPr>
            <w:tcW w:w="2616" w:type="dxa"/>
            <w:vAlign w:val="center"/>
          </w:tcPr>
          <w:p w:rsidR="0003018B" w:rsidRPr="00585F58" w:rsidRDefault="0003018B" w:rsidP="00FD0E6C">
            <w:pPr>
              <w:tabs>
                <w:tab w:val="decimal" w:pos="886"/>
              </w:tabs>
              <w:rPr>
                <w:rFonts w:ascii="Times New Roman" w:hAnsi="Times New Roman" w:cs="Times New Roman"/>
                <w:sz w:val="24"/>
                <w:szCs w:val="24"/>
              </w:rPr>
            </w:pPr>
            <w:r w:rsidRPr="00585F58">
              <w:rPr>
                <w:rFonts w:ascii="Times New Roman" w:hAnsi="Times New Roman" w:cs="Times New Roman"/>
                <w:sz w:val="24"/>
                <w:szCs w:val="24"/>
              </w:rPr>
              <w:t xml:space="preserve">-8,28 </w:t>
            </w:r>
            <w:proofErr w:type="spellStart"/>
            <w:r w:rsidRPr="00585F58">
              <w:rPr>
                <w:rFonts w:ascii="Times New Roman" w:hAnsi="Times New Roman" w:cs="Times New Roman"/>
                <w:sz w:val="24"/>
                <w:szCs w:val="24"/>
              </w:rPr>
              <w:t>milj</w:t>
            </w:r>
            <w:proofErr w:type="spellEnd"/>
            <w:r w:rsidRPr="00585F58">
              <w:rPr>
                <w:rFonts w:ascii="Times New Roman" w:hAnsi="Times New Roman" w:cs="Times New Roman"/>
                <w:sz w:val="24"/>
                <w:szCs w:val="24"/>
              </w:rPr>
              <w:t>. latu</w:t>
            </w:r>
          </w:p>
        </w:tc>
      </w:tr>
      <w:tr w:rsidR="00585F58" w:rsidRPr="00585F58" w:rsidTr="00FD0E6C">
        <w:trPr>
          <w:trHeight w:val="340"/>
          <w:jc w:val="center"/>
        </w:trPr>
        <w:tc>
          <w:tcPr>
            <w:tcW w:w="5430" w:type="dxa"/>
          </w:tcPr>
          <w:p w:rsidR="0003018B" w:rsidRPr="00585F58" w:rsidRDefault="0003018B" w:rsidP="00F17FB1">
            <w:pPr>
              <w:jc w:val="both"/>
              <w:rPr>
                <w:rFonts w:ascii="Times New Roman" w:hAnsi="Times New Roman" w:cs="Times New Roman"/>
                <w:sz w:val="24"/>
                <w:szCs w:val="24"/>
              </w:rPr>
            </w:pPr>
            <w:r w:rsidRPr="00585F58">
              <w:rPr>
                <w:rFonts w:ascii="Times New Roman" w:hAnsi="Times New Roman" w:cs="Times New Roman"/>
                <w:sz w:val="24"/>
                <w:szCs w:val="24"/>
              </w:rPr>
              <w:t xml:space="preserve">UIN ieņēmumu samazinājums, izteikts procentos (8,28 </w:t>
            </w:r>
            <w:proofErr w:type="spellStart"/>
            <w:r w:rsidRPr="00585F58">
              <w:rPr>
                <w:rFonts w:ascii="Times New Roman" w:hAnsi="Times New Roman" w:cs="Times New Roman"/>
                <w:sz w:val="24"/>
                <w:szCs w:val="24"/>
              </w:rPr>
              <w:t>milj</w:t>
            </w:r>
            <w:proofErr w:type="spellEnd"/>
            <w:r w:rsidRPr="00585F58">
              <w:rPr>
                <w:rFonts w:ascii="Times New Roman" w:hAnsi="Times New Roman" w:cs="Times New Roman"/>
                <w:sz w:val="24"/>
                <w:szCs w:val="24"/>
              </w:rPr>
              <w:t xml:space="preserve">. latu/196,4 </w:t>
            </w:r>
            <w:proofErr w:type="spellStart"/>
            <w:r w:rsidRPr="00585F58">
              <w:rPr>
                <w:rFonts w:ascii="Times New Roman" w:hAnsi="Times New Roman" w:cs="Times New Roman"/>
                <w:sz w:val="24"/>
                <w:szCs w:val="24"/>
              </w:rPr>
              <w:t>milj</w:t>
            </w:r>
            <w:proofErr w:type="spellEnd"/>
            <w:r w:rsidRPr="00585F58">
              <w:rPr>
                <w:rFonts w:ascii="Times New Roman" w:hAnsi="Times New Roman" w:cs="Times New Roman"/>
                <w:sz w:val="24"/>
                <w:szCs w:val="24"/>
              </w:rPr>
              <w:t>. latu)</w:t>
            </w:r>
          </w:p>
        </w:tc>
        <w:tc>
          <w:tcPr>
            <w:tcW w:w="2616" w:type="dxa"/>
            <w:vAlign w:val="center"/>
          </w:tcPr>
          <w:p w:rsidR="0003018B" w:rsidRPr="00585F58" w:rsidRDefault="00FD0E6C" w:rsidP="00FD0E6C">
            <w:pPr>
              <w:tabs>
                <w:tab w:val="decimal" w:pos="886"/>
              </w:tabs>
              <w:rPr>
                <w:rFonts w:ascii="Times New Roman" w:hAnsi="Times New Roman" w:cs="Times New Roman"/>
                <w:sz w:val="24"/>
                <w:szCs w:val="24"/>
              </w:rPr>
            </w:pPr>
            <w:r w:rsidRPr="00585F58">
              <w:rPr>
                <w:rFonts w:ascii="Times New Roman" w:hAnsi="Times New Roman" w:cs="Times New Roman"/>
                <w:sz w:val="24"/>
                <w:szCs w:val="24"/>
              </w:rPr>
              <w:t xml:space="preserve"> </w:t>
            </w:r>
            <w:r w:rsidR="0003018B" w:rsidRPr="00585F58">
              <w:rPr>
                <w:rFonts w:ascii="Times New Roman" w:hAnsi="Times New Roman" w:cs="Times New Roman"/>
                <w:sz w:val="24"/>
                <w:szCs w:val="24"/>
              </w:rPr>
              <w:t>4%</w:t>
            </w:r>
          </w:p>
        </w:tc>
      </w:tr>
    </w:tbl>
    <w:p w:rsidR="0003018B" w:rsidRPr="00585F58" w:rsidRDefault="00B17AAF" w:rsidP="0003018B">
      <w:pPr>
        <w:spacing w:after="0" w:line="240" w:lineRule="auto"/>
        <w:ind w:left="360"/>
        <w:jc w:val="both"/>
        <w:rPr>
          <w:rFonts w:cs="Times New Roman"/>
          <w:sz w:val="22"/>
        </w:rPr>
      </w:pPr>
      <w:r w:rsidRPr="00585F58">
        <w:rPr>
          <w:rFonts w:cs="Times New Roman"/>
          <w:sz w:val="22"/>
        </w:rPr>
        <w:t>Dati</w:t>
      </w:r>
      <w:r w:rsidR="0003018B" w:rsidRPr="00585F58">
        <w:rPr>
          <w:rFonts w:cs="Times New Roman"/>
          <w:sz w:val="22"/>
        </w:rPr>
        <w:t>: Ekonomikas ministrijas novērtējums</w:t>
      </w:r>
    </w:p>
    <w:p w:rsidR="0003018B" w:rsidRPr="00585F58" w:rsidRDefault="0003018B" w:rsidP="0003018B">
      <w:pPr>
        <w:spacing w:after="0" w:line="240" w:lineRule="auto"/>
        <w:ind w:firstLine="720"/>
        <w:jc w:val="both"/>
        <w:rPr>
          <w:rFonts w:cs="Times New Roman"/>
          <w:szCs w:val="24"/>
        </w:rPr>
      </w:pPr>
    </w:p>
    <w:p w:rsidR="000C2A3F" w:rsidRPr="00585F58" w:rsidRDefault="0003018B" w:rsidP="0003018B">
      <w:pPr>
        <w:spacing w:after="0" w:line="240" w:lineRule="auto"/>
        <w:ind w:firstLine="720"/>
        <w:jc w:val="both"/>
        <w:rPr>
          <w:rFonts w:cs="Times New Roman"/>
          <w:szCs w:val="24"/>
        </w:rPr>
      </w:pPr>
      <w:r w:rsidRPr="00585F58">
        <w:rPr>
          <w:rFonts w:cs="Times New Roman"/>
          <w:szCs w:val="24"/>
        </w:rPr>
        <w:t xml:space="preserve">Ekonomikas ministrija fiskālās ietekmes aprēķinu balsta uz </w:t>
      </w:r>
      <w:r w:rsidR="005833F7" w:rsidRPr="00585F58">
        <w:rPr>
          <w:rFonts w:cs="Times New Roman"/>
          <w:szCs w:val="24"/>
        </w:rPr>
        <w:t>CSP</w:t>
      </w:r>
      <w:r w:rsidRPr="00585F58">
        <w:rPr>
          <w:rFonts w:cs="Times New Roman"/>
          <w:szCs w:val="24"/>
        </w:rPr>
        <w:t xml:space="preserve"> datiem par uzņēmējdarbības sektora veiktajiem ieguldījumiem P&amp;A 2011.gadā -</w:t>
      </w:r>
      <w:r w:rsidRPr="00585F58">
        <w:rPr>
          <w:rFonts w:cs="Times New Roman"/>
          <w:bCs/>
          <w:szCs w:val="24"/>
        </w:rPr>
        <w:t xml:space="preserve">27,6 </w:t>
      </w:r>
      <w:proofErr w:type="spellStart"/>
      <w:r w:rsidRPr="00585F58">
        <w:rPr>
          <w:rFonts w:cs="Times New Roman"/>
          <w:bCs/>
          <w:szCs w:val="24"/>
        </w:rPr>
        <w:t>milj</w:t>
      </w:r>
      <w:proofErr w:type="spellEnd"/>
      <w:r w:rsidRPr="00585F58">
        <w:rPr>
          <w:rFonts w:cs="Times New Roman"/>
          <w:bCs/>
          <w:szCs w:val="24"/>
        </w:rPr>
        <w:t>. latu</w:t>
      </w:r>
      <w:r w:rsidRPr="00585F58">
        <w:rPr>
          <w:rFonts w:cs="Times New Roman"/>
          <w:szCs w:val="24"/>
        </w:rPr>
        <w:t xml:space="preserve">. Piemērojot veiktajiem ieguldījumiem P&amp;A izmaksu palielinošo koeficientu „3”, iegūst 82,8 </w:t>
      </w:r>
      <w:proofErr w:type="spellStart"/>
      <w:r w:rsidRPr="00585F58">
        <w:rPr>
          <w:rFonts w:cs="Times New Roman"/>
          <w:szCs w:val="24"/>
        </w:rPr>
        <w:t>milj</w:t>
      </w:r>
      <w:proofErr w:type="spellEnd"/>
      <w:r w:rsidRPr="00585F58">
        <w:rPr>
          <w:rFonts w:cs="Times New Roman"/>
          <w:szCs w:val="24"/>
        </w:rPr>
        <w:t>. latu.</w:t>
      </w:r>
      <w:r w:rsidR="000C2A3F" w:rsidRPr="00585F58">
        <w:rPr>
          <w:rFonts w:cs="Times New Roman"/>
        </w:rPr>
        <w:t xml:space="preserve"> </w:t>
      </w:r>
      <w:r w:rsidR="000C2A3F" w:rsidRPr="00585F58">
        <w:rPr>
          <w:rFonts w:cs="Times New Roman"/>
          <w:szCs w:val="24"/>
        </w:rPr>
        <w:t xml:space="preserve">Aprēķinātā neiegūtā UIN summa nav galīga, jo atšķirībā no šobrīd pastāvošā UIN atvieglojuma piemērošanas režīma, </w:t>
      </w:r>
      <w:r w:rsidR="00265455" w:rsidRPr="00585F58">
        <w:rPr>
          <w:rFonts w:cs="Times New Roman"/>
          <w:szCs w:val="24"/>
        </w:rPr>
        <w:t>P&amp;A</w:t>
      </w:r>
      <w:r w:rsidR="000C2A3F" w:rsidRPr="00585F58">
        <w:rPr>
          <w:rFonts w:cs="Times New Roman"/>
          <w:szCs w:val="24"/>
        </w:rPr>
        <w:t xml:space="preserve"> darbus varēs veikt</w:t>
      </w:r>
      <w:r w:rsidR="00560BDF" w:rsidRPr="00585F58">
        <w:rPr>
          <w:rFonts w:cs="Times New Roman"/>
          <w:szCs w:val="24"/>
        </w:rPr>
        <w:t>,</w:t>
      </w:r>
      <w:r w:rsidR="000C2A3F" w:rsidRPr="00585F58">
        <w:rPr>
          <w:rFonts w:cs="Times New Roman"/>
          <w:szCs w:val="24"/>
        </w:rPr>
        <w:t xml:space="preserve"> nenonākot līdz konkrētam rezultātam, kā arī būs nepieciešami līdzekļi šīs normas administrēšanai.  </w:t>
      </w:r>
    </w:p>
    <w:p w:rsidR="0003018B" w:rsidRPr="00585F58" w:rsidRDefault="0003018B" w:rsidP="0003018B">
      <w:pPr>
        <w:spacing w:after="0" w:line="240" w:lineRule="auto"/>
        <w:ind w:firstLine="720"/>
        <w:jc w:val="both"/>
        <w:rPr>
          <w:rFonts w:cs="Times New Roman"/>
          <w:szCs w:val="24"/>
        </w:rPr>
      </w:pPr>
      <w:r w:rsidRPr="00585F58">
        <w:rPr>
          <w:rFonts w:cs="Times New Roman"/>
          <w:szCs w:val="24"/>
        </w:rPr>
        <w:t xml:space="preserve">Pieņemot, ka uzņēmumu peļņa vai zaudējumi pirms nodokļiem potenciāli varētu samazināties par 27,6 </w:t>
      </w:r>
      <w:proofErr w:type="spellStart"/>
      <w:r w:rsidRPr="00585F58">
        <w:rPr>
          <w:rFonts w:cs="Times New Roman"/>
          <w:szCs w:val="24"/>
        </w:rPr>
        <w:t>milj</w:t>
      </w:r>
      <w:proofErr w:type="spellEnd"/>
      <w:r w:rsidRPr="00585F58">
        <w:rPr>
          <w:rFonts w:cs="Times New Roman"/>
          <w:szCs w:val="24"/>
        </w:rPr>
        <w:t xml:space="preserve">. latu un P&amp;A izmaksām uzņēmumu ienākuma nodokļa aprēķinam tiks piemērots koeficients 3, faktisko </w:t>
      </w:r>
      <w:r w:rsidR="00265455" w:rsidRPr="00585F58">
        <w:rPr>
          <w:rFonts w:cs="Times New Roman"/>
          <w:szCs w:val="24"/>
        </w:rPr>
        <w:t>UIN</w:t>
      </w:r>
      <w:r w:rsidRPr="00585F58">
        <w:rPr>
          <w:rFonts w:cs="Times New Roman"/>
          <w:szCs w:val="24"/>
        </w:rPr>
        <w:t xml:space="preserve"> ietekmi sastāda koeficients 2, </w:t>
      </w:r>
      <w:proofErr w:type="spellStart"/>
      <w:r w:rsidRPr="00585F58">
        <w:rPr>
          <w:rFonts w:cs="Times New Roman"/>
          <w:szCs w:val="24"/>
        </w:rPr>
        <w:t>t.i</w:t>
      </w:r>
      <w:proofErr w:type="spellEnd"/>
      <w:r w:rsidRPr="00585F58">
        <w:rPr>
          <w:rFonts w:cs="Times New Roman"/>
          <w:szCs w:val="24"/>
        </w:rPr>
        <w:t xml:space="preserve">. 55,2 </w:t>
      </w:r>
      <w:proofErr w:type="spellStart"/>
      <w:r w:rsidRPr="00585F58">
        <w:rPr>
          <w:rFonts w:cs="Times New Roman"/>
          <w:szCs w:val="24"/>
        </w:rPr>
        <w:t>milj</w:t>
      </w:r>
      <w:proofErr w:type="spellEnd"/>
      <w:r w:rsidRPr="00585F58">
        <w:rPr>
          <w:rFonts w:cs="Times New Roman"/>
          <w:szCs w:val="24"/>
        </w:rPr>
        <w:t xml:space="preserve">. latu, no kuriem aprēķinātais uzņēmumu ienākuma nodokļa atvieglojums (pēc 15% likmes) būtu 8,28 </w:t>
      </w:r>
      <w:proofErr w:type="spellStart"/>
      <w:r w:rsidRPr="00585F58">
        <w:rPr>
          <w:rFonts w:cs="Times New Roman"/>
          <w:szCs w:val="24"/>
        </w:rPr>
        <w:t>milj</w:t>
      </w:r>
      <w:proofErr w:type="spellEnd"/>
      <w:r w:rsidRPr="00585F58">
        <w:rPr>
          <w:rFonts w:cs="Times New Roman"/>
          <w:szCs w:val="24"/>
        </w:rPr>
        <w:t xml:space="preserve">. latu jeb 4% no uzņēmumu ienākuma nodokļa kopējiem ieņēmumiem pēc 2011.gada datiem. Pieaugot uzņēmumu ieguldījumiem </w:t>
      </w:r>
      <w:r w:rsidR="00265455" w:rsidRPr="00585F58">
        <w:rPr>
          <w:rFonts w:cs="Times New Roman"/>
          <w:szCs w:val="24"/>
        </w:rPr>
        <w:t>P&amp;A</w:t>
      </w:r>
      <w:r w:rsidRPr="00585F58">
        <w:rPr>
          <w:rFonts w:cs="Times New Roman"/>
          <w:szCs w:val="24"/>
        </w:rPr>
        <w:t xml:space="preserve">, attiecīgi pieaugs arī ietekme uz valsts budžetā </w:t>
      </w:r>
      <w:r w:rsidR="002401A7" w:rsidRPr="00585F58">
        <w:rPr>
          <w:rFonts w:cs="Times New Roman"/>
          <w:szCs w:val="24"/>
        </w:rPr>
        <w:t>neiekasēto</w:t>
      </w:r>
      <w:r w:rsidRPr="00585F58">
        <w:rPr>
          <w:rFonts w:cs="Times New Roman"/>
          <w:szCs w:val="24"/>
        </w:rPr>
        <w:t xml:space="preserve"> UIN summu.</w:t>
      </w:r>
    </w:p>
    <w:p w:rsidR="0003018B" w:rsidRPr="00585F58" w:rsidRDefault="0003018B" w:rsidP="0003018B">
      <w:pPr>
        <w:spacing w:after="0" w:line="240" w:lineRule="auto"/>
        <w:ind w:firstLine="720"/>
        <w:jc w:val="both"/>
        <w:rPr>
          <w:rFonts w:cs="Times New Roman"/>
          <w:szCs w:val="24"/>
        </w:rPr>
      </w:pPr>
      <w:r w:rsidRPr="00585F58">
        <w:rPr>
          <w:rFonts w:cs="Times New Roman"/>
          <w:szCs w:val="24"/>
        </w:rPr>
        <w:t>Vēl sarežģītāk ir noteikt jaunā nodokļu atvieglojuma ietekmi uz tautsaimniecību, nosakot konkrētus P&amp;A efektivitātes kritērijus. Bieži vien kā efektivitātes kritēri</w:t>
      </w:r>
      <w:r w:rsidR="002401A7" w:rsidRPr="00585F58">
        <w:rPr>
          <w:rFonts w:cs="Times New Roman"/>
          <w:szCs w:val="24"/>
        </w:rPr>
        <w:t>ji tiek izmantoti tādi rādītāji</w:t>
      </w:r>
      <w:r w:rsidRPr="00585F58">
        <w:rPr>
          <w:rFonts w:cs="Times New Roman"/>
          <w:szCs w:val="24"/>
        </w:rPr>
        <w:t xml:space="preserve"> kā </w:t>
      </w:r>
      <w:proofErr w:type="spellStart"/>
      <w:r w:rsidRPr="00585F58">
        <w:rPr>
          <w:rFonts w:cs="Times New Roman"/>
          <w:szCs w:val="24"/>
        </w:rPr>
        <w:t>citējāmības</w:t>
      </w:r>
      <w:proofErr w:type="spellEnd"/>
      <w:r w:rsidRPr="00585F58">
        <w:rPr>
          <w:rFonts w:cs="Times New Roman"/>
          <w:szCs w:val="24"/>
        </w:rPr>
        <w:t xml:space="preserve"> indekss vai reģistrēto patentu skaits. Tomēr dotie rādītāji paši par sevi neatspoguļo ieguldījumu ietekmi uz tautsaimniecības attīstību.</w:t>
      </w:r>
    </w:p>
    <w:p w:rsidR="0003018B" w:rsidRPr="00585F58" w:rsidRDefault="0003018B" w:rsidP="0003018B">
      <w:pPr>
        <w:spacing w:after="0" w:line="240" w:lineRule="auto"/>
        <w:ind w:firstLine="720"/>
        <w:jc w:val="both"/>
        <w:rPr>
          <w:rFonts w:cs="Times New Roman"/>
          <w:szCs w:val="24"/>
        </w:rPr>
      </w:pPr>
      <w:r w:rsidRPr="00585F58">
        <w:rPr>
          <w:rFonts w:cs="Times New Roman"/>
          <w:szCs w:val="24"/>
        </w:rPr>
        <w:t xml:space="preserve">Pasaulē ir veikti vairāki empīriskie pētījumi ar mērķi noteikt ieguldījumu P&amp;A efektivitāti kā makroekonomiskā, tā arī mikroekonomiskā (uzņēmumu, nozaru) līmenī. Pētījumu teorētisko bāzi veido </w:t>
      </w:r>
      <w:proofErr w:type="spellStart"/>
      <w:r w:rsidRPr="00585F58">
        <w:rPr>
          <w:rFonts w:cs="Times New Roman"/>
          <w:szCs w:val="24"/>
        </w:rPr>
        <w:t>neoklasiskās</w:t>
      </w:r>
      <w:proofErr w:type="spellEnd"/>
      <w:r w:rsidRPr="00585F58">
        <w:rPr>
          <w:rFonts w:cs="Times New Roman"/>
          <w:szCs w:val="24"/>
        </w:rPr>
        <w:t xml:space="preserve"> teorijas atzinumi par ekonomisko izaugsmi noteicošiem faktoriem. Savukārt aprēķinos tiek izmantotās </w:t>
      </w:r>
      <w:r w:rsidR="002401A7" w:rsidRPr="00585F58">
        <w:rPr>
          <w:rFonts w:cs="Times New Roman"/>
          <w:szCs w:val="24"/>
        </w:rPr>
        <w:t>ekonometriskās metodes, balstīta</w:t>
      </w:r>
      <w:r w:rsidRPr="00585F58">
        <w:rPr>
          <w:rFonts w:cs="Times New Roman"/>
          <w:szCs w:val="24"/>
        </w:rPr>
        <w:t>s uz (</w:t>
      </w:r>
      <w:proofErr w:type="spellStart"/>
      <w:r w:rsidRPr="00585F58">
        <w:rPr>
          <w:rFonts w:cs="Times New Roman"/>
          <w:szCs w:val="24"/>
        </w:rPr>
        <w:t>Koba-Duglasa)</w:t>
      </w:r>
      <w:proofErr w:type="spellEnd"/>
      <w:r w:rsidRPr="00585F58">
        <w:rPr>
          <w:rFonts w:cs="Times New Roman"/>
          <w:szCs w:val="24"/>
        </w:rPr>
        <w:t xml:space="preserve"> ražošanas funkciju. Veicot ekonometrisko analīzi, tiek noteikts, cik lielā mērā ekonomisko izaugsmi nosaka izmaiņas kapitālā un darbaspēkā un kādā mērā to nosaka ražošanas faktoru produktivitātes pieaugums (TFP). Empīrisko pētījumu pamatā ir hipotēze par to, ka ieguldījumu P&amp;A rezultātā tiek uzlabotas vecas un radītas jaunas tehnoloģijas, kas palielina ražošana faktoru produktivitāti un konkurētspēju, atspoguļojoties straujākā ekonomikas izaugsmē. Tāpēc, balstoties uz ekonometriskās analīze</w:t>
      </w:r>
      <w:r w:rsidR="005650EE" w:rsidRPr="00585F58">
        <w:rPr>
          <w:rFonts w:cs="Times New Roman"/>
          <w:szCs w:val="24"/>
        </w:rPr>
        <w:t>s</w:t>
      </w:r>
      <w:r w:rsidRPr="00585F58">
        <w:rPr>
          <w:rFonts w:cs="Times New Roman"/>
          <w:szCs w:val="24"/>
        </w:rPr>
        <w:t xml:space="preserve"> metodēm, tiek kvantitatīvi noteikts, cik lielā mērā ieguldījumi P&amp;A ietekmē ražošanas faktoru produktivitātes pieaugumu, </w:t>
      </w:r>
      <w:proofErr w:type="spellStart"/>
      <w:r w:rsidRPr="00585F58">
        <w:rPr>
          <w:rFonts w:cs="Times New Roman"/>
          <w:szCs w:val="24"/>
        </w:rPr>
        <w:t>t.i</w:t>
      </w:r>
      <w:proofErr w:type="spellEnd"/>
      <w:r w:rsidRPr="00585F58">
        <w:rPr>
          <w:rFonts w:cs="Times New Roman"/>
          <w:szCs w:val="24"/>
        </w:rPr>
        <w:t>., kāda ir atdeve no ieguldījumiem P&amp;A (</w:t>
      </w:r>
      <w:proofErr w:type="spellStart"/>
      <w:r w:rsidRPr="00585F58">
        <w:rPr>
          <w:rFonts w:cs="Times New Roman"/>
          <w:szCs w:val="24"/>
        </w:rPr>
        <w:t>rate</w:t>
      </w:r>
      <w:proofErr w:type="spellEnd"/>
      <w:r w:rsidRPr="00585F58">
        <w:rPr>
          <w:rFonts w:cs="Times New Roman"/>
          <w:szCs w:val="24"/>
        </w:rPr>
        <w:t xml:space="preserve"> </w:t>
      </w:r>
      <w:proofErr w:type="spellStart"/>
      <w:r w:rsidRPr="00585F58">
        <w:rPr>
          <w:rFonts w:cs="Times New Roman"/>
          <w:szCs w:val="24"/>
        </w:rPr>
        <w:t>of</w:t>
      </w:r>
      <w:proofErr w:type="spellEnd"/>
      <w:r w:rsidRPr="00585F58">
        <w:rPr>
          <w:rFonts w:cs="Times New Roman"/>
          <w:szCs w:val="24"/>
        </w:rPr>
        <w:t xml:space="preserve"> </w:t>
      </w:r>
      <w:proofErr w:type="spellStart"/>
      <w:r w:rsidRPr="00585F58">
        <w:rPr>
          <w:rFonts w:cs="Times New Roman"/>
          <w:szCs w:val="24"/>
        </w:rPr>
        <w:t>return</w:t>
      </w:r>
      <w:proofErr w:type="spellEnd"/>
      <w:r w:rsidRPr="00585F58">
        <w:rPr>
          <w:rFonts w:cs="Times New Roman"/>
          <w:szCs w:val="24"/>
        </w:rPr>
        <w:t xml:space="preserve"> </w:t>
      </w:r>
      <w:proofErr w:type="spellStart"/>
      <w:r w:rsidRPr="00585F58">
        <w:rPr>
          <w:rFonts w:cs="Times New Roman"/>
          <w:szCs w:val="24"/>
        </w:rPr>
        <w:t>of</w:t>
      </w:r>
      <w:proofErr w:type="spellEnd"/>
      <w:r w:rsidRPr="00585F58">
        <w:rPr>
          <w:rFonts w:cs="Times New Roman"/>
          <w:szCs w:val="24"/>
        </w:rPr>
        <w:t xml:space="preserve"> R&amp;D) privātajā sektorā un cik liels ir sabiedrības kopējais ieguvums.</w:t>
      </w:r>
    </w:p>
    <w:p w:rsidR="0003018B" w:rsidRPr="00585F58" w:rsidRDefault="0003018B" w:rsidP="005650EE">
      <w:pPr>
        <w:spacing w:after="0" w:line="240" w:lineRule="auto"/>
        <w:ind w:firstLine="720"/>
        <w:jc w:val="both"/>
        <w:rPr>
          <w:rFonts w:cs="Times New Roman"/>
          <w:szCs w:val="24"/>
        </w:rPr>
      </w:pPr>
      <w:r w:rsidRPr="00585F58">
        <w:rPr>
          <w:rFonts w:cs="Times New Roman"/>
          <w:szCs w:val="24"/>
        </w:rPr>
        <w:t xml:space="preserve">Diemžēl, minētās pieejas pielietošana, lai kvantitatīvi novērtētu ieguldījumu </w:t>
      </w:r>
      <w:r w:rsidR="002401A7" w:rsidRPr="00585F58">
        <w:rPr>
          <w:rFonts w:cs="Times New Roman"/>
          <w:szCs w:val="24"/>
        </w:rPr>
        <w:t>P&amp;A</w:t>
      </w:r>
      <w:r w:rsidRPr="00585F58">
        <w:rPr>
          <w:rFonts w:cs="Times New Roman"/>
          <w:szCs w:val="24"/>
        </w:rPr>
        <w:t xml:space="preserve"> ietekmi uz produktivitāti un Latvijas tautsaimniecības izaugsmi, praktiski nav iespējama. Tā galvenais iemesls ir nepietiekam</w:t>
      </w:r>
      <w:r w:rsidR="005650EE" w:rsidRPr="00585F58">
        <w:rPr>
          <w:rFonts w:cs="Times New Roman"/>
          <w:szCs w:val="24"/>
        </w:rPr>
        <w:t>a</w:t>
      </w:r>
      <w:r w:rsidRPr="00585F58">
        <w:rPr>
          <w:rFonts w:cs="Times New Roman"/>
          <w:szCs w:val="24"/>
        </w:rPr>
        <w:t xml:space="preserve"> statistika</w:t>
      </w:r>
      <w:r w:rsidR="005650EE" w:rsidRPr="00585F58">
        <w:rPr>
          <w:rFonts w:cs="Times New Roman"/>
          <w:szCs w:val="24"/>
        </w:rPr>
        <w:t>s</w:t>
      </w:r>
      <w:r w:rsidRPr="00585F58">
        <w:rPr>
          <w:rFonts w:cs="Times New Roman"/>
          <w:szCs w:val="24"/>
        </w:rPr>
        <w:t xml:space="preserve"> datu laika rindu</w:t>
      </w:r>
      <w:r w:rsidR="005650EE" w:rsidRPr="00585F58">
        <w:rPr>
          <w:rFonts w:cs="Times New Roman"/>
          <w:szCs w:val="24"/>
        </w:rPr>
        <w:t xml:space="preserve"> pieejamība</w:t>
      </w:r>
      <w:r w:rsidRPr="00585F58">
        <w:rPr>
          <w:rFonts w:cs="Times New Roman"/>
          <w:szCs w:val="24"/>
        </w:rPr>
        <w:t>, kas būtiski ierobežo ekonometrisko aprēķinu veikšanu. Jāatzīmē, ka nepilnīgas statistiskās datu bāzes izmantošana aprēķinos var būtiski mazināt gūto rezultātu ticamību.</w:t>
      </w:r>
    </w:p>
    <w:p w:rsidR="0003018B" w:rsidRPr="00585F58" w:rsidRDefault="0003018B" w:rsidP="0003018B">
      <w:pPr>
        <w:spacing w:after="0" w:line="240" w:lineRule="auto"/>
        <w:ind w:firstLine="720"/>
        <w:jc w:val="both"/>
        <w:rPr>
          <w:rFonts w:cs="Times New Roman"/>
          <w:szCs w:val="24"/>
        </w:rPr>
      </w:pPr>
      <w:r w:rsidRPr="00585F58">
        <w:rPr>
          <w:rFonts w:cs="Times New Roman"/>
          <w:szCs w:val="24"/>
        </w:rPr>
        <w:t>Tomēr, lietderīgi būtu apkopot dažādu empīrisko pētījumu rezultātus, izvērtējot to izmantošanas iespēju ieguldījumu P&amp;A ietekmes uz Latvijas tautsaimniecību kvantitatīvai novērtēšanai.</w:t>
      </w:r>
    </w:p>
    <w:p w:rsidR="0003018B" w:rsidRPr="00585F58" w:rsidRDefault="0003018B" w:rsidP="0003018B">
      <w:pPr>
        <w:spacing w:after="0" w:line="240" w:lineRule="auto"/>
        <w:ind w:firstLine="720"/>
        <w:jc w:val="both"/>
        <w:rPr>
          <w:rFonts w:cs="Times New Roman"/>
          <w:szCs w:val="24"/>
        </w:rPr>
      </w:pPr>
      <w:r w:rsidRPr="00585F58">
        <w:rPr>
          <w:rFonts w:cs="Times New Roman"/>
          <w:szCs w:val="24"/>
        </w:rPr>
        <w:lastRenderedPageBreak/>
        <w:t>Aplūkojot empīrisko pētījumu rezultātus, jāsecina, ka atdevei no ieguldījumu P&amp;A ir visai liels svārstību diapazons - no 7% līdz 70%. Tik lielām rezultātu atšķirībām var būt vairāki iemesli. Pirmkārt, tas ir saistīts ar metodoloģiskām pieejām. Daudzi pētnieki norāda, ka izmantota</w:t>
      </w:r>
      <w:r w:rsidR="002401A7" w:rsidRPr="00585F58">
        <w:rPr>
          <w:rFonts w:cs="Times New Roman"/>
          <w:szCs w:val="24"/>
        </w:rPr>
        <w:t>ja</w:t>
      </w:r>
      <w:r w:rsidRPr="00585F58">
        <w:rPr>
          <w:rFonts w:cs="Times New Roman"/>
          <w:szCs w:val="24"/>
        </w:rPr>
        <w:t>i metodoloģiska</w:t>
      </w:r>
      <w:r w:rsidR="002401A7" w:rsidRPr="00585F58">
        <w:rPr>
          <w:rFonts w:cs="Times New Roman"/>
          <w:szCs w:val="24"/>
        </w:rPr>
        <w:t>ja</w:t>
      </w:r>
      <w:r w:rsidRPr="00585F58">
        <w:rPr>
          <w:rFonts w:cs="Times New Roman"/>
          <w:szCs w:val="24"/>
        </w:rPr>
        <w:t>i pieejai (kas ir balstīta uz ražošanas funkciju) ir vairākas nepilnības, kas var atspoguļoties veikto aprēķinu rezultātos. Tā, piemēram, metodoloģiski ir grūti novērtēt uzkrātā P&amp;A kapitāla (zināšanu kapitāla) lī</w:t>
      </w:r>
      <w:r w:rsidR="002401A7" w:rsidRPr="00585F58">
        <w:rPr>
          <w:rFonts w:cs="Times New Roman"/>
          <w:szCs w:val="24"/>
        </w:rPr>
        <w:t>meni. Bez tam</w:t>
      </w:r>
      <w:r w:rsidRPr="00585F58">
        <w:rPr>
          <w:rFonts w:cs="Times New Roman"/>
          <w:szCs w:val="24"/>
        </w:rPr>
        <w:t xml:space="preserve"> pastāv arī samērā</w:t>
      </w:r>
      <w:r w:rsidR="002401A7" w:rsidRPr="00585F58">
        <w:rPr>
          <w:rFonts w:cs="Times New Roman"/>
          <w:szCs w:val="24"/>
        </w:rPr>
        <w:t xml:space="preserve"> liela nenoteiktība attiecībā uz</w:t>
      </w:r>
      <w:r w:rsidRPr="00585F58">
        <w:rPr>
          <w:rFonts w:cs="Times New Roman"/>
          <w:szCs w:val="24"/>
        </w:rPr>
        <w:t xml:space="preserve"> pieņēmumiem par laika novirzi starp ieguldījumiem P&amp;A un ieguvumiem no tiem (tiek uzskatīts, ka laika novirze (</w:t>
      </w:r>
      <w:proofErr w:type="spellStart"/>
      <w:r w:rsidRPr="00585F58">
        <w:rPr>
          <w:rFonts w:cs="Times New Roman"/>
          <w:szCs w:val="24"/>
        </w:rPr>
        <w:t>lag</w:t>
      </w:r>
      <w:proofErr w:type="spellEnd"/>
      <w:r w:rsidRPr="00585F58">
        <w:rPr>
          <w:rFonts w:cs="Times New Roman"/>
          <w:szCs w:val="24"/>
        </w:rPr>
        <w:t>) starp ieguldījumiem lietišķajos pētījumos un ieguvumiem no tiem ir vismaz 2 gadi, fundamentālajiem pētījumiem tā var būt no 5 līdz 10 gadiem).</w:t>
      </w:r>
    </w:p>
    <w:p w:rsidR="0003018B" w:rsidRPr="00585F58" w:rsidRDefault="0003018B" w:rsidP="0003018B">
      <w:pPr>
        <w:spacing w:after="0" w:line="240" w:lineRule="auto"/>
        <w:ind w:firstLine="720"/>
        <w:jc w:val="both"/>
        <w:rPr>
          <w:rFonts w:cs="Times New Roman"/>
          <w:szCs w:val="24"/>
        </w:rPr>
      </w:pPr>
      <w:r w:rsidRPr="00585F58">
        <w:rPr>
          <w:rFonts w:cs="Times New Roman"/>
          <w:szCs w:val="24"/>
        </w:rPr>
        <w:t xml:space="preserve">Otrkārt, atšķirīgie empīrisko pētījumu rezultāti var būt skaidroti ar to, uz kādiem datiem tika balstīti šie pētījumi, </w:t>
      </w:r>
      <w:proofErr w:type="spellStart"/>
      <w:r w:rsidRPr="00585F58">
        <w:rPr>
          <w:rFonts w:cs="Times New Roman"/>
          <w:szCs w:val="24"/>
        </w:rPr>
        <w:t>t.i</w:t>
      </w:r>
      <w:proofErr w:type="spellEnd"/>
      <w:r w:rsidRPr="00585F58">
        <w:rPr>
          <w:rFonts w:cs="Times New Roman"/>
          <w:szCs w:val="24"/>
        </w:rPr>
        <w:t>.</w:t>
      </w:r>
      <w:r w:rsidR="002401A7" w:rsidRPr="00585F58">
        <w:rPr>
          <w:rFonts w:cs="Times New Roman"/>
          <w:szCs w:val="24"/>
        </w:rPr>
        <w:t>,</w:t>
      </w:r>
      <w:r w:rsidRPr="00585F58">
        <w:rPr>
          <w:rFonts w:cs="Times New Roman"/>
          <w:szCs w:val="24"/>
        </w:rPr>
        <w:t xml:space="preserve"> vienas valsts, vairāku valstu, nozaru vai uzņēmumu līmenī. Tomēr visbūtiskāk rezultātus ietekmē tādi rādītāji, kā:</w:t>
      </w:r>
    </w:p>
    <w:p w:rsidR="0003018B" w:rsidRPr="00585F58" w:rsidRDefault="0003018B" w:rsidP="0003018B">
      <w:pPr>
        <w:spacing w:after="0" w:line="240" w:lineRule="auto"/>
        <w:jc w:val="both"/>
        <w:rPr>
          <w:rFonts w:cs="Times New Roman"/>
          <w:szCs w:val="24"/>
        </w:rPr>
      </w:pPr>
      <w:r w:rsidRPr="00585F58">
        <w:rPr>
          <w:rFonts w:cs="Times New Roman"/>
          <w:szCs w:val="24"/>
        </w:rPr>
        <w:t>•</w:t>
      </w:r>
      <w:r w:rsidRPr="00585F58">
        <w:rPr>
          <w:rFonts w:cs="Times New Roman"/>
          <w:szCs w:val="24"/>
        </w:rPr>
        <w:tab/>
        <w:t>valsts un uzņēmumu P&amp;A intensitātes pakāpe (P&amp;A īpatsvars IKP);</w:t>
      </w:r>
    </w:p>
    <w:p w:rsidR="0003018B" w:rsidRPr="00585F58" w:rsidRDefault="0003018B" w:rsidP="0003018B">
      <w:pPr>
        <w:spacing w:after="0" w:line="240" w:lineRule="auto"/>
        <w:jc w:val="both"/>
        <w:rPr>
          <w:rFonts w:cs="Times New Roman"/>
          <w:szCs w:val="24"/>
        </w:rPr>
      </w:pPr>
      <w:r w:rsidRPr="00585F58">
        <w:rPr>
          <w:rFonts w:cs="Times New Roman"/>
          <w:szCs w:val="24"/>
        </w:rPr>
        <w:t>•</w:t>
      </w:r>
      <w:r w:rsidRPr="00585F58">
        <w:rPr>
          <w:rFonts w:cs="Times New Roman"/>
          <w:szCs w:val="24"/>
        </w:rPr>
        <w:tab/>
        <w:t>tautsaimniecības nozaru struktūra;</w:t>
      </w:r>
    </w:p>
    <w:p w:rsidR="0003018B" w:rsidRPr="00585F58" w:rsidRDefault="0003018B" w:rsidP="0003018B">
      <w:pPr>
        <w:spacing w:after="0" w:line="240" w:lineRule="auto"/>
        <w:jc w:val="both"/>
        <w:rPr>
          <w:rFonts w:cs="Times New Roman"/>
          <w:szCs w:val="24"/>
        </w:rPr>
      </w:pPr>
      <w:r w:rsidRPr="00585F58">
        <w:rPr>
          <w:rFonts w:cs="Times New Roman"/>
          <w:szCs w:val="24"/>
        </w:rPr>
        <w:t>•</w:t>
      </w:r>
      <w:r w:rsidRPr="00585F58">
        <w:rPr>
          <w:rFonts w:cs="Times New Roman"/>
          <w:szCs w:val="24"/>
        </w:rPr>
        <w:tab/>
        <w:t>augsto tehnoloģiju nozaru daļa apstrādes rūpniecībā;</w:t>
      </w:r>
    </w:p>
    <w:p w:rsidR="0003018B" w:rsidRPr="00585F58" w:rsidRDefault="0003018B" w:rsidP="0003018B">
      <w:pPr>
        <w:spacing w:after="0" w:line="240" w:lineRule="auto"/>
        <w:jc w:val="both"/>
        <w:rPr>
          <w:rFonts w:cs="Times New Roman"/>
          <w:szCs w:val="24"/>
        </w:rPr>
      </w:pPr>
      <w:r w:rsidRPr="00585F58">
        <w:rPr>
          <w:rFonts w:cs="Times New Roman"/>
          <w:szCs w:val="24"/>
        </w:rPr>
        <w:t>•</w:t>
      </w:r>
      <w:r w:rsidRPr="00585F58">
        <w:rPr>
          <w:rFonts w:cs="Times New Roman"/>
          <w:szCs w:val="24"/>
        </w:rPr>
        <w:tab/>
        <w:t>P&amp;A finansējuma struktūra;</w:t>
      </w:r>
    </w:p>
    <w:p w:rsidR="0003018B" w:rsidRPr="00585F58" w:rsidRDefault="0003018B" w:rsidP="0003018B">
      <w:pPr>
        <w:spacing w:after="0" w:line="240" w:lineRule="auto"/>
        <w:jc w:val="both"/>
        <w:rPr>
          <w:rFonts w:cs="Times New Roman"/>
          <w:szCs w:val="24"/>
        </w:rPr>
      </w:pPr>
      <w:r w:rsidRPr="00585F58">
        <w:rPr>
          <w:rFonts w:cs="Times New Roman"/>
          <w:szCs w:val="24"/>
        </w:rPr>
        <w:t>•</w:t>
      </w:r>
      <w:r w:rsidRPr="00585F58">
        <w:rPr>
          <w:rFonts w:cs="Times New Roman"/>
          <w:szCs w:val="24"/>
        </w:rPr>
        <w:tab/>
        <w:t>uzņēmumu struktūra pēc lieluma;</w:t>
      </w:r>
    </w:p>
    <w:p w:rsidR="0003018B" w:rsidRPr="00585F58" w:rsidRDefault="0003018B" w:rsidP="0003018B">
      <w:pPr>
        <w:spacing w:after="0" w:line="240" w:lineRule="auto"/>
        <w:jc w:val="both"/>
        <w:rPr>
          <w:rFonts w:cs="Times New Roman"/>
          <w:szCs w:val="24"/>
        </w:rPr>
      </w:pPr>
      <w:r w:rsidRPr="00585F58">
        <w:rPr>
          <w:rFonts w:cs="Times New Roman"/>
          <w:szCs w:val="24"/>
        </w:rPr>
        <w:t>•</w:t>
      </w:r>
      <w:r w:rsidRPr="00585F58">
        <w:rPr>
          <w:rFonts w:cs="Times New Roman"/>
          <w:szCs w:val="24"/>
        </w:rPr>
        <w:tab/>
        <w:t>uzņēmumu sadarbība ar</w:t>
      </w:r>
      <w:r w:rsidR="00066D92" w:rsidRPr="00585F58">
        <w:rPr>
          <w:rFonts w:cs="Times New Roman"/>
          <w:szCs w:val="24"/>
        </w:rPr>
        <w:t xml:space="preserve"> pētniecības institūcijām, </w:t>
      </w:r>
      <w:proofErr w:type="spellStart"/>
      <w:r w:rsidR="00066D92" w:rsidRPr="00585F58">
        <w:rPr>
          <w:rFonts w:cs="Times New Roman"/>
          <w:szCs w:val="24"/>
        </w:rPr>
        <w:t>u.c</w:t>
      </w:r>
      <w:proofErr w:type="spellEnd"/>
      <w:r w:rsidR="00066D92" w:rsidRPr="00585F58">
        <w:rPr>
          <w:rFonts w:cs="Times New Roman"/>
          <w:szCs w:val="24"/>
        </w:rPr>
        <w:t>.</w:t>
      </w:r>
    </w:p>
    <w:p w:rsidR="00613822" w:rsidRPr="00585F58" w:rsidRDefault="0003018B" w:rsidP="00E5639E">
      <w:pPr>
        <w:spacing w:after="0" w:line="240" w:lineRule="auto"/>
        <w:ind w:firstLine="720"/>
        <w:jc w:val="both"/>
        <w:rPr>
          <w:rFonts w:cs="Times New Roman"/>
          <w:szCs w:val="24"/>
        </w:rPr>
      </w:pPr>
      <w:r w:rsidRPr="00585F58">
        <w:rPr>
          <w:rFonts w:cs="Times New Roman"/>
          <w:szCs w:val="24"/>
        </w:rPr>
        <w:t>Ņemot vērā to, ka Latvijai ir salīdzinoši zema P&amp;A</w:t>
      </w:r>
      <w:r w:rsidR="002401A7" w:rsidRPr="00585F58">
        <w:rPr>
          <w:rFonts w:cs="Times New Roman"/>
          <w:szCs w:val="24"/>
        </w:rPr>
        <w:t xml:space="preserve"> intensitāte</w:t>
      </w:r>
      <w:r w:rsidRPr="00585F58">
        <w:rPr>
          <w:rFonts w:cs="Times New Roman"/>
          <w:szCs w:val="24"/>
        </w:rPr>
        <w:t xml:space="preserve"> kā valstī kopumā, tā arī privātajā sektorā, zems rūpniecības īpatsvars</w:t>
      </w:r>
      <w:r w:rsidR="002401A7" w:rsidRPr="00585F58">
        <w:rPr>
          <w:rFonts w:cs="Times New Roman"/>
          <w:szCs w:val="24"/>
        </w:rPr>
        <w:t>,</w:t>
      </w:r>
      <w:r w:rsidRPr="00585F58">
        <w:rPr>
          <w:rFonts w:cs="Times New Roman"/>
          <w:szCs w:val="24"/>
        </w:rPr>
        <w:t xml:space="preserve"> un apstrādes rūpniecībā dominē zemo un vidēji zemo tehnoloģiju nozares, kā arī to, ka sadarbība starp uzņēmējiem un pētniecības institūcijām </w:t>
      </w:r>
      <w:r w:rsidR="00B17AAF" w:rsidRPr="00585F58">
        <w:rPr>
          <w:rFonts w:cs="Times New Roman"/>
          <w:szCs w:val="24"/>
        </w:rPr>
        <w:t>varētu būt ciešāka</w:t>
      </w:r>
      <w:r w:rsidRPr="00585F58">
        <w:rPr>
          <w:rFonts w:cs="Times New Roman"/>
          <w:szCs w:val="24"/>
        </w:rPr>
        <w:t xml:space="preserve">, </w:t>
      </w:r>
      <w:r w:rsidR="00B17AAF" w:rsidRPr="00585F58">
        <w:rPr>
          <w:rFonts w:cs="Times New Roman"/>
          <w:szCs w:val="24"/>
        </w:rPr>
        <w:t>Ekonomikas ministrija vērtē</w:t>
      </w:r>
      <w:r w:rsidRPr="00585F58">
        <w:rPr>
          <w:rFonts w:cs="Times New Roman"/>
          <w:szCs w:val="24"/>
        </w:rPr>
        <w:t>, ka atdeve no P&amp;A ieguldījumiem privātajā sektorā attiecībā uz produktivitātes pieaugumu varētu būt 7-12 procentu robežās.</w:t>
      </w:r>
    </w:p>
    <w:p w:rsidR="00560BDF" w:rsidRPr="00585F58" w:rsidRDefault="00560BDF" w:rsidP="00DD740F">
      <w:pPr>
        <w:pStyle w:val="ListParagraph"/>
        <w:spacing w:after="0" w:line="20" w:lineRule="atLeast"/>
        <w:ind w:left="66" w:firstLine="501"/>
        <w:jc w:val="both"/>
        <w:rPr>
          <w:rFonts w:cs="Times New Roman"/>
          <w:szCs w:val="24"/>
        </w:rPr>
      </w:pPr>
    </w:p>
    <w:p w:rsidR="00560BDF" w:rsidRPr="00585F58" w:rsidRDefault="00560BDF" w:rsidP="00560BDF">
      <w:pPr>
        <w:spacing w:after="0" w:line="240" w:lineRule="auto"/>
        <w:ind w:firstLine="720"/>
        <w:jc w:val="both"/>
        <w:rPr>
          <w:rFonts w:cs="Times New Roman"/>
          <w:b/>
          <w:szCs w:val="24"/>
          <w:u w:val="single"/>
        </w:rPr>
      </w:pPr>
      <w:r w:rsidRPr="00585F58">
        <w:rPr>
          <w:rFonts w:cs="Times New Roman"/>
          <w:b/>
          <w:szCs w:val="24"/>
          <w:u w:val="single"/>
        </w:rPr>
        <w:t>6.2</w:t>
      </w:r>
      <w:r w:rsidR="002456AC">
        <w:rPr>
          <w:rFonts w:cs="Times New Roman"/>
          <w:b/>
          <w:szCs w:val="24"/>
          <w:u w:val="single"/>
        </w:rPr>
        <w:t>.</w:t>
      </w:r>
      <w:r w:rsidRPr="00585F58">
        <w:rPr>
          <w:rFonts w:cs="Times New Roman"/>
          <w:b/>
          <w:szCs w:val="24"/>
          <w:u w:val="single"/>
        </w:rPr>
        <w:t xml:space="preserve"> </w:t>
      </w:r>
      <w:r w:rsidR="00091483" w:rsidRPr="00585F58">
        <w:rPr>
          <w:rFonts w:cs="Times New Roman"/>
          <w:b/>
          <w:szCs w:val="24"/>
          <w:u w:val="single"/>
        </w:rPr>
        <w:t>Ekonomikas</w:t>
      </w:r>
      <w:r w:rsidRPr="00585F58">
        <w:rPr>
          <w:rFonts w:cs="Times New Roman"/>
          <w:b/>
          <w:szCs w:val="24"/>
          <w:u w:val="single"/>
        </w:rPr>
        <w:t xml:space="preserve"> ministrijas </w:t>
      </w:r>
      <w:r w:rsidR="00091483" w:rsidRPr="00585F58">
        <w:rPr>
          <w:rFonts w:cs="Times New Roman"/>
          <w:b/>
          <w:szCs w:val="24"/>
          <w:u w:val="single"/>
        </w:rPr>
        <w:t>priekšlikuma izvērtējums</w:t>
      </w:r>
    </w:p>
    <w:p w:rsidR="00560BDF" w:rsidRPr="00585F58" w:rsidRDefault="00560BDF" w:rsidP="00DD740F">
      <w:pPr>
        <w:pStyle w:val="ListParagraph"/>
        <w:spacing w:after="0" w:line="20" w:lineRule="atLeast"/>
        <w:ind w:left="66" w:firstLine="501"/>
        <w:jc w:val="both"/>
        <w:rPr>
          <w:rFonts w:cs="Times New Roman"/>
          <w:szCs w:val="24"/>
        </w:rPr>
      </w:pPr>
    </w:p>
    <w:p w:rsidR="00560BDF" w:rsidRPr="00585F58" w:rsidRDefault="00560BDF" w:rsidP="00560BDF">
      <w:pPr>
        <w:pStyle w:val="ListParagraph"/>
        <w:spacing w:after="0" w:line="20" w:lineRule="atLeast"/>
        <w:ind w:left="66" w:firstLine="501"/>
        <w:jc w:val="both"/>
      </w:pPr>
      <w:r w:rsidRPr="00585F58">
        <w:rPr>
          <w:rFonts w:cs="Times New Roman"/>
          <w:szCs w:val="24"/>
        </w:rPr>
        <w:t>Ekonomikas ministrijas ierosinātā paplašinātā P&amp;A atvieglojuma piemērošanas kārtība rada risku, ka šo atvieglojumu varētu mēģināt izmantot arī uzņēmumi, kuru saimnieciskā darbība praksē nav saistīta ar P&amp;A aktivitātēm. P</w:t>
      </w:r>
      <w:r w:rsidRPr="00585F58">
        <w:t>iedāvātais P&amp;A atvieglojuma administrēšanas modelis ietver neviennozīmīgi interpretējamas normas – uzņēmums pats definē kritērijus</w:t>
      </w:r>
      <w:r w:rsidR="00C60AD7" w:rsidRPr="00585F58">
        <w:t>,</w:t>
      </w:r>
      <w:r w:rsidRPr="00585F58">
        <w:t xml:space="preserve"> pēc kuriem nodalīt P&amp;A izmaksas no pārējām saimnieciskās darbības izmaksām. Šāda pieeja nerada pārliecību par vienotu pieeju nodokļu atvieglojuma piemērošanā valstī un iespēju nodokļu administrācijai efektīvi pārliecināties, vai UIN atvieglojums ir piemērots atbilstoši.</w:t>
      </w:r>
    </w:p>
    <w:p w:rsidR="00C60AD7" w:rsidRPr="00585F58" w:rsidRDefault="00C60AD7" w:rsidP="00C60AD7">
      <w:pPr>
        <w:pStyle w:val="ListParagraph"/>
        <w:spacing w:after="0" w:line="20" w:lineRule="atLeast"/>
        <w:ind w:left="66" w:firstLine="501"/>
        <w:jc w:val="both"/>
      </w:pPr>
      <w:r w:rsidRPr="00585F58">
        <w:t>A</w:t>
      </w:r>
      <w:r w:rsidR="00560BDF" w:rsidRPr="00585F58">
        <w:t xml:space="preserve">tļaujot uzņēmumam definēt kritērijus P&amp;A izmaksu nodalīšanai no kopējām saimnieciskās darbības izmaksām, var rasties neviennozīmīga interpretācija par korektu atvieglojuma piemērošanu starp VID un uzņēmumu. Šādas nesaskaņas var būt pamats tiesvedībai, kas ir administratīvi ilgs un dārgs process gan uzņēmumam, gan arī nodokļu administrācijai. </w:t>
      </w:r>
      <w:r w:rsidRPr="00585F58">
        <w:t>Neviennozīmīgi interpretējami normatīvie akti var radīt:</w:t>
      </w:r>
    </w:p>
    <w:p w:rsidR="00C60AD7" w:rsidRPr="00585F58" w:rsidRDefault="001C6061" w:rsidP="00C60AD7">
      <w:pPr>
        <w:pStyle w:val="ListParagraph"/>
        <w:numPr>
          <w:ilvl w:val="0"/>
          <w:numId w:val="29"/>
        </w:numPr>
        <w:spacing w:after="0" w:line="20" w:lineRule="atLeast"/>
        <w:jc w:val="both"/>
      </w:pPr>
      <w:r>
        <w:t>konkurenci</w:t>
      </w:r>
      <w:r w:rsidR="00E00686">
        <w:t xml:space="preserve"> kropļojošu </w:t>
      </w:r>
      <w:r w:rsidR="00C60AD7" w:rsidRPr="00585F58">
        <w:t xml:space="preserve">nenoteiktību, kas </w:t>
      </w:r>
      <w:r>
        <w:t xml:space="preserve">var </w:t>
      </w:r>
      <w:r w:rsidR="00C60AD7" w:rsidRPr="00585F58">
        <w:t xml:space="preserve">atbaidīt </w:t>
      </w:r>
      <w:r w:rsidR="00E00686">
        <w:t xml:space="preserve">potenciālus </w:t>
      </w:r>
      <w:r w:rsidR="00C60AD7" w:rsidRPr="00585F58">
        <w:t>invest</w:t>
      </w:r>
      <w:r w:rsidR="00E00686">
        <w:t>orus</w:t>
      </w:r>
      <w:r w:rsidR="00C60AD7" w:rsidRPr="00585F58">
        <w:t>;</w:t>
      </w:r>
    </w:p>
    <w:p w:rsidR="00C60AD7" w:rsidRPr="00585F58" w:rsidRDefault="00C60AD7" w:rsidP="00C60AD7">
      <w:pPr>
        <w:pStyle w:val="ListParagraph"/>
        <w:numPr>
          <w:ilvl w:val="0"/>
          <w:numId w:val="29"/>
        </w:numPr>
        <w:spacing w:after="0" w:line="20" w:lineRule="atLeast"/>
        <w:jc w:val="both"/>
      </w:pPr>
      <w:proofErr w:type="spellStart"/>
      <w:r w:rsidRPr="00585F58">
        <w:t>problēmsituācijas</w:t>
      </w:r>
      <w:proofErr w:type="spellEnd"/>
      <w:r w:rsidR="00CB4CE7">
        <w:t>,</w:t>
      </w:r>
      <w:r w:rsidRPr="00585F58">
        <w:t xml:space="preserve"> VID sagatavojot uzziņas par konkrētām tiesiskām situācijām;</w:t>
      </w:r>
    </w:p>
    <w:p w:rsidR="00C60AD7" w:rsidRPr="00585F58" w:rsidRDefault="00C60AD7" w:rsidP="00C60AD7">
      <w:pPr>
        <w:pStyle w:val="ListParagraph"/>
        <w:numPr>
          <w:ilvl w:val="0"/>
          <w:numId w:val="29"/>
        </w:numPr>
        <w:spacing w:after="0" w:line="20" w:lineRule="atLeast"/>
        <w:jc w:val="both"/>
      </w:pPr>
      <w:r w:rsidRPr="00585F58">
        <w:t>judikatūru, kuru piemērojot nākotnē a</w:t>
      </w:r>
      <w:r w:rsidR="00CB4CE7">
        <w:t>udita procesos, tā varētu radīt</w:t>
      </w:r>
      <w:r w:rsidRPr="00585F58">
        <w:t xml:space="preserve"> negatīvas sekas nodokļu maksātājam;</w:t>
      </w:r>
    </w:p>
    <w:p w:rsidR="00C60AD7" w:rsidRPr="00585F58" w:rsidRDefault="00C60AD7" w:rsidP="00C60AD7">
      <w:pPr>
        <w:pStyle w:val="ListParagraph"/>
        <w:numPr>
          <w:ilvl w:val="0"/>
          <w:numId w:val="29"/>
        </w:numPr>
        <w:spacing w:after="0" w:line="20" w:lineRule="atLeast"/>
        <w:jc w:val="both"/>
      </w:pPr>
      <w:r w:rsidRPr="00585F58">
        <w:lastRenderedPageBreak/>
        <w:t xml:space="preserve">problemātiku uzņēmuma revidentiem pārbaudīt P&amp;A procesu ietekmi uz nodokļu aprēķinu (var pieaugt pakalpojuma izmaksas). </w:t>
      </w:r>
    </w:p>
    <w:p w:rsidR="00C60AD7" w:rsidRPr="00585F58" w:rsidRDefault="00C60AD7" w:rsidP="00C60AD7">
      <w:pPr>
        <w:spacing w:after="0" w:line="20" w:lineRule="atLeast"/>
        <w:ind w:firstLine="567"/>
        <w:jc w:val="both"/>
      </w:pPr>
      <w:r w:rsidRPr="00585F58">
        <w:t>Piedāvātā no</w:t>
      </w:r>
      <w:r w:rsidR="00CB4CE7">
        <w:t>dokļa atvieglojuma efektivitāti</w:t>
      </w:r>
      <w:r w:rsidRPr="00585F58">
        <w:t xml:space="preserve"> apšaubīt liek apstāklis, ka Lietuva četru gadu laikā, izmantojot šādu atvieglojumu, ir spējusi P&amp;A ieguldījumus palielināt vien par 0,13% no IKP, kā arī apstāklis, ka atlaidi Lietuvā nevar uzskatīt par populāru, jo to izmanto tikai 0,1-0,2% no UIN maksātājiem (maksimāli izmantota 212 uzņēmumiem periodā). Salīdzinājumam UIN nodokļa atvieglojumu par jaunajām ražoša</w:t>
      </w:r>
      <w:r w:rsidR="00432650">
        <w:t>nas tehnoloģiskajām iekārtām</w:t>
      </w:r>
      <w:r w:rsidRPr="00585F58">
        <w:t xml:space="preserve"> Latvijā izmanto vairāk kā tūkstotis uzņēmēju. Papildu apstāklis, kas norāda, ka atlaides efektivitāte var būt pārvē</w:t>
      </w:r>
      <w:r w:rsidR="00432650">
        <w:t xml:space="preserve">rtēta ir norāde LTRK pētījumā, </w:t>
      </w:r>
      <w:r w:rsidRPr="00585F58">
        <w:t>ka uzņēmēji lielā mērā neveic P&amp;A ieguldījumu uzskaiti. Tas nozīmē, ka</w:t>
      </w:r>
      <w:r w:rsidR="00CB4CE7">
        <w:t>,</w:t>
      </w:r>
      <w:r w:rsidRPr="00585F58">
        <w:t xml:space="preserve"> ieviešot atlaidi</w:t>
      </w:r>
      <w:r w:rsidR="00CB4CE7">
        <w:t>,</w:t>
      </w:r>
      <w:r w:rsidRPr="00585F58">
        <w:t xml:space="preserve"> var būtiski nepieaugt P&amp;A apjoms, bet tik uzņēmumu līmenī sakārtota dokumentācija un veikta uzskaite par P&amp;A izdevumiem, kuri tiks veikti līdzīgi kā šobrīd ar vien</w:t>
      </w:r>
      <w:r w:rsidR="00CB4CE7">
        <w:t>īgo mērķi, lai izmantotu būtisku</w:t>
      </w:r>
      <w:r w:rsidRPr="00585F58">
        <w:t xml:space="preserve"> nodokļa sloga samazinājumu. Tādējādi pieaugs uzrādīto P&amp;A darbību apjoms, bet nepieaugs sagaidāmais kopējais valsts ieguvums no P&amp;A stimula piemērošanas.  </w:t>
      </w:r>
    </w:p>
    <w:p w:rsidR="00C60AD7" w:rsidRPr="00585F58" w:rsidRDefault="00C60AD7" w:rsidP="00C60AD7">
      <w:pPr>
        <w:spacing w:after="0" w:line="20" w:lineRule="atLeast"/>
        <w:ind w:firstLine="567"/>
        <w:jc w:val="both"/>
      </w:pPr>
      <w:r w:rsidRPr="00585F58">
        <w:t xml:space="preserve">Ņemot vērā apstākli, ka, ieviešot jaunus nodokļu atvieglojumus, to efektivitātes izvērtēšanai laika periodā ir jābūt noteiktiem izmērāmiem mērķiem, tad ir nepieciešams precizēt atvieglojuma ieviešanas mērķi, nosakot to konkrētu un izmērāmu. </w:t>
      </w:r>
    </w:p>
    <w:p w:rsidR="00560BDF" w:rsidRPr="00585F58" w:rsidRDefault="00560BDF" w:rsidP="00560BDF">
      <w:pPr>
        <w:pStyle w:val="ListParagraph"/>
        <w:spacing w:after="0" w:line="20" w:lineRule="atLeast"/>
        <w:ind w:left="66" w:firstLine="501"/>
        <w:jc w:val="both"/>
      </w:pPr>
      <w:r w:rsidRPr="00585F58">
        <w:t xml:space="preserve">Finanšu ministrija uzskata, ka nodokļu regulējumam ir jābūt skaidram un viennozīmīgi saprotamam visām iesaistītajām pusēm, bez interpretācijas iespējām. Kritēriji P&amp;A izmaksu nodalīšanai būtu jānosaka vismaz Ministru kabineta noteikumu līmenī, kas ir saistoši gan uzņēmumiem, gan nodokļu administrācijai. </w:t>
      </w:r>
    </w:p>
    <w:p w:rsidR="00660A92" w:rsidRPr="00585F58" w:rsidRDefault="007357BD" w:rsidP="001B75D3">
      <w:pPr>
        <w:pStyle w:val="ListParagraph"/>
        <w:spacing w:after="0" w:line="20" w:lineRule="atLeast"/>
        <w:ind w:left="66" w:firstLine="501"/>
        <w:jc w:val="both"/>
        <w:rPr>
          <w:rFonts w:cs="Times New Roman"/>
          <w:szCs w:val="24"/>
        </w:rPr>
      </w:pPr>
      <w:r w:rsidRPr="00585F58">
        <w:rPr>
          <w:rFonts w:cs="Times New Roman"/>
          <w:szCs w:val="24"/>
        </w:rPr>
        <w:t>Jā</w:t>
      </w:r>
      <w:r w:rsidR="00C34C66" w:rsidRPr="00585F58">
        <w:rPr>
          <w:rFonts w:cs="Times New Roman"/>
          <w:szCs w:val="24"/>
        </w:rPr>
        <w:t>at</w:t>
      </w:r>
      <w:r w:rsidR="00943F42" w:rsidRPr="00585F58">
        <w:rPr>
          <w:rFonts w:cs="Times New Roman"/>
          <w:szCs w:val="24"/>
        </w:rPr>
        <w:t>zīst</w:t>
      </w:r>
      <w:r w:rsidRPr="00585F58">
        <w:rPr>
          <w:rFonts w:cs="Times New Roman"/>
          <w:szCs w:val="24"/>
        </w:rPr>
        <w:t xml:space="preserve">, ka </w:t>
      </w:r>
      <w:r w:rsidR="006143FF" w:rsidRPr="00585F58">
        <w:rPr>
          <w:rFonts w:cs="Times New Roman"/>
          <w:szCs w:val="24"/>
        </w:rPr>
        <w:t xml:space="preserve">Ekonomikas ministrijas piedāvātajā variantā </w:t>
      </w:r>
      <w:r w:rsidRPr="00585F58">
        <w:rPr>
          <w:rFonts w:cs="Times New Roman"/>
          <w:szCs w:val="24"/>
        </w:rPr>
        <w:t xml:space="preserve">VID </w:t>
      </w:r>
      <w:r w:rsidR="00872DC5" w:rsidRPr="00585F58">
        <w:rPr>
          <w:rFonts w:cs="Times New Roman"/>
          <w:szCs w:val="24"/>
        </w:rPr>
        <w:t xml:space="preserve">būs sarežģīti kontrolēt, lai P&amp;A atvieglojums tiek piemērots tikai </w:t>
      </w:r>
      <w:r w:rsidR="00DD740F" w:rsidRPr="00585F58">
        <w:rPr>
          <w:rFonts w:cs="Times New Roman"/>
          <w:szCs w:val="24"/>
        </w:rPr>
        <w:t>attiec</w:t>
      </w:r>
      <w:r w:rsidR="00872DC5" w:rsidRPr="00585F58">
        <w:rPr>
          <w:rFonts w:cs="Times New Roman"/>
          <w:szCs w:val="24"/>
        </w:rPr>
        <w:t xml:space="preserve">ībā uz izmaksām, kas ir saistītas ar </w:t>
      </w:r>
      <w:r w:rsidR="00943F42" w:rsidRPr="00585F58">
        <w:rPr>
          <w:rFonts w:cs="Times New Roman"/>
          <w:szCs w:val="24"/>
        </w:rPr>
        <w:t>P&amp;A</w:t>
      </w:r>
      <w:r w:rsidR="003C123B" w:rsidRPr="00585F58">
        <w:rPr>
          <w:rFonts w:cs="Times New Roman"/>
          <w:szCs w:val="24"/>
        </w:rPr>
        <w:t>.</w:t>
      </w:r>
      <w:r w:rsidR="00C23A2C" w:rsidRPr="00585F58">
        <w:rPr>
          <w:rFonts w:cs="Times New Roman"/>
          <w:szCs w:val="24"/>
        </w:rPr>
        <w:t xml:space="preserve"> </w:t>
      </w:r>
      <w:r w:rsidR="00872DC5" w:rsidRPr="00585F58">
        <w:rPr>
          <w:rFonts w:cs="Times New Roman"/>
          <w:szCs w:val="24"/>
        </w:rPr>
        <w:t xml:space="preserve">ES struktūrfondu piemērošanā P&amp;A veicināšanas aktivitātēs tas ir viens no galvenajiem administrācijas izaicinājumiem. Tādēļ, lai nodrošinātu finansējuma izlietošanu tam paredzētajam mērķim, </w:t>
      </w:r>
      <w:r w:rsidR="00725631" w:rsidRPr="00585F58">
        <w:rPr>
          <w:rFonts w:cs="Times New Roman"/>
          <w:szCs w:val="24"/>
        </w:rPr>
        <w:t>atsevišķas</w:t>
      </w:r>
      <w:r w:rsidR="001B75D3" w:rsidRPr="00585F58">
        <w:rPr>
          <w:rFonts w:cs="Times New Roman"/>
          <w:szCs w:val="24"/>
        </w:rPr>
        <w:t xml:space="preserve"> ES struktūrfondu programmas</w:t>
      </w:r>
      <w:r w:rsidR="00872DC5" w:rsidRPr="00585F58">
        <w:rPr>
          <w:rFonts w:cs="Times New Roman"/>
          <w:szCs w:val="24"/>
        </w:rPr>
        <w:t xml:space="preserve"> pieteikumos ir paredzēts kritērijs, ka projektu var īstenot tikai </w:t>
      </w:r>
      <w:r w:rsidR="0069669D" w:rsidRPr="00585F58">
        <w:rPr>
          <w:rFonts w:cs="Times New Roman"/>
          <w:szCs w:val="24"/>
        </w:rPr>
        <w:t xml:space="preserve">reģistrēta </w:t>
      </w:r>
      <w:r w:rsidR="00872DC5" w:rsidRPr="00585F58">
        <w:rPr>
          <w:rFonts w:cs="Times New Roman"/>
          <w:szCs w:val="24"/>
        </w:rPr>
        <w:t>zinātnes institūcija</w:t>
      </w:r>
      <w:r w:rsidR="0069669D" w:rsidRPr="00585F58">
        <w:rPr>
          <w:rFonts w:cs="Times New Roman"/>
          <w:szCs w:val="24"/>
        </w:rPr>
        <w:t xml:space="preserve"> ar attiecīgi kvalificētu personālu</w:t>
      </w:r>
      <w:r w:rsidR="00872DC5" w:rsidRPr="00585F58">
        <w:rPr>
          <w:rFonts w:cs="Times New Roman"/>
          <w:szCs w:val="24"/>
        </w:rPr>
        <w:t xml:space="preserve">. </w:t>
      </w:r>
    </w:p>
    <w:p w:rsidR="00725631" w:rsidRPr="00585F58" w:rsidRDefault="00543FAF" w:rsidP="00725631">
      <w:pPr>
        <w:pStyle w:val="ListParagraph"/>
        <w:spacing w:after="0" w:line="20" w:lineRule="atLeast"/>
        <w:ind w:left="66" w:firstLine="501"/>
        <w:jc w:val="both"/>
        <w:rPr>
          <w:rFonts w:cs="Times New Roman"/>
          <w:szCs w:val="24"/>
        </w:rPr>
      </w:pPr>
      <w:r w:rsidRPr="00585F58">
        <w:rPr>
          <w:rFonts w:cs="Times New Roman"/>
          <w:szCs w:val="24"/>
        </w:rPr>
        <w:t>Piemēram, t</w:t>
      </w:r>
      <w:r w:rsidR="001B75D3" w:rsidRPr="00585F58">
        <w:rPr>
          <w:rFonts w:cs="Times New Roman"/>
          <w:szCs w:val="24"/>
        </w:rPr>
        <w:t>ād</w:t>
      </w:r>
      <w:r w:rsidR="00D369E7" w:rsidRPr="00585F58">
        <w:rPr>
          <w:rFonts w:cs="Times New Roman"/>
          <w:szCs w:val="24"/>
        </w:rPr>
        <w:t>u</w:t>
      </w:r>
      <w:r w:rsidRPr="00585F58">
        <w:rPr>
          <w:rFonts w:cs="Times New Roman"/>
          <w:szCs w:val="24"/>
        </w:rPr>
        <w:t xml:space="preserve"> </w:t>
      </w:r>
      <w:r w:rsidR="001B75D3" w:rsidRPr="00585F58">
        <w:rPr>
          <w:rFonts w:cs="Times New Roman"/>
          <w:szCs w:val="24"/>
        </w:rPr>
        <w:t>programm</w:t>
      </w:r>
      <w:r w:rsidR="00D369E7" w:rsidRPr="00585F58">
        <w:rPr>
          <w:rFonts w:cs="Times New Roman"/>
          <w:szCs w:val="24"/>
        </w:rPr>
        <w:t>u</w:t>
      </w:r>
      <w:r w:rsidRPr="00585F58">
        <w:rPr>
          <w:rFonts w:cs="Times New Roman"/>
          <w:szCs w:val="24"/>
        </w:rPr>
        <w:t xml:space="preserve"> kā</w:t>
      </w:r>
      <w:r w:rsidR="00065976" w:rsidRPr="00585F58">
        <w:rPr>
          <w:rFonts w:cs="Times New Roman"/>
          <w:szCs w:val="24"/>
        </w:rPr>
        <w:t xml:space="preserve"> Eiropas Sociālā</w:t>
      </w:r>
      <w:r w:rsidR="00EE1A2F" w:rsidRPr="00585F58">
        <w:rPr>
          <w:rFonts w:cs="Times New Roman"/>
          <w:szCs w:val="24"/>
        </w:rPr>
        <w:t xml:space="preserve"> fond</w:t>
      </w:r>
      <w:r w:rsidR="001B75D3" w:rsidRPr="00585F58">
        <w:rPr>
          <w:rFonts w:cs="Times New Roman"/>
          <w:szCs w:val="24"/>
        </w:rPr>
        <w:t>a</w:t>
      </w:r>
      <w:r w:rsidR="00EE1A2F" w:rsidRPr="00585F58">
        <w:rPr>
          <w:rFonts w:cs="Times New Roman"/>
          <w:szCs w:val="24"/>
        </w:rPr>
        <w:t xml:space="preserve"> 1.1.1.2.aktivitāte „Cilvēkresursu piesaiste zinātnei” un Eir</w:t>
      </w:r>
      <w:r w:rsidR="001B75D3" w:rsidRPr="00585F58">
        <w:rPr>
          <w:rFonts w:cs="Times New Roman"/>
          <w:szCs w:val="24"/>
        </w:rPr>
        <w:t>opas Reģionālās attīstības fonda</w:t>
      </w:r>
      <w:r w:rsidR="00660A92" w:rsidRPr="00585F58">
        <w:rPr>
          <w:rFonts w:cs="Times New Roman"/>
          <w:szCs w:val="24"/>
        </w:rPr>
        <w:t xml:space="preserve"> (turpmāk - ERAF)</w:t>
      </w:r>
      <w:r w:rsidR="00EE1A2F" w:rsidRPr="00585F58">
        <w:rPr>
          <w:rFonts w:cs="Times New Roman"/>
          <w:szCs w:val="24"/>
        </w:rPr>
        <w:t xml:space="preserve"> 2.1.1.2. aktivitāte „Atbalsts starptautiskās sadarbības projektiem zinātnē un tehnoloģij</w:t>
      </w:r>
      <w:r w:rsidR="001B75D3" w:rsidRPr="00585F58">
        <w:rPr>
          <w:rFonts w:cs="Times New Roman"/>
          <w:szCs w:val="24"/>
        </w:rPr>
        <w:t xml:space="preserve">as (EURIKA, 7.IP un citi)” </w:t>
      </w:r>
      <w:r w:rsidR="00EE1A2F" w:rsidRPr="00585F58">
        <w:rPr>
          <w:rFonts w:cs="Times New Roman"/>
          <w:szCs w:val="24"/>
        </w:rPr>
        <w:t>p</w:t>
      </w:r>
      <w:r w:rsidR="001B75D3" w:rsidRPr="00585F58">
        <w:rPr>
          <w:rFonts w:cs="Times New Roman"/>
          <w:szCs w:val="24"/>
        </w:rPr>
        <w:t>rojektu iesniegumu</w:t>
      </w:r>
      <w:r w:rsidR="00D369E7" w:rsidRPr="00585F58">
        <w:rPr>
          <w:rFonts w:cs="Times New Roman"/>
          <w:szCs w:val="24"/>
        </w:rPr>
        <w:t>s var iesniegt</w:t>
      </w:r>
      <w:r w:rsidR="001B75D3" w:rsidRPr="00585F58">
        <w:rPr>
          <w:rFonts w:cs="Times New Roman"/>
          <w:szCs w:val="24"/>
        </w:rPr>
        <w:t xml:space="preserve"> Z</w:t>
      </w:r>
      <w:r w:rsidR="00EE1A2F" w:rsidRPr="00585F58">
        <w:rPr>
          <w:rFonts w:cs="Times New Roman"/>
          <w:szCs w:val="24"/>
        </w:rPr>
        <w:t>inātnisko institūciju reģistrā reģistrētas zinātniskās institūcijas</w:t>
      </w:r>
      <w:r w:rsidR="00660A92" w:rsidRPr="00585F58">
        <w:rPr>
          <w:rFonts w:cs="Times New Roman"/>
          <w:szCs w:val="24"/>
        </w:rPr>
        <w:t xml:space="preserve">. </w:t>
      </w:r>
    </w:p>
    <w:p w:rsidR="00660A92" w:rsidRPr="00585F58" w:rsidRDefault="00725631" w:rsidP="00725631">
      <w:pPr>
        <w:pStyle w:val="ListParagraph"/>
        <w:spacing w:after="0" w:line="20" w:lineRule="atLeast"/>
        <w:ind w:left="66" w:firstLine="501"/>
        <w:jc w:val="both"/>
        <w:rPr>
          <w:rFonts w:cs="Times New Roman"/>
          <w:szCs w:val="24"/>
        </w:rPr>
      </w:pPr>
      <w:r w:rsidRPr="00585F58">
        <w:rPr>
          <w:rFonts w:cs="Times New Roman"/>
          <w:szCs w:val="24"/>
        </w:rPr>
        <w:t xml:space="preserve">Var būt iesaistīti arī citi </w:t>
      </w:r>
      <w:r w:rsidR="00D369E7" w:rsidRPr="00585F58">
        <w:rPr>
          <w:rFonts w:cs="Times New Roman"/>
          <w:szCs w:val="24"/>
        </w:rPr>
        <w:t>projektu pieteicēji</w:t>
      </w:r>
      <w:r w:rsidRPr="00585F58">
        <w:rPr>
          <w:rFonts w:cs="Times New Roman"/>
          <w:szCs w:val="24"/>
        </w:rPr>
        <w:t xml:space="preserve">, piemēram, </w:t>
      </w:r>
      <w:r w:rsidR="00660A92" w:rsidRPr="00585F58">
        <w:rPr>
          <w:rFonts w:cs="Times New Roman"/>
          <w:szCs w:val="24"/>
        </w:rPr>
        <w:t>ERAF 2.1.1.1. aktivitāte</w:t>
      </w:r>
      <w:r w:rsidR="00D369E7" w:rsidRPr="00585F58">
        <w:rPr>
          <w:rFonts w:cs="Times New Roman"/>
          <w:szCs w:val="24"/>
        </w:rPr>
        <w:t>s</w:t>
      </w:r>
      <w:r w:rsidR="00660A92" w:rsidRPr="00585F58">
        <w:rPr>
          <w:rFonts w:cs="Times New Roman"/>
          <w:szCs w:val="24"/>
        </w:rPr>
        <w:t xml:space="preserve"> „Atbalsts zinātnei un pētniecībai”, ERAF 2.1.1.3.1. </w:t>
      </w:r>
      <w:proofErr w:type="spellStart"/>
      <w:r w:rsidR="00660A92" w:rsidRPr="00585F58">
        <w:rPr>
          <w:rFonts w:cs="Times New Roman"/>
          <w:szCs w:val="24"/>
        </w:rPr>
        <w:t>apakšaktivit</w:t>
      </w:r>
      <w:r w:rsidR="001B75D3" w:rsidRPr="00585F58">
        <w:rPr>
          <w:rFonts w:cs="Times New Roman"/>
          <w:szCs w:val="24"/>
        </w:rPr>
        <w:t>āte</w:t>
      </w:r>
      <w:r w:rsidR="00D369E7" w:rsidRPr="00585F58">
        <w:rPr>
          <w:rFonts w:cs="Times New Roman"/>
          <w:szCs w:val="24"/>
        </w:rPr>
        <w:t>s</w:t>
      </w:r>
      <w:proofErr w:type="spellEnd"/>
      <w:r w:rsidR="00660A92" w:rsidRPr="00585F58">
        <w:rPr>
          <w:rFonts w:cs="Times New Roman"/>
          <w:szCs w:val="24"/>
        </w:rPr>
        <w:t xml:space="preserve"> „Zinātniskās infrastruktūras attīstība” un ERAF 2.1.2.2.4</w:t>
      </w:r>
      <w:r w:rsidR="007D39FE" w:rsidRPr="00585F58">
        <w:rPr>
          <w:rFonts w:cs="Times New Roman"/>
          <w:szCs w:val="24"/>
        </w:rPr>
        <w:t>.</w:t>
      </w:r>
      <w:r w:rsidR="00660A92" w:rsidRPr="00585F58">
        <w:rPr>
          <w:rFonts w:cs="Times New Roman"/>
          <w:szCs w:val="24"/>
        </w:rPr>
        <w:t xml:space="preserve"> </w:t>
      </w:r>
      <w:proofErr w:type="spellStart"/>
      <w:r w:rsidR="00660A92" w:rsidRPr="00585F58">
        <w:rPr>
          <w:rFonts w:cs="Times New Roman"/>
          <w:szCs w:val="24"/>
        </w:rPr>
        <w:t>apakšaktivit</w:t>
      </w:r>
      <w:r w:rsidR="001B75D3" w:rsidRPr="00585F58">
        <w:rPr>
          <w:rFonts w:cs="Times New Roman"/>
          <w:szCs w:val="24"/>
        </w:rPr>
        <w:t>āte</w:t>
      </w:r>
      <w:r w:rsidR="00D369E7" w:rsidRPr="00585F58">
        <w:rPr>
          <w:rFonts w:cs="Times New Roman"/>
          <w:szCs w:val="24"/>
        </w:rPr>
        <w:t>s</w:t>
      </w:r>
      <w:proofErr w:type="spellEnd"/>
      <w:r w:rsidR="00660A92" w:rsidRPr="00585F58">
        <w:rPr>
          <w:rFonts w:cs="Times New Roman"/>
          <w:szCs w:val="24"/>
        </w:rPr>
        <w:t xml:space="preserve"> „</w:t>
      </w:r>
      <w:proofErr w:type="spellStart"/>
      <w:r w:rsidR="00660A92" w:rsidRPr="00585F58">
        <w:rPr>
          <w:rFonts w:cs="Times New Roman"/>
          <w:szCs w:val="24"/>
        </w:rPr>
        <w:t>Mikro</w:t>
      </w:r>
      <w:proofErr w:type="spellEnd"/>
      <w:r w:rsidR="00660A92" w:rsidRPr="00585F58">
        <w:rPr>
          <w:rFonts w:cs="Times New Roman"/>
          <w:szCs w:val="24"/>
        </w:rPr>
        <w:t>, mazo un vidējo komersantu jaunu produktu un tehnoloģiju attīstības programma” –</w:t>
      </w:r>
      <w:r w:rsidR="007D39FE" w:rsidRPr="00585F58">
        <w:rPr>
          <w:rFonts w:cs="Times New Roman"/>
          <w:szCs w:val="24"/>
        </w:rPr>
        <w:t xml:space="preserve"> </w:t>
      </w:r>
      <w:r w:rsidR="00660A92" w:rsidRPr="00585F58">
        <w:rPr>
          <w:rFonts w:cs="Times New Roman"/>
          <w:szCs w:val="24"/>
        </w:rPr>
        <w:t xml:space="preserve">projektu iesniegumu atlases </w:t>
      </w:r>
      <w:r w:rsidR="007D39FE" w:rsidRPr="00585F58">
        <w:rPr>
          <w:rFonts w:cs="Times New Roman"/>
          <w:szCs w:val="24"/>
        </w:rPr>
        <w:t xml:space="preserve">pirmā </w:t>
      </w:r>
      <w:r w:rsidR="00660A92" w:rsidRPr="00585F58">
        <w:rPr>
          <w:rFonts w:cs="Times New Roman"/>
          <w:szCs w:val="24"/>
        </w:rPr>
        <w:t>k</w:t>
      </w:r>
      <w:r w:rsidR="00543FAF" w:rsidRPr="00585F58">
        <w:rPr>
          <w:rFonts w:cs="Times New Roman"/>
          <w:szCs w:val="24"/>
        </w:rPr>
        <w:t xml:space="preserve">ārtā projektu </w:t>
      </w:r>
      <w:r w:rsidR="001B75D3" w:rsidRPr="00585F58">
        <w:rPr>
          <w:rFonts w:cs="Times New Roman"/>
          <w:szCs w:val="24"/>
        </w:rPr>
        <w:t>īsteno Z</w:t>
      </w:r>
      <w:r w:rsidR="00543FAF" w:rsidRPr="00585F58">
        <w:rPr>
          <w:rFonts w:cs="Times New Roman"/>
          <w:szCs w:val="24"/>
        </w:rPr>
        <w:t xml:space="preserve">inātnisko institūciju reģistrā reģistrētas zinātniskās institūcijas, savukārt aktivitātes projektu iesniegumu atlases </w:t>
      </w:r>
      <w:r w:rsidR="007D39FE" w:rsidRPr="00585F58">
        <w:rPr>
          <w:rFonts w:cs="Times New Roman"/>
          <w:szCs w:val="24"/>
        </w:rPr>
        <w:t xml:space="preserve">otrajā </w:t>
      </w:r>
      <w:r w:rsidR="00543FAF" w:rsidRPr="00585F58">
        <w:rPr>
          <w:rFonts w:cs="Times New Roman"/>
          <w:szCs w:val="24"/>
        </w:rPr>
        <w:t>kārtā projektu var īstenot arī Latvijas Republikā reģistrēts komersants sadarbībā ar zinātnisko institūciju.</w:t>
      </w:r>
    </w:p>
    <w:p w:rsidR="007357BD" w:rsidRPr="00585F58" w:rsidRDefault="0069669D" w:rsidP="00872DC5">
      <w:pPr>
        <w:pStyle w:val="ListParagraph"/>
        <w:spacing w:after="0" w:line="20" w:lineRule="atLeast"/>
        <w:ind w:left="66" w:firstLine="501"/>
        <w:jc w:val="both"/>
        <w:rPr>
          <w:rFonts w:cs="Times New Roman"/>
          <w:szCs w:val="24"/>
        </w:rPr>
      </w:pPr>
      <w:r w:rsidRPr="00585F58">
        <w:rPr>
          <w:rFonts w:cs="Times New Roman"/>
          <w:szCs w:val="24"/>
        </w:rPr>
        <w:t xml:space="preserve">Saglabājot mērķi </w:t>
      </w:r>
      <w:r w:rsidR="00872DC5" w:rsidRPr="00585F58">
        <w:rPr>
          <w:rFonts w:cs="Times New Roman"/>
          <w:szCs w:val="24"/>
        </w:rPr>
        <w:t>P&amp;A aktivitātes integrēt uzņēmumu ikdienas saimnieciskajā darbībā, šāds kontroles mehānisms P&amp;A UIN atvieglojumam nebūtu piemērojams. Cita iespēja ir piesaistīt</w:t>
      </w:r>
      <w:r w:rsidR="00DD740F" w:rsidRPr="00585F58">
        <w:rPr>
          <w:rFonts w:cs="Times New Roman"/>
          <w:szCs w:val="24"/>
        </w:rPr>
        <w:t xml:space="preserve"> speciālistus </w:t>
      </w:r>
      <w:r w:rsidR="00943F42" w:rsidRPr="00585F58">
        <w:rPr>
          <w:rFonts w:cs="Times New Roman"/>
          <w:szCs w:val="24"/>
        </w:rPr>
        <w:t xml:space="preserve">P&amp;A UIN atvieglojuma piemērošanas pamatotības </w:t>
      </w:r>
      <w:r w:rsidR="00C23A2C" w:rsidRPr="00585F58">
        <w:rPr>
          <w:rFonts w:cs="Times New Roman"/>
          <w:szCs w:val="24"/>
        </w:rPr>
        <w:t>izvērtēšanai</w:t>
      </w:r>
      <w:r w:rsidR="00872DC5" w:rsidRPr="00585F58">
        <w:rPr>
          <w:rFonts w:cs="Times New Roman"/>
          <w:szCs w:val="24"/>
        </w:rPr>
        <w:t>, kas</w:t>
      </w:r>
      <w:r w:rsidRPr="00585F58">
        <w:rPr>
          <w:rFonts w:cs="Times New Roman"/>
          <w:szCs w:val="24"/>
        </w:rPr>
        <w:t xml:space="preserve"> savukārt radītu</w:t>
      </w:r>
      <w:r w:rsidR="00872DC5" w:rsidRPr="00585F58">
        <w:rPr>
          <w:rFonts w:cs="Times New Roman"/>
          <w:szCs w:val="24"/>
        </w:rPr>
        <w:t xml:space="preserve"> papildu administratīvo slogu gan uzņēmumam, gan arī ekspertu izmaksas nodokļu administrācijai, lai gūtu pārliecību, ka </w:t>
      </w:r>
      <w:r w:rsidR="003C123B" w:rsidRPr="00585F58">
        <w:rPr>
          <w:rFonts w:cs="Times New Roman"/>
          <w:szCs w:val="24"/>
        </w:rPr>
        <w:t>norādītās izmaksas ir pamatotas un saistītas ar P&amp;A</w:t>
      </w:r>
      <w:r w:rsidR="00185A8B" w:rsidRPr="00585F58">
        <w:rPr>
          <w:rFonts w:cs="Times New Roman"/>
          <w:szCs w:val="24"/>
        </w:rPr>
        <w:t>,</w:t>
      </w:r>
      <w:r w:rsidR="003C123B" w:rsidRPr="00585F58">
        <w:rPr>
          <w:rFonts w:cs="Times New Roman"/>
          <w:szCs w:val="24"/>
        </w:rPr>
        <w:t xml:space="preserve"> un nodokļu atvieglojums ir aprēķināts korekti</w:t>
      </w:r>
      <w:r w:rsidR="00C23A2C" w:rsidRPr="00585F58">
        <w:rPr>
          <w:rFonts w:cs="Times New Roman"/>
          <w:szCs w:val="24"/>
        </w:rPr>
        <w:t>.</w:t>
      </w:r>
    </w:p>
    <w:p w:rsidR="0069669D" w:rsidRPr="00585F58" w:rsidRDefault="00185A8B" w:rsidP="00872DC5">
      <w:pPr>
        <w:pStyle w:val="ListParagraph"/>
        <w:spacing w:after="0" w:line="20" w:lineRule="atLeast"/>
        <w:ind w:left="66" w:firstLine="501"/>
        <w:jc w:val="both"/>
        <w:rPr>
          <w:rFonts w:cs="Times New Roman"/>
          <w:szCs w:val="24"/>
        </w:rPr>
      </w:pPr>
      <w:r w:rsidRPr="00585F58">
        <w:rPr>
          <w:rFonts w:cs="Times New Roman"/>
          <w:szCs w:val="24"/>
        </w:rPr>
        <w:lastRenderedPageBreak/>
        <w:t>Papildu aspekts, kas jāņem vērā</w:t>
      </w:r>
      <w:r w:rsidR="00560BDF" w:rsidRPr="00585F58">
        <w:rPr>
          <w:rFonts w:cs="Times New Roman"/>
          <w:szCs w:val="24"/>
        </w:rPr>
        <w:t>,</w:t>
      </w:r>
      <w:r w:rsidR="0069669D" w:rsidRPr="00585F58">
        <w:rPr>
          <w:rFonts w:cs="Times New Roman"/>
          <w:szCs w:val="24"/>
        </w:rPr>
        <w:t xml:space="preserve"> vērtējot P&amp;A aktivitāšu veicināšanu, izmantojot UIN </w:t>
      </w:r>
      <w:r w:rsidR="00F45856" w:rsidRPr="00585F58">
        <w:rPr>
          <w:rFonts w:cs="Times New Roman"/>
          <w:szCs w:val="24"/>
        </w:rPr>
        <w:t>atvieglojum</w:t>
      </w:r>
      <w:r w:rsidR="002634E5" w:rsidRPr="00585F58">
        <w:rPr>
          <w:rFonts w:cs="Times New Roman"/>
          <w:szCs w:val="24"/>
        </w:rPr>
        <w:t>u</w:t>
      </w:r>
      <w:r w:rsidR="00F45856" w:rsidRPr="00585F58">
        <w:rPr>
          <w:rFonts w:cs="Times New Roman"/>
          <w:szCs w:val="24"/>
        </w:rPr>
        <w:t>s</w:t>
      </w:r>
      <w:r w:rsidR="0069669D" w:rsidRPr="00585F58">
        <w:rPr>
          <w:rFonts w:cs="Times New Roman"/>
          <w:szCs w:val="24"/>
        </w:rPr>
        <w:t>, ir valsts ieguvuma samērīgums pret</w:t>
      </w:r>
      <w:r w:rsidR="003C123B" w:rsidRPr="00585F58">
        <w:rPr>
          <w:rFonts w:cs="Times New Roman"/>
          <w:szCs w:val="24"/>
        </w:rPr>
        <w:t xml:space="preserve"> negūtajiem nodokļu ieņēmumiem. </w:t>
      </w:r>
      <w:r w:rsidR="0069669D" w:rsidRPr="00585F58">
        <w:rPr>
          <w:rFonts w:cs="Times New Roman"/>
          <w:szCs w:val="24"/>
        </w:rPr>
        <w:t xml:space="preserve">UIN </w:t>
      </w:r>
      <w:r w:rsidR="008E28A2" w:rsidRPr="00585F58">
        <w:rPr>
          <w:rFonts w:cs="Times New Roman"/>
          <w:szCs w:val="24"/>
        </w:rPr>
        <w:t>atvieglojuma</w:t>
      </w:r>
      <w:r w:rsidR="0069669D" w:rsidRPr="00585F58">
        <w:rPr>
          <w:rFonts w:cs="Times New Roman"/>
          <w:szCs w:val="24"/>
        </w:rPr>
        <w:t xml:space="preserve"> piemērošanas gadījumā, it īpaši, ja pētāmais jautājums skar uzņēmuma komercnoslēpumu, šāda prasība varētu būt uzņēmumiem nesamērīga. Savukārt UIN atvieglojuma piemērošana vairākos uzņēmumos par vienu un to pašu pētāmo jautājumu nebūtu vērtējama kā efektīva valsts budžeta līdzekļu izlietošana. </w:t>
      </w:r>
    </w:p>
    <w:p w:rsidR="00C60AD7" w:rsidRPr="00585F58" w:rsidRDefault="00C60AD7" w:rsidP="00C60AD7">
      <w:pPr>
        <w:pStyle w:val="ListParagraph"/>
        <w:spacing w:after="0" w:line="20" w:lineRule="atLeast"/>
        <w:ind w:left="66" w:firstLine="501"/>
        <w:jc w:val="both"/>
        <w:rPr>
          <w:rFonts w:cs="Times New Roman"/>
          <w:szCs w:val="24"/>
        </w:rPr>
      </w:pPr>
      <w:r w:rsidRPr="00585F58">
        <w:rPr>
          <w:bCs/>
        </w:rPr>
        <w:t xml:space="preserve">Ņemot vērā to, ka gan Lietuvā, gan citās valstīs, kurās ir īpaši stimuli  P&amp;A projektiem,  neskaidrību novēršanai ir izveidotas struktūras, kurās kompetenti speciālisti var vērtēt projektus un P&amp;A būtību, ieviešot Latvijā jaunu P&amp;A UIN stimulu, būs nepieciešams noteikt institūciju, kuras pienākums būs sniegt viedokli, vai attiecīgā darbība ir uzskatāma par zinātniski pētniecisku darbību. Šo uzdevumu nevar uzdot </w:t>
      </w:r>
      <w:r w:rsidR="00E72C3E" w:rsidRPr="00585F58">
        <w:rPr>
          <w:bCs/>
        </w:rPr>
        <w:t>FM</w:t>
      </w:r>
      <w:r w:rsidRPr="00585F58">
        <w:rPr>
          <w:bCs/>
        </w:rPr>
        <w:t xml:space="preserve"> vai </w:t>
      </w:r>
      <w:r w:rsidR="00E72C3E" w:rsidRPr="00585F58">
        <w:rPr>
          <w:bCs/>
        </w:rPr>
        <w:t>VID</w:t>
      </w:r>
      <w:r w:rsidRPr="00585F58">
        <w:rPr>
          <w:bCs/>
        </w:rPr>
        <w:t>, to jāveic iestādei, kas jau līdz šim veic līdzīgas funkcijas (Izglītība</w:t>
      </w:r>
      <w:r w:rsidR="00091483" w:rsidRPr="00585F58">
        <w:rPr>
          <w:bCs/>
        </w:rPr>
        <w:t>s</w:t>
      </w:r>
      <w:r w:rsidRPr="00585F58">
        <w:rPr>
          <w:bCs/>
        </w:rPr>
        <w:t xml:space="preserve"> un zinātnes ministrijas sistēmā). Projekta virzības gaitā jāņem vērā arī izmaksas, kuras radīsies uzturot šāda veida institūciju (vismaz ar 5 au</w:t>
      </w:r>
      <w:r w:rsidR="00091483" w:rsidRPr="00585F58">
        <w:rPr>
          <w:bCs/>
        </w:rPr>
        <w:t>gsta ranga zinātniekiem, kuriem</w:t>
      </w:r>
      <w:r w:rsidRPr="00585F58">
        <w:rPr>
          <w:bCs/>
        </w:rPr>
        <w:t xml:space="preserve">, lai izslēgtu korupcijas risku, būtu jāsniedz amatpersonu deklarācijas).  </w:t>
      </w:r>
    </w:p>
    <w:p w:rsidR="00C60AD7" w:rsidRPr="00585F58" w:rsidRDefault="00C60AD7" w:rsidP="00C60AD7">
      <w:pPr>
        <w:spacing w:after="0" w:line="240" w:lineRule="auto"/>
        <w:ind w:firstLine="567"/>
        <w:jc w:val="both"/>
        <w:rPr>
          <w:bCs/>
        </w:rPr>
      </w:pPr>
      <w:r w:rsidRPr="00585F58">
        <w:rPr>
          <w:bCs/>
        </w:rPr>
        <w:t>Lai novērsu iespēju, ka Latvija tiek izmantota nodokļu optimizēšanas shēmā, kur Latvijas režīmu izmantot tikai vairākkārtējai izmaksu atzīšanai un nodokļa bāzes samazināšanai, bet izgudrojumus novirza uz tādu valsti, kura veicina pārnesi un inovatīvu produktu ražošanu, kas ģenerē budžetā ieņēmumus, ir jānodrošina atdeve Latvijā no P&amp;A darbības rezultātā iegūtajiem nemateriālajiem aktīviem, jo  atvieglojumu piešķiršana P&amp;A izdevumiem intelektuālā īpašuma (nemateriālā aktīva) radīšanas posmā pati (nevis tā izlietošanas posmā) par sevi vēl nenodrošina stabilu ienākumu gūšanu no radītā nemateriālā aktīva, kas varētu pamatot atvieglojuma piešķiršanu izveides posmā, jo praksē radītais nemateriālais aktīvs (piemēram: patents) bieži tiek pārvietots uz saistītu sabiedrību citā valstī, kas nodrošina labvēlīgu nodokļu uzlikšanas režīmu, jau pašiem ienākumiem no patenta. Līdz ar to īpaši atvieglojumi P&amp;A izdevumiem var tikai radīt nodokļa bāzes samazinājumu, bet var neradīt papildus ienākumus izveidotā intelektuālā īpašuma ekspluatācijas periodā, jo tiesības uz radītā intelektuālā īpašuma izmantošanu var tikt nodotas sabiedrībai citā valstī. Līdz ar to jāsaista atvieglojumu piešķiršana intelektuālā īpašuma radīšanas posmā ar ieguvumiem izveidotā intelektuālā īpašuma izmantošanas periodā.   </w:t>
      </w:r>
    </w:p>
    <w:p w:rsidR="00376091" w:rsidRPr="00585F58" w:rsidRDefault="00AB40A8" w:rsidP="001A4E44">
      <w:pPr>
        <w:spacing w:after="0" w:line="240" w:lineRule="auto"/>
        <w:ind w:firstLine="567"/>
        <w:jc w:val="both"/>
        <w:rPr>
          <w:rFonts w:cs="Times New Roman"/>
        </w:rPr>
      </w:pPr>
      <w:r w:rsidRPr="00585F58">
        <w:rPr>
          <w:rFonts w:cs="Times New Roman"/>
          <w:szCs w:val="24"/>
        </w:rPr>
        <w:t xml:space="preserve">Pamatojoties uz </w:t>
      </w:r>
      <w:r w:rsidR="001A4E44" w:rsidRPr="00585F58">
        <w:rPr>
          <w:rFonts w:cs="Times New Roman"/>
          <w:szCs w:val="24"/>
        </w:rPr>
        <w:t xml:space="preserve">augstāk minētajiem riskiem, </w:t>
      </w:r>
      <w:r w:rsidRPr="00585F58">
        <w:rPr>
          <w:rFonts w:cs="Times New Roman"/>
          <w:szCs w:val="24"/>
        </w:rPr>
        <w:t xml:space="preserve">FM </w:t>
      </w:r>
      <w:r w:rsidR="001A4E44" w:rsidRPr="00585F58">
        <w:rPr>
          <w:rFonts w:cs="Times New Roman"/>
          <w:szCs w:val="24"/>
        </w:rPr>
        <w:t>uzskata, ka sadarbībā ar Ekonomikas ministriju un Izglītības un zinātnes ministriju ir nepieciešams turpināt darbu pie P&amp;A UIN atvieglojuma kritēriju izstrādes, lai nodrošinātu, ka atvieglojums tiek izmantots tikai tam paredzētajam mērķim – radīt priekšnosacījumus saimnieciskās darbības aktivitātēm ar augstu pievienoto vērtību.</w:t>
      </w:r>
      <w:r w:rsidR="00376091" w:rsidRPr="00585F58">
        <w:rPr>
          <w:rFonts w:cs="Times New Roman"/>
        </w:rPr>
        <w:t xml:space="preserve"> </w:t>
      </w:r>
    </w:p>
    <w:p w:rsidR="00B17AAF" w:rsidRPr="00585F58" w:rsidRDefault="00B17AAF" w:rsidP="00ED6F0C">
      <w:pPr>
        <w:spacing w:after="0" w:line="240" w:lineRule="auto"/>
        <w:ind w:firstLine="567"/>
        <w:jc w:val="both"/>
        <w:rPr>
          <w:rFonts w:cs="Times New Roman"/>
          <w:szCs w:val="24"/>
        </w:rPr>
      </w:pPr>
    </w:p>
    <w:p w:rsidR="00560BDF" w:rsidRPr="00585F58" w:rsidRDefault="00560BDF" w:rsidP="00FD3B93">
      <w:pPr>
        <w:spacing w:after="0" w:line="240" w:lineRule="auto"/>
        <w:jc w:val="both"/>
        <w:rPr>
          <w:rFonts w:cs="Times New Roman"/>
          <w:szCs w:val="24"/>
        </w:rPr>
      </w:pPr>
    </w:p>
    <w:p w:rsidR="008606E2" w:rsidRPr="00585F58" w:rsidRDefault="008606E2" w:rsidP="001327C6">
      <w:pPr>
        <w:pStyle w:val="ListParagraph"/>
        <w:numPr>
          <w:ilvl w:val="0"/>
          <w:numId w:val="4"/>
        </w:numPr>
        <w:spacing w:line="20" w:lineRule="atLeast"/>
        <w:rPr>
          <w:rFonts w:cs="Times New Roman"/>
          <w:b/>
          <w:sz w:val="28"/>
          <w:szCs w:val="28"/>
          <w:u w:val="single"/>
        </w:rPr>
      </w:pPr>
      <w:r w:rsidRPr="00585F58">
        <w:rPr>
          <w:rFonts w:cs="Times New Roman"/>
          <w:b/>
          <w:sz w:val="28"/>
          <w:szCs w:val="28"/>
          <w:u w:val="single"/>
        </w:rPr>
        <w:t>Rezultatīvie rādītāji</w:t>
      </w:r>
    </w:p>
    <w:p w:rsidR="00CF6DAE" w:rsidRPr="00585F58" w:rsidRDefault="00CF6DAE" w:rsidP="008606E2">
      <w:pPr>
        <w:spacing w:line="240" w:lineRule="auto"/>
        <w:ind w:firstLine="709"/>
        <w:contextualSpacing/>
        <w:jc w:val="both"/>
        <w:rPr>
          <w:rFonts w:eastAsia="Times New Roman" w:cs="Times New Roman"/>
          <w:bCs/>
          <w:szCs w:val="24"/>
          <w:lang w:eastAsia="lv-LV"/>
        </w:rPr>
      </w:pPr>
      <w:r w:rsidRPr="00585F58">
        <w:rPr>
          <w:rFonts w:eastAsia="Times New Roman" w:cs="Times New Roman"/>
          <w:bCs/>
          <w:szCs w:val="24"/>
          <w:lang w:eastAsia="lv-LV"/>
        </w:rPr>
        <w:t>Nodokļu atvieglojumi ir izvērtējami arī kā atbalsts atsevišķām nodokļu maksātāju grupām. Tā kā atbalsts ir paredzēts dažād</w:t>
      </w:r>
      <w:r w:rsidR="006B3459" w:rsidRPr="00585F58">
        <w:rPr>
          <w:rFonts w:eastAsia="Times New Roman" w:cs="Times New Roman"/>
          <w:bCs/>
          <w:szCs w:val="24"/>
          <w:lang w:eastAsia="lv-LV"/>
        </w:rPr>
        <w:t xml:space="preserve">u </w:t>
      </w:r>
      <w:r w:rsidRPr="00585F58">
        <w:rPr>
          <w:rFonts w:eastAsia="Times New Roman" w:cs="Times New Roman"/>
          <w:bCs/>
          <w:szCs w:val="24"/>
          <w:lang w:eastAsia="lv-LV"/>
        </w:rPr>
        <w:t xml:space="preserve">mērķu sasniegšanai, ieguvumus nav iespējams salīdzināt </w:t>
      </w:r>
      <w:r w:rsidR="00E82B4E" w:rsidRPr="00585F58">
        <w:rPr>
          <w:rFonts w:eastAsia="Times New Roman" w:cs="Times New Roman"/>
          <w:bCs/>
          <w:szCs w:val="24"/>
          <w:lang w:eastAsia="lv-LV"/>
        </w:rPr>
        <w:t xml:space="preserve">tikai </w:t>
      </w:r>
      <w:r w:rsidRPr="00585F58">
        <w:rPr>
          <w:rFonts w:eastAsia="Times New Roman" w:cs="Times New Roman"/>
          <w:bCs/>
          <w:szCs w:val="24"/>
          <w:lang w:eastAsia="lv-LV"/>
        </w:rPr>
        <w:t>naudas izteiksmē. Piemērota varētu būt rezultatīvo rādītāju izvērtēšanas pieeja, strukturē</w:t>
      </w:r>
      <w:r w:rsidR="00F06EB8" w:rsidRPr="00585F58">
        <w:rPr>
          <w:rFonts w:eastAsia="Times New Roman" w:cs="Times New Roman"/>
          <w:bCs/>
          <w:szCs w:val="24"/>
          <w:lang w:eastAsia="lv-LV"/>
        </w:rPr>
        <w:t>jo</w:t>
      </w:r>
      <w:r w:rsidRPr="00585F58">
        <w:rPr>
          <w:rFonts w:eastAsia="Times New Roman" w:cs="Times New Roman"/>
          <w:bCs/>
          <w:szCs w:val="24"/>
          <w:lang w:eastAsia="lv-LV"/>
        </w:rPr>
        <w:t>t dažādos sociālekonomiskos ieguvumus.</w:t>
      </w:r>
    </w:p>
    <w:p w:rsidR="00CF6DAE" w:rsidRPr="00585F58" w:rsidRDefault="00CF6DAE" w:rsidP="00CF6DAE">
      <w:pPr>
        <w:spacing w:line="240" w:lineRule="auto"/>
        <w:ind w:firstLine="720"/>
        <w:contextualSpacing/>
        <w:jc w:val="both"/>
        <w:rPr>
          <w:rFonts w:eastAsia="Times New Roman" w:cs="Times New Roman"/>
          <w:bCs/>
          <w:szCs w:val="24"/>
          <w:lang w:eastAsia="lv-LV"/>
        </w:rPr>
      </w:pPr>
      <w:r w:rsidRPr="00585F58">
        <w:rPr>
          <w:rFonts w:eastAsia="Times New Roman" w:cs="Times New Roman"/>
          <w:bCs/>
          <w:szCs w:val="24"/>
          <w:lang w:eastAsia="lv-LV"/>
        </w:rPr>
        <w:t xml:space="preserve">Latvijā spēkā esošā metodoloģija ietekmes izvērtēšanā ir noteikta </w:t>
      </w:r>
      <w:r w:rsidR="001318F9" w:rsidRPr="00585F58">
        <w:rPr>
          <w:rFonts w:eastAsia="Times New Roman" w:cs="Times New Roman"/>
          <w:bCs/>
          <w:szCs w:val="24"/>
          <w:lang w:eastAsia="lv-LV"/>
        </w:rPr>
        <w:t xml:space="preserve">Ministru kabineta </w:t>
      </w:r>
      <w:r w:rsidRPr="00585F58">
        <w:rPr>
          <w:rFonts w:eastAsia="Times New Roman" w:cs="Times New Roman"/>
          <w:bCs/>
          <w:szCs w:val="24"/>
          <w:lang w:eastAsia="lv-LV"/>
        </w:rPr>
        <w:t>2009.</w:t>
      </w:r>
      <w:r w:rsidR="001318F9" w:rsidRPr="00585F58">
        <w:rPr>
          <w:rFonts w:eastAsia="Times New Roman" w:cs="Times New Roman"/>
          <w:bCs/>
          <w:szCs w:val="24"/>
          <w:lang w:eastAsia="lv-LV"/>
        </w:rPr>
        <w:t xml:space="preserve">gada 17.novembra </w:t>
      </w:r>
      <w:r w:rsidRPr="00585F58">
        <w:rPr>
          <w:rFonts w:eastAsia="Times New Roman" w:cs="Times New Roman"/>
          <w:bCs/>
          <w:szCs w:val="24"/>
          <w:lang w:eastAsia="lv-LV"/>
        </w:rPr>
        <w:t>instrukcijā Nr.16 „Ministriju un citu centrālo valsts iestāžu rezultātu un to rezultatīvo rādītāju izstrādes un novērtēšanas instruk</w:t>
      </w:r>
      <w:r w:rsidR="00185A8B" w:rsidRPr="00585F58">
        <w:rPr>
          <w:rFonts w:eastAsia="Times New Roman" w:cs="Times New Roman"/>
          <w:bCs/>
          <w:szCs w:val="24"/>
          <w:lang w:eastAsia="lv-LV"/>
        </w:rPr>
        <w:t xml:space="preserve">cija”. </w:t>
      </w:r>
      <w:r w:rsidR="00185A8B" w:rsidRPr="00585F58">
        <w:rPr>
          <w:rFonts w:eastAsia="Times New Roman" w:cs="Times New Roman"/>
          <w:bCs/>
          <w:szCs w:val="24"/>
          <w:lang w:eastAsia="lv-LV"/>
        </w:rPr>
        <w:lastRenderedPageBreak/>
        <w:t xml:space="preserve">Rezultatīvie rādītāji </w:t>
      </w:r>
      <w:r w:rsidRPr="00585F58">
        <w:rPr>
          <w:rFonts w:eastAsia="Times New Roman" w:cs="Times New Roman"/>
          <w:bCs/>
          <w:szCs w:val="24"/>
          <w:lang w:eastAsia="lv-LV"/>
        </w:rPr>
        <w:t xml:space="preserve">principā </w:t>
      </w:r>
      <w:r w:rsidR="00185A8B" w:rsidRPr="00585F58">
        <w:rPr>
          <w:rFonts w:eastAsia="Times New Roman" w:cs="Times New Roman"/>
          <w:bCs/>
          <w:szCs w:val="24"/>
          <w:lang w:eastAsia="lv-LV"/>
        </w:rPr>
        <w:t xml:space="preserve">ir </w:t>
      </w:r>
      <w:r w:rsidRPr="00585F58">
        <w:rPr>
          <w:rFonts w:eastAsia="Times New Roman" w:cs="Times New Roman"/>
          <w:bCs/>
          <w:szCs w:val="24"/>
          <w:lang w:eastAsia="lv-LV"/>
        </w:rPr>
        <w:t>piemēroti val</w:t>
      </w:r>
      <w:r w:rsidR="004F16A9" w:rsidRPr="00585F58">
        <w:rPr>
          <w:rFonts w:eastAsia="Times New Roman" w:cs="Times New Roman"/>
          <w:bCs/>
          <w:szCs w:val="24"/>
          <w:lang w:eastAsia="lv-LV"/>
        </w:rPr>
        <w:t>sts budžeta izdevumu programmām</w:t>
      </w:r>
      <w:r w:rsidRPr="00585F58">
        <w:rPr>
          <w:rFonts w:eastAsia="Times New Roman" w:cs="Times New Roman"/>
          <w:bCs/>
          <w:szCs w:val="24"/>
          <w:lang w:eastAsia="lv-LV"/>
        </w:rPr>
        <w:t xml:space="preserve"> un neattiecas uz nodokļu politikas jautājumiem. </w:t>
      </w:r>
    </w:p>
    <w:p w:rsidR="00CF6DAE" w:rsidRPr="00585F58" w:rsidRDefault="00CF6DAE" w:rsidP="00CF6DAE">
      <w:pPr>
        <w:spacing w:line="240" w:lineRule="auto"/>
        <w:ind w:firstLine="720"/>
        <w:contextualSpacing/>
        <w:jc w:val="both"/>
        <w:rPr>
          <w:rFonts w:eastAsia="Times New Roman" w:cs="Times New Roman"/>
          <w:bCs/>
          <w:szCs w:val="24"/>
          <w:lang w:eastAsia="lv-LV"/>
        </w:rPr>
      </w:pPr>
      <w:r w:rsidRPr="00585F58">
        <w:rPr>
          <w:rFonts w:eastAsia="Times New Roman" w:cs="Times New Roman"/>
          <w:bCs/>
          <w:szCs w:val="24"/>
          <w:lang w:eastAsia="lv-LV"/>
        </w:rPr>
        <w:t>Noteikumu vispārīgie principi paredz šādus rezultātu izstrādes galvenos posmus:</w:t>
      </w:r>
    </w:p>
    <w:p w:rsidR="00CF6DAE" w:rsidRPr="00585F58" w:rsidRDefault="00CF6DAE" w:rsidP="001327C6">
      <w:pPr>
        <w:pStyle w:val="ListParagraph"/>
        <w:numPr>
          <w:ilvl w:val="0"/>
          <w:numId w:val="3"/>
        </w:numPr>
        <w:spacing w:line="240" w:lineRule="auto"/>
        <w:ind w:left="426"/>
        <w:jc w:val="both"/>
        <w:rPr>
          <w:rFonts w:eastAsia="Times New Roman" w:cs="Times New Roman"/>
          <w:bCs/>
          <w:szCs w:val="24"/>
          <w:lang w:eastAsia="lv-LV"/>
        </w:rPr>
      </w:pPr>
      <w:r w:rsidRPr="00585F58">
        <w:rPr>
          <w:rFonts w:eastAsia="Times New Roman" w:cs="Times New Roman"/>
          <w:bCs/>
          <w:szCs w:val="24"/>
          <w:lang w:eastAsia="lv-LV"/>
        </w:rPr>
        <w:t>politikas un makro</w:t>
      </w:r>
      <w:r w:rsidR="006D634A" w:rsidRPr="00585F58">
        <w:rPr>
          <w:rFonts w:eastAsia="Times New Roman" w:cs="Times New Roman"/>
          <w:bCs/>
          <w:szCs w:val="24"/>
          <w:lang w:eastAsia="lv-LV"/>
        </w:rPr>
        <w:t xml:space="preserve"> </w:t>
      </w:r>
      <w:r w:rsidRPr="00585F58">
        <w:rPr>
          <w:rFonts w:eastAsia="Times New Roman" w:cs="Times New Roman"/>
          <w:bCs/>
          <w:szCs w:val="24"/>
          <w:lang w:eastAsia="lv-LV"/>
        </w:rPr>
        <w:t>ietekmes rezult</w:t>
      </w:r>
      <w:r w:rsidR="00185A8B" w:rsidRPr="00585F58">
        <w:rPr>
          <w:rFonts w:eastAsia="Times New Roman" w:cs="Times New Roman"/>
          <w:bCs/>
          <w:szCs w:val="24"/>
          <w:lang w:eastAsia="lv-LV"/>
        </w:rPr>
        <w:t>ātu noteikšanu</w:t>
      </w:r>
      <w:r w:rsidRPr="00585F58">
        <w:rPr>
          <w:rFonts w:eastAsia="Times New Roman" w:cs="Times New Roman"/>
          <w:bCs/>
          <w:szCs w:val="24"/>
          <w:lang w:eastAsia="lv-LV"/>
        </w:rPr>
        <w:t xml:space="preserve"> atbilstoši izvirzītajam mērķim;</w:t>
      </w:r>
    </w:p>
    <w:p w:rsidR="00CF6DAE" w:rsidRPr="00585F58" w:rsidRDefault="00185A8B" w:rsidP="001327C6">
      <w:pPr>
        <w:pStyle w:val="ListParagraph"/>
        <w:numPr>
          <w:ilvl w:val="0"/>
          <w:numId w:val="3"/>
        </w:numPr>
        <w:spacing w:line="240" w:lineRule="auto"/>
        <w:ind w:left="426"/>
        <w:jc w:val="both"/>
        <w:rPr>
          <w:rFonts w:eastAsia="Times New Roman" w:cs="Times New Roman"/>
          <w:bCs/>
          <w:szCs w:val="24"/>
          <w:lang w:eastAsia="lv-LV"/>
        </w:rPr>
      </w:pPr>
      <w:r w:rsidRPr="00585F58">
        <w:rPr>
          <w:rFonts w:eastAsia="Times New Roman" w:cs="Times New Roman"/>
          <w:bCs/>
          <w:szCs w:val="24"/>
          <w:lang w:eastAsia="lv-LV"/>
        </w:rPr>
        <w:t>darbības rezultātu noteikšanu</w:t>
      </w:r>
      <w:r w:rsidR="00CF6DAE" w:rsidRPr="00585F58">
        <w:rPr>
          <w:rFonts w:eastAsia="Times New Roman" w:cs="Times New Roman"/>
          <w:bCs/>
          <w:szCs w:val="24"/>
          <w:lang w:eastAsia="lv-LV"/>
        </w:rPr>
        <w:t xml:space="preserve"> atbilstoši izvirzītajam politikas mērķim;</w:t>
      </w:r>
    </w:p>
    <w:p w:rsidR="00CF6DAE" w:rsidRPr="00585F58" w:rsidRDefault="00185A8B" w:rsidP="001327C6">
      <w:pPr>
        <w:pStyle w:val="ListParagraph"/>
        <w:numPr>
          <w:ilvl w:val="0"/>
          <w:numId w:val="3"/>
        </w:numPr>
        <w:spacing w:line="240" w:lineRule="auto"/>
        <w:ind w:left="426"/>
        <w:jc w:val="both"/>
        <w:rPr>
          <w:rFonts w:eastAsia="Times New Roman" w:cs="Times New Roman"/>
          <w:bCs/>
          <w:szCs w:val="24"/>
          <w:lang w:eastAsia="lv-LV"/>
        </w:rPr>
      </w:pPr>
      <w:r w:rsidRPr="00585F58">
        <w:rPr>
          <w:rFonts w:eastAsia="Times New Roman" w:cs="Times New Roman"/>
          <w:bCs/>
          <w:szCs w:val="24"/>
          <w:lang w:eastAsia="lv-LV"/>
        </w:rPr>
        <w:t>rezultatīvo rādītāju noteikšanu</w:t>
      </w:r>
      <w:r w:rsidR="00CF6DAE" w:rsidRPr="00585F58">
        <w:rPr>
          <w:rFonts w:eastAsia="Times New Roman" w:cs="Times New Roman"/>
          <w:bCs/>
          <w:szCs w:val="24"/>
          <w:lang w:eastAsia="lv-LV"/>
        </w:rPr>
        <w:t xml:space="preserve"> atbilstoši noteiktajam rezultātam;</w:t>
      </w:r>
    </w:p>
    <w:p w:rsidR="00CF6DAE" w:rsidRPr="00585F58" w:rsidRDefault="00CF6DAE" w:rsidP="001327C6">
      <w:pPr>
        <w:pStyle w:val="ListParagraph"/>
        <w:numPr>
          <w:ilvl w:val="0"/>
          <w:numId w:val="3"/>
        </w:numPr>
        <w:spacing w:line="240" w:lineRule="auto"/>
        <w:ind w:left="426"/>
        <w:jc w:val="both"/>
        <w:rPr>
          <w:rFonts w:eastAsia="Times New Roman" w:cs="Times New Roman"/>
          <w:bCs/>
          <w:szCs w:val="24"/>
          <w:lang w:eastAsia="lv-LV"/>
        </w:rPr>
      </w:pPr>
      <w:r w:rsidRPr="00585F58">
        <w:rPr>
          <w:rFonts w:eastAsia="Times New Roman" w:cs="Times New Roman"/>
          <w:bCs/>
          <w:szCs w:val="24"/>
          <w:lang w:eastAsia="lv-LV"/>
        </w:rPr>
        <w:t>rezult</w:t>
      </w:r>
      <w:r w:rsidR="006D634A" w:rsidRPr="00585F58">
        <w:rPr>
          <w:rFonts w:eastAsia="Times New Roman" w:cs="Times New Roman"/>
          <w:bCs/>
          <w:szCs w:val="24"/>
          <w:lang w:eastAsia="lv-LV"/>
        </w:rPr>
        <w:t>a</w:t>
      </w:r>
      <w:r w:rsidR="00185A8B" w:rsidRPr="00585F58">
        <w:rPr>
          <w:rFonts w:eastAsia="Times New Roman" w:cs="Times New Roman"/>
          <w:bCs/>
          <w:szCs w:val="24"/>
          <w:lang w:eastAsia="lv-LV"/>
        </w:rPr>
        <w:t>tīvā rādītāja aprēķināšanu un prognozes izstrādi</w:t>
      </w:r>
      <w:r w:rsidRPr="00585F58">
        <w:rPr>
          <w:rFonts w:eastAsia="Times New Roman" w:cs="Times New Roman"/>
          <w:bCs/>
          <w:szCs w:val="24"/>
          <w:lang w:eastAsia="lv-LV"/>
        </w:rPr>
        <w:t xml:space="preserve"> plānošanas periodam;</w:t>
      </w:r>
    </w:p>
    <w:p w:rsidR="00CF6DAE" w:rsidRPr="00585F58" w:rsidRDefault="00CF6DAE" w:rsidP="001327C6">
      <w:pPr>
        <w:pStyle w:val="ListParagraph"/>
        <w:numPr>
          <w:ilvl w:val="0"/>
          <w:numId w:val="3"/>
        </w:numPr>
        <w:spacing w:line="240" w:lineRule="auto"/>
        <w:ind w:left="426"/>
        <w:jc w:val="both"/>
        <w:rPr>
          <w:rFonts w:eastAsia="Times New Roman" w:cs="Times New Roman"/>
          <w:bCs/>
          <w:szCs w:val="24"/>
          <w:lang w:eastAsia="lv-LV"/>
        </w:rPr>
      </w:pPr>
      <w:r w:rsidRPr="00585F58">
        <w:rPr>
          <w:rFonts w:eastAsia="Times New Roman" w:cs="Times New Roman"/>
          <w:bCs/>
          <w:szCs w:val="24"/>
          <w:lang w:eastAsia="lv-LV"/>
        </w:rPr>
        <w:t>iegu</w:t>
      </w:r>
      <w:r w:rsidR="00185A8B" w:rsidRPr="00585F58">
        <w:rPr>
          <w:rFonts w:eastAsia="Times New Roman" w:cs="Times New Roman"/>
          <w:bCs/>
          <w:szCs w:val="24"/>
          <w:lang w:eastAsia="lv-LV"/>
        </w:rPr>
        <w:t>ldījumu nepieciešamības aprēķinu un precizēšanu</w:t>
      </w:r>
      <w:r w:rsidRPr="00585F58">
        <w:rPr>
          <w:rFonts w:eastAsia="Times New Roman" w:cs="Times New Roman"/>
          <w:bCs/>
          <w:szCs w:val="24"/>
          <w:lang w:eastAsia="lv-LV"/>
        </w:rPr>
        <w:t>.</w:t>
      </w:r>
    </w:p>
    <w:p w:rsidR="00CF6DAE" w:rsidRPr="00585F58" w:rsidRDefault="00CF6DAE" w:rsidP="00CF6DAE">
      <w:pPr>
        <w:spacing w:line="240" w:lineRule="auto"/>
        <w:ind w:firstLine="720"/>
        <w:contextualSpacing/>
        <w:jc w:val="both"/>
        <w:rPr>
          <w:rFonts w:eastAsia="Times New Roman" w:cs="Times New Roman"/>
          <w:bCs/>
          <w:szCs w:val="24"/>
          <w:lang w:eastAsia="lv-LV"/>
        </w:rPr>
      </w:pPr>
      <w:r w:rsidRPr="00585F58">
        <w:rPr>
          <w:rFonts w:eastAsia="Times New Roman" w:cs="Times New Roman"/>
          <w:bCs/>
          <w:szCs w:val="24"/>
          <w:lang w:eastAsia="lv-LV"/>
        </w:rPr>
        <w:t>Katrs nodokļu likums vai tā grozījumi tiek pieņemti kopā ar anotāciju un kopsavilkumu par tā ekonomisko ietekmi, un tas nosaka likuma pieņemšanas mērķus. UIN likums kop</w:t>
      </w:r>
      <w:r w:rsidR="00490A03" w:rsidRPr="00585F58">
        <w:rPr>
          <w:rFonts w:eastAsia="Times New Roman" w:cs="Times New Roman"/>
          <w:bCs/>
          <w:szCs w:val="24"/>
          <w:lang w:eastAsia="lv-LV"/>
        </w:rPr>
        <w:t>š</w:t>
      </w:r>
      <w:r w:rsidRPr="00585F58">
        <w:rPr>
          <w:rFonts w:eastAsia="Times New Roman" w:cs="Times New Roman"/>
          <w:bCs/>
          <w:szCs w:val="24"/>
          <w:lang w:eastAsia="lv-LV"/>
        </w:rPr>
        <w:t xml:space="preserve"> tā </w:t>
      </w:r>
      <w:r w:rsidR="000A7C17" w:rsidRPr="00585F58">
        <w:rPr>
          <w:rFonts w:eastAsia="Times New Roman" w:cs="Times New Roman"/>
          <w:bCs/>
          <w:szCs w:val="24"/>
          <w:lang w:eastAsia="lv-LV"/>
        </w:rPr>
        <w:t>spēkā stāšanās</w:t>
      </w:r>
      <w:r w:rsidRPr="00585F58">
        <w:rPr>
          <w:rFonts w:eastAsia="Times New Roman" w:cs="Times New Roman"/>
          <w:bCs/>
          <w:szCs w:val="24"/>
          <w:lang w:eastAsia="lv-LV"/>
        </w:rPr>
        <w:t xml:space="preserve"> 1995.gada </w:t>
      </w:r>
      <w:r w:rsidR="000A7C17" w:rsidRPr="00585F58">
        <w:rPr>
          <w:rFonts w:eastAsia="Times New Roman" w:cs="Times New Roman"/>
          <w:bCs/>
          <w:szCs w:val="24"/>
          <w:lang w:eastAsia="lv-LV"/>
        </w:rPr>
        <w:t>1</w:t>
      </w:r>
      <w:r w:rsidRPr="00585F58">
        <w:rPr>
          <w:rFonts w:eastAsia="Times New Roman" w:cs="Times New Roman"/>
          <w:bCs/>
          <w:szCs w:val="24"/>
          <w:lang w:eastAsia="lv-LV"/>
        </w:rPr>
        <w:t>.</w:t>
      </w:r>
      <w:r w:rsidR="000A7C17" w:rsidRPr="00585F58">
        <w:rPr>
          <w:rFonts w:eastAsia="Times New Roman" w:cs="Times New Roman"/>
          <w:bCs/>
          <w:szCs w:val="24"/>
          <w:lang w:eastAsia="lv-LV"/>
        </w:rPr>
        <w:t>aprīlī</w:t>
      </w:r>
      <w:r w:rsidRPr="00585F58">
        <w:rPr>
          <w:rFonts w:eastAsia="Times New Roman" w:cs="Times New Roman"/>
          <w:bCs/>
          <w:szCs w:val="24"/>
          <w:lang w:eastAsia="lv-LV"/>
        </w:rPr>
        <w:t xml:space="preserve"> ir </w:t>
      </w:r>
      <w:r w:rsidR="000D5259" w:rsidRPr="00585F58">
        <w:rPr>
          <w:rFonts w:eastAsia="Times New Roman" w:cs="Times New Roman"/>
          <w:bCs/>
          <w:szCs w:val="24"/>
          <w:lang w:eastAsia="lv-LV"/>
        </w:rPr>
        <w:t>daudzkārt</w:t>
      </w:r>
      <w:r w:rsidR="00882109" w:rsidRPr="00585F58">
        <w:rPr>
          <w:rFonts w:eastAsia="Times New Roman" w:cs="Times New Roman"/>
          <w:bCs/>
          <w:szCs w:val="24"/>
          <w:lang w:eastAsia="lv-LV"/>
        </w:rPr>
        <w:t xml:space="preserve"> </w:t>
      </w:r>
      <w:r w:rsidRPr="00585F58">
        <w:rPr>
          <w:rFonts w:eastAsia="Times New Roman" w:cs="Times New Roman"/>
          <w:bCs/>
          <w:szCs w:val="24"/>
          <w:lang w:eastAsia="lv-LV"/>
        </w:rPr>
        <w:t xml:space="preserve">grozīts, nosakot katra </w:t>
      </w:r>
      <w:r w:rsidR="007B56B0" w:rsidRPr="00585F58">
        <w:rPr>
          <w:rFonts w:eastAsia="Times New Roman" w:cs="Times New Roman"/>
          <w:bCs/>
          <w:szCs w:val="24"/>
          <w:lang w:eastAsia="lv-LV"/>
        </w:rPr>
        <w:t>atvieglojuma</w:t>
      </w:r>
      <w:r w:rsidR="00560BDF" w:rsidRPr="00585F58">
        <w:rPr>
          <w:rFonts w:eastAsia="Times New Roman" w:cs="Times New Roman"/>
          <w:bCs/>
          <w:szCs w:val="24"/>
          <w:lang w:eastAsia="lv-LV"/>
        </w:rPr>
        <w:t xml:space="preserve"> mērķus</w:t>
      </w:r>
      <w:r w:rsidRPr="00585F58">
        <w:rPr>
          <w:rFonts w:eastAsia="Times New Roman" w:cs="Times New Roman"/>
          <w:bCs/>
          <w:szCs w:val="24"/>
          <w:lang w:eastAsia="lv-LV"/>
        </w:rPr>
        <w:t xml:space="preserve">. </w:t>
      </w:r>
    </w:p>
    <w:p w:rsidR="00CF6DAE" w:rsidRPr="00585F58" w:rsidRDefault="00CF6DAE" w:rsidP="00CF6DAE">
      <w:pPr>
        <w:spacing w:line="240" w:lineRule="auto"/>
        <w:ind w:firstLine="720"/>
        <w:contextualSpacing/>
        <w:jc w:val="both"/>
        <w:rPr>
          <w:rFonts w:eastAsia="Times New Roman" w:cs="Times New Roman"/>
          <w:bCs/>
          <w:szCs w:val="24"/>
          <w:lang w:eastAsia="lv-LV"/>
        </w:rPr>
      </w:pPr>
      <w:r w:rsidRPr="00585F58">
        <w:rPr>
          <w:rFonts w:eastAsia="Times New Roman" w:cs="Times New Roman"/>
          <w:bCs/>
          <w:szCs w:val="24"/>
          <w:lang w:eastAsia="lv-LV"/>
        </w:rPr>
        <w:t xml:space="preserve">Rezultāti un rezultatīvie rādītāji nodokļu likumiem </w:t>
      </w:r>
      <w:r w:rsidR="00C771B8" w:rsidRPr="00585F58">
        <w:rPr>
          <w:rFonts w:eastAsia="Times New Roman" w:cs="Times New Roman"/>
          <w:bCs/>
          <w:szCs w:val="24"/>
          <w:lang w:eastAsia="lv-LV"/>
        </w:rPr>
        <w:t>sākotnēji nav noteikti</w:t>
      </w:r>
      <w:r w:rsidRPr="00585F58">
        <w:rPr>
          <w:rFonts w:eastAsia="Times New Roman" w:cs="Times New Roman"/>
          <w:bCs/>
          <w:szCs w:val="24"/>
          <w:lang w:eastAsia="lv-LV"/>
        </w:rPr>
        <w:t xml:space="preserve">, tādēļ </w:t>
      </w:r>
      <w:r w:rsidR="0034407E" w:rsidRPr="00585F58">
        <w:rPr>
          <w:rFonts w:eastAsia="Times New Roman" w:cs="Times New Roman"/>
          <w:bCs/>
          <w:szCs w:val="24"/>
          <w:lang w:eastAsia="lv-LV"/>
        </w:rPr>
        <w:t>10</w:t>
      </w:r>
      <w:r w:rsidR="0092042B" w:rsidRPr="00585F58">
        <w:rPr>
          <w:rFonts w:eastAsia="Times New Roman" w:cs="Times New Roman"/>
          <w:bCs/>
          <w:szCs w:val="24"/>
          <w:lang w:eastAsia="lv-LV"/>
        </w:rPr>
        <w:t xml:space="preserve">.tabulā </w:t>
      </w:r>
      <w:r w:rsidR="00C771B8" w:rsidRPr="00585F58">
        <w:rPr>
          <w:rFonts w:eastAsia="Times New Roman" w:cs="Times New Roman"/>
          <w:bCs/>
          <w:szCs w:val="24"/>
          <w:lang w:eastAsia="lv-LV"/>
        </w:rPr>
        <w:t xml:space="preserve">analītiskā veidā </w:t>
      </w:r>
      <w:r w:rsidR="00685F29" w:rsidRPr="00585F58">
        <w:rPr>
          <w:rFonts w:eastAsia="Times New Roman" w:cs="Times New Roman"/>
          <w:bCs/>
          <w:szCs w:val="24"/>
          <w:lang w:eastAsia="lv-LV"/>
        </w:rPr>
        <w:t>tiek aplūkoti</w:t>
      </w:r>
      <w:r w:rsidRPr="00585F58">
        <w:rPr>
          <w:rFonts w:eastAsia="Times New Roman" w:cs="Times New Roman"/>
          <w:bCs/>
          <w:szCs w:val="24"/>
          <w:lang w:eastAsia="lv-LV"/>
        </w:rPr>
        <w:t xml:space="preserve"> </w:t>
      </w:r>
      <w:r w:rsidR="00C771B8" w:rsidRPr="00585F58">
        <w:rPr>
          <w:rFonts w:eastAsia="Times New Roman" w:cs="Times New Roman"/>
          <w:bCs/>
          <w:szCs w:val="24"/>
          <w:lang w:eastAsia="lv-LV"/>
        </w:rPr>
        <w:t>iespējam</w:t>
      </w:r>
      <w:r w:rsidR="00685F29" w:rsidRPr="00585F58">
        <w:rPr>
          <w:rFonts w:eastAsia="Times New Roman" w:cs="Times New Roman"/>
          <w:bCs/>
          <w:szCs w:val="24"/>
          <w:lang w:eastAsia="lv-LV"/>
        </w:rPr>
        <w:t>ie efekti</w:t>
      </w:r>
      <w:r w:rsidR="00C771B8" w:rsidRPr="00585F58">
        <w:rPr>
          <w:rFonts w:eastAsia="Times New Roman" w:cs="Times New Roman"/>
          <w:bCs/>
          <w:szCs w:val="24"/>
          <w:lang w:eastAsia="lv-LV"/>
        </w:rPr>
        <w:t xml:space="preserve"> </w:t>
      </w:r>
      <w:r w:rsidRPr="00585F58">
        <w:rPr>
          <w:rFonts w:eastAsia="Times New Roman" w:cs="Times New Roman"/>
          <w:bCs/>
          <w:szCs w:val="24"/>
          <w:lang w:eastAsia="lv-LV"/>
        </w:rPr>
        <w:t xml:space="preserve">(ieguvumi un zaudējumi). </w:t>
      </w:r>
    </w:p>
    <w:p w:rsidR="00CB2D9F" w:rsidRPr="00585F58" w:rsidRDefault="00CB2D9F" w:rsidP="00F06EB8">
      <w:pPr>
        <w:spacing w:line="240" w:lineRule="auto"/>
        <w:contextualSpacing/>
        <w:jc w:val="both"/>
        <w:rPr>
          <w:rFonts w:cs="Times New Roman"/>
          <w:b/>
        </w:rPr>
      </w:pPr>
    </w:p>
    <w:p w:rsidR="00F06EB8" w:rsidRPr="00585F58" w:rsidRDefault="00FD3B93" w:rsidP="00F06EB8">
      <w:pPr>
        <w:spacing w:line="240" w:lineRule="auto"/>
        <w:contextualSpacing/>
        <w:jc w:val="both"/>
        <w:rPr>
          <w:rFonts w:eastAsia="Times New Roman" w:cs="Times New Roman"/>
          <w:b/>
          <w:bCs/>
          <w:szCs w:val="24"/>
          <w:lang w:eastAsia="lv-LV"/>
        </w:rPr>
      </w:pPr>
      <w:r>
        <w:rPr>
          <w:rFonts w:cs="Times New Roman"/>
          <w:b/>
        </w:rPr>
        <w:t>7</w:t>
      </w:r>
      <w:r w:rsidR="00F06EB8" w:rsidRPr="00585F58">
        <w:rPr>
          <w:rFonts w:cs="Times New Roman"/>
          <w:b/>
        </w:rPr>
        <w:t xml:space="preserve">.tab. UIN </w:t>
      </w:r>
      <w:r w:rsidR="00F06EB8" w:rsidRPr="00585F58">
        <w:rPr>
          <w:rFonts w:eastAsia="Times New Roman" w:cs="Times New Roman"/>
          <w:b/>
          <w:bCs/>
          <w:szCs w:val="24"/>
          <w:lang w:eastAsia="lv-LV"/>
        </w:rPr>
        <w:t>atvieglojumu efekti.</w:t>
      </w:r>
    </w:p>
    <w:tbl>
      <w:tblPr>
        <w:tblStyle w:val="TableGrid"/>
        <w:tblW w:w="8472" w:type="dxa"/>
        <w:tblLook w:val="04A0" w:firstRow="1" w:lastRow="0" w:firstColumn="1" w:lastColumn="0" w:noHBand="0" w:noVBand="1"/>
      </w:tblPr>
      <w:tblGrid>
        <w:gridCol w:w="2943"/>
        <w:gridCol w:w="2130"/>
        <w:gridCol w:w="3399"/>
      </w:tblGrid>
      <w:tr w:rsidR="00585F58" w:rsidRPr="00585F58" w:rsidTr="00EB4135">
        <w:trPr>
          <w:tblHeader/>
        </w:trPr>
        <w:tc>
          <w:tcPr>
            <w:tcW w:w="2943" w:type="dxa"/>
          </w:tcPr>
          <w:p w:rsidR="008437D6" w:rsidRPr="00585F58" w:rsidRDefault="008437D6" w:rsidP="008437D6">
            <w:pPr>
              <w:rPr>
                <w:rFonts w:ascii="Times New Roman" w:hAnsi="Times New Roman" w:cs="Times New Roman"/>
                <w:b/>
                <w:i/>
              </w:rPr>
            </w:pPr>
            <w:r w:rsidRPr="00585F58">
              <w:rPr>
                <w:rFonts w:ascii="Times New Roman" w:hAnsi="Times New Roman" w:cs="Times New Roman"/>
                <w:b/>
                <w:i/>
              </w:rPr>
              <w:t>Atvieglojums</w:t>
            </w:r>
          </w:p>
        </w:tc>
        <w:tc>
          <w:tcPr>
            <w:tcW w:w="2130" w:type="dxa"/>
          </w:tcPr>
          <w:p w:rsidR="008437D6" w:rsidRPr="00585F58" w:rsidRDefault="008437D6" w:rsidP="008437D6">
            <w:pPr>
              <w:rPr>
                <w:rFonts w:ascii="Times New Roman" w:hAnsi="Times New Roman" w:cs="Times New Roman"/>
                <w:b/>
                <w:i/>
              </w:rPr>
            </w:pPr>
            <w:r w:rsidRPr="00585F58">
              <w:rPr>
                <w:rFonts w:ascii="Times New Roman" w:hAnsi="Times New Roman" w:cs="Times New Roman"/>
                <w:b/>
                <w:i/>
              </w:rPr>
              <w:t>Saturiskais mērķis</w:t>
            </w:r>
          </w:p>
        </w:tc>
        <w:tc>
          <w:tcPr>
            <w:tcW w:w="3399" w:type="dxa"/>
          </w:tcPr>
          <w:p w:rsidR="008437D6" w:rsidRPr="00585F58" w:rsidRDefault="00490A03" w:rsidP="00685F29">
            <w:pPr>
              <w:rPr>
                <w:rFonts w:ascii="Times New Roman" w:hAnsi="Times New Roman" w:cs="Times New Roman"/>
                <w:b/>
                <w:i/>
              </w:rPr>
            </w:pPr>
            <w:r w:rsidRPr="00585F58">
              <w:rPr>
                <w:rFonts w:ascii="Times New Roman" w:hAnsi="Times New Roman" w:cs="Times New Roman"/>
                <w:b/>
                <w:i/>
              </w:rPr>
              <w:t>I</w:t>
            </w:r>
            <w:r w:rsidR="008437D6" w:rsidRPr="00585F58">
              <w:rPr>
                <w:rFonts w:ascii="Times New Roman" w:hAnsi="Times New Roman" w:cs="Times New Roman"/>
                <w:b/>
                <w:i/>
              </w:rPr>
              <w:t xml:space="preserve">espējamie efekti (ieguvumi un zaudējumi) </w:t>
            </w:r>
          </w:p>
        </w:tc>
      </w:tr>
      <w:tr w:rsidR="00585F58" w:rsidRPr="00585F58" w:rsidTr="006D634A">
        <w:tc>
          <w:tcPr>
            <w:tcW w:w="2943" w:type="dxa"/>
          </w:tcPr>
          <w:p w:rsidR="004452D1" w:rsidRPr="00585F58" w:rsidRDefault="007D0799" w:rsidP="004D16A9">
            <w:pPr>
              <w:spacing w:line="20" w:lineRule="atLeast"/>
              <w:jc w:val="both"/>
              <w:rPr>
                <w:rFonts w:ascii="Times New Roman" w:hAnsi="Times New Roman" w:cs="Times New Roman"/>
              </w:rPr>
            </w:pPr>
            <w:r w:rsidRPr="00585F58">
              <w:rPr>
                <w:rFonts w:ascii="Times New Roman" w:hAnsi="Times New Roman" w:cs="Times New Roman"/>
                <w:i/>
              </w:rPr>
              <w:t xml:space="preserve">1. </w:t>
            </w:r>
            <w:r w:rsidR="004452D1" w:rsidRPr="00585F58">
              <w:rPr>
                <w:rFonts w:ascii="Times New Roman" w:hAnsi="Times New Roman" w:cs="Times New Roman"/>
                <w:i/>
              </w:rPr>
              <w:t xml:space="preserve">Atvieglojums ražošanas veicināšanai, iegādājoties jaunas ražošanas </w:t>
            </w:r>
            <w:proofErr w:type="spellStart"/>
            <w:r w:rsidR="004452D1" w:rsidRPr="00585F58">
              <w:rPr>
                <w:rFonts w:ascii="Times New Roman" w:hAnsi="Times New Roman" w:cs="Times New Roman"/>
                <w:i/>
              </w:rPr>
              <w:t>tehnolo</w:t>
            </w:r>
            <w:r w:rsidR="00685F29" w:rsidRPr="00585F58">
              <w:rPr>
                <w:rFonts w:ascii="Times New Roman" w:hAnsi="Times New Roman" w:cs="Times New Roman"/>
                <w:i/>
              </w:rPr>
              <w:t>-</w:t>
            </w:r>
            <w:r w:rsidR="004452D1" w:rsidRPr="00585F58">
              <w:rPr>
                <w:rFonts w:ascii="Times New Roman" w:hAnsi="Times New Roman" w:cs="Times New Roman"/>
                <w:i/>
              </w:rPr>
              <w:t>ģiskās</w:t>
            </w:r>
            <w:proofErr w:type="spellEnd"/>
            <w:r w:rsidR="004452D1" w:rsidRPr="00585F58">
              <w:rPr>
                <w:rFonts w:ascii="Times New Roman" w:hAnsi="Times New Roman" w:cs="Times New Roman"/>
                <w:i/>
              </w:rPr>
              <w:t xml:space="preserve"> iekārtas</w:t>
            </w:r>
            <w:r w:rsidR="004452D1" w:rsidRPr="00585F58">
              <w:rPr>
                <w:rFonts w:ascii="Times New Roman" w:hAnsi="Times New Roman" w:cs="Times New Roman"/>
              </w:rPr>
              <w:t xml:space="preserve">. </w:t>
            </w:r>
          </w:p>
          <w:p w:rsidR="004452D1" w:rsidRPr="00585F58" w:rsidRDefault="004452D1" w:rsidP="004D16A9">
            <w:pPr>
              <w:rPr>
                <w:rFonts w:ascii="Times New Roman" w:hAnsi="Times New Roman" w:cs="Times New Roman"/>
              </w:rPr>
            </w:pPr>
          </w:p>
        </w:tc>
        <w:tc>
          <w:tcPr>
            <w:tcW w:w="2130" w:type="dxa"/>
          </w:tcPr>
          <w:p w:rsidR="004452D1" w:rsidRPr="00585F58" w:rsidRDefault="004452D1" w:rsidP="004D16A9">
            <w:pPr>
              <w:rPr>
                <w:rFonts w:ascii="Times New Roman" w:hAnsi="Times New Roman" w:cs="Times New Roman"/>
              </w:rPr>
            </w:pPr>
            <w:r w:rsidRPr="00585F58">
              <w:rPr>
                <w:rFonts w:ascii="Times New Roman" w:hAnsi="Times New Roman" w:cs="Times New Roman"/>
              </w:rPr>
              <w:t>Sekmēt ražošanas attīstību un investīciju piesaisti.</w:t>
            </w:r>
          </w:p>
        </w:tc>
        <w:tc>
          <w:tcPr>
            <w:tcW w:w="3399" w:type="dxa"/>
          </w:tcPr>
          <w:p w:rsidR="004452D1" w:rsidRPr="00585F58" w:rsidRDefault="004452D1" w:rsidP="004D16A9">
            <w:pPr>
              <w:rPr>
                <w:rFonts w:ascii="Times New Roman" w:hAnsi="Times New Roman" w:cs="Times New Roman"/>
              </w:rPr>
            </w:pPr>
            <w:r w:rsidRPr="00585F58">
              <w:rPr>
                <w:rFonts w:ascii="Times New Roman" w:hAnsi="Times New Roman" w:cs="Times New Roman"/>
              </w:rPr>
              <w:t>(+) atvieglojums ir plaši izmantots;</w:t>
            </w:r>
          </w:p>
          <w:p w:rsidR="008437D6" w:rsidRPr="00585F58" w:rsidRDefault="004452D1" w:rsidP="004D16A9">
            <w:pPr>
              <w:rPr>
                <w:rFonts w:ascii="Times New Roman" w:hAnsi="Times New Roman" w:cs="Times New Roman"/>
              </w:rPr>
            </w:pPr>
            <w:r w:rsidRPr="00585F58">
              <w:rPr>
                <w:rFonts w:ascii="Times New Roman" w:hAnsi="Times New Roman" w:cs="Times New Roman"/>
              </w:rPr>
              <w:t>(+) veicina ražošanas attīstību</w:t>
            </w:r>
            <w:r w:rsidR="004D4384" w:rsidRPr="00585F58">
              <w:rPr>
                <w:rFonts w:ascii="Times New Roman" w:hAnsi="Times New Roman" w:cs="Times New Roman"/>
              </w:rPr>
              <w:t>;</w:t>
            </w:r>
            <w:r w:rsidRPr="00585F58">
              <w:rPr>
                <w:rFonts w:ascii="Times New Roman" w:hAnsi="Times New Roman" w:cs="Times New Roman"/>
              </w:rPr>
              <w:t xml:space="preserve"> </w:t>
            </w:r>
          </w:p>
          <w:p w:rsidR="008112A6" w:rsidRPr="00585F58" w:rsidRDefault="004452D1" w:rsidP="004D16A9">
            <w:pPr>
              <w:rPr>
                <w:rFonts w:ascii="Times New Roman" w:hAnsi="Times New Roman" w:cs="Times New Roman"/>
              </w:rPr>
            </w:pPr>
            <w:r w:rsidRPr="00585F58">
              <w:rPr>
                <w:rFonts w:ascii="Times New Roman" w:hAnsi="Times New Roman" w:cs="Times New Roman"/>
              </w:rPr>
              <w:t>(-)</w:t>
            </w:r>
            <w:r w:rsidR="00D8393D" w:rsidRPr="00585F58">
              <w:rPr>
                <w:rFonts w:ascii="Times New Roman" w:hAnsi="Times New Roman" w:cs="Times New Roman"/>
              </w:rPr>
              <w:t xml:space="preserve"> </w:t>
            </w:r>
            <w:r w:rsidR="00205493" w:rsidRPr="00585F58">
              <w:rPr>
                <w:rFonts w:ascii="Times New Roman" w:hAnsi="Times New Roman" w:cs="Times New Roman"/>
              </w:rPr>
              <w:t>atvieglojuma</w:t>
            </w:r>
            <w:r w:rsidR="00685F29" w:rsidRPr="00585F58">
              <w:rPr>
                <w:rFonts w:ascii="Times New Roman" w:hAnsi="Times New Roman" w:cs="Times New Roman"/>
              </w:rPr>
              <w:t xml:space="preserve"> </w:t>
            </w:r>
            <w:r w:rsidRPr="00585F58">
              <w:rPr>
                <w:rFonts w:ascii="Times New Roman" w:hAnsi="Times New Roman" w:cs="Times New Roman"/>
              </w:rPr>
              <w:t>saņēmēji pārstāv plašu nozaru loku, kas orientēti</w:t>
            </w:r>
            <w:r w:rsidR="00685F29" w:rsidRPr="00585F58">
              <w:rPr>
                <w:rFonts w:ascii="Times New Roman" w:hAnsi="Times New Roman" w:cs="Times New Roman"/>
              </w:rPr>
              <w:t xml:space="preserve"> arī</w:t>
            </w:r>
            <w:r w:rsidRPr="00585F58">
              <w:rPr>
                <w:rFonts w:ascii="Times New Roman" w:hAnsi="Times New Roman" w:cs="Times New Roman"/>
              </w:rPr>
              <w:t xml:space="preserve"> uz vietējo patēriņu;</w:t>
            </w:r>
            <w:r w:rsidR="008437D6" w:rsidRPr="00585F58">
              <w:rPr>
                <w:rFonts w:ascii="Times New Roman" w:hAnsi="Times New Roman" w:cs="Times New Roman"/>
              </w:rPr>
              <w:t xml:space="preserve"> </w:t>
            </w:r>
            <w:r w:rsidR="008112A6" w:rsidRPr="00585F58">
              <w:rPr>
                <w:rFonts w:ascii="Times New Roman" w:hAnsi="Times New Roman" w:cs="Times New Roman"/>
              </w:rPr>
              <w:t xml:space="preserve"> </w:t>
            </w:r>
          </w:p>
          <w:p w:rsidR="004452D1" w:rsidRPr="00585F58" w:rsidRDefault="004452D1" w:rsidP="004D16A9">
            <w:pPr>
              <w:rPr>
                <w:rFonts w:ascii="Times New Roman" w:hAnsi="Times New Roman" w:cs="Times New Roman"/>
              </w:rPr>
            </w:pPr>
            <w:r w:rsidRPr="00585F58">
              <w:rPr>
                <w:rFonts w:ascii="Times New Roman" w:hAnsi="Times New Roman" w:cs="Times New Roman"/>
              </w:rPr>
              <w:t xml:space="preserve">(-) </w:t>
            </w:r>
            <w:r w:rsidR="004D4384" w:rsidRPr="00585F58">
              <w:rPr>
                <w:rFonts w:ascii="Times New Roman" w:hAnsi="Times New Roman" w:cs="Times New Roman"/>
              </w:rPr>
              <w:t xml:space="preserve">liela </w:t>
            </w:r>
            <w:r w:rsidRPr="00585F58">
              <w:rPr>
                <w:rFonts w:ascii="Times New Roman" w:hAnsi="Times New Roman" w:cs="Times New Roman"/>
              </w:rPr>
              <w:t>daļa no investīcijām būtu īstenotas jebkurā gadījumā.</w:t>
            </w:r>
          </w:p>
        </w:tc>
      </w:tr>
      <w:tr w:rsidR="00585F58" w:rsidRPr="00585F58" w:rsidTr="006D634A">
        <w:tc>
          <w:tcPr>
            <w:tcW w:w="2943" w:type="dxa"/>
          </w:tcPr>
          <w:p w:rsidR="00D618C8" w:rsidRPr="00585F58" w:rsidRDefault="00024903" w:rsidP="00D618C8">
            <w:pPr>
              <w:rPr>
                <w:rFonts w:ascii="Times New Roman" w:hAnsi="Times New Roman" w:cs="Times New Roman"/>
                <w:i/>
              </w:rPr>
            </w:pPr>
            <w:r w:rsidRPr="00585F58">
              <w:rPr>
                <w:rFonts w:ascii="Times New Roman" w:hAnsi="Times New Roman" w:cs="Times New Roman"/>
                <w:i/>
              </w:rPr>
              <w:t>2</w:t>
            </w:r>
            <w:r w:rsidR="007D0799" w:rsidRPr="00585F58">
              <w:rPr>
                <w:rFonts w:ascii="Times New Roman" w:hAnsi="Times New Roman" w:cs="Times New Roman"/>
                <w:i/>
              </w:rPr>
              <w:t xml:space="preserve">. </w:t>
            </w:r>
            <w:r w:rsidR="00D618C8" w:rsidRPr="00585F58">
              <w:rPr>
                <w:rFonts w:ascii="Times New Roman" w:hAnsi="Times New Roman" w:cs="Times New Roman"/>
                <w:i/>
              </w:rPr>
              <w:t>Atvieglojums izpētei un attīstībai − īpaša izdevumu atzīšanas kārtība izpētes un attīstības izmaksām.</w:t>
            </w:r>
          </w:p>
        </w:tc>
        <w:tc>
          <w:tcPr>
            <w:tcW w:w="2130" w:type="dxa"/>
          </w:tcPr>
          <w:p w:rsidR="00D618C8" w:rsidRPr="00585F58" w:rsidRDefault="00D618C8" w:rsidP="00D618C8">
            <w:pPr>
              <w:rPr>
                <w:rFonts w:ascii="Times New Roman" w:hAnsi="Times New Roman" w:cs="Times New Roman"/>
              </w:rPr>
            </w:pPr>
            <w:r w:rsidRPr="00585F58">
              <w:rPr>
                <w:rFonts w:ascii="Times New Roman" w:hAnsi="Times New Roman" w:cs="Times New Roman"/>
              </w:rPr>
              <w:t>Veicināt patentu un preču zīmju radīšanu un reģistrēšanu.</w:t>
            </w:r>
          </w:p>
        </w:tc>
        <w:tc>
          <w:tcPr>
            <w:tcW w:w="3399" w:type="dxa"/>
          </w:tcPr>
          <w:p w:rsidR="00D618C8" w:rsidRPr="00585F58" w:rsidRDefault="00D618C8" w:rsidP="006B3459">
            <w:pPr>
              <w:rPr>
                <w:rFonts w:ascii="Times New Roman" w:hAnsi="Times New Roman" w:cs="Times New Roman"/>
              </w:rPr>
            </w:pPr>
            <w:r w:rsidRPr="00585F58">
              <w:rPr>
                <w:rFonts w:ascii="Times New Roman" w:hAnsi="Times New Roman" w:cs="Times New Roman"/>
              </w:rPr>
              <w:t xml:space="preserve">Piemērots no 01.01.2009. </w:t>
            </w:r>
            <w:r w:rsidR="006B3459" w:rsidRPr="00585F58">
              <w:rPr>
                <w:rFonts w:ascii="Times New Roman" w:hAnsi="Times New Roman" w:cs="Times New Roman"/>
              </w:rPr>
              <w:t>Jauns atvieglojums, vēl nav pieejami pietiekami dati</w:t>
            </w:r>
            <w:r w:rsidRPr="00585F58">
              <w:rPr>
                <w:rFonts w:ascii="Times New Roman" w:hAnsi="Times New Roman" w:cs="Times New Roman"/>
              </w:rPr>
              <w:t>.</w:t>
            </w:r>
          </w:p>
        </w:tc>
      </w:tr>
      <w:tr w:rsidR="00585F58" w:rsidRPr="00585F58" w:rsidTr="006D634A">
        <w:tc>
          <w:tcPr>
            <w:tcW w:w="2943" w:type="dxa"/>
          </w:tcPr>
          <w:p w:rsidR="00D618C8" w:rsidRPr="00585F58" w:rsidRDefault="00024903" w:rsidP="00D618C8">
            <w:pPr>
              <w:rPr>
                <w:rFonts w:ascii="Times New Roman" w:hAnsi="Times New Roman" w:cs="Times New Roman"/>
                <w:i/>
              </w:rPr>
            </w:pPr>
            <w:r w:rsidRPr="00585F58">
              <w:rPr>
                <w:rFonts w:ascii="Times New Roman" w:hAnsi="Times New Roman" w:cs="Times New Roman"/>
                <w:i/>
                <w:szCs w:val="24"/>
              </w:rPr>
              <w:t>3</w:t>
            </w:r>
            <w:r w:rsidR="007D0799" w:rsidRPr="00585F58">
              <w:rPr>
                <w:rFonts w:ascii="Times New Roman" w:hAnsi="Times New Roman" w:cs="Times New Roman"/>
                <w:i/>
                <w:szCs w:val="24"/>
              </w:rPr>
              <w:t xml:space="preserve">. </w:t>
            </w:r>
            <w:r w:rsidR="000D5259" w:rsidRPr="00585F58">
              <w:rPr>
                <w:rFonts w:ascii="Times New Roman" w:hAnsi="Times New Roman" w:cs="Times New Roman"/>
                <w:i/>
                <w:szCs w:val="24"/>
              </w:rPr>
              <w:t>Atlaide</w:t>
            </w:r>
            <w:r w:rsidR="00D618C8" w:rsidRPr="00585F58">
              <w:rPr>
                <w:rFonts w:ascii="Times New Roman" w:hAnsi="Times New Roman" w:cs="Times New Roman"/>
                <w:i/>
                <w:szCs w:val="24"/>
              </w:rPr>
              <w:t xml:space="preserve"> realizējot atbalstāmo investīciju projektus.</w:t>
            </w:r>
          </w:p>
        </w:tc>
        <w:tc>
          <w:tcPr>
            <w:tcW w:w="2130" w:type="dxa"/>
          </w:tcPr>
          <w:p w:rsidR="00D618C8" w:rsidRPr="00585F58" w:rsidRDefault="00D618C8" w:rsidP="00D618C8">
            <w:pPr>
              <w:rPr>
                <w:rFonts w:ascii="Times New Roman" w:hAnsi="Times New Roman" w:cs="Times New Roman"/>
              </w:rPr>
            </w:pPr>
            <w:r w:rsidRPr="00585F58">
              <w:rPr>
                <w:rFonts w:ascii="Times New Roman" w:hAnsi="Times New Roman" w:cs="Times New Roman"/>
              </w:rPr>
              <w:t>Veicināt ekonomikas ātrāku atveseļošanu, piesaistot lielās investīcijas.</w:t>
            </w:r>
          </w:p>
        </w:tc>
        <w:tc>
          <w:tcPr>
            <w:tcW w:w="3399" w:type="dxa"/>
          </w:tcPr>
          <w:p w:rsidR="00AE4FD4" w:rsidRPr="00585F58" w:rsidRDefault="00D618C8" w:rsidP="00D618C8">
            <w:pPr>
              <w:rPr>
                <w:rFonts w:ascii="Times New Roman" w:hAnsi="Times New Roman" w:cs="Times New Roman"/>
              </w:rPr>
            </w:pPr>
            <w:r w:rsidRPr="00585F58">
              <w:rPr>
                <w:rFonts w:ascii="Times New Roman" w:hAnsi="Times New Roman" w:cs="Times New Roman"/>
              </w:rPr>
              <w:t>(+) veicina ražošanas attīstību;</w:t>
            </w:r>
          </w:p>
          <w:p w:rsidR="00D618C8" w:rsidRPr="00585F58" w:rsidRDefault="00AE4FD4" w:rsidP="00D618C8">
            <w:pPr>
              <w:rPr>
                <w:rFonts w:ascii="Times New Roman" w:hAnsi="Times New Roman" w:cs="Times New Roman"/>
              </w:rPr>
            </w:pPr>
            <w:r w:rsidRPr="00585F58">
              <w:rPr>
                <w:rFonts w:ascii="Times New Roman" w:hAnsi="Times New Roman" w:cs="Times New Roman"/>
              </w:rPr>
              <w:t xml:space="preserve">(+) </w:t>
            </w:r>
            <w:r w:rsidRPr="00585F58">
              <w:rPr>
                <w:rFonts w:ascii="Times New Roman" w:hAnsi="Times New Roman" w:cs="Times New Roman"/>
                <w:spacing w:val="-4"/>
              </w:rPr>
              <w:t>tiks veicināta gan Latvijas produkcijas, gan pakalpojumu</w:t>
            </w:r>
            <w:r w:rsidRPr="00585F58">
              <w:rPr>
                <w:rFonts w:ascii="Times New Roman" w:hAnsi="Times New Roman" w:cs="Times New Roman"/>
                <w:spacing w:val="-4"/>
                <w:sz w:val="20"/>
                <w:szCs w:val="20"/>
              </w:rPr>
              <w:t xml:space="preserve"> </w:t>
            </w:r>
            <w:r w:rsidRPr="00585F58">
              <w:rPr>
                <w:rFonts w:ascii="Times New Roman" w:hAnsi="Times New Roman" w:cs="Times New Roman"/>
                <w:spacing w:val="-4"/>
              </w:rPr>
              <w:t>konkurētspēja vietējā un ārvalstu tirgū;</w:t>
            </w:r>
          </w:p>
          <w:p w:rsidR="008112A6" w:rsidRPr="00585F58" w:rsidRDefault="00B17AAF" w:rsidP="00D618C8">
            <w:pPr>
              <w:rPr>
                <w:rFonts w:ascii="Times New Roman" w:hAnsi="Times New Roman" w:cs="Times New Roman"/>
              </w:rPr>
            </w:pPr>
            <w:r w:rsidRPr="00585F58">
              <w:rPr>
                <w:rFonts w:ascii="Times New Roman" w:hAnsi="Times New Roman" w:cs="Times New Roman"/>
              </w:rPr>
              <w:t>(+</w:t>
            </w:r>
            <w:r w:rsidR="00D618C8" w:rsidRPr="00585F58">
              <w:rPr>
                <w:rFonts w:ascii="Times New Roman" w:hAnsi="Times New Roman" w:cs="Times New Roman"/>
              </w:rPr>
              <w:t xml:space="preserve">) </w:t>
            </w:r>
            <w:r w:rsidR="00D618C8" w:rsidRPr="00585F58">
              <w:rPr>
                <w:rFonts w:ascii="Times New Roman" w:hAnsi="Times New Roman" w:cs="Times New Roman"/>
                <w:spacing w:val="-4"/>
              </w:rPr>
              <w:t>atvieglojuma saņēmēji pārstāv plašu nozaru loku, arī pakalpojumu nozarēs, kas orientēti uz vietējo patēriņu;</w:t>
            </w:r>
          </w:p>
          <w:p w:rsidR="00AE4FD4" w:rsidRPr="00585F58" w:rsidRDefault="008112A6" w:rsidP="00D618C8">
            <w:pPr>
              <w:rPr>
                <w:rFonts w:ascii="Times New Roman" w:hAnsi="Times New Roman" w:cs="Times New Roman"/>
              </w:rPr>
            </w:pPr>
            <w:r w:rsidRPr="00585F58">
              <w:rPr>
                <w:rFonts w:ascii="Times New Roman" w:hAnsi="Times New Roman" w:cs="Times New Roman"/>
              </w:rPr>
              <w:t>(-) atvieglojums ir pārāk plaši fokusēts;</w:t>
            </w:r>
            <w:r w:rsidR="00D618C8" w:rsidRPr="00585F58">
              <w:rPr>
                <w:rFonts w:ascii="Times New Roman" w:hAnsi="Times New Roman" w:cs="Times New Roman"/>
              </w:rPr>
              <w:t xml:space="preserve"> </w:t>
            </w:r>
          </w:p>
          <w:p w:rsidR="00D618C8" w:rsidRPr="00585F58" w:rsidRDefault="00D618C8" w:rsidP="00D618C8">
            <w:pPr>
              <w:rPr>
                <w:rFonts w:ascii="Times New Roman" w:hAnsi="Times New Roman" w:cs="Times New Roman"/>
              </w:rPr>
            </w:pPr>
            <w:r w:rsidRPr="00585F58">
              <w:rPr>
                <w:rFonts w:ascii="Times New Roman" w:hAnsi="Times New Roman" w:cs="Times New Roman"/>
              </w:rPr>
              <w:t>(-) liela daļa no investīcijām būtu īstenotas jebkurā gadījumā.</w:t>
            </w:r>
          </w:p>
        </w:tc>
      </w:tr>
    </w:tbl>
    <w:p w:rsidR="006E43C9" w:rsidRPr="00585F58" w:rsidRDefault="000301D1" w:rsidP="008437D6">
      <w:pPr>
        <w:spacing w:after="0" w:line="20" w:lineRule="atLeast"/>
        <w:jc w:val="both"/>
        <w:rPr>
          <w:rFonts w:eastAsia="Times New Roman" w:cs="Times New Roman"/>
          <w:bCs/>
          <w:szCs w:val="24"/>
          <w:lang w:eastAsia="lv-LV"/>
        </w:rPr>
      </w:pPr>
      <w:r w:rsidRPr="00585F58">
        <w:rPr>
          <w:rFonts w:eastAsia="Times New Roman" w:cs="Times New Roman"/>
          <w:bCs/>
          <w:szCs w:val="24"/>
          <w:lang w:eastAsia="lv-LV"/>
        </w:rPr>
        <w:t>Dati: FM.</w:t>
      </w:r>
    </w:p>
    <w:p w:rsidR="00465B25" w:rsidRPr="00585F58" w:rsidRDefault="00465B25" w:rsidP="00465B25">
      <w:pPr>
        <w:spacing w:after="0" w:line="20" w:lineRule="atLeast"/>
        <w:ind w:firstLine="720"/>
        <w:jc w:val="both"/>
        <w:rPr>
          <w:rFonts w:eastAsia="Times New Roman" w:cs="Times New Roman"/>
          <w:bCs/>
          <w:szCs w:val="24"/>
          <w:lang w:eastAsia="lv-LV"/>
        </w:rPr>
      </w:pPr>
      <w:r w:rsidRPr="00585F58">
        <w:rPr>
          <w:rFonts w:eastAsia="Times New Roman" w:cs="Times New Roman"/>
          <w:bCs/>
          <w:szCs w:val="24"/>
          <w:lang w:eastAsia="lv-LV"/>
        </w:rPr>
        <w:t xml:space="preserve">Atvieglojums ražošanas veicināšanai, iegādājoties jaunas ražošanas tehnoloģiskās iekārtas, kopumā ir pamatots, ņemot vērā Latvijas kā mazas un atvērtas ekonomikas darbību starptautiskās konkurences apstākļos ar mobilu uzņēmējdarbību (1.3.sadaļas situācija </w:t>
      </w:r>
      <w:proofErr w:type="spellStart"/>
      <w:r w:rsidRPr="00585F58">
        <w:rPr>
          <w:rFonts w:eastAsia="Times New Roman" w:cs="Times New Roman"/>
          <w:bCs/>
          <w:szCs w:val="24"/>
          <w:lang w:eastAsia="lv-LV"/>
        </w:rPr>
        <w:t>I.a</w:t>
      </w:r>
      <w:proofErr w:type="spellEnd"/>
      <w:r w:rsidRPr="00585F58">
        <w:rPr>
          <w:rFonts w:eastAsia="Times New Roman" w:cs="Times New Roman"/>
          <w:bCs/>
          <w:szCs w:val="24"/>
          <w:lang w:eastAsia="lv-LV"/>
        </w:rPr>
        <w:t xml:space="preserve">) (1.tabula). </w:t>
      </w:r>
    </w:p>
    <w:p w:rsidR="00465B25" w:rsidRPr="00585F58" w:rsidRDefault="00465B25" w:rsidP="00465B25">
      <w:pPr>
        <w:spacing w:after="0" w:line="20" w:lineRule="atLeast"/>
        <w:ind w:firstLine="720"/>
        <w:contextualSpacing/>
        <w:jc w:val="both"/>
        <w:rPr>
          <w:rFonts w:eastAsia="Times New Roman" w:cs="Times New Roman"/>
          <w:bCs/>
          <w:szCs w:val="24"/>
          <w:lang w:eastAsia="lv-LV"/>
        </w:rPr>
      </w:pPr>
      <w:r w:rsidRPr="00585F58">
        <w:rPr>
          <w:rFonts w:eastAsia="Times New Roman" w:cs="Times New Roman"/>
          <w:bCs/>
          <w:szCs w:val="24"/>
          <w:lang w:eastAsia="lv-LV"/>
        </w:rPr>
        <w:t xml:space="preserve">Mērķis, realizējot atbalstāmo investīciju projektus, ir attīstīt ražojošās uzņēmējsabiedrības, tādējādi samazinot bezdarba apjomu un palielinot eksportu. </w:t>
      </w:r>
      <w:r w:rsidRPr="00585F58">
        <w:rPr>
          <w:rFonts w:eastAsia="Times New Roman" w:cs="Times New Roman"/>
          <w:bCs/>
          <w:szCs w:val="24"/>
          <w:lang w:eastAsia="lv-LV"/>
        </w:rPr>
        <w:lastRenderedPageBreak/>
        <w:t>Atvieglojuma saņēmēji pārstāv plašu nozaru loku, kas galvenokārt strādā iekšējam tirgum, līdz ar to minētais mērķis ir sasniegts daļēji.</w:t>
      </w:r>
      <w:r w:rsidRPr="00585F58" w:rsidDel="00145B06">
        <w:rPr>
          <w:rFonts w:eastAsia="Times New Roman" w:cs="Times New Roman"/>
          <w:bCs/>
          <w:szCs w:val="24"/>
          <w:lang w:eastAsia="lv-LV"/>
        </w:rPr>
        <w:t xml:space="preserve"> </w:t>
      </w:r>
    </w:p>
    <w:p w:rsidR="00465B25" w:rsidRPr="00585F58" w:rsidRDefault="00465B25" w:rsidP="00465B25">
      <w:pPr>
        <w:spacing w:after="0" w:line="20" w:lineRule="atLeast"/>
        <w:ind w:firstLine="720"/>
        <w:contextualSpacing/>
        <w:jc w:val="both"/>
        <w:rPr>
          <w:rFonts w:eastAsia="Times New Roman" w:cs="Times New Roman"/>
          <w:bCs/>
          <w:szCs w:val="24"/>
          <w:lang w:eastAsia="lv-LV"/>
        </w:rPr>
      </w:pPr>
      <w:r w:rsidRPr="00585F58">
        <w:rPr>
          <w:rFonts w:eastAsia="Times New Roman" w:cs="Times New Roman"/>
          <w:bCs/>
          <w:szCs w:val="24"/>
          <w:lang w:eastAsia="lv-LV"/>
        </w:rPr>
        <w:t xml:space="preserve">Atvieglojumi pētniecībai un attīstībai atspoguļo situāciju (1.3. sadaļas situācija </w:t>
      </w:r>
      <w:proofErr w:type="spellStart"/>
      <w:r w:rsidRPr="00585F58">
        <w:rPr>
          <w:rFonts w:eastAsia="Times New Roman" w:cs="Times New Roman"/>
          <w:bCs/>
          <w:szCs w:val="24"/>
          <w:lang w:eastAsia="lv-LV"/>
        </w:rPr>
        <w:t>I.b</w:t>
      </w:r>
      <w:proofErr w:type="spellEnd"/>
      <w:r w:rsidRPr="00585F58">
        <w:rPr>
          <w:rFonts w:eastAsia="Times New Roman" w:cs="Times New Roman"/>
          <w:bCs/>
          <w:szCs w:val="24"/>
          <w:lang w:eastAsia="lv-LV"/>
        </w:rPr>
        <w:t>), kur ieguldījums var sniegt netiešu pozitīvu ietekmi uz izglītības un zinātnes attīstību (1.tabula).</w:t>
      </w:r>
    </w:p>
    <w:p w:rsidR="00D27CB9" w:rsidRPr="00585F58" w:rsidRDefault="00D27CB9" w:rsidP="004F0797">
      <w:pPr>
        <w:rPr>
          <w:rFonts w:eastAsia="Times New Roman" w:cs="Times New Roman"/>
          <w:bCs/>
          <w:szCs w:val="24"/>
          <w:lang w:eastAsia="lv-LV"/>
        </w:rPr>
      </w:pPr>
    </w:p>
    <w:p w:rsidR="008437D6" w:rsidRPr="00585F58" w:rsidRDefault="008437D6" w:rsidP="001327C6">
      <w:pPr>
        <w:pStyle w:val="ListParagraph"/>
        <w:numPr>
          <w:ilvl w:val="0"/>
          <w:numId w:val="4"/>
        </w:numPr>
        <w:spacing w:line="20" w:lineRule="atLeast"/>
        <w:rPr>
          <w:rFonts w:cs="Times New Roman"/>
          <w:b/>
          <w:sz w:val="28"/>
          <w:szCs w:val="28"/>
          <w:u w:val="single"/>
        </w:rPr>
      </w:pPr>
      <w:r w:rsidRPr="00585F58">
        <w:rPr>
          <w:rFonts w:cs="Times New Roman"/>
          <w:b/>
          <w:sz w:val="28"/>
          <w:szCs w:val="28"/>
          <w:u w:val="single"/>
        </w:rPr>
        <w:t>Secinājumi un priekšlikumi</w:t>
      </w:r>
    </w:p>
    <w:p w:rsidR="008437D6" w:rsidRPr="00585F58" w:rsidRDefault="008437D6" w:rsidP="008437D6">
      <w:pPr>
        <w:spacing w:after="0" w:line="20" w:lineRule="atLeast"/>
        <w:jc w:val="both"/>
        <w:rPr>
          <w:rFonts w:cs="Times New Roman"/>
          <w:szCs w:val="24"/>
        </w:rPr>
      </w:pPr>
    </w:p>
    <w:p w:rsidR="00C20E89" w:rsidRDefault="00C20E89" w:rsidP="00C20E89">
      <w:pPr>
        <w:pStyle w:val="ListParagraph"/>
        <w:numPr>
          <w:ilvl w:val="0"/>
          <w:numId w:val="30"/>
        </w:numPr>
        <w:tabs>
          <w:tab w:val="left" w:pos="851"/>
        </w:tabs>
        <w:spacing w:after="0" w:line="20" w:lineRule="atLeast"/>
        <w:jc w:val="both"/>
        <w:rPr>
          <w:rFonts w:eastAsia="Times New Roman" w:cs="Times New Roman"/>
          <w:bCs/>
          <w:szCs w:val="24"/>
          <w:lang w:eastAsia="lv-LV"/>
        </w:rPr>
      </w:pPr>
      <w:r w:rsidRPr="00C20E89">
        <w:rPr>
          <w:rFonts w:eastAsia="Times New Roman" w:cs="Times New Roman"/>
          <w:bCs/>
          <w:szCs w:val="24"/>
          <w:lang w:eastAsia="lv-LV"/>
        </w:rPr>
        <w:t>UIN nodokļa atvieglojumi ir instruments ekonomikas konkurētspējas veicināšanai, jaunu investīciju piesaistei, tirgus nepilnību labošanai un sociālo mērķu sasniegšanai. Bieži vien šie atvieglojumi var būtiski samazināt budžeta ieņēmumus, jo īpaši, rodoties arvien jaunām atvieglojumu iniciatīvām. Atsevišķās situācijās piemērotie stimuli nedarbojas kā efektīvs instruments ekonomisko un sociālo mērķu sasniegšanai. Nodokļu ekspertu vidū pastāv samērā plaša vienotība par to, ka efektīvākā un mazāk kaitējoša konkurencei ir tāda nodokļu sistēma, kas apvieno plašu nodokļa bāzi un zemu likmi.</w:t>
      </w:r>
    </w:p>
    <w:p w:rsidR="00C20E89" w:rsidRDefault="00C20E89" w:rsidP="00C20E89">
      <w:pPr>
        <w:pStyle w:val="ListParagraph"/>
        <w:numPr>
          <w:ilvl w:val="0"/>
          <w:numId w:val="30"/>
        </w:numPr>
        <w:tabs>
          <w:tab w:val="left" w:pos="851"/>
        </w:tabs>
        <w:spacing w:after="0" w:line="20" w:lineRule="atLeast"/>
        <w:jc w:val="both"/>
        <w:rPr>
          <w:rFonts w:eastAsia="Times New Roman" w:cs="Times New Roman"/>
          <w:bCs/>
          <w:szCs w:val="24"/>
          <w:lang w:eastAsia="lv-LV"/>
        </w:rPr>
      </w:pPr>
      <w:r w:rsidRPr="00C20E89">
        <w:rPr>
          <w:rFonts w:eastAsia="Times New Roman" w:cs="Times New Roman"/>
          <w:bCs/>
          <w:szCs w:val="24"/>
          <w:lang w:eastAsia="lv-LV"/>
        </w:rPr>
        <w:t xml:space="preserve">Uz 01.01.2013 Latvijā bija 22 UIN atvieglojumi, un tie paredzēti plašam ekonomisko un sociālo mērķu lokam, ieskaitot atvieglojumus investīciju veicināšanai, pētniecībai un attīstībai, nozaru atbalstam, ieguldījumiem publiskās apgrozības vērtspapīros, ekonomiskās krīzes seku risināšanai un sociāla rakstura stimulus invalīdu atbalstam un ziedojumiem. </w:t>
      </w:r>
    </w:p>
    <w:p w:rsidR="00C20E89" w:rsidRDefault="00C20E89" w:rsidP="00C20E89">
      <w:pPr>
        <w:pStyle w:val="ListParagraph"/>
        <w:numPr>
          <w:ilvl w:val="0"/>
          <w:numId w:val="30"/>
        </w:numPr>
        <w:tabs>
          <w:tab w:val="left" w:pos="851"/>
        </w:tabs>
        <w:spacing w:after="0" w:line="20" w:lineRule="atLeast"/>
        <w:jc w:val="both"/>
        <w:rPr>
          <w:rFonts w:eastAsia="Times New Roman" w:cs="Times New Roman"/>
          <w:bCs/>
          <w:szCs w:val="24"/>
          <w:lang w:eastAsia="lv-LV"/>
        </w:rPr>
      </w:pPr>
      <w:r w:rsidRPr="00C20E89">
        <w:rPr>
          <w:rFonts w:eastAsia="Times New Roman" w:cs="Times New Roman"/>
          <w:bCs/>
          <w:szCs w:val="24"/>
          <w:lang w:eastAsia="lv-LV"/>
        </w:rPr>
        <w:t>Latvijas UIN regulējums kopumā ir labvēlīgs uzņēmējdarbībai un investīcijām. Latvijai ir svarīga uzņēmējdarbības konkurētspējas nodrošināšana un investīcijām labvēlīgas vides veidošana ne tikai salīdzinājumā ar kaimiņva</w:t>
      </w:r>
      <w:r>
        <w:rPr>
          <w:rFonts w:eastAsia="Times New Roman" w:cs="Times New Roman"/>
          <w:bCs/>
          <w:szCs w:val="24"/>
          <w:lang w:eastAsia="lv-LV"/>
        </w:rPr>
        <w:t>lstīm, bet arī pasaules mērogā.</w:t>
      </w:r>
    </w:p>
    <w:p w:rsidR="00C20E89" w:rsidRDefault="00C20E89" w:rsidP="00C20E89">
      <w:pPr>
        <w:pStyle w:val="ListParagraph"/>
        <w:numPr>
          <w:ilvl w:val="0"/>
          <w:numId w:val="30"/>
        </w:numPr>
        <w:tabs>
          <w:tab w:val="left" w:pos="851"/>
        </w:tabs>
        <w:spacing w:after="0" w:line="20" w:lineRule="atLeast"/>
        <w:jc w:val="both"/>
        <w:rPr>
          <w:rFonts w:eastAsia="Times New Roman" w:cs="Times New Roman"/>
          <w:bCs/>
          <w:szCs w:val="24"/>
          <w:lang w:eastAsia="lv-LV"/>
        </w:rPr>
      </w:pPr>
      <w:r w:rsidRPr="00C20E89">
        <w:rPr>
          <w:rFonts w:eastAsia="Times New Roman" w:cs="Times New Roman"/>
          <w:bCs/>
          <w:szCs w:val="24"/>
          <w:lang w:eastAsia="lv-LV"/>
        </w:rPr>
        <w:t xml:space="preserve">UIN atvieglojumu ietekme uz 2011.gada budžetu bija 167,4 </w:t>
      </w:r>
      <w:proofErr w:type="spellStart"/>
      <w:r w:rsidRPr="00C20E89">
        <w:rPr>
          <w:rFonts w:eastAsia="Times New Roman" w:cs="Times New Roman"/>
          <w:bCs/>
          <w:szCs w:val="24"/>
          <w:lang w:eastAsia="lv-LV"/>
        </w:rPr>
        <w:t>milj</w:t>
      </w:r>
      <w:proofErr w:type="spellEnd"/>
      <w:r w:rsidRPr="00C20E89">
        <w:rPr>
          <w:rFonts w:eastAsia="Times New Roman" w:cs="Times New Roman"/>
          <w:bCs/>
          <w:szCs w:val="24"/>
          <w:lang w:eastAsia="lv-LV"/>
        </w:rPr>
        <w:t xml:space="preserve">. latu jeb 85% no iekasētajiem UIN ieņēmumiem. </w:t>
      </w:r>
    </w:p>
    <w:p w:rsidR="00C20E89" w:rsidRDefault="00C20E89" w:rsidP="00C20E89">
      <w:pPr>
        <w:pStyle w:val="ListParagraph"/>
        <w:numPr>
          <w:ilvl w:val="0"/>
          <w:numId w:val="30"/>
        </w:numPr>
        <w:tabs>
          <w:tab w:val="left" w:pos="851"/>
        </w:tabs>
        <w:spacing w:after="0" w:line="20" w:lineRule="atLeast"/>
        <w:jc w:val="both"/>
        <w:rPr>
          <w:rFonts w:eastAsia="Times New Roman" w:cs="Times New Roman"/>
          <w:bCs/>
          <w:szCs w:val="24"/>
          <w:lang w:eastAsia="lv-LV"/>
        </w:rPr>
      </w:pPr>
      <w:r w:rsidRPr="00C20E89">
        <w:rPr>
          <w:rFonts w:eastAsia="Times New Roman" w:cs="Times New Roman"/>
          <w:bCs/>
          <w:szCs w:val="24"/>
          <w:lang w:eastAsia="lv-LV"/>
        </w:rPr>
        <w:t>Vērtējot UIN atvieglojumus procentuālā sadalījumā, ir redzama mērķu daudzveidība. 2011.gadā lielākie atvieglojumi pēc to apjoma ir iespēja segt iepriekšējo taksācijas periodu zaudējumus, kam seko paātrināta pamatlīdzekļu norakstīšanas kārtība, atvieglojums iegādājoties jaunas ražošanas tehnoloģiskā</w:t>
      </w:r>
      <w:r w:rsidR="00C80FFA">
        <w:rPr>
          <w:rFonts w:eastAsia="Times New Roman" w:cs="Times New Roman"/>
          <w:bCs/>
          <w:szCs w:val="24"/>
          <w:lang w:eastAsia="lv-LV"/>
        </w:rPr>
        <w:t>s</w:t>
      </w:r>
      <w:r w:rsidRPr="00C20E89">
        <w:rPr>
          <w:rFonts w:eastAsia="Times New Roman" w:cs="Times New Roman"/>
          <w:bCs/>
          <w:szCs w:val="24"/>
          <w:lang w:eastAsia="lv-LV"/>
        </w:rPr>
        <w:t xml:space="preserve"> iekārtas, atlaides ziedotājiem, kā arī nodokļa atvieglojums lauksaimniecībai par summām, kas izmaksātas subsīdiju veidā attīstībai.</w:t>
      </w:r>
    </w:p>
    <w:p w:rsidR="00C20E89" w:rsidRDefault="00C20E89" w:rsidP="00C20E89">
      <w:pPr>
        <w:pStyle w:val="ListParagraph"/>
        <w:numPr>
          <w:ilvl w:val="0"/>
          <w:numId w:val="30"/>
        </w:numPr>
        <w:tabs>
          <w:tab w:val="left" w:pos="851"/>
        </w:tabs>
        <w:spacing w:after="0" w:line="20" w:lineRule="atLeast"/>
        <w:jc w:val="both"/>
        <w:rPr>
          <w:rFonts w:eastAsia="Times New Roman" w:cs="Times New Roman"/>
          <w:bCs/>
          <w:szCs w:val="24"/>
          <w:lang w:eastAsia="lv-LV"/>
        </w:rPr>
      </w:pPr>
      <w:r w:rsidRPr="00C20E89">
        <w:rPr>
          <w:rFonts w:eastAsia="Times New Roman" w:cs="Times New Roman"/>
          <w:bCs/>
          <w:szCs w:val="24"/>
          <w:lang w:eastAsia="lv-LV"/>
        </w:rPr>
        <w:t xml:space="preserve">Atvieglojums ražošanas veicināšanai, iegādājoties jaunas ražošanas tehnoloģiskās iekārtas, ir vērsts uz ražošanas efektivitātes paaugstināšanu un netieši arī P&amp;A rezultātu pārnesi, kur katru gadu fiskālā ietekme svārstās no 15 līdz 25 </w:t>
      </w:r>
      <w:proofErr w:type="spellStart"/>
      <w:r w:rsidRPr="00C20E89">
        <w:rPr>
          <w:rFonts w:eastAsia="Times New Roman" w:cs="Times New Roman"/>
          <w:bCs/>
          <w:szCs w:val="24"/>
          <w:lang w:eastAsia="lv-LV"/>
        </w:rPr>
        <w:t>milj</w:t>
      </w:r>
      <w:proofErr w:type="spellEnd"/>
      <w:r w:rsidRPr="00C20E89">
        <w:rPr>
          <w:rFonts w:eastAsia="Times New Roman" w:cs="Times New Roman"/>
          <w:bCs/>
          <w:szCs w:val="24"/>
          <w:lang w:eastAsia="lv-LV"/>
        </w:rPr>
        <w:t>. latu, kas ir ņemta vērā UIN ieņēmumu bāzes prognozēs. Atvieglojuma apmērs liecina par tā plašu izmantošanu. To galvenokārt izmanto apstrādes rūpniecības uzņēmumi. Tas ir vērtējams kā būtisks investīciju stimuls Latvijā, tādēļ Finanšu ministrija neiebilst pret tā piemērošanas termiņa pagarināšanu līdz 2020.gadam, to izvērtējot budžeta izskatīšanas laikā.</w:t>
      </w:r>
    </w:p>
    <w:p w:rsidR="00C20E89" w:rsidRDefault="00C20E89" w:rsidP="00C20E89">
      <w:pPr>
        <w:pStyle w:val="ListParagraph"/>
        <w:numPr>
          <w:ilvl w:val="0"/>
          <w:numId w:val="30"/>
        </w:numPr>
        <w:tabs>
          <w:tab w:val="left" w:pos="851"/>
        </w:tabs>
        <w:spacing w:after="0" w:line="20" w:lineRule="atLeast"/>
        <w:jc w:val="both"/>
        <w:rPr>
          <w:rFonts w:eastAsia="Times New Roman" w:cs="Times New Roman"/>
          <w:bCs/>
          <w:szCs w:val="24"/>
          <w:lang w:eastAsia="lv-LV"/>
        </w:rPr>
      </w:pPr>
      <w:r w:rsidRPr="00C20E89">
        <w:rPr>
          <w:rFonts w:eastAsia="Times New Roman" w:cs="Times New Roman"/>
          <w:bCs/>
          <w:szCs w:val="24"/>
          <w:lang w:eastAsia="lv-LV"/>
        </w:rPr>
        <w:t xml:space="preserve">Ir atbalstāma tādas nodokļu politikas veidošana, kas sekmē tautsaimniecības izaugsmi un augstas pievienotās vērtības preču un pakalpojumu radīšanu. Sadarbībā ar Ekonomikas ministriju un Izglītības un zinātnes ministriju ir nepieciešams turpināt darbu pie P&amp;A UIN atvieglojuma kritēriju izstrādes, lai nodrošinātu, ka atvieglojums ir vienkārši administrējams un tiek izmantots </w:t>
      </w:r>
      <w:r w:rsidRPr="00C20E89">
        <w:rPr>
          <w:rFonts w:eastAsia="Times New Roman" w:cs="Times New Roman"/>
          <w:bCs/>
          <w:szCs w:val="24"/>
          <w:lang w:eastAsia="lv-LV"/>
        </w:rPr>
        <w:lastRenderedPageBreak/>
        <w:t>tikai tam paredzētajam mērķim – radīt priekšnosacījumus saimnieciskās darbības aktivitātēm ar augstu pievienoto vērtību.</w:t>
      </w:r>
    </w:p>
    <w:p w:rsidR="00670095" w:rsidRPr="00C84960" w:rsidRDefault="00C20E89" w:rsidP="00FB3BBD">
      <w:pPr>
        <w:pStyle w:val="ListParagraph"/>
        <w:numPr>
          <w:ilvl w:val="0"/>
          <w:numId w:val="30"/>
        </w:numPr>
        <w:tabs>
          <w:tab w:val="left" w:pos="851"/>
        </w:tabs>
        <w:spacing w:after="0" w:line="20" w:lineRule="atLeast"/>
        <w:jc w:val="both"/>
        <w:rPr>
          <w:rFonts w:eastAsia="Times New Roman" w:cs="Times New Roman"/>
          <w:bCs/>
          <w:szCs w:val="24"/>
          <w:lang w:eastAsia="lv-LV"/>
        </w:rPr>
      </w:pPr>
      <w:r w:rsidRPr="00C84960">
        <w:rPr>
          <w:rFonts w:eastAsia="Times New Roman" w:cs="Times New Roman"/>
          <w:bCs/>
          <w:szCs w:val="24"/>
          <w:lang w:eastAsia="lv-LV"/>
        </w:rPr>
        <w:t xml:space="preserve">UIN atlaide, realizējot atbalstāmo investīciju projektus, tika izstrādāta un ieviesta, ekonomiskās krīzes apstākļos, lai veicinātu ekonomikas ātrāku atveseļošanu, tā ir terminēta līdz 2013.gada 31.decembrim. Uzņēmumu pastiprināta interese par šīs atlaides izmantošanu ir sākusies tikai 2013.gadā, pēc diviem gadiem ar salīdzinoši augstu IKP pieaugumu, kas liecina par tās </w:t>
      </w:r>
      <w:proofErr w:type="spellStart"/>
      <w:r w:rsidRPr="00C84960">
        <w:rPr>
          <w:rFonts w:eastAsia="Times New Roman" w:cs="Times New Roman"/>
          <w:bCs/>
          <w:szCs w:val="24"/>
          <w:lang w:eastAsia="lv-LV"/>
        </w:rPr>
        <w:t>prociklisko</w:t>
      </w:r>
      <w:proofErr w:type="spellEnd"/>
      <w:r w:rsidRPr="00C84960">
        <w:rPr>
          <w:rFonts w:eastAsia="Times New Roman" w:cs="Times New Roman"/>
          <w:bCs/>
          <w:szCs w:val="24"/>
          <w:lang w:eastAsia="lv-LV"/>
        </w:rPr>
        <w:t xml:space="preserve"> raksturu. </w:t>
      </w:r>
      <w:r w:rsidR="00720803">
        <w:rPr>
          <w:rFonts w:eastAsia="Times New Roman" w:cs="Times New Roman"/>
          <w:bCs/>
          <w:szCs w:val="24"/>
          <w:lang w:eastAsia="lv-LV"/>
        </w:rPr>
        <w:t>Paredzams, ka š</w:t>
      </w:r>
      <w:r w:rsidRPr="00C84960">
        <w:rPr>
          <w:rFonts w:eastAsia="Times New Roman" w:cs="Times New Roman"/>
          <w:bCs/>
          <w:szCs w:val="24"/>
          <w:lang w:eastAsia="lv-LV"/>
        </w:rPr>
        <w:t xml:space="preserve">īs atlaides izmantošana ilgtermiņā jūtami samazinās UIN ieņēmumus, lai arī vienlaikus sniegs pozitīvu pienesumu investoriem, </w:t>
      </w:r>
      <w:r w:rsidR="00720803">
        <w:rPr>
          <w:rFonts w:eastAsia="Times New Roman" w:cs="Times New Roman"/>
          <w:bCs/>
          <w:szCs w:val="24"/>
          <w:lang w:eastAsia="lv-LV"/>
        </w:rPr>
        <w:t xml:space="preserve">bet </w:t>
      </w:r>
      <w:r w:rsidRPr="00C84960">
        <w:rPr>
          <w:rFonts w:eastAsia="Times New Roman" w:cs="Times New Roman"/>
          <w:bCs/>
          <w:szCs w:val="24"/>
          <w:lang w:eastAsia="lv-LV"/>
        </w:rPr>
        <w:t>nav pārliecības par tās efektivitāti laikā, kad i</w:t>
      </w:r>
      <w:r w:rsidR="00C84960" w:rsidRPr="00C84960">
        <w:rPr>
          <w:rFonts w:eastAsia="Times New Roman" w:cs="Times New Roman"/>
          <w:bCs/>
          <w:szCs w:val="24"/>
          <w:lang w:eastAsia="lv-LV"/>
        </w:rPr>
        <w:t>r sākusies ekonomiskā izaugsme.</w:t>
      </w:r>
      <w:r w:rsidRPr="00C84960">
        <w:rPr>
          <w:rFonts w:eastAsia="Times New Roman" w:cs="Times New Roman"/>
          <w:bCs/>
          <w:szCs w:val="24"/>
          <w:lang w:eastAsia="lv-LV"/>
        </w:rPr>
        <w:t xml:space="preserve"> Tādēļ Finanšu ministrija neatbalsta termiņa </w:t>
      </w:r>
      <w:r w:rsidR="00C84960" w:rsidRPr="00C84960">
        <w:rPr>
          <w:rFonts w:eastAsia="Times New Roman" w:cs="Times New Roman"/>
          <w:bCs/>
          <w:szCs w:val="24"/>
          <w:lang w:eastAsia="lv-LV"/>
        </w:rPr>
        <w:t>pagarināšanu UIN atlaidei</w:t>
      </w:r>
      <w:r w:rsidRPr="00C84960">
        <w:rPr>
          <w:rFonts w:eastAsia="Times New Roman" w:cs="Times New Roman"/>
          <w:bCs/>
          <w:szCs w:val="24"/>
          <w:lang w:eastAsia="lv-LV"/>
        </w:rPr>
        <w:t xml:space="preserve"> par atbalstāmo investīciju projektiem. </w:t>
      </w:r>
    </w:p>
    <w:p w:rsidR="00B17AAF" w:rsidRPr="00585F58" w:rsidRDefault="00B17AAF" w:rsidP="00FB3BBD">
      <w:pPr>
        <w:tabs>
          <w:tab w:val="left" w:pos="851"/>
        </w:tabs>
        <w:spacing w:after="0" w:line="20" w:lineRule="atLeast"/>
        <w:jc w:val="both"/>
        <w:rPr>
          <w:rFonts w:eastAsia="Times New Roman" w:cs="Times New Roman"/>
          <w:bCs/>
          <w:szCs w:val="24"/>
          <w:lang w:eastAsia="lv-LV"/>
        </w:rPr>
      </w:pPr>
    </w:p>
    <w:p w:rsidR="00C84960" w:rsidRDefault="00C84960" w:rsidP="00C84960">
      <w:pPr>
        <w:tabs>
          <w:tab w:val="left" w:pos="709"/>
        </w:tabs>
        <w:spacing w:after="0" w:line="20" w:lineRule="atLeast"/>
        <w:ind w:left="720"/>
        <w:jc w:val="both"/>
        <w:rPr>
          <w:rFonts w:eastAsia="Times New Roman" w:cs="Times New Roman"/>
          <w:bCs/>
          <w:szCs w:val="24"/>
          <w:lang w:eastAsia="lv-LV"/>
        </w:rPr>
      </w:pPr>
    </w:p>
    <w:p w:rsidR="00C84960" w:rsidRDefault="00C84960" w:rsidP="00C84960">
      <w:pPr>
        <w:tabs>
          <w:tab w:val="left" w:pos="709"/>
        </w:tabs>
        <w:spacing w:after="0" w:line="20" w:lineRule="atLeast"/>
        <w:jc w:val="both"/>
        <w:rPr>
          <w:rFonts w:eastAsia="Times New Roman" w:cs="Times New Roman"/>
          <w:bCs/>
          <w:szCs w:val="24"/>
          <w:lang w:eastAsia="lv-LV"/>
        </w:rPr>
      </w:pPr>
    </w:p>
    <w:p w:rsidR="00C84960" w:rsidRDefault="00C84960" w:rsidP="00C84960">
      <w:pPr>
        <w:tabs>
          <w:tab w:val="left" w:pos="709"/>
        </w:tabs>
        <w:spacing w:after="0" w:line="20" w:lineRule="atLeast"/>
        <w:jc w:val="both"/>
        <w:rPr>
          <w:rFonts w:eastAsia="Times New Roman" w:cs="Times New Roman"/>
          <w:bCs/>
          <w:szCs w:val="24"/>
          <w:lang w:eastAsia="lv-LV"/>
        </w:rPr>
      </w:pPr>
    </w:p>
    <w:p w:rsidR="00114AB2" w:rsidRDefault="00114AB2" w:rsidP="00C84960">
      <w:pPr>
        <w:tabs>
          <w:tab w:val="left" w:pos="709"/>
        </w:tabs>
        <w:spacing w:after="0" w:line="20" w:lineRule="atLeast"/>
        <w:jc w:val="both"/>
        <w:rPr>
          <w:rFonts w:eastAsia="Times New Roman" w:cs="Times New Roman"/>
          <w:bCs/>
          <w:szCs w:val="24"/>
          <w:lang w:eastAsia="lv-LV"/>
        </w:rPr>
      </w:pPr>
    </w:p>
    <w:p w:rsidR="00670095" w:rsidRPr="00585F58" w:rsidRDefault="006C73E0" w:rsidP="006C73E0">
      <w:pPr>
        <w:tabs>
          <w:tab w:val="left" w:pos="709"/>
        </w:tabs>
        <w:spacing w:after="0" w:line="20" w:lineRule="atLeast"/>
        <w:ind w:firstLine="709"/>
        <w:jc w:val="both"/>
        <w:rPr>
          <w:rFonts w:eastAsia="Times New Roman" w:cs="Times New Roman"/>
          <w:bCs/>
          <w:szCs w:val="24"/>
          <w:lang w:eastAsia="lv-LV"/>
        </w:rPr>
      </w:pPr>
      <w:r>
        <w:rPr>
          <w:rFonts w:eastAsia="Times New Roman" w:cs="Times New Roman"/>
          <w:bCs/>
          <w:szCs w:val="24"/>
          <w:lang w:eastAsia="lv-LV"/>
        </w:rPr>
        <w:t>Finanšu ministrs</w:t>
      </w:r>
      <w:r w:rsidR="007A1DC3" w:rsidRPr="00585F58">
        <w:rPr>
          <w:rFonts w:eastAsia="Times New Roman" w:cs="Times New Roman"/>
          <w:bCs/>
          <w:szCs w:val="24"/>
          <w:lang w:eastAsia="lv-LV"/>
        </w:rPr>
        <w:tab/>
      </w:r>
      <w:r w:rsidR="007A1DC3" w:rsidRPr="00585F58">
        <w:rPr>
          <w:rFonts w:eastAsia="Times New Roman" w:cs="Times New Roman"/>
          <w:bCs/>
          <w:szCs w:val="24"/>
          <w:lang w:eastAsia="lv-LV"/>
        </w:rPr>
        <w:tab/>
      </w:r>
      <w:r w:rsidR="007A1DC3" w:rsidRPr="00585F58">
        <w:rPr>
          <w:rFonts w:eastAsia="Times New Roman" w:cs="Times New Roman"/>
          <w:bCs/>
          <w:szCs w:val="24"/>
          <w:lang w:eastAsia="lv-LV"/>
        </w:rPr>
        <w:tab/>
      </w:r>
      <w:r w:rsidR="007A1DC3" w:rsidRPr="00585F58">
        <w:rPr>
          <w:rFonts w:eastAsia="Times New Roman" w:cs="Times New Roman"/>
          <w:bCs/>
          <w:szCs w:val="24"/>
          <w:lang w:eastAsia="lv-LV"/>
        </w:rPr>
        <w:tab/>
      </w:r>
      <w:r w:rsidR="007A1DC3" w:rsidRPr="00585F58">
        <w:rPr>
          <w:rFonts w:eastAsia="Times New Roman" w:cs="Times New Roman"/>
          <w:bCs/>
          <w:szCs w:val="24"/>
          <w:lang w:eastAsia="lv-LV"/>
        </w:rPr>
        <w:tab/>
      </w:r>
      <w:r w:rsidR="007A1DC3" w:rsidRPr="00585F58">
        <w:rPr>
          <w:rFonts w:eastAsia="Times New Roman" w:cs="Times New Roman"/>
          <w:bCs/>
          <w:szCs w:val="24"/>
          <w:lang w:eastAsia="lv-LV"/>
        </w:rPr>
        <w:tab/>
      </w:r>
      <w:r w:rsidR="007A1DC3" w:rsidRPr="00585F58">
        <w:rPr>
          <w:rFonts w:eastAsia="Times New Roman" w:cs="Times New Roman"/>
          <w:bCs/>
          <w:szCs w:val="24"/>
          <w:lang w:eastAsia="lv-LV"/>
        </w:rPr>
        <w:tab/>
      </w:r>
      <w:r>
        <w:rPr>
          <w:rFonts w:eastAsia="Times New Roman" w:cs="Times New Roman"/>
          <w:bCs/>
          <w:szCs w:val="24"/>
          <w:lang w:eastAsia="lv-LV"/>
        </w:rPr>
        <w:t>A.Vilks</w:t>
      </w:r>
    </w:p>
    <w:p w:rsidR="00670095" w:rsidRPr="00585F58" w:rsidRDefault="00670095" w:rsidP="00FB3BBD">
      <w:pPr>
        <w:tabs>
          <w:tab w:val="left" w:pos="851"/>
        </w:tabs>
        <w:spacing w:after="0" w:line="20" w:lineRule="atLeast"/>
        <w:jc w:val="both"/>
        <w:rPr>
          <w:rFonts w:eastAsia="Times New Roman" w:cs="Times New Roman"/>
          <w:bCs/>
          <w:szCs w:val="24"/>
          <w:lang w:eastAsia="lv-LV"/>
        </w:rPr>
      </w:pPr>
    </w:p>
    <w:p w:rsidR="00973867" w:rsidRDefault="00973867" w:rsidP="00FB3BBD">
      <w:pPr>
        <w:tabs>
          <w:tab w:val="left" w:pos="851"/>
        </w:tabs>
        <w:spacing w:after="0" w:line="20" w:lineRule="atLeast"/>
        <w:jc w:val="both"/>
        <w:rPr>
          <w:rFonts w:eastAsia="Times New Roman" w:cs="Times New Roman"/>
          <w:bCs/>
          <w:szCs w:val="24"/>
          <w:lang w:eastAsia="lv-LV"/>
        </w:rPr>
      </w:pPr>
    </w:p>
    <w:p w:rsidR="00C84960" w:rsidRDefault="00C84960" w:rsidP="00FB3BBD">
      <w:pPr>
        <w:tabs>
          <w:tab w:val="left" w:pos="851"/>
        </w:tabs>
        <w:spacing w:after="0" w:line="20" w:lineRule="atLeast"/>
        <w:jc w:val="both"/>
        <w:rPr>
          <w:rFonts w:eastAsia="Times New Roman" w:cs="Times New Roman"/>
          <w:bCs/>
          <w:szCs w:val="24"/>
          <w:lang w:eastAsia="lv-LV"/>
        </w:rPr>
      </w:pPr>
    </w:p>
    <w:p w:rsidR="00C84960" w:rsidRDefault="00C84960" w:rsidP="00FB3BBD">
      <w:pPr>
        <w:tabs>
          <w:tab w:val="left" w:pos="851"/>
        </w:tabs>
        <w:spacing w:after="0" w:line="20" w:lineRule="atLeast"/>
        <w:jc w:val="both"/>
        <w:rPr>
          <w:rFonts w:eastAsia="Times New Roman" w:cs="Times New Roman"/>
          <w:bCs/>
          <w:szCs w:val="24"/>
          <w:lang w:eastAsia="lv-LV"/>
        </w:rPr>
      </w:pPr>
    </w:p>
    <w:p w:rsidR="00114AB2" w:rsidRDefault="00114AB2" w:rsidP="00FB3BBD">
      <w:pPr>
        <w:tabs>
          <w:tab w:val="left" w:pos="851"/>
        </w:tabs>
        <w:spacing w:after="0" w:line="20" w:lineRule="atLeast"/>
        <w:jc w:val="both"/>
        <w:rPr>
          <w:rFonts w:eastAsia="Times New Roman" w:cs="Times New Roman"/>
          <w:bCs/>
          <w:szCs w:val="24"/>
          <w:lang w:eastAsia="lv-LV"/>
        </w:rPr>
      </w:pPr>
    </w:p>
    <w:p w:rsidR="00114AB2" w:rsidRDefault="00114AB2" w:rsidP="00FB3BBD">
      <w:pPr>
        <w:tabs>
          <w:tab w:val="left" w:pos="851"/>
        </w:tabs>
        <w:spacing w:after="0" w:line="20" w:lineRule="atLeast"/>
        <w:jc w:val="both"/>
        <w:rPr>
          <w:rFonts w:eastAsia="Times New Roman" w:cs="Times New Roman"/>
          <w:bCs/>
          <w:szCs w:val="24"/>
          <w:lang w:eastAsia="lv-LV"/>
        </w:rPr>
      </w:pPr>
    </w:p>
    <w:p w:rsidR="00114AB2" w:rsidRDefault="00114AB2" w:rsidP="00FB3BBD">
      <w:pPr>
        <w:tabs>
          <w:tab w:val="left" w:pos="851"/>
        </w:tabs>
        <w:spacing w:after="0" w:line="20" w:lineRule="atLeast"/>
        <w:jc w:val="both"/>
        <w:rPr>
          <w:rFonts w:eastAsia="Times New Roman" w:cs="Times New Roman"/>
          <w:bCs/>
          <w:szCs w:val="24"/>
          <w:lang w:eastAsia="lv-LV"/>
        </w:rPr>
      </w:pPr>
    </w:p>
    <w:p w:rsidR="00114AB2" w:rsidRDefault="00114AB2" w:rsidP="00FB3BBD">
      <w:pPr>
        <w:tabs>
          <w:tab w:val="left" w:pos="851"/>
        </w:tabs>
        <w:spacing w:after="0" w:line="20" w:lineRule="atLeast"/>
        <w:jc w:val="both"/>
        <w:rPr>
          <w:rFonts w:eastAsia="Times New Roman" w:cs="Times New Roman"/>
          <w:bCs/>
          <w:szCs w:val="24"/>
          <w:lang w:eastAsia="lv-LV"/>
        </w:rPr>
      </w:pPr>
    </w:p>
    <w:p w:rsidR="00114AB2" w:rsidRDefault="00114AB2" w:rsidP="00FB3BBD">
      <w:pPr>
        <w:tabs>
          <w:tab w:val="left" w:pos="851"/>
        </w:tabs>
        <w:spacing w:after="0" w:line="20" w:lineRule="atLeast"/>
        <w:jc w:val="both"/>
        <w:rPr>
          <w:rFonts w:eastAsia="Times New Roman" w:cs="Times New Roman"/>
          <w:bCs/>
          <w:szCs w:val="24"/>
          <w:lang w:eastAsia="lv-LV"/>
        </w:rPr>
      </w:pPr>
    </w:p>
    <w:p w:rsidR="00114AB2" w:rsidRDefault="00114AB2" w:rsidP="00FB3BBD">
      <w:pPr>
        <w:tabs>
          <w:tab w:val="left" w:pos="851"/>
        </w:tabs>
        <w:spacing w:after="0" w:line="20" w:lineRule="atLeast"/>
        <w:jc w:val="both"/>
        <w:rPr>
          <w:rFonts w:eastAsia="Times New Roman" w:cs="Times New Roman"/>
          <w:bCs/>
          <w:szCs w:val="24"/>
          <w:lang w:eastAsia="lv-LV"/>
        </w:rPr>
      </w:pPr>
    </w:p>
    <w:p w:rsidR="00114AB2" w:rsidRDefault="00114AB2" w:rsidP="00FB3BBD">
      <w:pPr>
        <w:tabs>
          <w:tab w:val="left" w:pos="851"/>
        </w:tabs>
        <w:spacing w:after="0" w:line="20" w:lineRule="atLeast"/>
        <w:jc w:val="both"/>
        <w:rPr>
          <w:rFonts w:eastAsia="Times New Roman" w:cs="Times New Roman"/>
          <w:bCs/>
          <w:szCs w:val="24"/>
          <w:lang w:eastAsia="lv-LV"/>
        </w:rPr>
      </w:pPr>
    </w:p>
    <w:p w:rsidR="00114AB2" w:rsidRDefault="00114AB2" w:rsidP="00FB3BBD">
      <w:pPr>
        <w:tabs>
          <w:tab w:val="left" w:pos="851"/>
        </w:tabs>
        <w:spacing w:after="0" w:line="20" w:lineRule="atLeast"/>
        <w:jc w:val="both"/>
        <w:rPr>
          <w:rFonts w:eastAsia="Times New Roman" w:cs="Times New Roman"/>
          <w:bCs/>
          <w:szCs w:val="24"/>
          <w:lang w:eastAsia="lv-LV"/>
        </w:rPr>
      </w:pPr>
    </w:p>
    <w:p w:rsidR="00114AB2" w:rsidRDefault="00114AB2" w:rsidP="00FB3BBD">
      <w:pPr>
        <w:tabs>
          <w:tab w:val="left" w:pos="851"/>
        </w:tabs>
        <w:spacing w:after="0" w:line="20" w:lineRule="atLeast"/>
        <w:jc w:val="both"/>
        <w:rPr>
          <w:rFonts w:eastAsia="Times New Roman" w:cs="Times New Roman"/>
          <w:bCs/>
          <w:szCs w:val="24"/>
          <w:lang w:eastAsia="lv-LV"/>
        </w:rPr>
      </w:pPr>
    </w:p>
    <w:p w:rsidR="00114AB2" w:rsidRDefault="00114AB2" w:rsidP="00FB3BBD">
      <w:pPr>
        <w:tabs>
          <w:tab w:val="left" w:pos="851"/>
        </w:tabs>
        <w:spacing w:after="0" w:line="20" w:lineRule="atLeast"/>
        <w:jc w:val="both"/>
        <w:rPr>
          <w:rFonts w:eastAsia="Times New Roman" w:cs="Times New Roman"/>
          <w:bCs/>
          <w:szCs w:val="24"/>
          <w:lang w:eastAsia="lv-LV"/>
        </w:rPr>
      </w:pPr>
    </w:p>
    <w:p w:rsidR="00114AB2" w:rsidRDefault="00114AB2" w:rsidP="00FB3BBD">
      <w:pPr>
        <w:tabs>
          <w:tab w:val="left" w:pos="851"/>
        </w:tabs>
        <w:spacing w:after="0" w:line="20" w:lineRule="atLeast"/>
        <w:jc w:val="both"/>
        <w:rPr>
          <w:rFonts w:eastAsia="Times New Roman" w:cs="Times New Roman"/>
          <w:bCs/>
          <w:szCs w:val="24"/>
          <w:lang w:eastAsia="lv-LV"/>
        </w:rPr>
      </w:pPr>
    </w:p>
    <w:p w:rsidR="00114AB2" w:rsidRDefault="00114AB2" w:rsidP="00FB3BBD">
      <w:pPr>
        <w:tabs>
          <w:tab w:val="left" w:pos="851"/>
        </w:tabs>
        <w:spacing w:after="0" w:line="20" w:lineRule="atLeast"/>
        <w:jc w:val="both"/>
        <w:rPr>
          <w:rFonts w:eastAsia="Times New Roman" w:cs="Times New Roman"/>
          <w:bCs/>
          <w:szCs w:val="24"/>
          <w:lang w:eastAsia="lv-LV"/>
        </w:rPr>
      </w:pPr>
    </w:p>
    <w:p w:rsidR="00114AB2" w:rsidRDefault="00114AB2" w:rsidP="00FB3BBD">
      <w:pPr>
        <w:tabs>
          <w:tab w:val="left" w:pos="851"/>
        </w:tabs>
        <w:spacing w:after="0" w:line="20" w:lineRule="atLeast"/>
        <w:jc w:val="both"/>
        <w:rPr>
          <w:rFonts w:eastAsia="Times New Roman" w:cs="Times New Roman"/>
          <w:bCs/>
          <w:szCs w:val="24"/>
          <w:lang w:eastAsia="lv-LV"/>
        </w:rPr>
      </w:pPr>
    </w:p>
    <w:p w:rsidR="00114AB2" w:rsidRDefault="00114AB2" w:rsidP="00FB3BBD">
      <w:pPr>
        <w:tabs>
          <w:tab w:val="left" w:pos="851"/>
        </w:tabs>
        <w:spacing w:after="0" w:line="20" w:lineRule="atLeast"/>
        <w:jc w:val="both"/>
        <w:rPr>
          <w:rFonts w:eastAsia="Times New Roman" w:cs="Times New Roman"/>
          <w:bCs/>
          <w:szCs w:val="24"/>
          <w:lang w:eastAsia="lv-LV"/>
        </w:rPr>
      </w:pPr>
    </w:p>
    <w:p w:rsidR="00114AB2" w:rsidRDefault="00114AB2" w:rsidP="00FB3BBD">
      <w:pPr>
        <w:tabs>
          <w:tab w:val="left" w:pos="851"/>
        </w:tabs>
        <w:spacing w:after="0" w:line="20" w:lineRule="atLeast"/>
        <w:jc w:val="both"/>
        <w:rPr>
          <w:rFonts w:eastAsia="Times New Roman" w:cs="Times New Roman"/>
          <w:bCs/>
          <w:szCs w:val="24"/>
          <w:lang w:eastAsia="lv-LV"/>
        </w:rPr>
      </w:pPr>
    </w:p>
    <w:p w:rsidR="00114AB2" w:rsidRDefault="00114AB2" w:rsidP="00FB3BBD">
      <w:pPr>
        <w:tabs>
          <w:tab w:val="left" w:pos="851"/>
        </w:tabs>
        <w:spacing w:after="0" w:line="20" w:lineRule="atLeast"/>
        <w:jc w:val="both"/>
        <w:rPr>
          <w:rFonts w:eastAsia="Times New Roman" w:cs="Times New Roman"/>
          <w:bCs/>
          <w:szCs w:val="24"/>
          <w:lang w:eastAsia="lv-LV"/>
        </w:rPr>
      </w:pPr>
    </w:p>
    <w:p w:rsidR="00114AB2" w:rsidRDefault="00114AB2" w:rsidP="00FB3BBD">
      <w:pPr>
        <w:tabs>
          <w:tab w:val="left" w:pos="851"/>
        </w:tabs>
        <w:spacing w:after="0" w:line="20" w:lineRule="atLeast"/>
        <w:jc w:val="both"/>
        <w:rPr>
          <w:rFonts w:eastAsia="Times New Roman" w:cs="Times New Roman"/>
          <w:bCs/>
          <w:szCs w:val="24"/>
          <w:lang w:eastAsia="lv-LV"/>
        </w:rPr>
      </w:pPr>
    </w:p>
    <w:p w:rsidR="00114AB2" w:rsidRDefault="00114AB2" w:rsidP="00FB3BBD">
      <w:pPr>
        <w:tabs>
          <w:tab w:val="left" w:pos="851"/>
        </w:tabs>
        <w:spacing w:after="0" w:line="20" w:lineRule="atLeast"/>
        <w:jc w:val="both"/>
        <w:rPr>
          <w:rFonts w:eastAsia="Times New Roman" w:cs="Times New Roman"/>
          <w:bCs/>
          <w:szCs w:val="24"/>
          <w:lang w:eastAsia="lv-LV"/>
        </w:rPr>
      </w:pPr>
      <w:bookmarkStart w:id="0" w:name="_GoBack"/>
      <w:bookmarkEnd w:id="0"/>
    </w:p>
    <w:p w:rsidR="00114AB2" w:rsidRDefault="00114AB2" w:rsidP="00FB3BBD">
      <w:pPr>
        <w:tabs>
          <w:tab w:val="left" w:pos="851"/>
        </w:tabs>
        <w:spacing w:after="0" w:line="20" w:lineRule="atLeast"/>
        <w:jc w:val="both"/>
        <w:rPr>
          <w:rFonts w:eastAsia="Times New Roman" w:cs="Times New Roman"/>
          <w:bCs/>
          <w:szCs w:val="24"/>
          <w:lang w:eastAsia="lv-LV"/>
        </w:rPr>
      </w:pPr>
    </w:p>
    <w:p w:rsidR="00114AB2" w:rsidRDefault="00114AB2" w:rsidP="00FB3BBD">
      <w:pPr>
        <w:tabs>
          <w:tab w:val="left" w:pos="851"/>
        </w:tabs>
        <w:spacing w:after="0" w:line="20" w:lineRule="atLeast"/>
        <w:jc w:val="both"/>
        <w:rPr>
          <w:rFonts w:eastAsia="Times New Roman" w:cs="Times New Roman"/>
          <w:bCs/>
          <w:szCs w:val="24"/>
          <w:lang w:eastAsia="lv-LV"/>
        </w:rPr>
      </w:pPr>
    </w:p>
    <w:p w:rsidR="00114AB2" w:rsidRPr="00981388" w:rsidRDefault="00C06257" w:rsidP="00FB3BBD">
      <w:pPr>
        <w:tabs>
          <w:tab w:val="left" w:pos="851"/>
        </w:tabs>
        <w:spacing w:after="0" w:line="20" w:lineRule="atLeast"/>
        <w:jc w:val="both"/>
        <w:rPr>
          <w:rFonts w:eastAsia="Times New Roman" w:cs="Times New Roman"/>
          <w:bCs/>
          <w:sz w:val="20"/>
          <w:szCs w:val="20"/>
          <w:lang w:eastAsia="lv-LV"/>
        </w:rPr>
      </w:pPr>
      <w:r>
        <w:rPr>
          <w:rFonts w:eastAsia="Times New Roman" w:cs="Times New Roman"/>
          <w:bCs/>
          <w:sz w:val="20"/>
          <w:szCs w:val="20"/>
          <w:lang w:eastAsia="lv-LV"/>
        </w:rPr>
        <w:t>2013.06.27.  9:20</w:t>
      </w:r>
    </w:p>
    <w:p w:rsidR="00670095" w:rsidRPr="00585F58" w:rsidRDefault="00B77107" w:rsidP="00B46140">
      <w:pPr>
        <w:spacing w:after="0" w:line="240" w:lineRule="auto"/>
        <w:contextualSpacing/>
        <w:rPr>
          <w:rFonts w:cs="Times New Roman"/>
          <w:sz w:val="20"/>
          <w:szCs w:val="20"/>
        </w:rPr>
      </w:pPr>
      <w:r w:rsidRPr="00585F58">
        <w:rPr>
          <w:rFonts w:cs="Times New Roman"/>
          <w:sz w:val="20"/>
          <w:szCs w:val="20"/>
        </w:rPr>
        <w:fldChar w:fldCharType="begin"/>
      </w:r>
      <w:r w:rsidR="00670095" w:rsidRPr="00585F58">
        <w:rPr>
          <w:rFonts w:cs="Times New Roman"/>
          <w:sz w:val="20"/>
          <w:szCs w:val="20"/>
        </w:rPr>
        <w:instrText xml:space="preserve"> NUMWORDS  \# "0"  \* MERGEFORMAT </w:instrText>
      </w:r>
      <w:r w:rsidRPr="00585F58">
        <w:rPr>
          <w:rFonts w:cs="Times New Roman"/>
          <w:sz w:val="20"/>
          <w:szCs w:val="20"/>
        </w:rPr>
        <w:fldChar w:fldCharType="separate"/>
      </w:r>
      <w:r w:rsidR="001620E7">
        <w:rPr>
          <w:rFonts w:cs="Times New Roman"/>
          <w:noProof/>
          <w:sz w:val="20"/>
          <w:szCs w:val="20"/>
        </w:rPr>
        <w:t>10848</w:t>
      </w:r>
      <w:r w:rsidRPr="00585F58">
        <w:rPr>
          <w:rFonts w:cs="Times New Roman"/>
          <w:sz w:val="20"/>
          <w:szCs w:val="20"/>
        </w:rPr>
        <w:fldChar w:fldCharType="end"/>
      </w:r>
    </w:p>
    <w:p w:rsidR="00670095" w:rsidRPr="00585F58" w:rsidRDefault="00670095" w:rsidP="00B46140">
      <w:pPr>
        <w:spacing w:after="0" w:line="240" w:lineRule="auto"/>
        <w:contextualSpacing/>
        <w:rPr>
          <w:rFonts w:cs="Times New Roman"/>
          <w:sz w:val="20"/>
          <w:szCs w:val="20"/>
        </w:rPr>
      </w:pPr>
      <w:r w:rsidRPr="00585F58">
        <w:rPr>
          <w:rFonts w:cs="Times New Roman"/>
          <w:sz w:val="20"/>
          <w:szCs w:val="20"/>
        </w:rPr>
        <w:t xml:space="preserve">Finanšu ministrijas Nodokļu </w:t>
      </w:r>
      <w:r w:rsidR="007A2190" w:rsidRPr="00585F58">
        <w:rPr>
          <w:rFonts w:cs="Times New Roman"/>
          <w:sz w:val="20"/>
          <w:szCs w:val="20"/>
        </w:rPr>
        <w:t>analīzes</w:t>
      </w:r>
      <w:r w:rsidRPr="00585F58">
        <w:rPr>
          <w:rFonts w:cs="Times New Roman"/>
          <w:sz w:val="20"/>
          <w:szCs w:val="20"/>
        </w:rPr>
        <w:t xml:space="preserve"> departamenta</w:t>
      </w:r>
    </w:p>
    <w:p w:rsidR="00670095" w:rsidRPr="00585F58" w:rsidRDefault="001774D2" w:rsidP="00B46140">
      <w:pPr>
        <w:spacing w:after="0" w:line="240" w:lineRule="auto"/>
        <w:contextualSpacing/>
        <w:rPr>
          <w:rFonts w:cs="Times New Roman"/>
          <w:sz w:val="20"/>
          <w:szCs w:val="20"/>
        </w:rPr>
      </w:pPr>
      <w:r w:rsidRPr="00585F58">
        <w:rPr>
          <w:rFonts w:cs="Times New Roman"/>
          <w:sz w:val="20"/>
          <w:szCs w:val="20"/>
        </w:rPr>
        <w:t xml:space="preserve">Nodokļu politikas stratēģijas </w:t>
      </w:r>
      <w:r w:rsidR="00670095" w:rsidRPr="00585F58">
        <w:rPr>
          <w:rFonts w:cs="Times New Roman"/>
          <w:sz w:val="20"/>
          <w:szCs w:val="20"/>
        </w:rPr>
        <w:t>nodaļas vecāk</w:t>
      </w:r>
      <w:r w:rsidRPr="00585F58">
        <w:rPr>
          <w:rFonts w:cs="Times New Roman"/>
          <w:sz w:val="20"/>
          <w:szCs w:val="20"/>
        </w:rPr>
        <w:t>ā</w:t>
      </w:r>
      <w:r w:rsidR="00670095" w:rsidRPr="00585F58">
        <w:rPr>
          <w:rFonts w:cs="Times New Roman"/>
          <w:sz w:val="20"/>
          <w:szCs w:val="20"/>
        </w:rPr>
        <w:t xml:space="preserve"> referent</w:t>
      </w:r>
      <w:r w:rsidRPr="00585F58">
        <w:rPr>
          <w:rFonts w:cs="Times New Roman"/>
          <w:sz w:val="20"/>
          <w:szCs w:val="20"/>
        </w:rPr>
        <w:t>e</w:t>
      </w:r>
    </w:p>
    <w:p w:rsidR="00670095" w:rsidRPr="00585F58" w:rsidRDefault="001774D2" w:rsidP="00B46140">
      <w:pPr>
        <w:spacing w:after="0" w:line="240" w:lineRule="auto"/>
        <w:contextualSpacing/>
        <w:rPr>
          <w:rFonts w:cs="Times New Roman"/>
          <w:sz w:val="20"/>
          <w:szCs w:val="20"/>
        </w:rPr>
      </w:pPr>
      <w:r w:rsidRPr="00585F58">
        <w:rPr>
          <w:rFonts w:cs="Times New Roman"/>
          <w:sz w:val="20"/>
          <w:szCs w:val="20"/>
        </w:rPr>
        <w:t>I.Vaļģe</w:t>
      </w:r>
      <w:r w:rsidR="00670095" w:rsidRPr="00585F58">
        <w:rPr>
          <w:rFonts w:cs="Times New Roman"/>
          <w:sz w:val="20"/>
          <w:szCs w:val="20"/>
        </w:rPr>
        <w:t xml:space="preserve"> 670955</w:t>
      </w:r>
      <w:r w:rsidRPr="00585F58">
        <w:rPr>
          <w:rFonts w:cs="Times New Roman"/>
          <w:sz w:val="20"/>
          <w:szCs w:val="20"/>
        </w:rPr>
        <w:t>28</w:t>
      </w:r>
    </w:p>
    <w:p w:rsidR="00FD3B93" w:rsidRDefault="001C3804" w:rsidP="00C84960">
      <w:pPr>
        <w:spacing w:after="0" w:line="240" w:lineRule="auto"/>
        <w:contextualSpacing/>
        <w:rPr>
          <w:rStyle w:val="Hyperlink"/>
          <w:rFonts w:cs="Times New Roman"/>
          <w:color w:val="auto"/>
          <w:sz w:val="20"/>
          <w:szCs w:val="20"/>
        </w:rPr>
      </w:pPr>
      <w:hyperlink r:id="rId22" w:history="1">
        <w:r w:rsidR="001774D2" w:rsidRPr="00585F58">
          <w:rPr>
            <w:rStyle w:val="Hyperlink"/>
            <w:rFonts w:cs="Times New Roman"/>
            <w:color w:val="auto"/>
            <w:sz w:val="20"/>
            <w:szCs w:val="20"/>
          </w:rPr>
          <w:t>Inna.Valge@fm.gov.lv</w:t>
        </w:r>
      </w:hyperlink>
    </w:p>
    <w:sectPr w:rsidR="00FD3B93" w:rsidSect="00632E1E">
      <w:headerReference w:type="default" r:id="rId23"/>
      <w:footerReference w:type="default" r:id="rId24"/>
      <w:pgSz w:w="11906" w:h="16838"/>
      <w:pgMar w:top="1157" w:right="1797" w:bottom="115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804" w:rsidRDefault="001C3804" w:rsidP="00D3002A">
      <w:pPr>
        <w:spacing w:after="0" w:line="240" w:lineRule="auto"/>
      </w:pPr>
      <w:r>
        <w:separator/>
      </w:r>
    </w:p>
  </w:endnote>
  <w:endnote w:type="continuationSeparator" w:id="0">
    <w:p w:rsidR="001C3804" w:rsidRDefault="001C3804" w:rsidP="00D3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884465"/>
      <w:docPartObj>
        <w:docPartGallery w:val="Page Numbers (Bottom of Page)"/>
        <w:docPartUnique/>
      </w:docPartObj>
    </w:sdtPr>
    <w:sdtEndPr>
      <w:rPr>
        <w:noProof/>
      </w:rPr>
    </w:sdtEndPr>
    <w:sdtContent>
      <w:p w:rsidR="002456AC" w:rsidRPr="007A1DC3" w:rsidRDefault="002456AC" w:rsidP="007A1DC3">
        <w:pPr>
          <w:pStyle w:val="Footer"/>
          <w:jc w:val="both"/>
          <w:rPr>
            <w:sz w:val="20"/>
            <w:szCs w:val="20"/>
          </w:rPr>
        </w:pPr>
        <w:r>
          <w:rPr>
            <w:noProof/>
            <w:sz w:val="20"/>
            <w:szCs w:val="20"/>
          </w:rPr>
          <w:fldChar w:fldCharType="begin"/>
        </w:r>
        <w:r w:rsidRPr="006876F7">
          <w:rPr>
            <w:noProof/>
            <w:sz w:val="20"/>
            <w:szCs w:val="20"/>
          </w:rPr>
          <w:instrText xml:space="preserve"> FILENAME   \* MERGEFORMAT </w:instrText>
        </w:r>
        <w:r>
          <w:rPr>
            <w:noProof/>
            <w:sz w:val="20"/>
            <w:szCs w:val="20"/>
          </w:rPr>
          <w:fldChar w:fldCharType="separate"/>
        </w:r>
        <w:r w:rsidR="006C73E0">
          <w:rPr>
            <w:noProof/>
            <w:sz w:val="20"/>
            <w:szCs w:val="20"/>
          </w:rPr>
          <w:t>FMinfo_UIN_27062013</w:t>
        </w:r>
        <w:r>
          <w:rPr>
            <w:noProof/>
            <w:sz w:val="20"/>
            <w:szCs w:val="20"/>
          </w:rPr>
          <w:fldChar w:fldCharType="end"/>
        </w:r>
        <w:r w:rsidRPr="007A1DC3">
          <w:rPr>
            <w:noProof/>
            <w:sz w:val="20"/>
            <w:szCs w:val="20"/>
          </w:rPr>
          <w:t xml:space="preserve">; </w:t>
        </w:r>
        <w:r>
          <w:rPr>
            <w:noProof/>
            <w:sz w:val="20"/>
            <w:szCs w:val="20"/>
          </w:rPr>
          <w:t>I</w:t>
        </w:r>
        <w:r w:rsidRPr="007A1DC3">
          <w:rPr>
            <w:noProof/>
            <w:sz w:val="20"/>
            <w:szCs w:val="20"/>
          </w:rPr>
          <w:t>nformatīva</w:t>
        </w:r>
        <w:r>
          <w:rPr>
            <w:noProof/>
            <w:sz w:val="20"/>
            <w:szCs w:val="20"/>
          </w:rPr>
          <w:t>is</w:t>
        </w:r>
        <w:r w:rsidRPr="007A1DC3">
          <w:rPr>
            <w:sz w:val="20"/>
            <w:szCs w:val="20"/>
          </w:rPr>
          <w:t xml:space="preserve"> ziņojum</w:t>
        </w:r>
        <w:r>
          <w:rPr>
            <w:sz w:val="20"/>
            <w:szCs w:val="20"/>
          </w:rPr>
          <w:t xml:space="preserve">s par </w:t>
        </w:r>
        <w:r w:rsidRPr="007A1DC3">
          <w:rPr>
            <w:sz w:val="20"/>
            <w:szCs w:val="20"/>
          </w:rPr>
          <w:t xml:space="preserve">uzņēmumu ienākuma nodokļa atvieglojumu </w:t>
        </w:r>
        <w:r>
          <w:rPr>
            <w:sz w:val="20"/>
            <w:szCs w:val="20"/>
          </w:rPr>
          <w:t>fiskālo un ekonomisko ietekmi uz tautsaimniecību un to efektivitāti</w:t>
        </w:r>
        <w:r w:rsidRPr="007A1DC3">
          <w:rPr>
            <w:sz w:val="20"/>
            <w:szCs w:val="20"/>
          </w:rPr>
          <w:t>.</w:t>
        </w:r>
      </w:p>
      <w:p w:rsidR="002456AC" w:rsidRDefault="002456AC">
        <w:pPr>
          <w:pStyle w:val="Footer"/>
          <w:jc w:val="center"/>
        </w:pPr>
        <w:r>
          <w:fldChar w:fldCharType="begin"/>
        </w:r>
        <w:r>
          <w:instrText xml:space="preserve"> PAGE   \* MERGEFORMAT </w:instrText>
        </w:r>
        <w:r>
          <w:fldChar w:fldCharType="separate"/>
        </w:r>
        <w:r w:rsidR="00C06257">
          <w:rPr>
            <w:noProof/>
          </w:rPr>
          <w:t>33</w:t>
        </w:r>
        <w:r>
          <w:rPr>
            <w:noProof/>
          </w:rPr>
          <w:fldChar w:fldCharType="end"/>
        </w:r>
      </w:p>
    </w:sdtContent>
  </w:sdt>
  <w:p w:rsidR="002456AC" w:rsidRDefault="00245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804" w:rsidRDefault="001C3804" w:rsidP="00D3002A">
      <w:pPr>
        <w:spacing w:after="0" w:line="240" w:lineRule="auto"/>
      </w:pPr>
      <w:r>
        <w:separator/>
      </w:r>
    </w:p>
  </w:footnote>
  <w:footnote w:type="continuationSeparator" w:id="0">
    <w:p w:rsidR="001C3804" w:rsidRDefault="001C3804" w:rsidP="00D3002A">
      <w:pPr>
        <w:spacing w:after="0" w:line="240" w:lineRule="auto"/>
      </w:pPr>
      <w:r>
        <w:continuationSeparator/>
      </w:r>
    </w:p>
  </w:footnote>
  <w:footnote w:id="1">
    <w:p w:rsidR="002456AC" w:rsidRDefault="002456AC">
      <w:pPr>
        <w:pStyle w:val="FootnoteText"/>
      </w:pPr>
      <w:r>
        <w:rPr>
          <w:rStyle w:val="FootnoteReference"/>
        </w:rPr>
        <w:footnoteRef/>
      </w:r>
      <w:r>
        <w:t xml:space="preserve"> ESAO, „</w:t>
      </w:r>
      <w:proofErr w:type="spellStart"/>
      <w:r>
        <w:t>Tax</w:t>
      </w:r>
      <w:proofErr w:type="spellEnd"/>
      <w:r>
        <w:t xml:space="preserve"> </w:t>
      </w:r>
      <w:proofErr w:type="spellStart"/>
      <w:r>
        <w:t>expenditures</w:t>
      </w:r>
      <w:proofErr w:type="spellEnd"/>
      <w:r>
        <w:t xml:space="preserve"> </w:t>
      </w:r>
      <w:proofErr w:type="spellStart"/>
      <w:r>
        <w:t>in</w:t>
      </w:r>
      <w:proofErr w:type="spellEnd"/>
      <w:r>
        <w:t xml:space="preserve"> OECD </w:t>
      </w:r>
      <w:proofErr w:type="spellStart"/>
      <w:r>
        <w:t>Countries</w:t>
      </w:r>
      <w:proofErr w:type="spellEnd"/>
      <w:r>
        <w:t>”, 2010</w:t>
      </w:r>
    </w:p>
  </w:footnote>
  <w:footnote w:id="2">
    <w:p w:rsidR="002456AC" w:rsidRDefault="002456AC" w:rsidP="006976E4">
      <w:pPr>
        <w:autoSpaceDE w:val="0"/>
        <w:autoSpaceDN w:val="0"/>
        <w:adjustRightInd w:val="0"/>
        <w:spacing w:after="0" w:line="240" w:lineRule="auto"/>
        <w:rPr>
          <w:sz w:val="20"/>
          <w:szCs w:val="20"/>
        </w:rPr>
      </w:pPr>
      <w:r>
        <w:rPr>
          <w:rStyle w:val="FootnoteReference"/>
        </w:rPr>
        <w:footnoteRef/>
      </w:r>
      <w:r>
        <w:t xml:space="preserve"> </w:t>
      </w:r>
      <w:r w:rsidRPr="00F53834">
        <w:rPr>
          <w:sz w:val="20"/>
          <w:szCs w:val="20"/>
        </w:rPr>
        <w:t>ESAO, „</w:t>
      </w:r>
      <w:proofErr w:type="spellStart"/>
      <w:r>
        <w:rPr>
          <w:rFonts w:cs="Times New Roman"/>
          <w:bCs/>
          <w:sz w:val="20"/>
          <w:szCs w:val="20"/>
        </w:rPr>
        <w:t>Policy</w:t>
      </w:r>
      <w:proofErr w:type="spellEnd"/>
      <w:r>
        <w:rPr>
          <w:rFonts w:cs="Times New Roman"/>
          <w:bCs/>
          <w:sz w:val="20"/>
          <w:szCs w:val="20"/>
        </w:rPr>
        <w:t xml:space="preserve"> </w:t>
      </w:r>
      <w:proofErr w:type="spellStart"/>
      <w:r>
        <w:rPr>
          <w:rFonts w:cs="Times New Roman"/>
          <w:bCs/>
          <w:sz w:val="20"/>
          <w:szCs w:val="20"/>
        </w:rPr>
        <w:t>Framework</w:t>
      </w:r>
      <w:proofErr w:type="spellEnd"/>
      <w:r>
        <w:rPr>
          <w:rFonts w:cs="Times New Roman"/>
          <w:bCs/>
          <w:sz w:val="20"/>
          <w:szCs w:val="20"/>
        </w:rPr>
        <w:t xml:space="preserve"> </w:t>
      </w:r>
      <w:proofErr w:type="spellStart"/>
      <w:r w:rsidRPr="00F53834">
        <w:rPr>
          <w:rFonts w:cs="Times New Roman"/>
          <w:bCs/>
          <w:sz w:val="20"/>
          <w:szCs w:val="20"/>
        </w:rPr>
        <w:t>for</w:t>
      </w:r>
      <w:proofErr w:type="spellEnd"/>
      <w:r w:rsidRPr="00F53834">
        <w:rPr>
          <w:rFonts w:cs="Times New Roman"/>
          <w:bCs/>
          <w:sz w:val="20"/>
          <w:szCs w:val="20"/>
        </w:rPr>
        <w:t xml:space="preserve"> </w:t>
      </w:r>
      <w:proofErr w:type="spellStart"/>
      <w:r w:rsidRPr="00F53834">
        <w:rPr>
          <w:rFonts w:cs="Times New Roman"/>
          <w:bCs/>
          <w:sz w:val="20"/>
          <w:szCs w:val="20"/>
        </w:rPr>
        <w:t>Investment</w:t>
      </w:r>
      <w:proofErr w:type="spellEnd"/>
      <w:r w:rsidRPr="00F53834">
        <w:rPr>
          <w:sz w:val="20"/>
          <w:szCs w:val="20"/>
        </w:rPr>
        <w:t>”, 20</w:t>
      </w:r>
      <w:r>
        <w:rPr>
          <w:sz w:val="20"/>
          <w:szCs w:val="20"/>
        </w:rPr>
        <w:t>06</w:t>
      </w:r>
    </w:p>
    <w:p w:rsidR="002456AC" w:rsidRPr="00F53834" w:rsidRDefault="002456AC" w:rsidP="006976E4">
      <w:pPr>
        <w:autoSpaceDE w:val="0"/>
        <w:autoSpaceDN w:val="0"/>
        <w:adjustRightInd w:val="0"/>
        <w:spacing w:after="0" w:line="240" w:lineRule="auto"/>
        <w:rPr>
          <w:rFonts w:ascii="TimesNewRomanPSMT" w:hAnsi="TimesNewRomanPSMT" w:cs="TimesNewRomanPSMT"/>
          <w:sz w:val="20"/>
          <w:szCs w:val="20"/>
        </w:rPr>
      </w:pPr>
      <w:r>
        <w:rPr>
          <w:sz w:val="20"/>
          <w:szCs w:val="20"/>
        </w:rPr>
        <w:t xml:space="preserve">   </w:t>
      </w:r>
      <w:proofErr w:type="spellStart"/>
      <w:r>
        <w:rPr>
          <w:sz w:val="20"/>
          <w:szCs w:val="20"/>
        </w:rPr>
        <w:t>A.Klemm</w:t>
      </w:r>
      <w:proofErr w:type="spellEnd"/>
      <w:r w:rsidRPr="00F53834">
        <w:rPr>
          <w:sz w:val="20"/>
          <w:szCs w:val="20"/>
        </w:rPr>
        <w:t>, „</w:t>
      </w:r>
      <w:proofErr w:type="spellStart"/>
      <w:r w:rsidRPr="00F53834">
        <w:rPr>
          <w:rFonts w:ascii="TimesNewRomanPSMT" w:hAnsi="TimesNewRomanPSMT" w:cs="TimesNewRomanPSMT"/>
          <w:sz w:val="20"/>
          <w:szCs w:val="20"/>
        </w:rPr>
        <w:t>Causes</w:t>
      </w:r>
      <w:proofErr w:type="spellEnd"/>
      <w:r w:rsidRPr="00F53834">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Benefits</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and</w:t>
      </w:r>
      <w:proofErr w:type="spellEnd"/>
      <w:r>
        <w:rPr>
          <w:rFonts w:ascii="TimesNewRomanPSMT" w:hAnsi="TimesNewRomanPSMT" w:cs="TimesNewRomanPSMT"/>
          <w:sz w:val="20"/>
          <w:szCs w:val="20"/>
        </w:rPr>
        <w:t xml:space="preserve"> Risks </w:t>
      </w:r>
      <w:proofErr w:type="spellStart"/>
      <w:r>
        <w:rPr>
          <w:rFonts w:ascii="TimesNewRomanPSMT" w:hAnsi="TimesNewRomanPSMT" w:cs="TimesNewRomanPSMT"/>
          <w:sz w:val="20"/>
          <w:szCs w:val="20"/>
        </w:rPr>
        <w:t>of</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Business</w:t>
      </w:r>
      <w:proofErr w:type="spellEnd"/>
      <w:r>
        <w:rPr>
          <w:rFonts w:ascii="TimesNewRomanPSMT" w:hAnsi="TimesNewRomanPSMT" w:cs="TimesNewRomanPSMT"/>
          <w:sz w:val="20"/>
          <w:szCs w:val="20"/>
        </w:rPr>
        <w:t xml:space="preserve"> </w:t>
      </w:r>
      <w:proofErr w:type="spellStart"/>
      <w:r w:rsidRPr="00F53834">
        <w:rPr>
          <w:rFonts w:ascii="TimesNewRomanPSMT" w:hAnsi="TimesNewRomanPSMT" w:cs="TimesNewRomanPSMT"/>
          <w:sz w:val="20"/>
          <w:szCs w:val="20"/>
        </w:rPr>
        <w:t>Tax</w:t>
      </w:r>
      <w:proofErr w:type="spellEnd"/>
      <w:r w:rsidRPr="00F53834">
        <w:rPr>
          <w:rFonts w:ascii="TimesNewRomanPSMT" w:hAnsi="TimesNewRomanPSMT" w:cs="TimesNewRomanPSMT"/>
          <w:sz w:val="20"/>
          <w:szCs w:val="20"/>
        </w:rPr>
        <w:t xml:space="preserve"> </w:t>
      </w:r>
      <w:proofErr w:type="spellStart"/>
      <w:r w:rsidRPr="00F53834">
        <w:rPr>
          <w:rFonts w:ascii="TimesNewRomanPSMT" w:hAnsi="TimesNewRomanPSMT" w:cs="TimesNewRomanPSMT"/>
          <w:sz w:val="20"/>
          <w:szCs w:val="20"/>
        </w:rPr>
        <w:t>Incentives</w:t>
      </w:r>
      <w:proofErr w:type="spellEnd"/>
      <w:r w:rsidRPr="00F53834">
        <w:rPr>
          <w:sz w:val="20"/>
          <w:szCs w:val="20"/>
        </w:rPr>
        <w:t>”, 20</w:t>
      </w:r>
      <w:r>
        <w:rPr>
          <w:sz w:val="20"/>
          <w:szCs w:val="20"/>
        </w:rPr>
        <w:t>09</w:t>
      </w:r>
    </w:p>
  </w:footnote>
  <w:footnote w:id="3">
    <w:p w:rsidR="002456AC" w:rsidRDefault="002456AC" w:rsidP="006B3459">
      <w:pPr>
        <w:pStyle w:val="FootnoteText"/>
      </w:pPr>
      <w:r>
        <w:rPr>
          <w:rStyle w:val="FootnoteReference"/>
        </w:rPr>
        <w:footnoteRef/>
      </w:r>
      <w:r>
        <w:t xml:space="preserve"> </w:t>
      </w:r>
      <w:proofErr w:type="spellStart"/>
      <w:r>
        <w:t>Klemm</w:t>
      </w:r>
      <w:proofErr w:type="spellEnd"/>
      <w:r>
        <w:t xml:space="preserve">, </w:t>
      </w:r>
      <w:proofErr w:type="spellStart"/>
      <w:r>
        <w:t>Alexander</w:t>
      </w:r>
      <w:proofErr w:type="spellEnd"/>
      <w:r>
        <w:t xml:space="preserve">, </w:t>
      </w:r>
      <w:proofErr w:type="spellStart"/>
      <w:r>
        <w:t>Causes</w:t>
      </w:r>
      <w:proofErr w:type="spellEnd"/>
      <w:r>
        <w:t xml:space="preserve">, </w:t>
      </w:r>
      <w:proofErr w:type="spellStart"/>
      <w:r>
        <w:t>benefits</w:t>
      </w:r>
      <w:proofErr w:type="spellEnd"/>
      <w:r>
        <w:t xml:space="preserve">, </w:t>
      </w:r>
      <w:proofErr w:type="spellStart"/>
      <w:r>
        <w:t>and</w:t>
      </w:r>
      <w:proofErr w:type="spellEnd"/>
      <w:r>
        <w:t xml:space="preserve"> risks </w:t>
      </w:r>
      <w:proofErr w:type="spellStart"/>
      <w:r>
        <w:t>of</w:t>
      </w:r>
      <w:proofErr w:type="spellEnd"/>
      <w:r>
        <w:t xml:space="preserve"> </w:t>
      </w:r>
      <w:proofErr w:type="spellStart"/>
      <w:r>
        <w:t>business</w:t>
      </w:r>
      <w:proofErr w:type="spellEnd"/>
      <w:r>
        <w:t xml:space="preserve"> </w:t>
      </w:r>
      <w:proofErr w:type="spellStart"/>
      <w:r>
        <w:t>tax</w:t>
      </w:r>
      <w:proofErr w:type="spellEnd"/>
      <w:r>
        <w:t xml:space="preserve"> </w:t>
      </w:r>
      <w:proofErr w:type="spellStart"/>
      <w:r>
        <w:t>incentives</w:t>
      </w:r>
      <w:proofErr w:type="spellEnd"/>
      <w:r>
        <w:t xml:space="preserve">, </w:t>
      </w:r>
      <w:proofErr w:type="spellStart"/>
      <w:r>
        <w:t>International</w:t>
      </w:r>
      <w:proofErr w:type="spellEnd"/>
      <w:r>
        <w:t xml:space="preserve"> </w:t>
      </w:r>
      <w:proofErr w:type="spellStart"/>
      <w:r>
        <w:t>Tax</w:t>
      </w:r>
      <w:proofErr w:type="spellEnd"/>
      <w:r>
        <w:t xml:space="preserve"> </w:t>
      </w:r>
      <w:proofErr w:type="spellStart"/>
      <w:r>
        <w:t>and</w:t>
      </w:r>
      <w:proofErr w:type="spellEnd"/>
      <w:r>
        <w:t xml:space="preserve"> </w:t>
      </w:r>
      <w:proofErr w:type="spellStart"/>
      <w:r>
        <w:t>Public</w:t>
      </w:r>
      <w:proofErr w:type="spellEnd"/>
      <w:r>
        <w:t xml:space="preserve"> </w:t>
      </w:r>
      <w:proofErr w:type="spellStart"/>
      <w:r>
        <w:t>Finance</w:t>
      </w:r>
      <w:proofErr w:type="spellEnd"/>
      <w:r>
        <w:t xml:space="preserve">, </w:t>
      </w:r>
      <w:proofErr w:type="spellStart"/>
      <w:r>
        <w:t>Volume</w:t>
      </w:r>
      <w:proofErr w:type="spellEnd"/>
      <w:r>
        <w:t xml:space="preserve"> 17, No 3, </w:t>
      </w:r>
      <w:proofErr w:type="spellStart"/>
      <w:r>
        <w:t>June</w:t>
      </w:r>
      <w:proofErr w:type="spellEnd"/>
      <w:r>
        <w:t xml:space="preserve"> 2010, </w:t>
      </w:r>
      <w:proofErr w:type="spellStart"/>
      <w:r>
        <w:t>Springer</w:t>
      </w:r>
      <w:proofErr w:type="spellEnd"/>
    </w:p>
    <w:p w:rsidR="002456AC" w:rsidRDefault="002456AC" w:rsidP="006B3459">
      <w:pPr>
        <w:pStyle w:val="FootnoteText"/>
      </w:pPr>
    </w:p>
  </w:footnote>
  <w:footnote w:id="4">
    <w:p w:rsidR="002456AC" w:rsidRDefault="002456AC" w:rsidP="001D3AD8">
      <w:pPr>
        <w:pStyle w:val="FootnoteText"/>
        <w:rPr>
          <w:rFonts w:eastAsia="Times New Roman" w:cs="Times New Roman"/>
          <w:bCs/>
          <w:color w:val="000000"/>
          <w:lang w:eastAsia="lv-LV"/>
        </w:rPr>
      </w:pPr>
      <w:r>
        <w:rPr>
          <w:rStyle w:val="FootnoteReference"/>
        </w:rPr>
        <w:footnoteRef/>
      </w:r>
      <w:r>
        <w:t xml:space="preserve"> EK,</w:t>
      </w:r>
      <w:r w:rsidRPr="009D1DFC">
        <w:rPr>
          <w:rFonts w:eastAsia="Times New Roman" w:cs="Times New Roman"/>
          <w:bCs/>
          <w:color w:val="000000"/>
          <w:lang w:eastAsia="lv-LV"/>
        </w:rPr>
        <w:t xml:space="preserve"> "</w:t>
      </w:r>
      <w:proofErr w:type="spellStart"/>
      <w:r w:rsidRPr="009D1DFC">
        <w:rPr>
          <w:rFonts w:eastAsia="Times New Roman" w:cs="Times New Roman"/>
          <w:bCs/>
          <w:color w:val="000000"/>
          <w:lang w:eastAsia="lv-LV"/>
        </w:rPr>
        <w:t>Taxation</w:t>
      </w:r>
      <w:proofErr w:type="spellEnd"/>
      <w:r w:rsidRPr="009D1DFC">
        <w:rPr>
          <w:rFonts w:eastAsia="Times New Roman" w:cs="Times New Roman"/>
          <w:bCs/>
          <w:color w:val="000000"/>
          <w:lang w:eastAsia="lv-LV"/>
        </w:rPr>
        <w:t xml:space="preserve"> </w:t>
      </w:r>
      <w:proofErr w:type="spellStart"/>
      <w:r w:rsidRPr="009D1DFC">
        <w:rPr>
          <w:rFonts w:eastAsia="Times New Roman" w:cs="Times New Roman"/>
          <w:bCs/>
          <w:color w:val="000000"/>
          <w:lang w:eastAsia="lv-LV"/>
        </w:rPr>
        <w:t>trends</w:t>
      </w:r>
      <w:proofErr w:type="spellEnd"/>
      <w:r w:rsidRPr="009D1DFC">
        <w:rPr>
          <w:rFonts w:eastAsia="Times New Roman" w:cs="Times New Roman"/>
          <w:bCs/>
          <w:color w:val="000000"/>
          <w:lang w:eastAsia="lv-LV"/>
        </w:rPr>
        <w:t xml:space="preserve"> </w:t>
      </w:r>
      <w:proofErr w:type="spellStart"/>
      <w:r w:rsidRPr="009D1DFC">
        <w:rPr>
          <w:rFonts w:eastAsia="Times New Roman" w:cs="Times New Roman"/>
          <w:bCs/>
          <w:color w:val="000000"/>
          <w:lang w:eastAsia="lv-LV"/>
        </w:rPr>
        <w:t>in</w:t>
      </w:r>
      <w:proofErr w:type="spellEnd"/>
      <w:r w:rsidRPr="009D1DFC">
        <w:rPr>
          <w:rFonts w:eastAsia="Times New Roman" w:cs="Times New Roman"/>
          <w:bCs/>
          <w:color w:val="000000"/>
          <w:lang w:eastAsia="lv-LV"/>
        </w:rPr>
        <w:t xml:space="preserve"> </w:t>
      </w:r>
      <w:proofErr w:type="spellStart"/>
      <w:r w:rsidRPr="009D1DFC">
        <w:rPr>
          <w:rFonts w:eastAsia="Times New Roman" w:cs="Times New Roman"/>
          <w:bCs/>
          <w:color w:val="000000"/>
          <w:lang w:eastAsia="lv-LV"/>
        </w:rPr>
        <w:t>the</w:t>
      </w:r>
      <w:proofErr w:type="spellEnd"/>
      <w:r w:rsidRPr="009D1DFC">
        <w:rPr>
          <w:rFonts w:eastAsia="Times New Roman" w:cs="Times New Roman"/>
          <w:bCs/>
          <w:color w:val="000000"/>
          <w:lang w:eastAsia="lv-LV"/>
        </w:rPr>
        <w:t xml:space="preserve"> </w:t>
      </w:r>
      <w:proofErr w:type="spellStart"/>
      <w:r w:rsidRPr="009D1DFC">
        <w:rPr>
          <w:rFonts w:eastAsia="Times New Roman" w:cs="Times New Roman"/>
          <w:bCs/>
          <w:color w:val="000000"/>
          <w:lang w:eastAsia="lv-LV"/>
        </w:rPr>
        <w:t>European</w:t>
      </w:r>
      <w:proofErr w:type="spellEnd"/>
      <w:r w:rsidRPr="009D1DFC">
        <w:rPr>
          <w:rFonts w:eastAsia="Times New Roman" w:cs="Times New Roman"/>
          <w:bCs/>
          <w:color w:val="000000"/>
          <w:lang w:eastAsia="lv-LV"/>
        </w:rPr>
        <w:t xml:space="preserve"> </w:t>
      </w:r>
      <w:proofErr w:type="spellStart"/>
      <w:r>
        <w:rPr>
          <w:rFonts w:eastAsia="Times New Roman" w:cs="Times New Roman"/>
          <w:bCs/>
          <w:color w:val="000000"/>
          <w:lang w:eastAsia="lv-LV"/>
        </w:rPr>
        <w:t>Union</w:t>
      </w:r>
      <w:proofErr w:type="spellEnd"/>
      <w:r>
        <w:rPr>
          <w:rFonts w:eastAsia="Times New Roman" w:cs="Times New Roman"/>
          <w:bCs/>
          <w:color w:val="000000"/>
          <w:lang w:eastAsia="lv-LV"/>
        </w:rPr>
        <w:t>", 2012</w:t>
      </w:r>
    </w:p>
    <w:p w:rsidR="002456AC" w:rsidRDefault="002456AC" w:rsidP="001D3AD8">
      <w:pPr>
        <w:pStyle w:val="FootnoteText"/>
      </w:pPr>
    </w:p>
  </w:footnote>
  <w:footnote w:id="5">
    <w:p w:rsidR="002456AC" w:rsidRPr="00B37250" w:rsidRDefault="002456AC">
      <w:pPr>
        <w:pStyle w:val="FootnoteText"/>
      </w:pPr>
      <w:r>
        <w:rPr>
          <w:rStyle w:val="FootnoteReference"/>
        </w:rPr>
        <w:footnoteRef/>
      </w:r>
      <w:r>
        <w:t xml:space="preserve"> Ārvalstu finansējums - </w:t>
      </w:r>
      <w:r w:rsidRPr="00B37250">
        <w:t>finansējums, kas saņemts no starptautiskām organizācijām vai uz starptautisko līgumu pamata, no ārzemēm saņemtie maksājumi par pakalpojumiem.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AC" w:rsidRDefault="002456AC" w:rsidP="00B31B28">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942"/>
    <w:multiLevelType w:val="hybridMultilevel"/>
    <w:tmpl w:val="AA342C1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6D41ACC"/>
    <w:multiLevelType w:val="hybridMultilevel"/>
    <w:tmpl w:val="888499D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11A64F8D"/>
    <w:multiLevelType w:val="multilevel"/>
    <w:tmpl w:val="97482C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8216858"/>
    <w:multiLevelType w:val="hybridMultilevel"/>
    <w:tmpl w:val="65C6D0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33767D74"/>
    <w:multiLevelType w:val="hybridMultilevel"/>
    <w:tmpl w:val="19067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DD100E"/>
    <w:multiLevelType w:val="hybridMultilevel"/>
    <w:tmpl w:val="59464B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DE42431"/>
    <w:multiLevelType w:val="hybridMultilevel"/>
    <w:tmpl w:val="1966C648"/>
    <w:lvl w:ilvl="0" w:tplc="F196C166">
      <w:start w:val="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nsid w:val="3EEA4DFE"/>
    <w:multiLevelType w:val="hybridMultilevel"/>
    <w:tmpl w:val="87DEF09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nsid w:val="431D6552"/>
    <w:multiLevelType w:val="hybridMultilevel"/>
    <w:tmpl w:val="AA4236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46CB2442"/>
    <w:multiLevelType w:val="hybridMultilevel"/>
    <w:tmpl w:val="746E36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A655B25"/>
    <w:multiLevelType w:val="hybridMultilevel"/>
    <w:tmpl w:val="D7046E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4BEB2A23"/>
    <w:multiLevelType w:val="hybridMultilevel"/>
    <w:tmpl w:val="9802FF62"/>
    <w:lvl w:ilvl="0" w:tplc="151E5D4E">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52941AD"/>
    <w:multiLevelType w:val="hybridMultilevel"/>
    <w:tmpl w:val="B302D7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553F2A81"/>
    <w:multiLevelType w:val="hybridMultilevel"/>
    <w:tmpl w:val="90E2AC1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593A3C42"/>
    <w:multiLevelType w:val="hybridMultilevel"/>
    <w:tmpl w:val="BC06AC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5ACF09A6"/>
    <w:multiLevelType w:val="hybridMultilevel"/>
    <w:tmpl w:val="D2189C7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5D0722FC"/>
    <w:multiLevelType w:val="hybridMultilevel"/>
    <w:tmpl w:val="868C388E"/>
    <w:lvl w:ilvl="0" w:tplc="04260001">
      <w:start w:val="1"/>
      <w:numFmt w:val="bullet"/>
      <w:lvlText w:val=""/>
      <w:lvlJc w:val="left"/>
      <w:pPr>
        <w:ind w:left="1345" w:hanging="360"/>
      </w:pPr>
      <w:rPr>
        <w:rFonts w:ascii="Symbol" w:hAnsi="Symbol" w:hint="default"/>
      </w:rPr>
    </w:lvl>
    <w:lvl w:ilvl="1" w:tplc="04260003" w:tentative="1">
      <w:start w:val="1"/>
      <w:numFmt w:val="bullet"/>
      <w:lvlText w:val="o"/>
      <w:lvlJc w:val="left"/>
      <w:pPr>
        <w:ind w:left="2065" w:hanging="360"/>
      </w:pPr>
      <w:rPr>
        <w:rFonts w:ascii="Courier New" w:hAnsi="Courier New" w:cs="Courier New" w:hint="default"/>
      </w:rPr>
    </w:lvl>
    <w:lvl w:ilvl="2" w:tplc="04260005" w:tentative="1">
      <w:start w:val="1"/>
      <w:numFmt w:val="bullet"/>
      <w:lvlText w:val=""/>
      <w:lvlJc w:val="left"/>
      <w:pPr>
        <w:ind w:left="2785" w:hanging="360"/>
      </w:pPr>
      <w:rPr>
        <w:rFonts w:ascii="Wingdings" w:hAnsi="Wingdings" w:hint="default"/>
      </w:rPr>
    </w:lvl>
    <w:lvl w:ilvl="3" w:tplc="04260001" w:tentative="1">
      <w:start w:val="1"/>
      <w:numFmt w:val="bullet"/>
      <w:lvlText w:val=""/>
      <w:lvlJc w:val="left"/>
      <w:pPr>
        <w:ind w:left="3505" w:hanging="360"/>
      </w:pPr>
      <w:rPr>
        <w:rFonts w:ascii="Symbol" w:hAnsi="Symbol" w:hint="default"/>
      </w:rPr>
    </w:lvl>
    <w:lvl w:ilvl="4" w:tplc="04260003" w:tentative="1">
      <w:start w:val="1"/>
      <w:numFmt w:val="bullet"/>
      <w:lvlText w:val="o"/>
      <w:lvlJc w:val="left"/>
      <w:pPr>
        <w:ind w:left="4225" w:hanging="360"/>
      </w:pPr>
      <w:rPr>
        <w:rFonts w:ascii="Courier New" w:hAnsi="Courier New" w:cs="Courier New" w:hint="default"/>
      </w:rPr>
    </w:lvl>
    <w:lvl w:ilvl="5" w:tplc="04260005" w:tentative="1">
      <w:start w:val="1"/>
      <w:numFmt w:val="bullet"/>
      <w:lvlText w:val=""/>
      <w:lvlJc w:val="left"/>
      <w:pPr>
        <w:ind w:left="4945" w:hanging="360"/>
      </w:pPr>
      <w:rPr>
        <w:rFonts w:ascii="Wingdings" w:hAnsi="Wingdings" w:hint="default"/>
      </w:rPr>
    </w:lvl>
    <w:lvl w:ilvl="6" w:tplc="04260001" w:tentative="1">
      <w:start w:val="1"/>
      <w:numFmt w:val="bullet"/>
      <w:lvlText w:val=""/>
      <w:lvlJc w:val="left"/>
      <w:pPr>
        <w:ind w:left="5665" w:hanging="360"/>
      </w:pPr>
      <w:rPr>
        <w:rFonts w:ascii="Symbol" w:hAnsi="Symbol" w:hint="default"/>
      </w:rPr>
    </w:lvl>
    <w:lvl w:ilvl="7" w:tplc="04260003" w:tentative="1">
      <w:start w:val="1"/>
      <w:numFmt w:val="bullet"/>
      <w:lvlText w:val="o"/>
      <w:lvlJc w:val="left"/>
      <w:pPr>
        <w:ind w:left="6385" w:hanging="360"/>
      </w:pPr>
      <w:rPr>
        <w:rFonts w:ascii="Courier New" w:hAnsi="Courier New" w:cs="Courier New" w:hint="default"/>
      </w:rPr>
    </w:lvl>
    <w:lvl w:ilvl="8" w:tplc="04260005" w:tentative="1">
      <w:start w:val="1"/>
      <w:numFmt w:val="bullet"/>
      <w:lvlText w:val=""/>
      <w:lvlJc w:val="left"/>
      <w:pPr>
        <w:ind w:left="7105" w:hanging="360"/>
      </w:pPr>
      <w:rPr>
        <w:rFonts w:ascii="Wingdings" w:hAnsi="Wingdings" w:hint="default"/>
      </w:rPr>
    </w:lvl>
  </w:abstractNum>
  <w:abstractNum w:abstractNumId="17">
    <w:nsid w:val="5DE55D54"/>
    <w:multiLevelType w:val="hybridMultilevel"/>
    <w:tmpl w:val="5AD40F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15F52EF"/>
    <w:multiLevelType w:val="hybridMultilevel"/>
    <w:tmpl w:val="C17439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1D8744C"/>
    <w:multiLevelType w:val="hybridMultilevel"/>
    <w:tmpl w:val="4BAEDC34"/>
    <w:lvl w:ilvl="0" w:tplc="3DEA83E4">
      <w:start w:val="1"/>
      <w:numFmt w:val="decimal"/>
      <w:lvlText w:val="%1)"/>
      <w:lvlJc w:val="left"/>
      <w:pPr>
        <w:ind w:left="720" w:hanging="360"/>
      </w:pPr>
      <w:rPr>
        <w:rFonts w:ascii="Times New Roman" w:eastAsiaTheme="minorHAnsi"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2A94C3A"/>
    <w:multiLevelType w:val="hybridMultilevel"/>
    <w:tmpl w:val="2FB6C85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nsid w:val="64F25355"/>
    <w:multiLevelType w:val="hybridMultilevel"/>
    <w:tmpl w:val="5CB852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nsid w:val="680B4209"/>
    <w:multiLevelType w:val="hybridMultilevel"/>
    <w:tmpl w:val="351E48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A4C4048"/>
    <w:multiLevelType w:val="hybridMultilevel"/>
    <w:tmpl w:val="8C9E1B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A824F9D"/>
    <w:multiLevelType w:val="hybridMultilevel"/>
    <w:tmpl w:val="25BC2A4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70751B7F"/>
    <w:multiLevelType w:val="hybridMultilevel"/>
    <w:tmpl w:val="FBD6C7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31F4028"/>
    <w:multiLevelType w:val="hybridMultilevel"/>
    <w:tmpl w:val="1B2A9A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58D7145"/>
    <w:multiLevelType w:val="hybridMultilevel"/>
    <w:tmpl w:val="43EABB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8812F41"/>
    <w:multiLevelType w:val="hybridMultilevel"/>
    <w:tmpl w:val="7AC41870"/>
    <w:lvl w:ilvl="0" w:tplc="DDA218C4">
      <w:start w:val="1"/>
      <w:numFmt w:val="decimal"/>
      <w:lvlText w:val="%1."/>
      <w:lvlJc w:val="left"/>
      <w:pPr>
        <w:ind w:left="720" w:hanging="360"/>
      </w:pPr>
      <w:rPr>
        <w:b/>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9DC47CB"/>
    <w:multiLevelType w:val="hybridMultilevel"/>
    <w:tmpl w:val="76D09D2C"/>
    <w:lvl w:ilvl="0" w:tplc="2CA03F74">
      <w:start w:val="1"/>
      <w:numFmt w:val="decimal"/>
      <w:lvlText w:val="%1)"/>
      <w:lvlJc w:val="left"/>
      <w:pPr>
        <w:ind w:left="1080" w:hanging="360"/>
      </w:pPr>
      <w:rPr>
        <w:rFonts w:ascii="Times New Roman" w:eastAsiaTheme="minorHAnsi" w:hAnsi="Times New Roman" w:cstheme="minorBid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9"/>
  </w:num>
  <w:num w:numId="2">
    <w:abstractNumId w:val="28"/>
  </w:num>
  <w:num w:numId="3">
    <w:abstractNumId w:val="26"/>
  </w:num>
  <w:num w:numId="4">
    <w:abstractNumId w:val="2"/>
  </w:num>
  <w:num w:numId="5">
    <w:abstractNumId w:val="4"/>
  </w:num>
  <w:num w:numId="6">
    <w:abstractNumId w:val="6"/>
  </w:num>
  <w:num w:numId="7">
    <w:abstractNumId w:val="21"/>
  </w:num>
  <w:num w:numId="8">
    <w:abstractNumId w:val="3"/>
  </w:num>
  <w:num w:numId="9">
    <w:abstractNumId w:val="8"/>
  </w:num>
  <w:num w:numId="10">
    <w:abstractNumId w:val="12"/>
  </w:num>
  <w:num w:numId="11">
    <w:abstractNumId w:val="13"/>
  </w:num>
  <w:num w:numId="12">
    <w:abstractNumId w:val="1"/>
  </w:num>
  <w:num w:numId="13">
    <w:abstractNumId w:val="10"/>
  </w:num>
  <w:num w:numId="14">
    <w:abstractNumId w:val="14"/>
  </w:num>
  <w:num w:numId="15">
    <w:abstractNumId w:val="24"/>
  </w:num>
  <w:num w:numId="16">
    <w:abstractNumId w:val="15"/>
  </w:num>
  <w:num w:numId="17">
    <w:abstractNumId w:val="0"/>
  </w:num>
  <w:num w:numId="18">
    <w:abstractNumId w:val="29"/>
  </w:num>
  <w:num w:numId="19">
    <w:abstractNumId w:val="20"/>
  </w:num>
  <w:num w:numId="20">
    <w:abstractNumId w:val="7"/>
  </w:num>
  <w:num w:numId="21">
    <w:abstractNumId w:val="23"/>
  </w:num>
  <w:num w:numId="22">
    <w:abstractNumId w:val="18"/>
  </w:num>
  <w:num w:numId="23">
    <w:abstractNumId w:val="25"/>
  </w:num>
  <w:num w:numId="24">
    <w:abstractNumId w:val="9"/>
  </w:num>
  <w:num w:numId="25">
    <w:abstractNumId w:val="5"/>
  </w:num>
  <w:num w:numId="26">
    <w:abstractNumId w:val="27"/>
  </w:num>
  <w:num w:numId="27">
    <w:abstractNumId w:val="17"/>
  </w:num>
  <w:num w:numId="28">
    <w:abstractNumId w:val="22"/>
  </w:num>
  <w:num w:numId="29">
    <w:abstractNumId w:val="16"/>
  </w:num>
  <w:num w:numId="30">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D4"/>
    <w:rsid w:val="000016AC"/>
    <w:rsid w:val="00001EC4"/>
    <w:rsid w:val="00002780"/>
    <w:rsid w:val="00007A18"/>
    <w:rsid w:val="00010FB4"/>
    <w:rsid w:val="00012162"/>
    <w:rsid w:val="000148BC"/>
    <w:rsid w:val="00016009"/>
    <w:rsid w:val="000212D4"/>
    <w:rsid w:val="00021593"/>
    <w:rsid w:val="00024903"/>
    <w:rsid w:val="00025E33"/>
    <w:rsid w:val="0003018B"/>
    <w:rsid w:val="000301D1"/>
    <w:rsid w:val="00030DEE"/>
    <w:rsid w:val="00031611"/>
    <w:rsid w:val="00037505"/>
    <w:rsid w:val="000467B9"/>
    <w:rsid w:val="000474AB"/>
    <w:rsid w:val="0005272D"/>
    <w:rsid w:val="00052F3C"/>
    <w:rsid w:val="00054100"/>
    <w:rsid w:val="00054CBB"/>
    <w:rsid w:val="00057256"/>
    <w:rsid w:val="00057A7C"/>
    <w:rsid w:val="00062634"/>
    <w:rsid w:val="000640D0"/>
    <w:rsid w:val="00064D4D"/>
    <w:rsid w:val="00065286"/>
    <w:rsid w:val="00065976"/>
    <w:rsid w:val="00066D92"/>
    <w:rsid w:val="00067526"/>
    <w:rsid w:val="000713D3"/>
    <w:rsid w:val="00074E46"/>
    <w:rsid w:val="00076765"/>
    <w:rsid w:val="00082FBA"/>
    <w:rsid w:val="000837F5"/>
    <w:rsid w:val="000840F3"/>
    <w:rsid w:val="00085873"/>
    <w:rsid w:val="00086CDC"/>
    <w:rsid w:val="00090822"/>
    <w:rsid w:val="00091203"/>
    <w:rsid w:val="00091483"/>
    <w:rsid w:val="000921E3"/>
    <w:rsid w:val="00093823"/>
    <w:rsid w:val="00096D26"/>
    <w:rsid w:val="000A0EE8"/>
    <w:rsid w:val="000A7C17"/>
    <w:rsid w:val="000B0B3C"/>
    <w:rsid w:val="000B3412"/>
    <w:rsid w:val="000B403B"/>
    <w:rsid w:val="000B4441"/>
    <w:rsid w:val="000B51B2"/>
    <w:rsid w:val="000C2A3F"/>
    <w:rsid w:val="000D2091"/>
    <w:rsid w:val="000D5259"/>
    <w:rsid w:val="000D6CC2"/>
    <w:rsid w:val="000E0E8F"/>
    <w:rsid w:val="000E11F7"/>
    <w:rsid w:val="000E235F"/>
    <w:rsid w:val="000E3B2B"/>
    <w:rsid w:val="000F06F6"/>
    <w:rsid w:val="000F2CBE"/>
    <w:rsid w:val="000F3EFF"/>
    <w:rsid w:val="00106040"/>
    <w:rsid w:val="0010616D"/>
    <w:rsid w:val="00107337"/>
    <w:rsid w:val="00112477"/>
    <w:rsid w:val="00114AB2"/>
    <w:rsid w:val="001165B8"/>
    <w:rsid w:val="001318F9"/>
    <w:rsid w:val="0013254C"/>
    <w:rsid w:val="001327C6"/>
    <w:rsid w:val="00133C63"/>
    <w:rsid w:val="00137EFF"/>
    <w:rsid w:val="00141E50"/>
    <w:rsid w:val="001443C7"/>
    <w:rsid w:val="00153AFA"/>
    <w:rsid w:val="00157AA2"/>
    <w:rsid w:val="00157C9E"/>
    <w:rsid w:val="001602B1"/>
    <w:rsid w:val="00161254"/>
    <w:rsid w:val="001620E7"/>
    <w:rsid w:val="00162BDF"/>
    <w:rsid w:val="001664D0"/>
    <w:rsid w:val="00176691"/>
    <w:rsid w:val="001774D2"/>
    <w:rsid w:val="00180A79"/>
    <w:rsid w:val="00180ADD"/>
    <w:rsid w:val="00182158"/>
    <w:rsid w:val="00185A8B"/>
    <w:rsid w:val="001915DD"/>
    <w:rsid w:val="00191A4A"/>
    <w:rsid w:val="00191EBC"/>
    <w:rsid w:val="00192E4C"/>
    <w:rsid w:val="00194182"/>
    <w:rsid w:val="00196341"/>
    <w:rsid w:val="00197126"/>
    <w:rsid w:val="00197593"/>
    <w:rsid w:val="001A07A2"/>
    <w:rsid w:val="001A0CFC"/>
    <w:rsid w:val="001A4E44"/>
    <w:rsid w:val="001B22DA"/>
    <w:rsid w:val="001B6197"/>
    <w:rsid w:val="001B74CC"/>
    <w:rsid w:val="001B75D3"/>
    <w:rsid w:val="001C2826"/>
    <w:rsid w:val="001C3332"/>
    <w:rsid w:val="001C3804"/>
    <w:rsid w:val="001C6061"/>
    <w:rsid w:val="001C6550"/>
    <w:rsid w:val="001D04D4"/>
    <w:rsid w:val="001D0AA5"/>
    <w:rsid w:val="001D3AD8"/>
    <w:rsid w:val="001D4620"/>
    <w:rsid w:val="001D574B"/>
    <w:rsid w:val="001E0F10"/>
    <w:rsid w:val="001E2508"/>
    <w:rsid w:val="001E3B08"/>
    <w:rsid w:val="001E7475"/>
    <w:rsid w:val="001F4AEE"/>
    <w:rsid w:val="001F6377"/>
    <w:rsid w:val="001F7C53"/>
    <w:rsid w:val="00205493"/>
    <w:rsid w:val="00210C86"/>
    <w:rsid w:val="002114D9"/>
    <w:rsid w:val="00216CA2"/>
    <w:rsid w:val="00221643"/>
    <w:rsid w:val="00224102"/>
    <w:rsid w:val="00224282"/>
    <w:rsid w:val="00225E7A"/>
    <w:rsid w:val="00226467"/>
    <w:rsid w:val="00233CE4"/>
    <w:rsid w:val="00236EE1"/>
    <w:rsid w:val="002401A7"/>
    <w:rsid w:val="00244935"/>
    <w:rsid w:val="002456AC"/>
    <w:rsid w:val="00247F33"/>
    <w:rsid w:val="00251659"/>
    <w:rsid w:val="00257151"/>
    <w:rsid w:val="00257A74"/>
    <w:rsid w:val="00260BAD"/>
    <w:rsid w:val="002611CA"/>
    <w:rsid w:val="002634E5"/>
    <w:rsid w:val="00265455"/>
    <w:rsid w:val="002703C3"/>
    <w:rsid w:val="00272CCC"/>
    <w:rsid w:val="002769F4"/>
    <w:rsid w:val="00280053"/>
    <w:rsid w:val="0028229D"/>
    <w:rsid w:val="0028483D"/>
    <w:rsid w:val="0028548D"/>
    <w:rsid w:val="0028572E"/>
    <w:rsid w:val="002925AC"/>
    <w:rsid w:val="00292E6A"/>
    <w:rsid w:val="00293594"/>
    <w:rsid w:val="002A6FE1"/>
    <w:rsid w:val="002A703A"/>
    <w:rsid w:val="002B06B6"/>
    <w:rsid w:val="002B6F3A"/>
    <w:rsid w:val="002C0EAD"/>
    <w:rsid w:val="002C1304"/>
    <w:rsid w:val="002C17A4"/>
    <w:rsid w:val="002C2FC3"/>
    <w:rsid w:val="002C42A4"/>
    <w:rsid w:val="002C4B99"/>
    <w:rsid w:val="002D1038"/>
    <w:rsid w:val="002D4A78"/>
    <w:rsid w:val="002D6E53"/>
    <w:rsid w:val="002E04A9"/>
    <w:rsid w:val="002E1F26"/>
    <w:rsid w:val="002E5C00"/>
    <w:rsid w:val="002E72F9"/>
    <w:rsid w:val="002E7410"/>
    <w:rsid w:val="002F094C"/>
    <w:rsid w:val="002F1788"/>
    <w:rsid w:val="002F4D8E"/>
    <w:rsid w:val="002F689F"/>
    <w:rsid w:val="002F6A62"/>
    <w:rsid w:val="003027B0"/>
    <w:rsid w:val="0030294E"/>
    <w:rsid w:val="00305A95"/>
    <w:rsid w:val="00306725"/>
    <w:rsid w:val="0031594D"/>
    <w:rsid w:val="0031655A"/>
    <w:rsid w:val="00316AFB"/>
    <w:rsid w:val="00317D12"/>
    <w:rsid w:val="00317D7C"/>
    <w:rsid w:val="00320E78"/>
    <w:rsid w:val="00321AFD"/>
    <w:rsid w:val="003220BE"/>
    <w:rsid w:val="00322749"/>
    <w:rsid w:val="00322BCF"/>
    <w:rsid w:val="00325835"/>
    <w:rsid w:val="00325949"/>
    <w:rsid w:val="00326C3E"/>
    <w:rsid w:val="00331289"/>
    <w:rsid w:val="003312E8"/>
    <w:rsid w:val="00331F33"/>
    <w:rsid w:val="00342209"/>
    <w:rsid w:val="0034231D"/>
    <w:rsid w:val="00342E35"/>
    <w:rsid w:val="0034407E"/>
    <w:rsid w:val="00345712"/>
    <w:rsid w:val="00346460"/>
    <w:rsid w:val="0034771F"/>
    <w:rsid w:val="0035233D"/>
    <w:rsid w:val="003534BC"/>
    <w:rsid w:val="00357842"/>
    <w:rsid w:val="003607F6"/>
    <w:rsid w:val="0036393A"/>
    <w:rsid w:val="00371572"/>
    <w:rsid w:val="00371FF5"/>
    <w:rsid w:val="00376091"/>
    <w:rsid w:val="00377A54"/>
    <w:rsid w:val="00381D93"/>
    <w:rsid w:val="003820D4"/>
    <w:rsid w:val="0038764A"/>
    <w:rsid w:val="00387FEC"/>
    <w:rsid w:val="00392105"/>
    <w:rsid w:val="00393EAB"/>
    <w:rsid w:val="003961DE"/>
    <w:rsid w:val="003974EE"/>
    <w:rsid w:val="003A4D1A"/>
    <w:rsid w:val="003A4F71"/>
    <w:rsid w:val="003B0569"/>
    <w:rsid w:val="003B0EC2"/>
    <w:rsid w:val="003B4314"/>
    <w:rsid w:val="003B67F3"/>
    <w:rsid w:val="003C00B8"/>
    <w:rsid w:val="003C10CA"/>
    <w:rsid w:val="003C123B"/>
    <w:rsid w:val="003C3614"/>
    <w:rsid w:val="003C3CAE"/>
    <w:rsid w:val="003C48BF"/>
    <w:rsid w:val="003C672F"/>
    <w:rsid w:val="003C7E0F"/>
    <w:rsid w:val="003D24BB"/>
    <w:rsid w:val="003E29E4"/>
    <w:rsid w:val="003F068E"/>
    <w:rsid w:val="003F1EAF"/>
    <w:rsid w:val="003F2C2E"/>
    <w:rsid w:val="003F5036"/>
    <w:rsid w:val="00401F25"/>
    <w:rsid w:val="004032B8"/>
    <w:rsid w:val="00404D0C"/>
    <w:rsid w:val="00405159"/>
    <w:rsid w:val="00407510"/>
    <w:rsid w:val="00410415"/>
    <w:rsid w:val="00410CA4"/>
    <w:rsid w:val="00411FD0"/>
    <w:rsid w:val="00415448"/>
    <w:rsid w:val="00425BE2"/>
    <w:rsid w:val="00426923"/>
    <w:rsid w:val="004301D2"/>
    <w:rsid w:val="00430626"/>
    <w:rsid w:val="004307B1"/>
    <w:rsid w:val="00432650"/>
    <w:rsid w:val="00442BAE"/>
    <w:rsid w:val="00442C20"/>
    <w:rsid w:val="0044497A"/>
    <w:rsid w:val="00444EEE"/>
    <w:rsid w:val="004452D1"/>
    <w:rsid w:val="0044654F"/>
    <w:rsid w:val="004472E4"/>
    <w:rsid w:val="0044767A"/>
    <w:rsid w:val="00452CA2"/>
    <w:rsid w:val="004542E2"/>
    <w:rsid w:val="004550C3"/>
    <w:rsid w:val="0046167B"/>
    <w:rsid w:val="004616B9"/>
    <w:rsid w:val="00461A44"/>
    <w:rsid w:val="00463221"/>
    <w:rsid w:val="00465B25"/>
    <w:rsid w:val="00466BE4"/>
    <w:rsid w:val="00466F56"/>
    <w:rsid w:val="00470235"/>
    <w:rsid w:val="00473FB8"/>
    <w:rsid w:val="00474B29"/>
    <w:rsid w:val="00477814"/>
    <w:rsid w:val="00481422"/>
    <w:rsid w:val="00485D76"/>
    <w:rsid w:val="00490A03"/>
    <w:rsid w:val="00494F0F"/>
    <w:rsid w:val="00495D84"/>
    <w:rsid w:val="004A1D3E"/>
    <w:rsid w:val="004A263B"/>
    <w:rsid w:val="004A4335"/>
    <w:rsid w:val="004A5285"/>
    <w:rsid w:val="004B0492"/>
    <w:rsid w:val="004B0DA6"/>
    <w:rsid w:val="004B6BBC"/>
    <w:rsid w:val="004B7F4E"/>
    <w:rsid w:val="004C1AAB"/>
    <w:rsid w:val="004C1DE1"/>
    <w:rsid w:val="004C3C6C"/>
    <w:rsid w:val="004C3EAF"/>
    <w:rsid w:val="004C729B"/>
    <w:rsid w:val="004D0372"/>
    <w:rsid w:val="004D16A9"/>
    <w:rsid w:val="004D2135"/>
    <w:rsid w:val="004D3EC7"/>
    <w:rsid w:val="004D4384"/>
    <w:rsid w:val="004D7177"/>
    <w:rsid w:val="004E0D10"/>
    <w:rsid w:val="004E5E19"/>
    <w:rsid w:val="004F0797"/>
    <w:rsid w:val="004F16A9"/>
    <w:rsid w:val="00500C15"/>
    <w:rsid w:val="00503B3F"/>
    <w:rsid w:val="00511A09"/>
    <w:rsid w:val="00513CA7"/>
    <w:rsid w:val="00515B2A"/>
    <w:rsid w:val="005172C2"/>
    <w:rsid w:val="005179DB"/>
    <w:rsid w:val="005204B5"/>
    <w:rsid w:val="005230AF"/>
    <w:rsid w:val="005306E3"/>
    <w:rsid w:val="0053197B"/>
    <w:rsid w:val="00533D62"/>
    <w:rsid w:val="00534D2E"/>
    <w:rsid w:val="00536A1A"/>
    <w:rsid w:val="00541A87"/>
    <w:rsid w:val="00543FAF"/>
    <w:rsid w:val="00545347"/>
    <w:rsid w:val="00545DB7"/>
    <w:rsid w:val="00547E5C"/>
    <w:rsid w:val="00550356"/>
    <w:rsid w:val="00551A85"/>
    <w:rsid w:val="0055659E"/>
    <w:rsid w:val="00560BDF"/>
    <w:rsid w:val="00562F60"/>
    <w:rsid w:val="005650EE"/>
    <w:rsid w:val="00565F68"/>
    <w:rsid w:val="0056655F"/>
    <w:rsid w:val="0058170D"/>
    <w:rsid w:val="00582D39"/>
    <w:rsid w:val="005833F7"/>
    <w:rsid w:val="00584819"/>
    <w:rsid w:val="005850C3"/>
    <w:rsid w:val="00585F58"/>
    <w:rsid w:val="005910FA"/>
    <w:rsid w:val="0059339B"/>
    <w:rsid w:val="0059772A"/>
    <w:rsid w:val="005A3E94"/>
    <w:rsid w:val="005A728E"/>
    <w:rsid w:val="005B3B9D"/>
    <w:rsid w:val="005B3C47"/>
    <w:rsid w:val="005B5AA4"/>
    <w:rsid w:val="005B7992"/>
    <w:rsid w:val="005C0B59"/>
    <w:rsid w:val="005C1A17"/>
    <w:rsid w:val="005C40D6"/>
    <w:rsid w:val="005C7913"/>
    <w:rsid w:val="005D085A"/>
    <w:rsid w:val="005D10F7"/>
    <w:rsid w:val="005D1995"/>
    <w:rsid w:val="005D4590"/>
    <w:rsid w:val="005D6B2A"/>
    <w:rsid w:val="005D6BA5"/>
    <w:rsid w:val="005E2F25"/>
    <w:rsid w:val="005E582A"/>
    <w:rsid w:val="005E5C4A"/>
    <w:rsid w:val="005E68FC"/>
    <w:rsid w:val="005E6A49"/>
    <w:rsid w:val="005F7B64"/>
    <w:rsid w:val="0060037F"/>
    <w:rsid w:val="00601725"/>
    <w:rsid w:val="0060326B"/>
    <w:rsid w:val="00603CA1"/>
    <w:rsid w:val="00603EAF"/>
    <w:rsid w:val="00613822"/>
    <w:rsid w:val="006143FF"/>
    <w:rsid w:val="00615BBE"/>
    <w:rsid w:val="00616533"/>
    <w:rsid w:val="00617D87"/>
    <w:rsid w:val="00621F58"/>
    <w:rsid w:val="0062260C"/>
    <w:rsid w:val="006232D9"/>
    <w:rsid w:val="00630CA7"/>
    <w:rsid w:val="006312C8"/>
    <w:rsid w:val="00632E1E"/>
    <w:rsid w:val="0063588C"/>
    <w:rsid w:val="00637A5D"/>
    <w:rsid w:val="0064193B"/>
    <w:rsid w:val="00641EF6"/>
    <w:rsid w:val="0064257D"/>
    <w:rsid w:val="006468FC"/>
    <w:rsid w:val="00647BB8"/>
    <w:rsid w:val="006512EE"/>
    <w:rsid w:val="00653C72"/>
    <w:rsid w:val="00655038"/>
    <w:rsid w:val="00660A92"/>
    <w:rsid w:val="00661850"/>
    <w:rsid w:val="00661F33"/>
    <w:rsid w:val="00666819"/>
    <w:rsid w:val="00666B3B"/>
    <w:rsid w:val="006676E3"/>
    <w:rsid w:val="00670095"/>
    <w:rsid w:val="00673593"/>
    <w:rsid w:val="00674A73"/>
    <w:rsid w:val="00676B57"/>
    <w:rsid w:val="0068477E"/>
    <w:rsid w:val="00685F29"/>
    <w:rsid w:val="006876F7"/>
    <w:rsid w:val="00693F13"/>
    <w:rsid w:val="00695A47"/>
    <w:rsid w:val="00695ABB"/>
    <w:rsid w:val="00696201"/>
    <w:rsid w:val="006965EA"/>
    <w:rsid w:val="0069669D"/>
    <w:rsid w:val="006976E4"/>
    <w:rsid w:val="006A11AB"/>
    <w:rsid w:val="006A3779"/>
    <w:rsid w:val="006A3AF3"/>
    <w:rsid w:val="006A462E"/>
    <w:rsid w:val="006B248F"/>
    <w:rsid w:val="006B2979"/>
    <w:rsid w:val="006B3459"/>
    <w:rsid w:val="006B3FD9"/>
    <w:rsid w:val="006B660A"/>
    <w:rsid w:val="006C1040"/>
    <w:rsid w:val="006C2A45"/>
    <w:rsid w:val="006C6E84"/>
    <w:rsid w:val="006C73E0"/>
    <w:rsid w:val="006D41F8"/>
    <w:rsid w:val="006D431D"/>
    <w:rsid w:val="006D634A"/>
    <w:rsid w:val="006E17A9"/>
    <w:rsid w:val="006E43C9"/>
    <w:rsid w:val="006E697C"/>
    <w:rsid w:val="006E6ED0"/>
    <w:rsid w:val="006F17ED"/>
    <w:rsid w:val="006F2BE4"/>
    <w:rsid w:val="006F7067"/>
    <w:rsid w:val="00715308"/>
    <w:rsid w:val="00720354"/>
    <w:rsid w:val="00720803"/>
    <w:rsid w:val="007212E8"/>
    <w:rsid w:val="00722372"/>
    <w:rsid w:val="00724301"/>
    <w:rsid w:val="00725631"/>
    <w:rsid w:val="007264C6"/>
    <w:rsid w:val="0073166F"/>
    <w:rsid w:val="007357BD"/>
    <w:rsid w:val="0074105D"/>
    <w:rsid w:val="0074378B"/>
    <w:rsid w:val="007453C0"/>
    <w:rsid w:val="007473B6"/>
    <w:rsid w:val="007479E0"/>
    <w:rsid w:val="007502DF"/>
    <w:rsid w:val="00750415"/>
    <w:rsid w:val="00752683"/>
    <w:rsid w:val="007534DB"/>
    <w:rsid w:val="00755772"/>
    <w:rsid w:val="007635EE"/>
    <w:rsid w:val="00763826"/>
    <w:rsid w:val="00763AB1"/>
    <w:rsid w:val="00773199"/>
    <w:rsid w:val="00773317"/>
    <w:rsid w:val="00773EA4"/>
    <w:rsid w:val="00780E90"/>
    <w:rsid w:val="00783164"/>
    <w:rsid w:val="00783D11"/>
    <w:rsid w:val="00786FF9"/>
    <w:rsid w:val="00792EA8"/>
    <w:rsid w:val="007951A9"/>
    <w:rsid w:val="00795319"/>
    <w:rsid w:val="007A15EF"/>
    <w:rsid w:val="007A1DC3"/>
    <w:rsid w:val="007A2190"/>
    <w:rsid w:val="007A34BF"/>
    <w:rsid w:val="007A4855"/>
    <w:rsid w:val="007A71F8"/>
    <w:rsid w:val="007B0982"/>
    <w:rsid w:val="007B125F"/>
    <w:rsid w:val="007B1A6D"/>
    <w:rsid w:val="007B26BC"/>
    <w:rsid w:val="007B3F5F"/>
    <w:rsid w:val="007B56B0"/>
    <w:rsid w:val="007B65C3"/>
    <w:rsid w:val="007C1B77"/>
    <w:rsid w:val="007C29DF"/>
    <w:rsid w:val="007C35AA"/>
    <w:rsid w:val="007C4AA5"/>
    <w:rsid w:val="007C66A2"/>
    <w:rsid w:val="007C6EB4"/>
    <w:rsid w:val="007D0431"/>
    <w:rsid w:val="007D0799"/>
    <w:rsid w:val="007D114D"/>
    <w:rsid w:val="007D1521"/>
    <w:rsid w:val="007D387B"/>
    <w:rsid w:val="007D38F3"/>
    <w:rsid w:val="007D39FE"/>
    <w:rsid w:val="007D645B"/>
    <w:rsid w:val="007D6F51"/>
    <w:rsid w:val="007E4924"/>
    <w:rsid w:val="007E5F73"/>
    <w:rsid w:val="007E7F48"/>
    <w:rsid w:val="007F1057"/>
    <w:rsid w:val="007F440A"/>
    <w:rsid w:val="007F48BE"/>
    <w:rsid w:val="007F7A05"/>
    <w:rsid w:val="00803FA5"/>
    <w:rsid w:val="00805B4F"/>
    <w:rsid w:val="00807A6F"/>
    <w:rsid w:val="008112A6"/>
    <w:rsid w:val="008136E0"/>
    <w:rsid w:val="00814B7C"/>
    <w:rsid w:val="00830C4F"/>
    <w:rsid w:val="00834559"/>
    <w:rsid w:val="0083567F"/>
    <w:rsid w:val="00837523"/>
    <w:rsid w:val="0083784A"/>
    <w:rsid w:val="008437D6"/>
    <w:rsid w:val="00851182"/>
    <w:rsid w:val="00854925"/>
    <w:rsid w:val="00857AAC"/>
    <w:rsid w:val="00857B1F"/>
    <w:rsid w:val="008606E2"/>
    <w:rsid w:val="00863D5B"/>
    <w:rsid w:val="008644E9"/>
    <w:rsid w:val="00872DC5"/>
    <w:rsid w:val="00874737"/>
    <w:rsid w:val="0087561E"/>
    <w:rsid w:val="00876D2D"/>
    <w:rsid w:val="00880711"/>
    <w:rsid w:val="008820B3"/>
    <w:rsid w:val="00882109"/>
    <w:rsid w:val="00882258"/>
    <w:rsid w:val="00883C0A"/>
    <w:rsid w:val="00884499"/>
    <w:rsid w:val="00886DB2"/>
    <w:rsid w:val="00891E3C"/>
    <w:rsid w:val="00895E5E"/>
    <w:rsid w:val="008966E7"/>
    <w:rsid w:val="008A0F3D"/>
    <w:rsid w:val="008A165B"/>
    <w:rsid w:val="008A55D0"/>
    <w:rsid w:val="008A617B"/>
    <w:rsid w:val="008B0909"/>
    <w:rsid w:val="008B10D3"/>
    <w:rsid w:val="008B2A08"/>
    <w:rsid w:val="008B2A9D"/>
    <w:rsid w:val="008C17BB"/>
    <w:rsid w:val="008C2457"/>
    <w:rsid w:val="008C54E0"/>
    <w:rsid w:val="008C591E"/>
    <w:rsid w:val="008C7BC8"/>
    <w:rsid w:val="008D5A2E"/>
    <w:rsid w:val="008D7AAF"/>
    <w:rsid w:val="008E28A2"/>
    <w:rsid w:val="008E4807"/>
    <w:rsid w:val="008E63A8"/>
    <w:rsid w:val="008E71D2"/>
    <w:rsid w:val="008F0858"/>
    <w:rsid w:val="008F0DAC"/>
    <w:rsid w:val="008F2709"/>
    <w:rsid w:val="008F2B2E"/>
    <w:rsid w:val="008F3183"/>
    <w:rsid w:val="008F5F50"/>
    <w:rsid w:val="008F658D"/>
    <w:rsid w:val="0090277C"/>
    <w:rsid w:val="00905E7B"/>
    <w:rsid w:val="00906387"/>
    <w:rsid w:val="009073BC"/>
    <w:rsid w:val="00907FBC"/>
    <w:rsid w:val="009110D5"/>
    <w:rsid w:val="009110ED"/>
    <w:rsid w:val="00911873"/>
    <w:rsid w:val="009127D1"/>
    <w:rsid w:val="009141C0"/>
    <w:rsid w:val="0092042B"/>
    <w:rsid w:val="009214D7"/>
    <w:rsid w:val="00921BC8"/>
    <w:rsid w:val="0092461E"/>
    <w:rsid w:val="00926252"/>
    <w:rsid w:val="00930004"/>
    <w:rsid w:val="00935672"/>
    <w:rsid w:val="0093571B"/>
    <w:rsid w:val="00935B70"/>
    <w:rsid w:val="00941AC5"/>
    <w:rsid w:val="00943F42"/>
    <w:rsid w:val="00952D65"/>
    <w:rsid w:val="00953367"/>
    <w:rsid w:val="009561A0"/>
    <w:rsid w:val="00956849"/>
    <w:rsid w:val="00957592"/>
    <w:rsid w:val="009576B7"/>
    <w:rsid w:val="00957E94"/>
    <w:rsid w:val="009602A0"/>
    <w:rsid w:val="00961FE6"/>
    <w:rsid w:val="009623FB"/>
    <w:rsid w:val="00962D22"/>
    <w:rsid w:val="00963B68"/>
    <w:rsid w:val="0097003B"/>
    <w:rsid w:val="00973867"/>
    <w:rsid w:val="00977DD7"/>
    <w:rsid w:val="00981388"/>
    <w:rsid w:val="0098229D"/>
    <w:rsid w:val="00982340"/>
    <w:rsid w:val="00982609"/>
    <w:rsid w:val="009837A7"/>
    <w:rsid w:val="00984469"/>
    <w:rsid w:val="009857F4"/>
    <w:rsid w:val="009873ED"/>
    <w:rsid w:val="009949D7"/>
    <w:rsid w:val="00994F47"/>
    <w:rsid w:val="009974EF"/>
    <w:rsid w:val="009A5514"/>
    <w:rsid w:val="009A5AA7"/>
    <w:rsid w:val="009A66E4"/>
    <w:rsid w:val="009A690F"/>
    <w:rsid w:val="009B334E"/>
    <w:rsid w:val="009B6465"/>
    <w:rsid w:val="009C1110"/>
    <w:rsid w:val="009C162F"/>
    <w:rsid w:val="009C249E"/>
    <w:rsid w:val="009C3461"/>
    <w:rsid w:val="009C3E3F"/>
    <w:rsid w:val="009C43D9"/>
    <w:rsid w:val="009C53E9"/>
    <w:rsid w:val="009C581B"/>
    <w:rsid w:val="009D1DFC"/>
    <w:rsid w:val="009D2448"/>
    <w:rsid w:val="009D4AC1"/>
    <w:rsid w:val="009D50D3"/>
    <w:rsid w:val="009E101D"/>
    <w:rsid w:val="009E2830"/>
    <w:rsid w:val="009E58A7"/>
    <w:rsid w:val="009E65C4"/>
    <w:rsid w:val="009F061C"/>
    <w:rsid w:val="00A00124"/>
    <w:rsid w:val="00A0081F"/>
    <w:rsid w:val="00A02FFB"/>
    <w:rsid w:val="00A10E89"/>
    <w:rsid w:val="00A114BC"/>
    <w:rsid w:val="00A13A79"/>
    <w:rsid w:val="00A17A01"/>
    <w:rsid w:val="00A2436A"/>
    <w:rsid w:val="00A24B1F"/>
    <w:rsid w:val="00A252F3"/>
    <w:rsid w:val="00A2597B"/>
    <w:rsid w:val="00A2794B"/>
    <w:rsid w:val="00A3094D"/>
    <w:rsid w:val="00A352F1"/>
    <w:rsid w:val="00A35477"/>
    <w:rsid w:val="00A400F7"/>
    <w:rsid w:val="00A40519"/>
    <w:rsid w:val="00A42DF8"/>
    <w:rsid w:val="00A47184"/>
    <w:rsid w:val="00A52203"/>
    <w:rsid w:val="00A54881"/>
    <w:rsid w:val="00A619FC"/>
    <w:rsid w:val="00A7169C"/>
    <w:rsid w:val="00A83D09"/>
    <w:rsid w:val="00A91F47"/>
    <w:rsid w:val="00AA0895"/>
    <w:rsid w:val="00AA0FFB"/>
    <w:rsid w:val="00AA2831"/>
    <w:rsid w:val="00AA3ECA"/>
    <w:rsid w:val="00AA4472"/>
    <w:rsid w:val="00AA6861"/>
    <w:rsid w:val="00AA72D4"/>
    <w:rsid w:val="00AB40A8"/>
    <w:rsid w:val="00AB5AF8"/>
    <w:rsid w:val="00AC0169"/>
    <w:rsid w:val="00AC091A"/>
    <w:rsid w:val="00AC1682"/>
    <w:rsid w:val="00AD19CF"/>
    <w:rsid w:val="00AD2CB1"/>
    <w:rsid w:val="00AD30DC"/>
    <w:rsid w:val="00AD4618"/>
    <w:rsid w:val="00AD54FE"/>
    <w:rsid w:val="00AE2854"/>
    <w:rsid w:val="00AE4B43"/>
    <w:rsid w:val="00AE4FD4"/>
    <w:rsid w:val="00AE61C7"/>
    <w:rsid w:val="00AF0533"/>
    <w:rsid w:val="00AF0A5E"/>
    <w:rsid w:val="00AF0A6D"/>
    <w:rsid w:val="00AF26DD"/>
    <w:rsid w:val="00AF3406"/>
    <w:rsid w:val="00AF6E90"/>
    <w:rsid w:val="00AF7979"/>
    <w:rsid w:val="00B0067C"/>
    <w:rsid w:val="00B0199A"/>
    <w:rsid w:val="00B02B60"/>
    <w:rsid w:val="00B02F97"/>
    <w:rsid w:val="00B10B72"/>
    <w:rsid w:val="00B14F7A"/>
    <w:rsid w:val="00B16C36"/>
    <w:rsid w:val="00B17AAF"/>
    <w:rsid w:val="00B206D4"/>
    <w:rsid w:val="00B22532"/>
    <w:rsid w:val="00B22FFF"/>
    <w:rsid w:val="00B2455C"/>
    <w:rsid w:val="00B26295"/>
    <w:rsid w:val="00B272EA"/>
    <w:rsid w:val="00B27CF9"/>
    <w:rsid w:val="00B31B28"/>
    <w:rsid w:val="00B37250"/>
    <w:rsid w:val="00B407C3"/>
    <w:rsid w:val="00B41571"/>
    <w:rsid w:val="00B43B73"/>
    <w:rsid w:val="00B45AC5"/>
    <w:rsid w:val="00B46140"/>
    <w:rsid w:val="00B462A9"/>
    <w:rsid w:val="00B47F88"/>
    <w:rsid w:val="00B504A6"/>
    <w:rsid w:val="00B5121B"/>
    <w:rsid w:val="00B52ACD"/>
    <w:rsid w:val="00B55644"/>
    <w:rsid w:val="00B55D46"/>
    <w:rsid w:val="00B659FA"/>
    <w:rsid w:val="00B6716D"/>
    <w:rsid w:val="00B72006"/>
    <w:rsid w:val="00B77107"/>
    <w:rsid w:val="00B804C4"/>
    <w:rsid w:val="00B80875"/>
    <w:rsid w:val="00B80E0D"/>
    <w:rsid w:val="00B80E88"/>
    <w:rsid w:val="00B81394"/>
    <w:rsid w:val="00B82DD6"/>
    <w:rsid w:val="00B831F2"/>
    <w:rsid w:val="00B86447"/>
    <w:rsid w:val="00B90756"/>
    <w:rsid w:val="00B93BFD"/>
    <w:rsid w:val="00BA294A"/>
    <w:rsid w:val="00BA49D0"/>
    <w:rsid w:val="00BB2826"/>
    <w:rsid w:val="00BB30AE"/>
    <w:rsid w:val="00BB317D"/>
    <w:rsid w:val="00BB7172"/>
    <w:rsid w:val="00BB7898"/>
    <w:rsid w:val="00BC0DF8"/>
    <w:rsid w:val="00BC1E83"/>
    <w:rsid w:val="00BC3205"/>
    <w:rsid w:val="00BC59DE"/>
    <w:rsid w:val="00BD03BC"/>
    <w:rsid w:val="00BD041C"/>
    <w:rsid w:val="00BD0A30"/>
    <w:rsid w:val="00BD280D"/>
    <w:rsid w:val="00BD5280"/>
    <w:rsid w:val="00BD7C94"/>
    <w:rsid w:val="00BE16FB"/>
    <w:rsid w:val="00BE193E"/>
    <w:rsid w:val="00BE4E0C"/>
    <w:rsid w:val="00BE70F1"/>
    <w:rsid w:val="00BE7E75"/>
    <w:rsid w:val="00BF3466"/>
    <w:rsid w:val="00BF53C2"/>
    <w:rsid w:val="00BF6714"/>
    <w:rsid w:val="00C00590"/>
    <w:rsid w:val="00C01ADB"/>
    <w:rsid w:val="00C0213C"/>
    <w:rsid w:val="00C06257"/>
    <w:rsid w:val="00C0710C"/>
    <w:rsid w:val="00C10BBD"/>
    <w:rsid w:val="00C1187E"/>
    <w:rsid w:val="00C12C0D"/>
    <w:rsid w:val="00C13EBF"/>
    <w:rsid w:val="00C20330"/>
    <w:rsid w:val="00C20E89"/>
    <w:rsid w:val="00C23A2C"/>
    <w:rsid w:val="00C26959"/>
    <w:rsid w:val="00C31F51"/>
    <w:rsid w:val="00C31FC6"/>
    <w:rsid w:val="00C32A7A"/>
    <w:rsid w:val="00C32CD0"/>
    <w:rsid w:val="00C34BA7"/>
    <w:rsid w:val="00C34C66"/>
    <w:rsid w:val="00C3546B"/>
    <w:rsid w:val="00C37660"/>
    <w:rsid w:val="00C376C5"/>
    <w:rsid w:val="00C47565"/>
    <w:rsid w:val="00C52B19"/>
    <w:rsid w:val="00C57773"/>
    <w:rsid w:val="00C57D5E"/>
    <w:rsid w:val="00C60AD7"/>
    <w:rsid w:val="00C624E0"/>
    <w:rsid w:val="00C635E6"/>
    <w:rsid w:val="00C63B11"/>
    <w:rsid w:val="00C65911"/>
    <w:rsid w:val="00C708F8"/>
    <w:rsid w:val="00C72792"/>
    <w:rsid w:val="00C7540D"/>
    <w:rsid w:val="00C75A96"/>
    <w:rsid w:val="00C766BF"/>
    <w:rsid w:val="00C771B8"/>
    <w:rsid w:val="00C80FFA"/>
    <w:rsid w:val="00C8165B"/>
    <w:rsid w:val="00C84960"/>
    <w:rsid w:val="00C85E4B"/>
    <w:rsid w:val="00C86DDE"/>
    <w:rsid w:val="00C87F36"/>
    <w:rsid w:val="00C909A7"/>
    <w:rsid w:val="00C913A5"/>
    <w:rsid w:val="00C9204D"/>
    <w:rsid w:val="00C94385"/>
    <w:rsid w:val="00C95BFC"/>
    <w:rsid w:val="00C960AE"/>
    <w:rsid w:val="00C96E58"/>
    <w:rsid w:val="00C97978"/>
    <w:rsid w:val="00CA0766"/>
    <w:rsid w:val="00CA6627"/>
    <w:rsid w:val="00CA7DED"/>
    <w:rsid w:val="00CB06B0"/>
    <w:rsid w:val="00CB1AC1"/>
    <w:rsid w:val="00CB1F44"/>
    <w:rsid w:val="00CB2D9F"/>
    <w:rsid w:val="00CB3710"/>
    <w:rsid w:val="00CB4CE7"/>
    <w:rsid w:val="00CB75BD"/>
    <w:rsid w:val="00CC3923"/>
    <w:rsid w:val="00CC74C9"/>
    <w:rsid w:val="00CD42BB"/>
    <w:rsid w:val="00CD4C12"/>
    <w:rsid w:val="00CE08D1"/>
    <w:rsid w:val="00CE4CB4"/>
    <w:rsid w:val="00CE5B56"/>
    <w:rsid w:val="00CE6DA4"/>
    <w:rsid w:val="00CF04B2"/>
    <w:rsid w:val="00CF07E2"/>
    <w:rsid w:val="00CF1FAB"/>
    <w:rsid w:val="00CF24BF"/>
    <w:rsid w:val="00CF6DAE"/>
    <w:rsid w:val="00CF7386"/>
    <w:rsid w:val="00D010B1"/>
    <w:rsid w:val="00D041B4"/>
    <w:rsid w:val="00D045D8"/>
    <w:rsid w:val="00D10F9A"/>
    <w:rsid w:val="00D1444F"/>
    <w:rsid w:val="00D16881"/>
    <w:rsid w:val="00D20BE6"/>
    <w:rsid w:val="00D23F18"/>
    <w:rsid w:val="00D265AD"/>
    <w:rsid w:val="00D26EA5"/>
    <w:rsid w:val="00D27CB9"/>
    <w:rsid w:val="00D27D2D"/>
    <w:rsid w:val="00D3002A"/>
    <w:rsid w:val="00D316C7"/>
    <w:rsid w:val="00D369E7"/>
    <w:rsid w:val="00D40B90"/>
    <w:rsid w:val="00D426CB"/>
    <w:rsid w:val="00D428FF"/>
    <w:rsid w:val="00D43AA0"/>
    <w:rsid w:val="00D447FA"/>
    <w:rsid w:val="00D46C47"/>
    <w:rsid w:val="00D568E0"/>
    <w:rsid w:val="00D618C8"/>
    <w:rsid w:val="00D62B87"/>
    <w:rsid w:val="00D63968"/>
    <w:rsid w:val="00D66D15"/>
    <w:rsid w:val="00D70EE0"/>
    <w:rsid w:val="00D71D8D"/>
    <w:rsid w:val="00D731BB"/>
    <w:rsid w:val="00D746B2"/>
    <w:rsid w:val="00D76AE4"/>
    <w:rsid w:val="00D77614"/>
    <w:rsid w:val="00D80026"/>
    <w:rsid w:val="00D80056"/>
    <w:rsid w:val="00D8103B"/>
    <w:rsid w:val="00D82C89"/>
    <w:rsid w:val="00D8393D"/>
    <w:rsid w:val="00D923F0"/>
    <w:rsid w:val="00D93CDF"/>
    <w:rsid w:val="00D97988"/>
    <w:rsid w:val="00DB2D63"/>
    <w:rsid w:val="00DB6B61"/>
    <w:rsid w:val="00DC00A9"/>
    <w:rsid w:val="00DC13B5"/>
    <w:rsid w:val="00DC15F6"/>
    <w:rsid w:val="00DC2E62"/>
    <w:rsid w:val="00DC34DA"/>
    <w:rsid w:val="00DC7F0D"/>
    <w:rsid w:val="00DD346F"/>
    <w:rsid w:val="00DD39E1"/>
    <w:rsid w:val="00DD740F"/>
    <w:rsid w:val="00DE41A3"/>
    <w:rsid w:val="00DE6002"/>
    <w:rsid w:val="00DE7B4B"/>
    <w:rsid w:val="00DF3F98"/>
    <w:rsid w:val="00DF68FD"/>
    <w:rsid w:val="00E0054D"/>
    <w:rsid w:val="00E00686"/>
    <w:rsid w:val="00E03B7F"/>
    <w:rsid w:val="00E04AF9"/>
    <w:rsid w:val="00E062CC"/>
    <w:rsid w:val="00E07583"/>
    <w:rsid w:val="00E110C4"/>
    <w:rsid w:val="00E11C11"/>
    <w:rsid w:val="00E12228"/>
    <w:rsid w:val="00E1379D"/>
    <w:rsid w:val="00E1734D"/>
    <w:rsid w:val="00E20B43"/>
    <w:rsid w:val="00E20E8B"/>
    <w:rsid w:val="00E23502"/>
    <w:rsid w:val="00E24901"/>
    <w:rsid w:val="00E25926"/>
    <w:rsid w:val="00E25BF4"/>
    <w:rsid w:val="00E27AE9"/>
    <w:rsid w:val="00E3407E"/>
    <w:rsid w:val="00E35975"/>
    <w:rsid w:val="00E41161"/>
    <w:rsid w:val="00E46A34"/>
    <w:rsid w:val="00E47A22"/>
    <w:rsid w:val="00E5124A"/>
    <w:rsid w:val="00E52072"/>
    <w:rsid w:val="00E52A4E"/>
    <w:rsid w:val="00E52B60"/>
    <w:rsid w:val="00E5639E"/>
    <w:rsid w:val="00E56AE5"/>
    <w:rsid w:val="00E6253F"/>
    <w:rsid w:val="00E6266E"/>
    <w:rsid w:val="00E627C9"/>
    <w:rsid w:val="00E65B24"/>
    <w:rsid w:val="00E70DBC"/>
    <w:rsid w:val="00E72624"/>
    <w:rsid w:val="00E72C3E"/>
    <w:rsid w:val="00E81727"/>
    <w:rsid w:val="00E81D30"/>
    <w:rsid w:val="00E82B4E"/>
    <w:rsid w:val="00E82FF8"/>
    <w:rsid w:val="00E85C4E"/>
    <w:rsid w:val="00E9364F"/>
    <w:rsid w:val="00E93B6C"/>
    <w:rsid w:val="00E95E28"/>
    <w:rsid w:val="00EA1DE4"/>
    <w:rsid w:val="00EA6C03"/>
    <w:rsid w:val="00EB2E5B"/>
    <w:rsid w:val="00EB4135"/>
    <w:rsid w:val="00EB49B5"/>
    <w:rsid w:val="00EB635B"/>
    <w:rsid w:val="00EB6A29"/>
    <w:rsid w:val="00EC1EBB"/>
    <w:rsid w:val="00EC2F9A"/>
    <w:rsid w:val="00EC32D1"/>
    <w:rsid w:val="00EC3A02"/>
    <w:rsid w:val="00EC7D96"/>
    <w:rsid w:val="00ED2950"/>
    <w:rsid w:val="00ED432B"/>
    <w:rsid w:val="00ED6F0C"/>
    <w:rsid w:val="00EE1A2F"/>
    <w:rsid w:val="00EE4F0A"/>
    <w:rsid w:val="00EF1462"/>
    <w:rsid w:val="00EF2195"/>
    <w:rsid w:val="00EF27B6"/>
    <w:rsid w:val="00EF4314"/>
    <w:rsid w:val="00F00EF6"/>
    <w:rsid w:val="00F05CFC"/>
    <w:rsid w:val="00F06EB8"/>
    <w:rsid w:val="00F07028"/>
    <w:rsid w:val="00F10197"/>
    <w:rsid w:val="00F10E2A"/>
    <w:rsid w:val="00F1195D"/>
    <w:rsid w:val="00F14393"/>
    <w:rsid w:val="00F155E2"/>
    <w:rsid w:val="00F17FB1"/>
    <w:rsid w:val="00F2173C"/>
    <w:rsid w:val="00F27BE0"/>
    <w:rsid w:val="00F36D1C"/>
    <w:rsid w:val="00F4059E"/>
    <w:rsid w:val="00F4180E"/>
    <w:rsid w:val="00F438CA"/>
    <w:rsid w:val="00F44279"/>
    <w:rsid w:val="00F4462D"/>
    <w:rsid w:val="00F45856"/>
    <w:rsid w:val="00F53834"/>
    <w:rsid w:val="00F53F37"/>
    <w:rsid w:val="00F56151"/>
    <w:rsid w:val="00F62525"/>
    <w:rsid w:val="00F63AAB"/>
    <w:rsid w:val="00F63DF7"/>
    <w:rsid w:val="00F63EF4"/>
    <w:rsid w:val="00F64576"/>
    <w:rsid w:val="00F662A5"/>
    <w:rsid w:val="00F6687A"/>
    <w:rsid w:val="00F73FDC"/>
    <w:rsid w:val="00F815A2"/>
    <w:rsid w:val="00F8218F"/>
    <w:rsid w:val="00F82DE8"/>
    <w:rsid w:val="00F84E2F"/>
    <w:rsid w:val="00F86016"/>
    <w:rsid w:val="00F87226"/>
    <w:rsid w:val="00F94024"/>
    <w:rsid w:val="00F95AEC"/>
    <w:rsid w:val="00F967C6"/>
    <w:rsid w:val="00FA002E"/>
    <w:rsid w:val="00FA358E"/>
    <w:rsid w:val="00FA3BDF"/>
    <w:rsid w:val="00FA4D58"/>
    <w:rsid w:val="00FA6C06"/>
    <w:rsid w:val="00FA7348"/>
    <w:rsid w:val="00FB03FA"/>
    <w:rsid w:val="00FB3BBD"/>
    <w:rsid w:val="00FC69CB"/>
    <w:rsid w:val="00FC6BEF"/>
    <w:rsid w:val="00FC6E17"/>
    <w:rsid w:val="00FC7624"/>
    <w:rsid w:val="00FC7994"/>
    <w:rsid w:val="00FD0E6C"/>
    <w:rsid w:val="00FD192F"/>
    <w:rsid w:val="00FD30D9"/>
    <w:rsid w:val="00FD3683"/>
    <w:rsid w:val="00FD37E4"/>
    <w:rsid w:val="00FD3B93"/>
    <w:rsid w:val="00FD7322"/>
    <w:rsid w:val="00FD791F"/>
    <w:rsid w:val="00FE5B9E"/>
    <w:rsid w:val="00FF1A76"/>
    <w:rsid w:val="00FF3ADC"/>
    <w:rsid w:val="00FF544F"/>
    <w:rsid w:val="00FF5479"/>
    <w:rsid w:val="00FF63D2"/>
    <w:rsid w:val="00FF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0D4"/>
    <w:pPr>
      <w:ind w:left="720"/>
      <w:contextualSpacing/>
    </w:pPr>
  </w:style>
  <w:style w:type="paragraph" w:styleId="FootnoteText">
    <w:name w:val="footnote text"/>
    <w:basedOn w:val="Normal"/>
    <w:link w:val="FootnoteTextChar"/>
    <w:uiPriority w:val="99"/>
    <w:semiHidden/>
    <w:unhideWhenUsed/>
    <w:rsid w:val="00D30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02A"/>
    <w:rPr>
      <w:sz w:val="20"/>
      <w:szCs w:val="20"/>
    </w:rPr>
  </w:style>
  <w:style w:type="character" w:styleId="FootnoteReference">
    <w:name w:val="footnote reference"/>
    <w:basedOn w:val="DefaultParagraphFont"/>
    <w:uiPriority w:val="99"/>
    <w:semiHidden/>
    <w:unhideWhenUsed/>
    <w:rsid w:val="00D3002A"/>
    <w:rPr>
      <w:vertAlign w:val="superscript"/>
    </w:rPr>
  </w:style>
  <w:style w:type="paragraph" w:styleId="BalloonText">
    <w:name w:val="Balloon Text"/>
    <w:basedOn w:val="Normal"/>
    <w:link w:val="BalloonTextChar"/>
    <w:uiPriority w:val="99"/>
    <w:semiHidden/>
    <w:unhideWhenUsed/>
    <w:rsid w:val="00D30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02A"/>
    <w:rPr>
      <w:rFonts w:ascii="Tahoma" w:hAnsi="Tahoma" w:cs="Tahoma"/>
      <w:sz w:val="16"/>
      <w:szCs w:val="16"/>
    </w:rPr>
  </w:style>
  <w:style w:type="paragraph" w:customStyle="1" w:styleId="naisf">
    <w:name w:val="naisf"/>
    <w:basedOn w:val="Normal"/>
    <w:rsid w:val="005B3B9D"/>
    <w:pPr>
      <w:spacing w:before="100" w:beforeAutospacing="1" w:after="100" w:afterAutospacing="1" w:line="240" w:lineRule="auto"/>
      <w:jc w:val="both"/>
    </w:pPr>
    <w:rPr>
      <w:rFonts w:ascii="Arial Unicode MS" w:eastAsia="Arial Unicode MS" w:hAnsi="Arial Unicode MS" w:cs="Arial Unicode MS"/>
      <w:szCs w:val="24"/>
      <w:lang w:val="en-GB"/>
    </w:rPr>
  </w:style>
  <w:style w:type="paragraph" w:styleId="Header">
    <w:name w:val="header"/>
    <w:basedOn w:val="Normal"/>
    <w:link w:val="HeaderChar"/>
    <w:uiPriority w:val="99"/>
    <w:unhideWhenUsed/>
    <w:rsid w:val="004301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01D2"/>
  </w:style>
  <w:style w:type="paragraph" w:styleId="Footer">
    <w:name w:val="footer"/>
    <w:basedOn w:val="Normal"/>
    <w:link w:val="FooterChar"/>
    <w:unhideWhenUsed/>
    <w:rsid w:val="004301D2"/>
    <w:pPr>
      <w:tabs>
        <w:tab w:val="center" w:pos="4153"/>
        <w:tab w:val="right" w:pos="8306"/>
      </w:tabs>
      <w:spacing w:after="0" w:line="240" w:lineRule="auto"/>
    </w:pPr>
  </w:style>
  <w:style w:type="character" w:customStyle="1" w:styleId="FooterChar">
    <w:name w:val="Footer Char"/>
    <w:basedOn w:val="DefaultParagraphFont"/>
    <w:link w:val="Footer"/>
    <w:rsid w:val="004301D2"/>
  </w:style>
  <w:style w:type="table" w:styleId="TableGrid">
    <w:name w:val="Table Grid"/>
    <w:basedOn w:val="TableNormal"/>
    <w:uiPriority w:val="59"/>
    <w:rsid w:val="004452D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B5AF8"/>
    <w:rPr>
      <w:color w:val="0000FF"/>
      <w:u w:val="single"/>
    </w:rPr>
  </w:style>
  <w:style w:type="character" w:styleId="CommentReference">
    <w:name w:val="annotation reference"/>
    <w:basedOn w:val="DefaultParagraphFont"/>
    <w:uiPriority w:val="99"/>
    <w:semiHidden/>
    <w:unhideWhenUsed/>
    <w:rsid w:val="004E0D10"/>
    <w:rPr>
      <w:sz w:val="16"/>
      <w:szCs w:val="16"/>
    </w:rPr>
  </w:style>
  <w:style w:type="paragraph" w:styleId="CommentText">
    <w:name w:val="annotation text"/>
    <w:basedOn w:val="Normal"/>
    <w:link w:val="CommentTextChar"/>
    <w:uiPriority w:val="99"/>
    <w:semiHidden/>
    <w:unhideWhenUsed/>
    <w:rsid w:val="004E0D10"/>
    <w:pPr>
      <w:spacing w:line="240" w:lineRule="auto"/>
    </w:pPr>
    <w:rPr>
      <w:sz w:val="20"/>
      <w:szCs w:val="20"/>
    </w:rPr>
  </w:style>
  <w:style w:type="character" w:customStyle="1" w:styleId="CommentTextChar">
    <w:name w:val="Comment Text Char"/>
    <w:basedOn w:val="DefaultParagraphFont"/>
    <w:link w:val="CommentText"/>
    <w:uiPriority w:val="99"/>
    <w:semiHidden/>
    <w:rsid w:val="004E0D10"/>
    <w:rPr>
      <w:sz w:val="20"/>
      <w:szCs w:val="20"/>
    </w:rPr>
  </w:style>
  <w:style w:type="paragraph" w:styleId="CommentSubject">
    <w:name w:val="annotation subject"/>
    <w:basedOn w:val="CommentText"/>
    <w:next w:val="CommentText"/>
    <w:link w:val="CommentSubjectChar"/>
    <w:uiPriority w:val="99"/>
    <w:semiHidden/>
    <w:unhideWhenUsed/>
    <w:rsid w:val="004E0D10"/>
    <w:rPr>
      <w:b/>
      <w:bCs/>
    </w:rPr>
  </w:style>
  <w:style w:type="character" w:customStyle="1" w:styleId="CommentSubjectChar">
    <w:name w:val="Comment Subject Char"/>
    <w:basedOn w:val="CommentTextChar"/>
    <w:link w:val="CommentSubject"/>
    <w:uiPriority w:val="99"/>
    <w:semiHidden/>
    <w:rsid w:val="004E0D10"/>
    <w:rPr>
      <w:b/>
      <w:bCs/>
      <w:sz w:val="20"/>
      <w:szCs w:val="20"/>
    </w:rPr>
  </w:style>
  <w:style w:type="paragraph" w:customStyle="1" w:styleId="9pirmstab3">
    <w:name w:val="9_pirms_tab_3"/>
    <w:basedOn w:val="Normal"/>
    <w:rsid w:val="00613822"/>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line="240" w:lineRule="auto"/>
      <w:jc w:val="center"/>
    </w:pPr>
    <w:rPr>
      <w:rFonts w:eastAsia="Times New Roman" w:cs="Times New Roman"/>
      <w:color w:val="000000"/>
      <w:sz w:val="18"/>
      <w:szCs w:val="20"/>
    </w:rPr>
  </w:style>
  <w:style w:type="table" w:styleId="LightGrid-Accent1">
    <w:name w:val="Light Grid Accent 1"/>
    <w:basedOn w:val="TableNormal"/>
    <w:uiPriority w:val="62"/>
    <w:rsid w:val="00653C72"/>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653C72"/>
    <w:pPr>
      <w:spacing w:after="0" w:line="240" w:lineRule="auto"/>
    </w:pPr>
    <w:rPr>
      <w:rFonts w:asciiTheme="minorHAnsi" w:hAnsiTheme="minorHAnsi"/>
      <w:sz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C60AD7"/>
    <w:pPr>
      <w:spacing w:before="100" w:beforeAutospacing="1" w:after="100" w:afterAutospacing="1" w:line="240" w:lineRule="auto"/>
    </w:pPr>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0D4"/>
    <w:pPr>
      <w:ind w:left="720"/>
      <w:contextualSpacing/>
    </w:pPr>
  </w:style>
  <w:style w:type="paragraph" w:styleId="FootnoteText">
    <w:name w:val="footnote text"/>
    <w:basedOn w:val="Normal"/>
    <w:link w:val="FootnoteTextChar"/>
    <w:uiPriority w:val="99"/>
    <w:semiHidden/>
    <w:unhideWhenUsed/>
    <w:rsid w:val="00D30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02A"/>
    <w:rPr>
      <w:sz w:val="20"/>
      <w:szCs w:val="20"/>
    </w:rPr>
  </w:style>
  <w:style w:type="character" w:styleId="FootnoteReference">
    <w:name w:val="footnote reference"/>
    <w:basedOn w:val="DefaultParagraphFont"/>
    <w:uiPriority w:val="99"/>
    <w:semiHidden/>
    <w:unhideWhenUsed/>
    <w:rsid w:val="00D3002A"/>
    <w:rPr>
      <w:vertAlign w:val="superscript"/>
    </w:rPr>
  </w:style>
  <w:style w:type="paragraph" w:styleId="BalloonText">
    <w:name w:val="Balloon Text"/>
    <w:basedOn w:val="Normal"/>
    <w:link w:val="BalloonTextChar"/>
    <w:uiPriority w:val="99"/>
    <w:semiHidden/>
    <w:unhideWhenUsed/>
    <w:rsid w:val="00D30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02A"/>
    <w:rPr>
      <w:rFonts w:ascii="Tahoma" w:hAnsi="Tahoma" w:cs="Tahoma"/>
      <w:sz w:val="16"/>
      <w:szCs w:val="16"/>
    </w:rPr>
  </w:style>
  <w:style w:type="paragraph" w:customStyle="1" w:styleId="naisf">
    <w:name w:val="naisf"/>
    <w:basedOn w:val="Normal"/>
    <w:rsid w:val="005B3B9D"/>
    <w:pPr>
      <w:spacing w:before="100" w:beforeAutospacing="1" w:after="100" w:afterAutospacing="1" w:line="240" w:lineRule="auto"/>
      <w:jc w:val="both"/>
    </w:pPr>
    <w:rPr>
      <w:rFonts w:ascii="Arial Unicode MS" w:eastAsia="Arial Unicode MS" w:hAnsi="Arial Unicode MS" w:cs="Arial Unicode MS"/>
      <w:szCs w:val="24"/>
      <w:lang w:val="en-GB"/>
    </w:rPr>
  </w:style>
  <w:style w:type="paragraph" w:styleId="Header">
    <w:name w:val="header"/>
    <w:basedOn w:val="Normal"/>
    <w:link w:val="HeaderChar"/>
    <w:uiPriority w:val="99"/>
    <w:unhideWhenUsed/>
    <w:rsid w:val="004301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01D2"/>
  </w:style>
  <w:style w:type="paragraph" w:styleId="Footer">
    <w:name w:val="footer"/>
    <w:basedOn w:val="Normal"/>
    <w:link w:val="FooterChar"/>
    <w:unhideWhenUsed/>
    <w:rsid w:val="004301D2"/>
    <w:pPr>
      <w:tabs>
        <w:tab w:val="center" w:pos="4153"/>
        <w:tab w:val="right" w:pos="8306"/>
      </w:tabs>
      <w:spacing w:after="0" w:line="240" w:lineRule="auto"/>
    </w:pPr>
  </w:style>
  <w:style w:type="character" w:customStyle="1" w:styleId="FooterChar">
    <w:name w:val="Footer Char"/>
    <w:basedOn w:val="DefaultParagraphFont"/>
    <w:link w:val="Footer"/>
    <w:rsid w:val="004301D2"/>
  </w:style>
  <w:style w:type="table" w:styleId="TableGrid">
    <w:name w:val="Table Grid"/>
    <w:basedOn w:val="TableNormal"/>
    <w:uiPriority w:val="59"/>
    <w:rsid w:val="004452D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B5AF8"/>
    <w:rPr>
      <w:color w:val="0000FF"/>
      <w:u w:val="single"/>
    </w:rPr>
  </w:style>
  <w:style w:type="character" w:styleId="CommentReference">
    <w:name w:val="annotation reference"/>
    <w:basedOn w:val="DefaultParagraphFont"/>
    <w:uiPriority w:val="99"/>
    <w:semiHidden/>
    <w:unhideWhenUsed/>
    <w:rsid w:val="004E0D10"/>
    <w:rPr>
      <w:sz w:val="16"/>
      <w:szCs w:val="16"/>
    </w:rPr>
  </w:style>
  <w:style w:type="paragraph" w:styleId="CommentText">
    <w:name w:val="annotation text"/>
    <w:basedOn w:val="Normal"/>
    <w:link w:val="CommentTextChar"/>
    <w:uiPriority w:val="99"/>
    <w:semiHidden/>
    <w:unhideWhenUsed/>
    <w:rsid w:val="004E0D10"/>
    <w:pPr>
      <w:spacing w:line="240" w:lineRule="auto"/>
    </w:pPr>
    <w:rPr>
      <w:sz w:val="20"/>
      <w:szCs w:val="20"/>
    </w:rPr>
  </w:style>
  <w:style w:type="character" w:customStyle="1" w:styleId="CommentTextChar">
    <w:name w:val="Comment Text Char"/>
    <w:basedOn w:val="DefaultParagraphFont"/>
    <w:link w:val="CommentText"/>
    <w:uiPriority w:val="99"/>
    <w:semiHidden/>
    <w:rsid w:val="004E0D10"/>
    <w:rPr>
      <w:sz w:val="20"/>
      <w:szCs w:val="20"/>
    </w:rPr>
  </w:style>
  <w:style w:type="paragraph" w:styleId="CommentSubject">
    <w:name w:val="annotation subject"/>
    <w:basedOn w:val="CommentText"/>
    <w:next w:val="CommentText"/>
    <w:link w:val="CommentSubjectChar"/>
    <w:uiPriority w:val="99"/>
    <w:semiHidden/>
    <w:unhideWhenUsed/>
    <w:rsid w:val="004E0D10"/>
    <w:rPr>
      <w:b/>
      <w:bCs/>
    </w:rPr>
  </w:style>
  <w:style w:type="character" w:customStyle="1" w:styleId="CommentSubjectChar">
    <w:name w:val="Comment Subject Char"/>
    <w:basedOn w:val="CommentTextChar"/>
    <w:link w:val="CommentSubject"/>
    <w:uiPriority w:val="99"/>
    <w:semiHidden/>
    <w:rsid w:val="004E0D10"/>
    <w:rPr>
      <w:b/>
      <w:bCs/>
      <w:sz w:val="20"/>
      <w:szCs w:val="20"/>
    </w:rPr>
  </w:style>
  <w:style w:type="paragraph" w:customStyle="1" w:styleId="9pirmstab3">
    <w:name w:val="9_pirms_tab_3"/>
    <w:basedOn w:val="Normal"/>
    <w:rsid w:val="00613822"/>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line="240" w:lineRule="auto"/>
      <w:jc w:val="center"/>
    </w:pPr>
    <w:rPr>
      <w:rFonts w:eastAsia="Times New Roman" w:cs="Times New Roman"/>
      <w:color w:val="000000"/>
      <w:sz w:val="18"/>
      <w:szCs w:val="20"/>
    </w:rPr>
  </w:style>
  <w:style w:type="table" w:styleId="LightGrid-Accent1">
    <w:name w:val="Light Grid Accent 1"/>
    <w:basedOn w:val="TableNormal"/>
    <w:uiPriority w:val="62"/>
    <w:rsid w:val="00653C72"/>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653C72"/>
    <w:pPr>
      <w:spacing w:after="0" w:line="240" w:lineRule="auto"/>
    </w:pPr>
    <w:rPr>
      <w:rFonts w:asciiTheme="minorHAnsi" w:hAnsiTheme="minorHAnsi"/>
      <w:sz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C60AD7"/>
    <w:pPr>
      <w:spacing w:before="100" w:beforeAutospacing="1" w:after="100" w:afterAutospacing="1"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417">
      <w:bodyDiv w:val="1"/>
      <w:marLeft w:val="0"/>
      <w:marRight w:val="0"/>
      <w:marTop w:val="0"/>
      <w:marBottom w:val="0"/>
      <w:divBdr>
        <w:top w:val="none" w:sz="0" w:space="0" w:color="auto"/>
        <w:left w:val="none" w:sz="0" w:space="0" w:color="auto"/>
        <w:bottom w:val="none" w:sz="0" w:space="0" w:color="auto"/>
        <w:right w:val="none" w:sz="0" w:space="0" w:color="auto"/>
      </w:divBdr>
    </w:div>
    <w:div w:id="98380251">
      <w:bodyDiv w:val="1"/>
      <w:marLeft w:val="0"/>
      <w:marRight w:val="0"/>
      <w:marTop w:val="0"/>
      <w:marBottom w:val="0"/>
      <w:divBdr>
        <w:top w:val="none" w:sz="0" w:space="0" w:color="auto"/>
        <w:left w:val="none" w:sz="0" w:space="0" w:color="auto"/>
        <w:bottom w:val="none" w:sz="0" w:space="0" w:color="auto"/>
        <w:right w:val="none" w:sz="0" w:space="0" w:color="auto"/>
      </w:divBdr>
    </w:div>
    <w:div w:id="450827032">
      <w:bodyDiv w:val="1"/>
      <w:marLeft w:val="0"/>
      <w:marRight w:val="0"/>
      <w:marTop w:val="0"/>
      <w:marBottom w:val="0"/>
      <w:divBdr>
        <w:top w:val="none" w:sz="0" w:space="0" w:color="auto"/>
        <w:left w:val="none" w:sz="0" w:space="0" w:color="auto"/>
        <w:bottom w:val="none" w:sz="0" w:space="0" w:color="auto"/>
        <w:right w:val="none" w:sz="0" w:space="0" w:color="auto"/>
      </w:divBdr>
    </w:div>
    <w:div w:id="527833624">
      <w:bodyDiv w:val="1"/>
      <w:marLeft w:val="0"/>
      <w:marRight w:val="0"/>
      <w:marTop w:val="0"/>
      <w:marBottom w:val="0"/>
      <w:divBdr>
        <w:top w:val="none" w:sz="0" w:space="0" w:color="auto"/>
        <w:left w:val="none" w:sz="0" w:space="0" w:color="auto"/>
        <w:bottom w:val="none" w:sz="0" w:space="0" w:color="auto"/>
        <w:right w:val="none" w:sz="0" w:space="0" w:color="auto"/>
      </w:divBdr>
    </w:div>
    <w:div w:id="677389587">
      <w:bodyDiv w:val="1"/>
      <w:marLeft w:val="0"/>
      <w:marRight w:val="0"/>
      <w:marTop w:val="0"/>
      <w:marBottom w:val="0"/>
      <w:divBdr>
        <w:top w:val="none" w:sz="0" w:space="0" w:color="auto"/>
        <w:left w:val="none" w:sz="0" w:space="0" w:color="auto"/>
        <w:bottom w:val="none" w:sz="0" w:space="0" w:color="auto"/>
        <w:right w:val="none" w:sz="0" w:space="0" w:color="auto"/>
      </w:divBdr>
    </w:div>
    <w:div w:id="691614316">
      <w:bodyDiv w:val="1"/>
      <w:marLeft w:val="0"/>
      <w:marRight w:val="0"/>
      <w:marTop w:val="0"/>
      <w:marBottom w:val="0"/>
      <w:divBdr>
        <w:top w:val="none" w:sz="0" w:space="0" w:color="auto"/>
        <w:left w:val="none" w:sz="0" w:space="0" w:color="auto"/>
        <w:bottom w:val="none" w:sz="0" w:space="0" w:color="auto"/>
        <w:right w:val="none" w:sz="0" w:space="0" w:color="auto"/>
      </w:divBdr>
    </w:div>
    <w:div w:id="773552457">
      <w:bodyDiv w:val="1"/>
      <w:marLeft w:val="0"/>
      <w:marRight w:val="0"/>
      <w:marTop w:val="0"/>
      <w:marBottom w:val="0"/>
      <w:divBdr>
        <w:top w:val="none" w:sz="0" w:space="0" w:color="auto"/>
        <w:left w:val="none" w:sz="0" w:space="0" w:color="auto"/>
        <w:bottom w:val="none" w:sz="0" w:space="0" w:color="auto"/>
        <w:right w:val="none" w:sz="0" w:space="0" w:color="auto"/>
      </w:divBdr>
    </w:div>
    <w:div w:id="918372905">
      <w:bodyDiv w:val="1"/>
      <w:marLeft w:val="0"/>
      <w:marRight w:val="0"/>
      <w:marTop w:val="0"/>
      <w:marBottom w:val="0"/>
      <w:divBdr>
        <w:top w:val="none" w:sz="0" w:space="0" w:color="auto"/>
        <w:left w:val="none" w:sz="0" w:space="0" w:color="auto"/>
        <w:bottom w:val="none" w:sz="0" w:space="0" w:color="auto"/>
        <w:right w:val="none" w:sz="0" w:space="0" w:color="auto"/>
      </w:divBdr>
    </w:div>
    <w:div w:id="964896642">
      <w:bodyDiv w:val="1"/>
      <w:marLeft w:val="0"/>
      <w:marRight w:val="0"/>
      <w:marTop w:val="0"/>
      <w:marBottom w:val="0"/>
      <w:divBdr>
        <w:top w:val="none" w:sz="0" w:space="0" w:color="auto"/>
        <w:left w:val="none" w:sz="0" w:space="0" w:color="auto"/>
        <w:bottom w:val="none" w:sz="0" w:space="0" w:color="auto"/>
        <w:right w:val="none" w:sz="0" w:space="0" w:color="auto"/>
      </w:divBdr>
    </w:div>
    <w:div w:id="1361273497">
      <w:bodyDiv w:val="1"/>
      <w:marLeft w:val="0"/>
      <w:marRight w:val="0"/>
      <w:marTop w:val="0"/>
      <w:marBottom w:val="0"/>
      <w:divBdr>
        <w:top w:val="none" w:sz="0" w:space="0" w:color="auto"/>
        <w:left w:val="none" w:sz="0" w:space="0" w:color="auto"/>
        <w:bottom w:val="none" w:sz="0" w:space="0" w:color="auto"/>
        <w:right w:val="none" w:sz="0" w:space="0" w:color="auto"/>
      </w:divBdr>
    </w:div>
    <w:div w:id="1448305942">
      <w:bodyDiv w:val="1"/>
      <w:marLeft w:val="0"/>
      <w:marRight w:val="0"/>
      <w:marTop w:val="0"/>
      <w:marBottom w:val="0"/>
      <w:divBdr>
        <w:top w:val="none" w:sz="0" w:space="0" w:color="auto"/>
        <w:left w:val="none" w:sz="0" w:space="0" w:color="auto"/>
        <w:bottom w:val="none" w:sz="0" w:space="0" w:color="auto"/>
        <w:right w:val="none" w:sz="0" w:space="0" w:color="auto"/>
      </w:divBdr>
    </w:div>
    <w:div w:id="1577013056">
      <w:bodyDiv w:val="1"/>
      <w:marLeft w:val="0"/>
      <w:marRight w:val="0"/>
      <w:marTop w:val="0"/>
      <w:marBottom w:val="0"/>
      <w:divBdr>
        <w:top w:val="none" w:sz="0" w:space="0" w:color="auto"/>
        <w:left w:val="none" w:sz="0" w:space="0" w:color="auto"/>
        <w:bottom w:val="none" w:sz="0" w:space="0" w:color="auto"/>
        <w:right w:val="none" w:sz="0" w:space="0" w:color="auto"/>
      </w:divBdr>
    </w:div>
    <w:div w:id="1682976894">
      <w:bodyDiv w:val="1"/>
      <w:marLeft w:val="0"/>
      <w:marRight w:val="0"/>
      <w:marTop w:val="0"/>
      <w:marBottom w:val="0"/>
      <w:divBdr>
        <w:top w:val="none" w:sz="0" w:space="0" w:color="auto"/>
        <w:left w:val="none" w:sz="0" w:space="0" w:color="auto"/>
        <w:bottom w:val="none" w:sz="0" w:space="0" w:color="auto"/>
        <w:right w:val="none" w:sz="0" w:space="0" w:color="auto"/>
      </w:divBdr>
    </w:div>
    <w:div w:id="1805193237">
      <w:bodyDiv w:val="1"/>
      <w:marLeft w:val="0"/>
      <w:marRight w:val="0"/>
      <w:marTop w:val="0"/>
      <w:marBottom w:val="0"/>
      <w:divBdr>
        <w:top w:val="none" w:sz="0" w:space="0" w:color="auto"/>
        <w:left w:val="none" w:sz="0" w:space="0" w:color="auto"/>
        <w:bottom w:val="none" w:sz="0" w:space="0" w:color="auto"/>
        <w:right w:val="none" w:sz="0" w:space="0" w:color="auto"/>
      </w:divBdr>
    </w:div>
    <w:div w:id="1831173621">
      <w:bodyDiv w:val="1"/>
      <w:marLeft w:val="0"/>
      <w:marRight w:val="0"/>
      <w:marTop w:val="0"/>
      <w:marBottom w:val="0"/>
      <w:divBdr>
        <w:top w:val="none" w:sz="0" w:space="0" w:color="auto"/>
        <w:left w:val="none" w:sz="0" w:space="0" w:color="auto"/>
        <w:bottom w:val="none" w:sz="0" w:space="0" w:color="auto"/>
        <w:right w:val="none" w:sz="0" w:space="0" w:color="auto"/>
      </w:divBdr>
      <w:divsChild>
        <w:div w:id="12730912">
          <w:marLeft w:val="0"/>
          <w:marRight w:val="0"/>
          <w:marTop w:val="0"/>
          <w:marBottom w:val="0"/>
          <w:divBdr>
            <w:top w:val="none" w:sz="0" w:space="0" w:color="auto"/>
            <w:left w:val="none" w:sz="0" w:space="0" w:color="auto"/>
            <w:bottom w:val="none" w:sz="0" w:space="0" w:color="auto"/>
            <w:right w:val="none" w:sz="0" w:space="0" w:color="auto"/>
          </w:divBdr>
          <w:divsChild>
            <w:div w:id="1100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02983">
      <w:bodyDiv w:val="1"/>
      <w:marLeft w:val="0"/>
      <w:marRight w:val="0"/>
      <w:marTop w:val="0"/>
      <w:marBottom w:val="0"/>
      <w:divBdr>
        <w:top w:val="none" w:sz="0" w:space="0" w:color="auto"/>
        <w:left w:val="none" w:sz="0" w:space="0" w:color="auto"/>
        <w:bottom w:val="none" w:sz="0" w:space="0" w:color="auto"/>
        <w:right w:val="none" w:sz="0" w:space="0" w:color="auto"/>
      </w:divBdr>
    </w:div>
    <w:div w:id="2012680171">
      <w:bodyDiv w:val="1"/>
      <w:marLeft w:val="0"/>
      <w:marRight w:val="0"/>
      <w:marTop w:val="0"/>
      <w:marBottom w:val="0"/>
      <w:divBdr>
        <w:top w:val="none" w:sz="0" w:space="0" w:color="auto"/>
        <w:left w:val="none" w:sz="0" w:space="0" w:color="auto"/>
        <w:bottom w:val="none" w:sz="0" w:space="0" w:color="auto"/>
        <w:right w:val="none" w:sz="0" w:space="0" w:color="auto"/>
      </w:divBdr>
    </w:div>
    <w:div w:id="2042632843">
      <w:bodyDiv w:val="1"/>
      <w:marLeft w:val="0"/>
      <w:marRight w:val="0"/>
      <w:marTop w:val="0"/>
      <w:marBottom w:val="0"/>
      <w:divBdr>
        <w:top w:val="none" w:sz="0" w:space="0" w:color="auto"/>
        <w:left w:val="none" w:sz="0" w:space="0" w:color="auto"/>
        <w:bottom w:val="none" w:sz="0" w:space="0" w:color="auto"/>
        <w:right w:val="none" w:sz="0" w:space="0" w:color="auto"/>
      </w:divBdr>
      <w:divsChild>
        <w:div w:id="1897861014">
          <w:marLeft w:val="0"/>
          <w:marRight w:val="0"/>
          <w:marTop w:val="0"/>
          <w:marBottom w:val="0"/>
          <w:divBdr>
            <w:top w:val="none" w:sz="0" w:space="0" w:color="auto"/>
            <w:left w:val="single" w:sz="6" w:space="0" w:color="C1C1C1"/>
            <w:bottom w:val="single" w:sz="6" w:space="0" w:color="C1C1C1"/>
            <w:right w:val="single" w:sz="6" w:space="0" w:color="C1C1C1"/>
          </w:divBdr>
          <w:divsChild>
            <w:div w:id="1086538089">
              <w:marLeft w:val="0"/>
              <w:marRight w:val="0"/>
              <w:marTop w:val="0"/>
              <w:marBottom w:val="0"/>
              <w:divBdr>
                <w:top w:val="none" w:sz="0" w:space="0" w:color="auto"/>
                <w:left w:val="none" w:sz="0" w:space="0" w:color="auto"/>
                <w:bottom w:val="none" w:sz="0" w:space="0" w:color="auto"/>
                <w:right w:val="none" w:sz="0" w:space="0" w:color="auto"/>
              </w:divBdr>
              <w:divsChild>
                <w:div w:id="1274824647">
                  <w:marLeft w:val="0"/>
                  <w:marRight w:val="0"/>
                  <w:marTop w:val="0"/>
                  <w:marBottom w:val="0"/>
                  <w:divBdr>
                    <w:top w:val="none" w:sz="0" w:space="0" w:color="auto"/>
                    <w:left w:val="none" w:sz="0" w:space="0" w:color="auto"/>
                    <w:bottom w:val="none" w:sz="0" w:space="0" w:color="auto"/>
                    <w:right w:val="none" w:sz="0" w:space="0" w:color="auto"/>
                  </w:divBdr>
                  <w:divsChild>
                    <w:div w:id="13781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62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nais.lv/naiser/text.cfm?Ref=0103011995020932771&amp;Req=0103011995020932771&amp;Key=0101032001062600276&amp;Hash="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yperlink" Target="mailto:Inna.Valge@fm.gov.lv"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v>Kopējie nodokļu ieņēmumi, milj.Ls</c:v>
          </c:tx>
          <c:invertIfNegative val="0"/>
          <c:cat>
            <c:strRef>
              <c:f>'UIN ieņēmumi'!$C$2:$X$2</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'UIN ieņēmumi'!$C$3:$X$3</c:f>
              <c:numCache>
                <c:formatCode>_-* #,##0.0_-;\-* #,##0.0_-;_-* "-"??_-;_-@_-</c:formatCode>
                <c:ptCount val="22"/>
                <c:pt idx="0">
                  <c:v>790.55375499999991</c:v>
                </c:pt>
                <c:pt idx="1">
                  <c:v>953.78104489000009</c:v>
                </c:pt>
                <c:pt idx="2">
                  <c:v>1129.8004438899998</c:v>
                </c:pt>
                <c:pt idx="3">
                  <c:v>1315.7576740000002</c:v>
                </c:pt>
                <c:pt idx="4">
                  <c:v>1343.3187149999999</c:v>
                </c:pt>
                <c:pt idx="5">
                  <c:v>1385.114742</c:v>
                </c:pt>
                <c:pt idx="6">
                  <c:v>1463.761375</c:v>
                </c:pt>
                <c:pt idx="7">
                  <c:v>1619.4075969999997</c:v>
                </c:pt>
                <c:pt idx="8">
                  <c:v>1808.9323039999999</c:v>
                </c:pt>
                <c:pt idx="9">
                  <c:v>2062.0450147000001</c:v>
                </c:pt>
                <c:pt idx="10">
                  <c:v>2593.8602073299999</c:v>
                </c:pt>
                <c:pt idx="11">
                  <c:v>3361.3542235499999</c:v>
                </c:pt>
                <c:pt idx="12">
                  <c:v>4500.7677869399995</c:v>
                </c:pt>
                <c:pt idx="13">
                  <c:v>5030.6665385899996</c:v>
                </c:pt>
                <c:pt idx="14">
                  <c:v>3699.5589869699998</c:v>
                </c:pt>
                <c:pt idx="15">
                  <c:v>3506.5373711599996</c:v>
                </c:pt>
                <c:pt idx="16">
                  <c:v>3946.731061</c:v>
                </c:pt>
                <c:pt idx="17">
                  <c:v>4364.5573284499997</c:v>
                </c:pt>
                <c:pt idx="18">
                  <c:v>4562.7178800000002</c:v>
                </c:pt>
                <c:pt idx="19">
                  <c:v>4742.1836799900002</c:v>
                </c:pt>
                <c:pt idx="20">
                  <c:v>4896.2797799979999</c:v>
                </c:pt>
                <c:pt idx="21">
                  <c:v>5118.5827799999997</c:v>
                </c:pt>
              </c:numCache>
            </c:numRef>
          </c:val>
        </c:ser>
        <c:dLbls>
          <c:showLegendKey val="0"/>
          <c:showVal val="0"/>
          <c:showCatName val="0"/>
          <c:showSerName val="0"/>
          <c:showPercent val="0"/>
          <c:showBubbleSize val="0"/>
        </c:dLbls>
        <c:gapWidth val="150"/>
        <c:axId val="165813632"/>
        <c:axId val="165815424"/>
      </c:barChart>
      <c:lineChart>
        <c:grouping val="standard"/>
        <c:varyColors val="0"/>
        <c:ser>
          <c:idx val="0"/>
          <c:order val="1"/>
          <c:tx>
            <c:v>UIN ieņēmumi no kopējiem nodokļu ieņēmumiem, %</c:v>
          </c:tx>
          <c:marker>
            <c:symbol val="none"/>
          </c:marker>
          <c:cat>
            <c:strRef>
              <c:f>'UIN ieņēmumi'!$C$2:$X$2</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'UIN ieņēmumi'!$C$5:$X$5</c:f>
              <c:numCache>
                <c:formatCode>0.0</c:formatCode>
                <c:ptCount val="22"/>
                <c:pt idx="0">
                  <c:v>6.0138472177644662</c:v>
                </c:pt>
                <c:pt idx="1">
                  <c:v>6.0066493569923392</c:v>
                </c:pt>
                <c:pt idx="2">
                  <c:v>6.9600407244711668</c:v>
                </c:pt>
                <c:pt idx="3">
                  <c:v>7.0198834348580803</c:v>
                </c:pt>
                <c:pt idx="4">
                  <c:v>6.8644472804802694</c:v>
                </c:pt>
                <c:pt idx="5">
                  <c:v>5.3223438293316496</c:v>
                </c:pt>
                <c:pt idx="6">
                  <c:v>6.72356175541249</c:v>
                </c:pt>
                <c:pt idx="7">
                  <c:v>6.7748860264238973</c:v>
                </c:pt>
                <c:pt idx="8">
                  <c:v>5.1930383902304396</c:v>
                </c:pt>
                <c:pt idx="9">
                  <c:v>6.2000372488764555</c:v>
                </c:pt>
                <c:pt idx="10">
                  <c:v>6.9652272119156171</c:v>
                </c:pt>
                <c:pt idx="11">
                  <c:v>7.550828984990031</c:v>
                </c:pt>
                <c:pt idx="12">
                  <c:v>8.8818484739419219</c:v>
                </c:pt>
                <c:pt idx="13">
                  <c:v>10.000997166888627</c:v>
                </c:pt>
                <c:pt idx="14">
                  <c:v>5.3297336694580171</c:v>
                </c:pt>
                <c:pt idx="15">
                  <c:v>3.1990786598373169</c:v>
                </c:pt>
                <c:pt idx="16">
                  <c:v>4.9771015421108782</c:v>
                </c:pt>
                <c:pt idx="17">
                  <c:v>5.5874857005625822</c:v>
                </c:pt>
                <c:pt idx="18">
                  <c:v>5.8517753457945547</c:v>
                </c:pt>
                <c:pt idx="19">
                  <c:v>5.9571711908172169</c:v>
                </c:pt>
                <c:pt idx="20">
                  <c:v>6.0494909055242134</c:v>
                </c:pt>
                <c:pt idx="21">
                  <c:v>6.0329199169462298</c:v>
                </c:pt>
              </c:numCache>
            </c:numRef>
          </c:val>
          <c:smooth val="0"/>
        </c:ser>
        <c:dLbls>
          <c:showLegendKey val="0"/>
          <c:showVal val="0"/>
          <c:showCatName val="0"/>
          <c:showSerName val="0"/>
          <c:showPercent val="0"/>
          <c:showBubbleSize val="0"/>
        </c:dLbls>
        <c:marker val="1"/>
        <c:smooth val="0"/>
        <c:axId val="165819520"/>
        <c:axId val="165817344"/>
      </c:lineChart>
      <c:catAx>
        <c:axId val="165813632"/>
        <c:scaling>
          <c:orientation val="minMax"/>
        </c:scaling>
        <c:delete val="0"/>
        <c:axPos val="b"/>
        <c:numFmt formatCode="General" sourceLinked="1"/>
        <c:majorTickMark val="out"/>
        <c:minorTickMark val="none"/>
        <c:tickLblPos val="nextTo"/>
        <c:txPr>
          <a:bodyPr/>
          <a:lstStyle/>
          <a:p>
            <a:pPr>
              <a:defRPr sz="700">
                <a:latin typeface="Times New Roman" pitchFamily="18" charset="0"/>
                <a:cs typeface="Times New Roman" pitchFamily="18" charset="0"/>
              </a:defRPr>
            </a:pPr>
            <a:endParaRPr lang="lv-LV"/>
          </a:p>
        </c:txPr>
        <c:crossAx val="165815424"/>
        <c:crosses val="autoZero"/>
        <c:auto val="1"/>
        <c:lblAlgn val="ctr"/>
        <c:lblOffset val="100"/>
        <c:noMultiLvlLbl val="0"/>
      </c:catAx>
      <c:valAx>
        <c:axId val="165815424"/>
        <c:scaling>
          <c:orientation val="minMax"/>
          <c:max val="7000"/>
        </c:scaling>
        <c:delete val="0"/>
        <c:axPos val="l"/>
        <c:majorGridlines/>
        <c:title>
          <c:tx>
            <c:rich>
              <a:bodyPr rot="-5400000" vert="horz"/>
              <a:lstStyle/>
              <a:p>
                <a:pPr>
                  <a:defRPr sz="800" b="1">
                    <a:latin typeface="Times New Roman" pitchFamily="18" charset="0"/>
                    <a:cs typeface="Times New Roman" pitchFamily="18" charset="0"/>
                  </a:defRPr>
                </a:pPr>
                <a:r>
                  <a:rPr lang="lv-LV" sz="1050" b="0">
                    <a:latin typeface="Times New Roman" pitchFamily="18" charset="0"/>
                    <a:cs typeface="Times New Roman" pitchFamily="18" charset="0"/>
                  </a:rPr>
                  <a:t>milj. Ls</a:t>
                </a:r>
              </a:p>
            </c:rich>
          </c:tx>
          <c:overlay val="0"/>
        </c:title>
        <c:numFmt formatCode="_-* #,##0.0_-;\-* #,##0.0_-;_-* &quot;-&quot;??_-;_-@_-" sourceLinked="1"/>
        <c:majorTickMark val="out"/>
        <c:minorTickMark val="none"/>
        <c:tickLblPos val="nextTo"/>
        <c:txPr>
          <a:bodyPr rot="0"/>
          <a:lstStyle/>
          <a:p>
            <a:pPr>
              <a:defRPr sz="700">
                <a:latin typeface="Times New Roman" pitchFamily="18" charset="0"/>
                <a:cs typeface="Times New Roman" pitchFamily="18" charset="0"/>
              </a:defRPr>
            </a:pPr>
            <a:endParaRPr lang="lv-LV"/>
          </a:p>
        </c:txPr>
        <c:crossAx val="165813632"/>
        <c:crosses val="autoZero"/>
        <c:crossBetween val="between"/>
        <c:majorUnit val="1000"/>
      </c:valAx>
      <c:valAx>
        <c:axId val="165817344"/>
        <c:scaling>
          <c:orientation val="minMax"/>
        </c:scaling>
        <c:delete val="0"/>
        <c:axPos val="r"/>
        <c:title>
          <c:tx>
            <c:rich>
              <a:bodyPr rot="-5400000" vert="horz"/>
              <a:lstStyle/>
              <a:p>
                <a:pPr>
                  <a:defRPr sz="800" b="1">
                    <a:latin typeface="+mj-lt"/>
                    <a:cs typeface="Times New Roman" pitchFamily="18" charset="0"/>
                  </a:defRPr>
                </a:pPr>
                <a:r>
                  <a:rPr lang="lv-LV" sz="1050" b="0">
                    <a:latin typeface="Times New Roman" pitchFamily="18" charset="0"/>
                    <a:cs typeface="Times New Roman" pitchFamily="18" charset="0"/>
                  </a:rPr>
                  <a:t>procenti</a:t>
                </a:r>
              </a:p>
            </c:rich>
          </c:tx>
          <c:overlay val="0"/>
        </c:title>
        <c:numFmt formatCode="0.0" sourceLinked="1"/>
        <c:majorTickMark val="out"/>
        <c:minorTickMark val="none"/>
        <c:tickLblPos val="nextTo"/>
        <c:txPr>
          <a:bodyPr/>
          <a:lstStyle/>
          <a:p>
            <a:pPr>
              <a:defRPr sz="700">
                <a:latin typeface="Times New Roman" pitchFamily="18" charset="0"/>
                <a:cs typeface="Times New Roman" pitchFamily="18" charset="0"/>
              </a:defRPr>
            </a:pPr>
            <a:endParaRPr lang="lv-LV"/>
          </a:p>
        </c:txPr>
        <c:crossAx val="165819520"/>
        <c:crosses val="max"/>
        <c:crossBetween val="between"/>
      </c:valAx>
      <c:catAx>
        <c:axId val="165819520"/>
        <c:scaling>
          <c:orientation val="minMax"/>
        </c:scaling>
        <c:delete val="1"/>
        <c:axPos val="b"/>
        <c:majorTickMark val="out"/>
        <c:minorTickMark val="none"/>
        <c:tickLblPos val="none"/>
        <c:crossAx val="165817344"/>
        <c:crosses val="autoZero"/>
        <c:auto val="1"/>
        <c:lblAlgn val="ctr"/>
        <c:lblOffset val="100"/>
        <c:noMultiLvlLbl val="0"/>
      </c:catAx>
    </c:plotArea>
    <c:legend>
      <c:legendPos val="b"/>
      <c:legendEntry>
        <c:idx val="0"/>
        <c:txPr>
          <a:bodyPr/>
          <a:lstStyle/>
          <a:p>
            <a:pPr>
              <a:defRPr sz="1050">
                <a:latin typeface="Times New Roman" pitchFamily="18" charset="0"/>
                <a:cs typeface="Times New Roman" pitchFamily="18" charset="0"/>
              </a:defRPr>
            </a:pPr>
            <a:endParaRPr lang="lv-LV"/>
          </a:p>
        </c:txPr>
      </c:legendEntry>
      <c:legendEntry>
        <c:idx val="1"/>
        <c:txPr>
          <a:bodyPr/>
          <a:lstStyle/>
          <a:p>
            <a:pPr>
              <a:defRPr sz="1050">
                <a:latin typeface="Times New Roman" pitchFamily="18" charset="0"/>
                <a:cs typeface="Times New Roman" pitchFamily="18" charset="0"/>
              </a:defRPr>
            </a:pPr>
            <a:endParaRPr lang="lv-LV"/>
          </a:p>
        </c:txPr>
      </c:legendEntry>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25240594925642"/>
          <c:y val="5.1400554097404488E-2"/>
          <c:w val="0.64113648293963255"/>
          <c:h val="0.8326195683872849"/>
        </c:manualLayout>
      </c:layout>
      <c:barChart>
        <c:barDir val="col"/>
        <c:grouping val="clustered"/>
        <c:varyColors val="0"/>
        <c:ser>
          <c:idx val="0"/>
          <c:order val="0"/>
          <c:tx>
            <c:strRef>
              <c:f>Atvieglojumi!$B$30</c:f>
              <c:strCache>
                <c:ptCount val="1"/>
                <c:pt idx="0">
                  <c:v>UIN ieņēmumi milj.Ls</c:v>
                </c:pt>
              </c:strCache>
            </c:strRef>
          </c:tx>
          <c:spPr>
            <a:solidFill>
              <a:srgbClr val="00B050"/>
            </a:solidFill>
          </c:spPr>
          <c:invertIfNegative val="0"/>
          <c:dLbls>
            <c:txPr>
              <a:bodyPr rot="-5400000"/>
              <a:lstStyle/>
              <a:p>
                <a:pPr>
                  <a:defRPr>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dLbls>
          <c:cat>
            <c:numRef>
              <c:f>Atvieglojumi!$A$31:$A$39</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Atvieglojumi!$B$31:$B$39</c:f>
              <c:numCache>
                <c:formatCode>0.0</c:formatCode>
                <c:ptCount val="9"/>
                <c:pt idx="0">
                  <c:v>399.751375</c:v>
                </c:pt>
                <c:pt idx="1">
                  <c:v>503.11681800000002</c:v>
                </c:pt>
                <c:pt idx="2">
                  <c:v>197.17664095000001</c:v>
                </c:pt>
                <c:pt idx="3">
                  <c:v>112.17688874</c:v>
                </c:pt>
                <c:pt idx="4">
                  <c:v>196.43281250000001</c:v>
                </c:pt>
                <c:pt idx="5">
                  <c:v>243.86901662</c:v>
                </c:pt>
                <c:pt idx="6">
                  <c:v>267</c:v>
                </c:pt>
                <c:pt idx="7">
                  <c:v>282.5</c:v>
                </c:pt>
                <c:pt idx="8">
                  <c:v>296.2</c:v>
                </c:pt>
              </c:numCache>
            </c:numRef>
          </c:val>
        </c:ser>
        <c:ser>
          <c:idx val="1"/>
          <c:order val="1"/>
          <c:tx>
            <c:strRef>
              <c:f>Atvieglojumi!$C$30</c:f>
              <c:strCache>
                <c:ptCount val="1"/>
                <c:pt idx="0">
                  <c:v>UIN atvieglojumu apmērs milj.Ls</c:v>
                </c:pt>
              </c:strCache>
            </c:strRef>
          </c:tx>
          <c:spPr>
            <a:solidFill>
              <a:srgbClr val="002060"/>
            </a:solidFill>
          </c:spPr>
          <c:invertIfNegative val="0"/>
          <c:dLbls>
            <c:txPr>
              <a:bodyPr rot="-5400000"/>
              <a:lstStyle/>
              <a:p>
                <a:pPr>
                  <a:defRPr/>
                </a:pPr>
                <a:endParaRPr lang="lv-LV"/>
              </a:p>
            </c:txPr>
            <c:showLegendKey val="0"/>
            <c:showVal val="1"/>
            <c:showCatName val="0"/>
            <c:showSerName val="0"/>
            <c:showPercent val="0"/>
            <c:showBubbleSize val="0"/>
            <c:showLeaderLines val="0"/>
          </c:dLbls>
          <c:cat>
            <c:numRef>
              <c:f>Atvieglojumi!$A$31:$A$39</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Atvieglojumi!$C$31:$C$37</c:f>
              <c:numCache>
                <c:formatCode>0.0</c:formatCode>
                <c:ptCount val="7"/>
                <c:pt idx="0">
                  <c:v>169.5</c:v>
                </c:pt>
                <c:pt idx="1">
                  <c:v>147.80000000000001</c:v>
                </c:pt>
                <c:pt idx="2">
                  <c:v>104.9</c:v>
                </c:pt>
                <c:pt idx="3">
                  <c:v>131.5</c:v>
                </c:pt>
                <c:pt idx="4">
                  <c:v>167.4</c:v>
                </c:pt>
              </c:numCache>
            </c:numRef>
          </c:val>
        </c:ser>
        <c:dLbls>
          <c:showLegendKey val="0"/>
          <c:showVal val="0"/>
          <c:showCatName val="0"/>
          <c:showSerName val="0"/>
          <c:showPercent val="0"/>
          <c:showBubbleSize val="0"/>
        </c:dLbls>
        <c:gapWidth val="150"/>
        <c:axId val="165799808"/>
        <c:axId val="165801344"/>
      </c:barChart>
      <c:catAx>
        <c:axId val="16579980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lv-LV"/>
          </a:p>
        </c:txPr>
        <c:crossAx val="165801344"/>
        <c:crosses val="autoZero"/>
        <c:auto val="1"/>
        <c:lblAlgn val="ctr"/>
        <c:lblOffset val="100"/>
        <c:noMultiLvlLbl val="0"/>
      </c:catAx>
      <c:valAx>
        <c:axId val="165801344"/>
        <c:scaling>
          <c:orientation val="minMax"/>
        </c:scaling>
        <c:delete val="0"/>
        <c:axPos val="l"/>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lv-LV"/>
          </a:p>
        </c:txPr>
        <c:crossAx val="165799808"/>
        <c:crosses val="autoZero"/>
        <c:crossBetween val="between"/>
      </c:valAx>
    </c:plotArea>
    <c:legend>
      <c:legendPos val="r"/>
      <c:layout>
        <c:manualLayout>
          <c:xMode val="edge"/>
          <c:yMode val="edge"/>
          <c:x val="0.76238888888888912"/>
          <c:y val="3.1639690871974373E-2"/>
          <c:w val="0.23761111828234591"/>
          <c:h val="0.49613808690580363"/>
        </c:manualLayout>
      </c:layout>
      <c:overlay val="0"/>
      <c:txPr>
        <a:bodyPr/>
        <a:lstStyle/>
        <a:p>
          <a:pPr>
            <a:defRPr sz="1000">
              <a:latin typeface="Times New Roman" pitchFamily="18" charset="0"/>
              <a:cs typeface="Times New Roman" pitchFamily="18" charset="0"/>
            </a:defRPr>
          </a:pPr>
          <a:endParaRPr lang="lv-LV"/>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layout>
                <c:manualLayout>
                  <c:x val="0.2187067538033923"/>
                  <c:y val="8.1815879751265296E-4"/>
                </c:manualLayout>
              </c:layout>
              <c:showLegendKey val="0"/>
              <c:showVal val="0"/>
              <c:showCatName val="1"/>
              <c:showSerName val="0"/>
              <c:showPercent val="1"/>
              <c:showBubbleSize val="0"/>
            </c:dLbl>
            <c:dLbl>
              <c:idx val="1"/>
              <c:layout>
                <c:manualLayout>
                  <c:x val="-5.7906763804593205E-2"/>
                  <c:y val="8.1790119083837321E-4"/>
                </c:manualLayout>
              </c:layout>
              <c:showLegendKey val="0"/>
              <c:showVal val="0"/>
              <c:showCatName val="1"/>
              <c:showSerName val="0"/>
              <c:showPercent val="1"/>
              <c:showBubbleSize val="0"/>
            </c:dLbl>
            <c:dLbl>
              <c:idx val="2"/>
              <c:layout>
                <c:manualLayout>
                  <c:x val="9.3437545341618675E-2"/>
                  <c:y val="0.20185414979879632"/>
                </c:manualLayout>
              </c:layout>
              <c:showLegendKey val="0"/>
              <c:showVal val="0"/>
              <c:showCatName val="1"/>
              <c:showSerName val="0"/>
              <c:showPercent val="1"/>
              <c:showBubbleSize val="0"/>
            </c:dLbl>
            <c:dLbl>
              <c:idx val="5"/>
              <c:layout>
                <c:manualLayout>
                  <c:x val="0.21288515220470386"/>
                  <c:y val="2.8667328482082019E-2"/>
                </c:manualLayout>
              </c:layout>
              <c:showLegendKey val="0"/>
              <c:showVal val="0"/>
              <c:showCatName val="1"/>
              <c:showSerName val="0"/>
              <c:showPercent val="1"/>
              <c:showBubbleSize val="0"/>
            </c:dLbl>
            <c:dLbl>
              <c:idx val="6"/>
              <c:layout>
                <c:manualLayout>
                  <c:x val="-4.5693933703403022E-2"/>
                  <c:y val="0.22613563970306197"/>
                </c:manualLayout>
              </c:layout>
              <c:showLegendKey val="0"/>
              <c:showVal val="0"/>
              <c:showCatName val="1"/>
              <c:showSerName val="0"/>
              <c:showPercent val="1"/>
              <c:showBubbleSize val="0"/>
            </c:dLbl>
            <c:dLbl>
              <c:idx val="9"/>
              <c:layout>
                <c:manualLayout>
                  <c:x val="2.2741367050513262E-2"/>
                  <c:y val="2.4537035725151197E-3"/>
                </c:manualLayout>
              </c:layout>
              <c:showLegendKey val="0"/>
              <c:showVal val="0"/>
              <c:showCatName val="1"/>
              <c:showSerName val="0"/>
              <c:showPercent val="1"/>
              <c:showBubbleSize val="0"/>
            </c:dLbl>
            <c:txPr>
              <a:bodyPr/>
              <a:lstStyle/>
              <a:p>
                <a:pPr>
                  <a:defRPr sz="1000">
                    <a:latin typeface="Times New Roman" pitchFamily="18" charset="0"/>
                    <a:cs typeface="Times New Roman" pitchFamily="18" charset="0"/>
                  </a:defRPr>
                </a:pPr>
                <a:endParaRPr lang="lv-LV"/>
              </a:p>
            </c:txPr>
            <c:showLegendKey val="0"/>
            <c:showVal val="0"/>
            <c:showCatName val="1"/>
            <c:showSerName val="0"/>
            <c:showPercent val="1"/>
            <c:showBubbleSize val="0"/>
            <c:showLeaderLines val="1"/>
          </c:dLbls>
          <c:cat>
            <c:strRef>
              <c:f>Atvieglojumi!$O$2:$O$12</c:f>
              <c:strCache>
                <c:ptCount val="10"/>
                <c:pt idx="0">
                  <c:v>Atvieglojums iegādājoties jaunas ražošanas tehnoloģiskās iekārtas </c:v>
                </c:pt>
                <c:pt idx="1">
                  <c:v>Atvieglojums investīciju veikšanai pamatlīdzekļos īpaši atbalstāmajās teritorijās </c:v>
                </c:pt>
                <c:pt idx="2">
                  <c:v>Atlaide investīcijām BO vai SEZ</c:v>
                </c:pt>
                <c:pt idx="3">
                  <c:v>Iespēja segt taksācijas perioda zaudējumus </c:v>
                </c:pt>
                <c:pt idx="4">
                  <c:v>Iespēja  pārnest zaudējumus uzņēmumu grupā</c:v>
                </c:pt>
                <c:pt idx="5">
                  <c:v>Paātrināta pamatlīdzekļu norakstīšanas kārtība </c:v>
                </c:pt>
                <c:pt idx="6">
                  <c:v>Nodokļa atvieglojums lauksaimniecībai par summām, kas izmaksātas subsīdiju veidā attīstībai</c:v>
                </c:pt>
                <c:pt idx="7">
                  <c:v>Atlaides  ziedotājiem</c:v>
                </c:pt>
                <c:pt idx="8">
                  <c:v>Apliekamā ienākuma samazinājums par nosacītu kredītprocentu summu </c:v>
                </c:pt>
                <c:pt idx="9">
                  <c:v>Pārējie atvieglojumi</c:v>
                </c:pt>
              </c:strCache>
            </c:strRef>
          </c:cat>
          <c:val>
            <c:numRef>
              <c:f>Atvieglojumi!$P$2:$P$12</c:f>
              <c:numCache>
                <c:formatCode>0.00%</c:formatCode>
                <c:ptCount val="10"/>
                <c:pt idx="0">
                  <c:v>9.4500000000000264E-2</c:v>
                </c:pt>
                <c:pt idx="1">
                  <c:v>1.1299999999999998E-2</c:v>
                </c:pt>
                <c:pt idx="2">
                  <c:v>2.5100000000000001E-2</c:v>
                </c:pt>
                <c:pt idx="3">
                  <c:v>0.53790000000000004</c:v>
                </c:pt>
                <c:pt idx="4">
                  <c:v>4.9500000000000023E-2</c:v>
                </c:pt>
                <c:pt idx="5">
                  <c:v>9.3400000000000025E-2</c:v>
                </c:pt>
                <c:pt idx="6">
                  <c:v>6.7000000000000004E-2</c:v>
                </c:pt>
                <c:pt idx="7">
                  <c:v>7.5200000000000003E-2</c:v>
                </c:pt>
                <c:pt idx="8">
                  <c:v>2.35E-2</c:v>
                </c:pt>
                <c:pt idx="9">
                  <c:v>2.2600000000000012E-2</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v>Fiskālā ietekme</c:v>
          </c:tx>
          <c:spPr>
            <a:ln w="44450">
              <a:solidFill>
                <a:srgbClr val="FF0000"/>
              </a:solidFill>
            </a:ln>
          </c:spPr>
          <c:marker>
            <c:symbol val="none"/>
          </c:marker>
          <c:dLbls>
            <c:dLbl>
              <c:idx val="0"/>
              <c:layout>
                <c:manualLayout>
                  <c:x val="-9.415874055440622E-2"/>
                  <c:y val="3.2005999250093835E-2"/>
                </c:manualLayout>
              </c:layout>
              <c:dLblPos val="r"/>
              <c:showLegendKey val="0"/>
              <c:showVal val="1"/>
              <c:showCatName val="0"/>
              <c:showSerName val="0"/>
              <c:showPercent val="0"/>
              <c:showBubbleSize val="0"/>
            </c:dLbl>
            <c:dLbl>
              <c:idx val="1"/>
              <c:layout>
                <c:manualLayout>
                  <c:x val="-9.4158740554406192E-2"/>
                  <c:y val="-4.0942329017383462E-2"/>
                </c:manualLayout>
              </c:layout>
              <c:dLblPos val="r"/>
              <c:showLegendKey val="0"/>
              <c:showVal val="1"/>
              <c:showCatName val="0"/>
              <c:showSerName val="0"/>
              <c:showPercent val="0"/>
              <c:showBubbleSize val="0"/>
            </c:dLbl>
            <c:dLbl>
              <c:idx val="2"/>
              <c:layout>
                <c:manualLayout>
                  <c:x val="-9.415874055440622E-2"/>
                  <c:y val="2.7953314346345012E-2"/>
                </c:manualLayout>
              </c:layout>
              <c:dLblPos val="r"/>
              <c:showLegendKey val="0"/>
              <c:showVal val="1"/>
              <c:showCatName val="0"/>
              <c:showSerName val="0"/>
              <c:showPercent val="0"/>
              <c:showBubbleSize val="0"/>
            </c:dLbl>
            <c:dLbl>
              <c:idx val="3"/>
              <c:layout>
                <c:manualLayout>
                  <c:x val="-9.4158740554406123E-2"/>
                  <c:y val="-4.0942329017383462E-2"/>
                </c:manualLayout>
              </c:layout>
              <c:dLblPos val="r"/>
              <c:showLegendKey val="0"/>
              <c:showVal val="1"/>
              <c:showCatName val="0"/>
              <c:showSerName val="0"/>
              <c:showPercent val="0"/>
              <c:showBubbleSize val="0"/>
            </c:dLbl>
            <c:dLbl>
              <c:idx val="4"/>
              <c:layout>
                <c:manualLayout>
                  <c:x val="-2.6133396841462795E-2"/>
                  <c:y val="4.011136905759123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'Jaunas ražošanas teh.iekartas'!$I$21:$M$21</c:f>
              <c:numCache>
                <c:formatCode>General</c:formatCode>
                <c:ptCount val="5"/>
                <c:pt idx="0">
                  <c:v>2007</c:v>
                </c:pt>
                <c:pt idx="1">
                  <c:v>2008</c:v>
                </c:pt>
                <c:pt idx="2">
                  <c:v>2009</c:v>
                </c:pt>
                <c:pt idx="3">
                  <c:v>2010</c:v>
                </c:pt>
                <c:pt idx="4">
                  <c:v>2011</c:v>
                </c:pt>
              </c:numCache>
            </c:numRef>
          </c:cat>
          <c:val>
            <c:numRef>
              <c:f>'Jaunas ražošanas teh.iekartas'!$I$22:$M$22</c:f>
              <c:numCache>
                <c:formatCode>#,##0.0</c:formatCode>
                <c:ptCount val="5"/>
                <c:pt idx="0">
                  <c:v>12.9</c:v>
                </c:pt>
                <c:pt idx="1">
                  <c:v>25.8</c:v>
                </c:pt>
                <c:pt idx="2">
                  <c:v>15.7</c:v>
                </c:pt>
                <c:pt idx="3">
                  <c:v>25.4</c:v>
                </c:pt>
                <c:pt idx="4">
                  <c:v>15.8</c:v>
                </c:pt>
              </c:numCache>
            </c:numRef>
          </c:val>
          <c:smooth val="0"/>
        </c:ser>
        <c:ser>
          <c:idx val="2"/>
          <c:order val="1"/>
          <c:tx>
            <c:v>Vidējā aprēķinātā ietekme</c:v>
          </c:tx>
          <c:spPr>
            <a:ln w="44450">
              <a:solidFill>
                <a:srgbClr val="99FF33"/>
              </a:solidFill>
            </a:ln>
          </c:spPr>
          <c:marker>
            <c:symbol val="none"/>
          </c:marker>
          <c:dLbls>
            <c:dLbl>
              <c:idx val="0"/>
              <c:delete val="1"/>
            </c:dLbl>
            <c:dLbl>
              <c:idx val="1"/>
              <c:delete val="1"/>
            </c:dLbl>
            <c:dLbl>
              <c:idx val="2"/>
              <c:delete val="1"/>
            </c:dLbl>
            <c:dLbl>
              <c:idx val="3"/>
              <c:delete val="1"/>
            </c:dLbl>
            <c:dLbl>
              <c:idx val="4"/>
              <c:layout>
                <c:manualLayout>
                  <c:x val="-8.4900446045377657E-3"/>
                  <c:y val="-4.4995013921132226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'Jaunas ražošanas teh.iekartas'!$I$21:$M$21</c:f>
              <c:numCache>
                <c:formatCode>General</c:formatCode>
                <c:ptCount val="5"/>
                <c:pt idx="0">
                  <c:v>2007</c:v>
                </c:pt>
                <c:pt idx="1">
                  <c:v>2008</c:v>
                </c:pt>
                <c:pt idx="2">
                  <c:v>2009</c:v>
                </c:pt>
                <c:pt idx="3">
                  <c:v>2010</c:v>
                </c:pt>
                <c:pt idx="4">
                  <c:v>2011</c:v>
                </c:pt>
              </c:numCache>
            </c:numRef>
          </c:cat>
          <c:val>
            <c:numRef>
              <c:f>'Jaunas ražošanas teh.iekartas'!$I$23:$M$23</c:f>
              <c:numCache>
                <c:formatCode>#,##0.0</c:formatCode>
                <c:ptCount val="5"/>
                <c:pt idx="0">
                  <c:v>19.2</c:v>
                </c:pt>
                <c:pt idx="1">
                  <c:v>19.2</c:v>
                </c:pt>
                <c:pt idx="2">
                  <c:v>19.2</c:v>
                </c:pt>
                <c:pt idx="3">
                  <c:v>19.2</c:v>
                </c:pt>
                <c:pt idx="4">
                  <c:v>19.2</c:v>
                </c:pt>
              </c:numCache>
            </c:numRef>
          </c:val>
          <c:smooth val="0"/>
        </c:ser>
        <c:dLbls>
          <c:showLegendKey val="0"/>
          <c:showVal val="0"/>
          <c:showCatName val="0"/>
          <c:showSerName val="0"/>
          <c:showPercent val="0"/>
          <c:showBubbleSize val="0"/>
        </c:dLbls>
        <c:marker val="1"/>
        <c:smooth val="0"/>
        <c:axId val="166521472"/>
        <c:axId val="166523264"/>
      </c:lineChart>
      <c:catAx>
        <c:axId val="166521472"/>
        <c:scaling>
          <c:orientation val="minMax"/>
        </c:scaling>
        <c:delete val="0"/>
        <c:axPos val="b"/>
        <c:numFmt formatCode="General" sourceLinked="1"/>
        <c:majorTickMark val="out"/>
        <c:minorTickMark val="none"/>
        <c:tickLblPos val="nextTo"/>
        <c:txPr>
          <a:bodyPr rot="0" vert="horz"/>
          <a:lstStyle/>
          <a:p>
            <a:pPr>
              <a:defRPr/>
            </a:pPr>
            <a:endParaRPr lang="lv-LV"/>
          </a:p>
        </c:txPr>
        <c:crossAx val="166523264"/>
        <c:crosses val="autoZero"/>
        <c:auto val="1"/>
        <c:lblAlgn val="ctr"/>
        <c:lblOffset val="100"/>
        <c:noMultiLvlLbl val="0"/>
      </c:catAx>
      <c:valAx>
        <c:axId val="166523264"/>
        <c:scaling>
          <c:orientation val="minMax"/>
        </c:scaling>
        <c:delete val="0"/>
        <c:axPos val="l"/>
        <c:majorGridlines/>
        <c:numFmt formatCode="#,##0.0" sourceLinked="1"/>
        <c:majorTickMark val="out"/>
        <c:minorTickMark val="none"/>
        <c:tickLblPos val="nextTo"/>
        <c:txPr>
          <a:bodyPr rot="0" vert="horz"/>
          <a:lstStyle/>
          <a:p>
            <a:pPr>
              <a:defRPr/>
            </a:pPr>
            <a:endParaRPr lang="lv-LV"/>
          </a:p>
        </c:txPr>
        <c:crossAx val="166521472"/>
        <c:crosses val="autoZero"/>
        <c:crossBetween val="between"/>
      </c:valAx>
    </c:plotArea>
    <c:legend>
      <c:legendPos val="b"/>
      <c:overlay val="0"/>
      <c:txPr>
        <a:bodyPr/>
        <a:lstStyle/>
        <a:p>
          <a:pPr>
            <a:defRPr sz="1050"/>
          </a:pPr>
          <a:endParaRPr lang="lv-LV"/>
        </a:p>
      </c:txPr>
    </c:legend>
    <c:plotVisOnly val="1"/>
    <c:dispBlanksAs val="gap"/>
    <c:showDLblsOverMax val="0"/>
  </c:chart>
  <c:spPr>
    <a:ln>
      <a:noFill/>
    </a:ln>
  </c:spPr>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910447761194029E-2"/>
          <c:y val="5.8246944444444441E-2"/>
          <c:w val="0.91277909852700356"/>
          <c:h val="0.84203166666666662"/>
        </c:manualLayout>
      </c:layout>
      <c:barChart>
        <c:barDir val="col"/>
        <c:grouping val="clustered"/>
        <c:varyColors val="0"/>
        <c:ser>
          <c:idx val="1"/>
          <c:order val="0"/>
          <c:tx>
            <c:strRef>
              <c:f>Sheet1!$A$2</c:f>
              <c:strCache>
                <c:ptCount val="1"/>
                <c:pt idx="0">
                  <c:v>Latvija</c:v>
                </c:pt>
              </c:strCache>
            </c:strRef>
          </c:tx>
          <c:spPr>
            <a:solidFill>
              <a:srgbClr val="C00000"/>
            </a:solidFill>
            <a:ln w="12705">
              <a:solidFill>
                <a:srgbClr val="000000"/>
              </a:solidFill>
              <a:prstDash val="solid"/>
            </a:ln>
          </c:spPr>
          <c:invertIfNegative val="0"/>
          <c:dLbls>
            <c:numFmt formatCode="#,##0.0" sourceLinked="0"/>
            <c:txPr>
              <a:bodyPr/>
              <a:lstStyle/>
              <a:p>
                <a:pPr>
                  <a:defRPr sz="1200">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dLbls>
          <c:cat>
            <c:numRef>
              <c:f>Sheet1!$B$1:$H$1</c:f>
              <c:numCache>
                <c:formatCode>General</c:formatCode>
                <c:ptCount val="7"/>
                <c:pt idx="0">
                  <c:v>2005</c:v>
                </c:pt>
                <c:pt idx="1">
                  <c:v>2006</c:v>
                </c:pt>
                <c:pt idx="2">
                  <c:v>2007</c:v>
                </c:pt>
                <c:pt idx="3">
                  <c:v>2008</c:v>
                </c:pt>
                <c:pt idx="4">
                  <c:v>2009</c:v>
                </c:pt>
                <c:pt idx="5">
                  <c:v>2010</c:v>
                </c:pt>
                <c:pt idx="6">
                  <c:v>2011</c:v>
                </c:pt>
              </c:numCache>
            </c:numRef>
          </c:cat>
          <c:val>
            <c:numRef>
              <c:f>Sheet1!$B$2:$H$2</c:f>
              <c:numCache>
                <c:formatCode>General</c:formatCode>
                <c:ptCount val="7"/>
                <c:pt idx="0">
                  <c:v>19.163004615102867</c:v>
                </c:pt>
                <c:pt idx="1">
                  <c:v>20.712311723469909</c:v>
                </c:pt>
                <c:pt idx="2">
                  <c:v>25.645039925551206</c:v>
                </c:pt>
                <c:pt idx="3">
                  <c:v>27.839749425293974</c:v>
                </c:pt>
                <c:pt idx="4">
                  <c:v>30.424649526883325</c:v>
                </c:pt>
                <c:pt idx="5">
                  <c:v>31.825255684102409</c:v>
                </c:pt>
                <c:pt idx="6">
                  <c:v>35</c:v>
                </c:pt>
              </c:numCache>
            </c:numRef>
          </c:val>
        </c:ser>
        <c:dLbls>
          <c:showLegendKey val="0"/>
          <c:showVal val="1"/>
          <c:showCatName val="0"/>
          <c:showSerName val="0"/>
          <c:showPercent val="0"/>
          <c:showBubbleSize val="0"/>
        </c:dLbls>
        <c:gapWidth val="40"/>
        <c:axId val="166546432"/>
        <c:axId val="167454592"/>
      </c:barChart>
      <c:catAx>
        <c:axId val="166546432"/>
        <c:scaling>
          <c:orientation val="minMax"/>
        </c:scaling>
        <c:delete val="0"/>
        <c:axPos val="b"/>
        <c:numFmt formatCode="General" sourceLinked="1"/>
        <c:majorTickMark val="out"/>
        <c:minorTickMark val="none"/>
        <c:tickLblPos val="low"/>
        <c:txPr>
          <a:bodyPr rot="0" vert="horz"/>
          <a:lstStyle/>
          <a:p>
            <a:pPr>
              <a:defRPr sz="1000">
                <a:latin typeface="Times New Roman" pitchFamily="18" charset="0"/>
                <a:cs typeface="Times New Roman" pitchFamily="18" charset="0"/>
              </a:defRPr>
            </a:pPr>
            <a:endParaRPr lang="lv-LV"/>
          </a:p>
        </c:txPr>
        <c:crossAx val="167454592"/>
        <c:crosses val="autoZero"/>
        <c:auto val="1"/>
        <c:lblAlgn val="ctr"/>
        <c:lblOffset val="100"/>
        <c:tickLblSkip val="1"/>
        <c:tickMarkSkip val="1"/>
        <c:noMultiLvlLbl val="0"/>
      </c:catAx>
      <c:valAx>
        <c:axId val="167454592"/>
        <c:scaling>
          <c:orientation val="minMax"/>
          <c:max val="42"/>
          <c:min val="0"/>
        </c:scaling>
        <c:delete val="0"/>
        <c:axPos val="l"/>
        <c:numFmt formatCode="General" sourceLinked="1"/>
        <c:majorTickMark val="out"/>
        <c:minorTickMark val="none"/>
        <c:tickLblPos val="nextTo"/>
        <c:txPr>
          <a:bodyPr rot="0" vert="horz"/>
          <a:lstStyle/>
          <a:p>
            <a:pPr>
              <a:defRPr sz="1000">
                <a:latin typeface="Times New Roman" pitchFamily="18" charset="0"/>
                <a:cs typeface="Times New Roman" pitchFamily="18" charset="0"/>
              </a:defRPr>
            </a:pPr>
            <a:endParaRPr lang="lv-LV"/>
          </a:p>
        </c:txPr>
        <c:crossAx val="166546432"/>
        <c:crosses val="autoZero"/>
        <c:crossBetween val="between"/>
        <c:majorUnit val="7"/>
      </c:valAx>
      <c:spPr>
        <a:noFill/>
        <a:ln w="12705">
          <a:noFill/>
          <a:prstDash val="solid"/>
        </a:ln>
      </c:spPr>
    </c:plotArea>
    <c:plotVisOnly val="1"/>
    <c:dispBlanksAs val="gap"/>
    <c:showDLblsOverMax val="0"/>
  </c:chart>
  <c:spPr>
    <a:solidFill>
      <a:schemeClr val="bg1"/>
    </a:solidFill>
    <a:ln>
      <a:noFill/>
    </a:ln>
  </c:spPr>
  <c:txPr>
    <a:bodyPr/>
    <a:lstStyle/>
    <a:p>
      <a:pPr>
        <a:defRPr sz="1400" b="0" i="0" u="none" strike="noStrike" baseline="0">
          <a:solidFill>
            <a:srgbClr val="000000"/>
          </a:solidFill>
          <a:latin typeface="Calibri" pitchFamily="34" charset="0"/>
          <a:ea typeface="Arial"/>
          <a:cs typeface="Calibri" pitchFamily="34" charset="0"/>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9551667740644"/>
          <c:y val="5.2350041651040222E-2"/>
          <c:w val="0.70834358531338881"/>
          <c:h val="0.83608198325858618"/>
        </c:manualLayout>
      </c:layout>
      <c:pieChart>
        <c:varyColors val="1"/>
        <c:ser>
          <c:idx val="0"/>
          <c:order val="0"/>
          <c:tx>
            <c:strRef>
              <c:f>Sheet1!$B$1</c:f>
              <c:strCache>
                <c:ptCount val="1"/>
                <c:pt idx="0">
                  <c:v>1997</c:v>
                </c:pt>
              </c:strCache>
            </c:strRef>
          </c:tx>
          <c:spPr>
            <a:ln w="6350">
              <a:solidFill>
                <a:sysClr val="windowText" lastClr="000000"/>
              </a:solidFill>
            </a:ln>
          </c:spPr>
          <c:explosion val="7"/>
          <c:dPt>
            <c:idx val="0"/>
            <c:bubble3D val="0"/>
            <c:spPr>
              <a:solidFill>
                <a:srgbClr val="EEECE1">
                  <a:lumMod val="90000"/>
                </a:srgbClr>
              </a:solidFill>
              <a:ln w="6350">
                <a:solidFill>
                  <a:sysClr val="windowText" lastClr="000000"/>
                </a:solidFill>
              </a:ln>
            </c:spPr>
          </c:dPt>
          <c:dPt>
            <c:idx val="1"/>
            <c:bubble3D val="0"/>
            <c:spPr>
              <a:solidFill>
                <a:srgbClr val="EEECE1">
                  <a:lumMod val="75000"/>
                </a:srgbClr>
              </a:solidFill>
              <a:ln w="6350">
                <a:solidFill>
                  <a:sysClr val="windowText" lastClr="000000"/>
                </a:solidFill>
              </a:ln>
            </c:spPr>
          </c:dPt>
          <c:dPt>
            <c:idx val="2"/>
            <c:bubble3D val="0"/>
            <c:spPr>
              <a:solidFill>
                <a:srgbClr val="FF0000"/>
              </a:solidFill>
              <a:ln w="6350">
                <a:solidFill>
                  <a:sysClr val="windowText" lastClr="000000"/>
                </a:solidFill>
              </a:ln>
            </c:spPr>
          </c:dPt>
          <c:dPt>
            <c:idx val="3"/>
            <c:bubble3D val="0"/>
            <c:spPr>
              <a:solidFill>
                <a:srgbClr val="800000"/>
              </a:solidFill>
              <a:ln w="6350">
                <a:solidFill>
                  <a:sysClr val="windowText" lastClr="000000"/>
                </a:solidFill>
              </a:ln>
            </c:spPr>
          </c:dPt>
          <c:dPt>
            <c:idx val="4"/>
            <c:bubble3D val="0"/>
            <c:spPr>
              <a:solidFill>
                <a:srgbClr val="EEECE1">
                  <a:lumMod val="90000"/>
                </a:srgbClr>
              </a:solidFill>
              <a:ln w="6350">
                <a:solidFill>
                  <a:sysClr val="windowText" lastClr="000000"/>
                </a:solidFill>
              </a:ln>
            </c:spPr>
          </c:dPt>
          <c:dPt>
            <c:idx val="5"/>
            <c:bubble3D val="0"/>
            <c:spPr>
              <a:solidFill>
                <a:srgbClr val="EEECE1"/>
              </a:solidFill>
              <a:ln w="6350">
                <a:solidFill>
                  <a:sysClr val="windowText" lastClr="000000"/>
                </a:solidFill>
              </a:ln>
            </c:spPr>
          </c:dPt>
          <c:dLbls>
            <c:dLbl>
              <c:idx val="0"/>
              <c:layout>
                <c:manualLayout>
                  <c:x val="-2.5163388656463274E-2"/>
                  <c:y val="5.630780908360998E-2"/>
                </c:manualLayout>
              </c:layout>
              <c:dLblPos val="bestFit"/>
              <c:showLegendKey val="0"/>
              <c:showVal val="0"/>
              <c:showCatName val="0"/>
              <c:showSerName val="0"/>
              <c:showPercent val="1"/>
              <c:showBubbleSize val="0"/>
            </c:dLbl>
            <c:txPr>
              <a:bodyPr/>
              <a:lstStyle/>
              <a:p>
                <a:pPr>
                  <a:defRPr sz="900" b="0">
                    <a:solidFill>
                      <a:schemeClr val="tx1"/>
                    </a:solidFill>
                    <a:latin typeface="Times New Roman" pitchFamily="18" charset="0"/>
                    <a:cs typeface="Times New Roman" pitchFamily="18" charset="0"/>
                  </a:defRPr>
                </a:pPr>
                <a:endParaRPr lang="lv-LV"/>
              </a:p>
            </c:txPr>
            <c:dLblPos val="outEnd"/>
            <c:showLegendKey val="0"/>
            <c:showVal val="0"/>
            <c:showCatName val="0"/>
            <c:showSerName val="0"/>
            <c:showPercent val="1"/>
            <c:showBubbleSize val="0"/>
            <c:showLeaderLines val="0"/>
          </c:dLbls>
          <c:cat>
            <c:strRef>
              <c:f>Sheet1!$A$2:$A$5</c:f>
              <c:strCache>
                <c:ptCount val="4"/>
                <c:pt idx="0">
                  <c:v>Augsto tehnoloģiju nozares</c:v>
                </c:pt>
                <c:pt idx="1">
                  <c:v>Vidēji augsto tehnoloģiju nozares</c:v>
                </c:pt>
                <c:pt idx="2">
                  <c:v>Vidēji zemo tehnoloģiju nozares</c:v>
                </c:pt>
                <c:pt idx="3">
                  <c:v>Zemo tehnoloģiju nozares</c:v>
                </c:pt>
              </c:strCache>
            </c:strRef>
          </c:cat>
          <c:val>
            <c:numRef>
              <c:f>Sheet1!$B$2:$B$5</c:f>
              <c:numCache>
                <c:formatCode>0</c:formatCode>
                <c:ptCount val="4"/>
                <c:pt idx="0" formatCode="0.0">
                  <c:v>4.5</c:v>
                </c:pt>
                <c:pt idx="1">
                  <c:v>11</c:v>
                </c:pt>
                <c:pt idx="2">
                  <c:v>16.2</c:v>
                </c:pt>
                <c:pt idx="3">
                  <c:v>68.3</c:v>
                </c:pt>
              </c:numCache>
            </c:numRef>
          </c:val>
        </c:ser>
        <c:dLbls>
          <c:showLegendKey val="0"/>
          <c:showVal val="0"/>
          <c:showCatName val="0"/>
          <c:showSerName val="0"/>
          <c:showPercent val="0"/>
          <c:showBubbleSize val="0"/>
          <c:showLeaderLines val="0"/>
        </c:dLbls>
        <c:firstSliceAng val="0"/>
      </c:pieChart>
    </c:plotArea>
    <c:plotVisOnly val="1"/>
    <c:dispBlanksAs val="zero"/>
    <c:showDLblsOverMax val="0"/>
  </c:chart>
  <c:spPr>
    <a:ln>
      <a:noFill/>
    </a:ln>
  </c:spPr>
  <c:txPr>
    <a:bodyPr/>
    <a:lstStyle/>
    <a:p>
      <a:pPr>
        <a:defRPr sz="1800"/>
      </a:pPr>
      <a:endParaRPr lang="lv-LV"/>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241186067957728E-2"/>
          <c:y val="0.11291222958363685"/>
          <c:w val="0.60767053955389116"/>
          <c:h val="0.82182755789887485"/>
        </c:manualLayout>
      </c:layout>
      <c:pieChart>
        <c:varyColors val="1"/>
        <c:ser>
          <c:idx val="0"/>
          <c:order val="0"/>
          <c:tx>
            <c:strRef>
              <c:f>Sheet1!$B$1</c:f>
              <c:strCache>
                <c:ptCount val="1"/>
                <c:pt idx="0">
                  <c:v>2010</c:v>
                </c:pt>
              </c:strCache>
            </c:strRef>
          </c:tx>
          <c:spPr>
            <a:ln w="6350">
              <a:solidFill>
                <a:sysClr val="windowText" lastClr="000000"/>
              </a:solidFill>
            </a:ln>
          </c:spPr>
          <c:explosion val="5"/>
          <c:dPt>
            <c:idx val="0"/>
            <c:bubble3D val="0"/>
            <c:spPr>
              <a:solidFill>
                <a:srgbClr val="EEECE1">
                  <a:lumMod val="90000"/>
                </a:srgbClr>
              </a:solidFill>
              <a:ln w="6350">
                <a:solidFill>
                  <a:sysClr val="windowText" lastClr="000000"/>
                </a:solidFill>
              </a:ln>
            </c:spPr>
          </c:dPt>
          <c:dPt>
            <c:idx val="1"/>
            <c:bubble3D val="0"/>
            <c:spPr>
              <a:solidFill>
                <a:srgbClr val="EEECE1">
                  <a:lumMod val="75000"/>
                </a:srgbClr>
              </a:solidFill>
              <a:ln w="6350">
                <a:solidFill>
                  <a:sysClr val="windowText" lastClr="000000"/>
                </a:solidFill>
              </a:ln>
            </c:spPr>
          </c:dPt>
          <c:dPt>
            <c:idx val="2"/>
            <c:bubble3D val="0"/>
            <c:spPr>
              <a:solidFill>
                <a:srgbClr val="FF0000"/>
              </a:solidFill>
              <a:ln w="6350">
                <a:solidFill>
                  <a:sysClr val="windowText" lastClr="000000"/>
                </a:solidFill>
              </a:ln>
            </c:spPr>
          </c:dPt>
          <c:dPt>
            <c:idx val="3"/>
            <c:bubble3D val="0"/>
            <c:spPr>
              <a:solidFill>
                <a:srgbClr val="800000"/>
              </a:solidFill>
              <a:ln w="6350">
                <a:solidFill>
                  <a:sysClr val="windowText" lastClr="000000"/>
                </a:solidFill>
              </a:ln>
            </c:spPr>
          </c:dPt>
          <c:dPt>
            <c:idx val="4"/>
            <c:bubble3D val="0"/>
            <c:spPr>
              <a:solidFill>
                <a:srgbClr val="EEECE1">
                  <a:lumMod val="90000"/>
                </a:srgbClr>
              </a:solidFill>
              <a:ln w="6350">
                <a:solidFill>
                  <a:sysClr val="windowText" lastClr="000000"/>
                </a:solidFill>
              </a:ln>
            </c:spPr>
          </c:dPt>
          <c:dPt>
            <c:idx val="5"/>
            <c:bubble3D val="0"/>
            <c:spPr>
              <a:solidFill>
                <a:srgbClr val="EEECE1"/>
              </a:solidFill>
              <a:ln w="6350">
                <a:solidFill>
                  <a:sysClr val="windowText" lastClr="000000"/>
                </a:solidFill>
              </a:ln>
            </c:spPr>
          </c:dPt>
          <c:dLbls>
            <c:dLbl>
              <c:idx val="0"/>
              <c:layout>
                <c:manualLayout>
                  <c:x val="0"/>
                  <c:y val="1.1747430249632896E-2"/>
                </c:manualLayout>
              </c:layout>
              <c:dLblPos val="bestFit"/>
              <c:showLegendKey val="0"/>
              <c:showVal val="0"/>
              <c:showCatName val="0"/>
              <c:showSerName val="0"/>
              <c:showPercent val="1"/>
              <c:showBubbleSize val="0"/>
            </c:dLbl>
            <c:txPr>
              <a:bodyPr/>
              <a:lstStyle/>
              <a:p>
                <a:pPr>
                  <a:defRPr sz="900" b="0">
                    <a:solidFill>
                      <a:schemeClr val="tx1"/>
                    </a:solidFill>
                    <a:latin typeface="Times New Roman" pitchFamily="18" charset="0"/>
                    <a:cs typeface="Times New Roman" pitchFamily="18" charset="0"/>
                  </a:defRPr>
                </a:pPr>
                <a:endParaRPr lang="lv-LV"/>
              </a:p>
            </c:txPr>
            <c:dLblPos val="outEnd"/>
            <c:showLegendKey val="0"/>
            <c:showVal val="0"/>
            <c:showCatName val="0"/>
            <c:showSerName val="0"/>
            <c:showPercent val="1"/>
            <c:showBubbleSize val="0"/>
            <c:showLeaderLines val="0"/>
          </c:dLbls>
          <c:cat>
            <c:strRef>
              <c:f>Sheet1!$A$2:$A$5</c:f>
              <c:strCache>
                <c:ptCount val="4"/>
                <c:pt idx="0">
                  <c:v>Augsto tehnoloģiju nozares</c:v>
                </c:pt>
                <c:pt idx="1">
                  <c:v>Vidēji augsto tehnoloģiju nozares</c:v>
                </c:pt>
                <c:pt idx="2">
                  <c:v>Vidēji zemo tehnoloģiju nozares</c:v>
                </c:pt>
                <c:pt idx="3">
                  <c:v>Zemo tehnoloģiju nozares</c:v>
                </c:pt>
              </c:strCache>
            </c:strRef>
          </c:cat>
          <c:val>
            <c:numRef>
              <c:f>Sheet1!$B$2:$B$5</c:f>
              <c:numCache>
                <c:formatCode>0</c:formatCode>
                <c:ptCount val="4"/>
                <c:pt idx="0" formatCode="0.0">
                  <c:v>5.9</c:v>
                </c:pt>
                <c:pt idx="1">
                  <c:v>12.1</c:v>
                </c:pt>
                <c:pt idx="2">
                  <c:v>22</c:v>
                </c:pt>
                <c:pt idx="3">
                  <c:v>60</c:v>
                </c:pt>
              </c:numCache>
            </c:numRef>
          </c:val>
        </c:ser>
        <c:dLbls>
          <c:showLegendKey val="0"/>
          <c:showVal val="0"/>
          <c:showCatName val="0"/>
          <c:showSerName val="0"/>
          <c:showPercent val="0"/>
          <c:showBubbleSize val="0"/>
          <c:showLeaderLines val="0"/>
        </c:dLbls>
        <c:firstSliceAng val="0"/>
      </c:pieChart>
    </c:plotArea>
    <c:legend>
      <c:legendPos val="r"/>
      <c:layout>
        <c:manualLayout>
          <c:xMode val="edge"/>
          <c:yMode val="edge"/>
          <c:x val="0.66506722901525439"/>
          <c:y val="0.11821242848346986"/>
          <c:w val="0.3020381498365336"/>
          <c:h val="0.76357514303306029"/>
        </c:manualLayout>
      </c:layout>
      <c:overlay val="0"/>
      <c:txPr>
        <a:bodyPr/>
        <a:lstStyle/>
        <a:p>
          <a:pPr>
            <a:defRPr sz="900">
              <a:latin typeface="Times New Roman" pitchFamily="18" charset="0"/>
              <a:cs typeface="Times New Roman" pitchFamily="18" charset="0"/>
            </a:defRPr>
          </a:pPr>
          <a:endParaRPr lang="lv-LV"/>
        </a:p>
      </c:txPr>
    </c:legend>
    <c:plotVisOnly val="1"/>
    <c:dispBlanksAs val="zero"/>
    <c:showDLblsOverMax val="0"/>
  </c:chart>
  <c:spPr>
    <a:ln>
      <a:noFill/>
    </a:ln>
  </c:spPr>
  <c:txPr>
    <a:bodyPr/>
    <a:lstStyle/>
    <a:p>
      <a:pPr>
        <a:defRPr sz="1800"/>
      </a:pPr>
      <a:endParaRPr lang="lv-LV"/>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002405949256919E-2"/>
          <c:y val="0.13194823912397408"/>
          <c:w val="0.87644203849519142"/>
          <c:h val="0.67219900863529092"/>
        </c:manualLayout>
      </c:layout>
      <c:lineChart>
        <c:grouping val="standard"/>
        <c:varyColors val="0"/>
        <c:ser>
          <c:idx val="1"/>
          <c:order val="0"/>
          <c:tx>
            <c:strRef>
              <c:f>'R&amp;D'!$A$11</c:f>
              <c:strCache>
                <c:ptCount val="1"/>
                <c:pt idx="0">
                  <c:v>Igaunija</c:v>
                </c:pt>
              </c:strCache>
            </c:strRef>
          </c:tx>
          <c:spPr>
            <a:ln>
              <a:solidFill>
                <a:srgbClr val="002060"/>
              </a:solidFill>
            </a:ln>
          </c:spPr>
          <c:marker>
            <c:symbol val="square"/>
            <c:size val="5"/>
            <c:spPr>
              <a:solidFill>
                <a:srgbClr val="002060"/>
              </a:solidFill>
              <a:ln>
                <a:solidFill>
                  <a:srgbClr val="002060"/>
                </a:solidFill>
              </a:ln>
            </c:spPr>
          </c:marker>
          <c:cat>
            <c:strRef>
              <c:f>'R&amp;D'!$B$4:$M$4</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'R&amp;D'!$B$11:$M$11</c:f>
              <c:numCache>
                <c:formatCode>0.00</c:formatCode>
                <c:ptCount val="12"/>
                <c:pt idx="0">
                  <c:v>0.60000000000000064</c:v>
                </c:pt>
                <c:pt idx="1">
                  <c:v>0.70000000000000062</c:v>
                </c:pt>
                <c:pt idx="2">
                  <c:v>0.72000000000000064</c:v>
                </c:pt>
                <c:pt idx="3">
                  <c:v>0.77000000000000202</c:v>
                </c:pt>
                <c:pt idx="4">
                  <c:v>0.85000000000000064</c:v>
                </c:pt>
                <c:pt idx="5">
                  <c:v>0.93</c:v>
                </c:pt>
                <c:pt idx="6">
                  <c:v>1.1299999999999959</c:v>
                </c:pt>
                <c:pt idx="7">
                  <c:v>1.08</c:v>
                </c:pt>
                <c:pt idx="8">
                  <c:v>1.28</c:v>
                </c:pt>
                <c:pt idx="9">
                  <c:v>1.43</c:v>
                </c:pt>
                <c:pt idx="10">
                  <c:v>1.6300000000000001</c:v>
                </c:pt>
                <c:pt idx="11">
                  <c:v>2.38</c:v>
                </c:pt>
              </c:numCache>
            </c:numRef>
          </c:val>
          <c:smooth val="0"/>
        </c:ser>
        <c:ser>
          <c:idx val="2"/>
          <c:order val="1"/>
          <c:tx>
            <c:strRef>
              <c:f>'R&amp;D'!$A$18</c:f>
              <c:strCache>
                <c:ptCount val="1"/>
                <c:pt idx="0">
                  <c:v>Latvija</c:v>
                </c:pt>
              </c:strCache>
            </c:strRef>
          </c:tx>
          <c:spPr>
            <a:ln w="38100">
              <a:solidFill>
                <a:srgbClr val="C00000"/>
              </a:solidFill>
            </a:ln>
          </c:spPr>
          <c:marker>
            <c:symbol val="none"/>
          </c:marker>
          <c:cat>
            <c:strRef>
              <c:f>'R&amp;D'!$B$4:$M$4</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'R&amp;D'!$B$18:$M$18</c:f>
              <c:numCache>
                <c:formatCode>0.00</c:formatCode>
                <c:ptCount val="12"/>
                <c:pt idx="0">
                  <c:v>0.45</c:v>
                </c:pt>
                <c:pt idx="1">
                  <c:v>0.41000000000000031</c:v>
                </c:pt>
                <c:pt idx="2">
                  <c:v>0.42000000000000032</c:v>
                </c:pt>
                <c:pt idx="3">
                  <c:v>0.380000000000001</c:v>
                </c:pt>
                <c:pt idx="4">
                  <c:v>0.42000000000000032</c:v>
                </c:pt>
                <c:pt idx="5">
                  <c:v>0.56000000000000005</c:v>
                </c:pt>
                <c:pt idx="6">
                  <c:v>0.70000000000000062</c:v>
                </c:pt>
                <c:pt idx="7">
                  <c:v>0.60000000000000064</c:v>
                </c:pt>
                <c:pt idx="8">
                  <c:v>0.62000000000000177</c:v>
                </c:pt>
                <c:pt idx="9">
                  <c:v>0.46</c:v>
                </c:pt>
                <c:pt idx="10">
                  <c:v>0.60000000000000064</c:v>
                </c:pt>
                <c:pt idx="11">
                  <c:v>0.70000000000000062</c:v>
                </c:pt>
              </c:numCache>
            </c:numRef>
          </c:val>
          <c:smooth val="0"/>
        </c:ser>
        <c:ser>
          <c:idx val="3"/>
          <c:order val="2"/>
          <c:tx>
            <c:strRef>
              <c:f>'R&amp;D'!$A$19</c:f>
              <c:strCache>
                <c:ptCount val="1"/>
                <c:pt idx="0">
                  <c:v>Lietuva</c:v>
                </c:pt>
              </c:strCache>
            </c:strRef>
          </c:tx>
          <c:spPr>
            <a:ln>
              <a:solidFill>
                <a:srgbClr val="00B050"/>
              </a:solidFill>
            </a:ln>
          </c:spPr>
          <c:marker>
            <c:symbol val="triangle"/>
            <c:size val="5"/>
            <c:spPr>
              <a:solidFill>
                <a:srgbClr val="00B050"/>
              </a:solidFill>
              <a:ln>
                <a:solidFill>
                  <a:srgbClr val="00B050"/>
                </a:solidFill>
              </a:ln>
            </c:spPr>
          </c:marker>
          <c:cat>
            <c:strRef>
              <c:f>'R&amp;D'!$B$4:$M$4</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'R&amp;D'!$B$19:$M$19</c:f>
              <c:numCache>
                <c:formatCode>0.00</c:formatCode>
                <c:ptCount val="12"/>
                <c:pt idx="0">
                  <c:v>0.59</c:v>
                </c:pt>
                <c:pt idx="1">
                  <c:v>0.67000000000000226</c:v>
                </c:pt>
                <c:pt idx="2">
                  <c:v>0.66000000000000225</c:v>
                </c:pt>
                <c:pt idx="3">
                  <c:v>0.67000000000000226</c:v>
                </c:pt>
                <c:pt idx="4">
                  <c:v>0.75000000000000189</c:v>
                </c:pt>
                <c:pt idx="5">
                  <c:v>0.75000000000000189</c:v>
                </c:pt>
                <c:pt idx="6">
                  <c:v>0.79</c:v>
                </c:pt>
                <c:pt idx="7">
                  <c:v>0.81</c:v>
                </c:pt>
                <c:pt idx="8">
                  <c:v>0.8</c:v>
                </c:pt>
                <c:pt idx="9">
                  <c:v>0.84000000000000064</c:v>
                </c:pt>
                <c:pt idx="10">
                  <c:v>0.8</c:v>
                </c:pt>
                <c:pt idx="11">
                  <c:v>0.92</c:v>
                </c:pt>
              </c:numCache>
            </c:numRef>
          </c:val>
          <c:smooth val="0"/>
        </c:ser>
        <c:ser>
          <c:idx val="4"/>
          <c:order val="3"/>
          <c:tx>
            <c:strRef>
              <c:f>'R&amp;D'!$A$5</c:f>
              <c:strCache>
                <c:ptCount val="1"/>
                <c:pt idx="0">
                  <c:v>ES (27 valstis)</c:v>
                </c:pt>
              </c:strCache>
            </c:strRef>
          </c:tx>
          <c:spPr>
            <a:ln>
              <a:solidFill>
                <a:srgbClr val="00B0F0"/>
              </a:solidFill>
              <a:prstDash val="dash"/>
            </a:ln>
          </c:spPr>
          <c:marker>
            <c:symbol val="none"/>
          </c:marker>
          <c:cat>
            <c:strRef>
              <c:f>'R&amp;D'!$B$4:$M$4</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'R&amp;D'!$B$5:$M$5</c:f>
              <c:numCache>
                <c:formatCode>General</c:formatCode>
                <c:ptCount val="12"/>
                <c:pt idx="0">
                  <c:v>1.86</c:v>
                </c:pt>
                <c:pt idx="1">
                  <c:v>1.87</c:v>
                </c:pt>
                <c:pt idx="2">
                  <c:v>1.8800000000000001</c:v>
                </c:pt>
                <c:pt idx="3">
                  <c:v>1.87</c:v>
                </c:pt>
                <c:pt idx="4">
                  <c:v>1.83</c:v>
                </c:pt>
                <c:pt idx="5">
                  <c:v>1.82</c:v>
                </c:pt>
                <c:pt idx="6">
                  <c:v>1.85</c:v>
                </c:pt>
                <c:pt idx="7">
                  <c:v>1.85</c:v>
                </c:pt>
                <c:pt idx="8">
                  <c:v>1.9200000000000021</c:v>
                </c:pt>
                <c:pt idx="9">
                  <c:v>2.02</c:v>
                </c:pt>
                <c:pt idx="10">
                  <c:v>2.0099999999999998</c:v>
                </c:pt>
                <c:pt idx="11">
                  <c:v>2.0299999999999998</c:v>
                </c:pt>
              </c:numCache>
            </c:numRef>
          </c:val>
          <c:smooth val="0"/>
        </c:ser>
        <c:dLbls>
          <c:showLegendKey val="0"/>
          <c:showVal val="0"/>
          <c:showCatName val="0"/>
          <c:showSerName val="0"/>
          <c:showPercent val="0"/>
          <c:showBubbleSize val="0"/>
        </c:dLbls>
        <c:marker val="1"/>
        <c:smooth val="0"/>
        <c:axId val="167211008"/>
        <c:axId val="167212544"/>
      </c:lineChart>
      <c:catAx>
        <c:axId val="167211008"/>
        <c:scaling>
          <c:orientation val="minMax"/>
        </c:scaling>
        <c:delete val="0"/>
        <c:axPos val="b"/>
        <c:majorTickMark val="out"/>
        <c:minorTickMark val="none"/>
        <c:tickLblPos val="nextTo"/>
        <c:crossAx val="167212544"/>
        <c:crosses val="autoZero"/>
        <c:auto val="1"/>
        <c:lblAlgn val="ctr"/>
        <c:lblOffset val="100"/>
        <c:noMultiLvlLbl val="0"/>
      </c:catAx>
      <c:valAx>
        <c:axId val="167212544"/>
        <c:scaling>
          <c:orientation val="minMax"/>
        </c:scaling>
        <c:delete val="0"/>
        <c:axPos val="l"/>
        <c:majorGridlines/>
        <c:numFmt formatCode="0.00" sourceLinked="1"/>
        <c:majorTickMark val="out"/>
        <c:minorTickMark val="none"/>
        <c:tickLblPos val="nextTo"/>
        <c:crossAx val="167211008"/>
        <c:crosses val="autoZero"/>
        <c:crossBetween val="between"/>
      </c:valAx>
    </c:plotArea>
    <c:legend>
      <c:legendPos val="b"/>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rofile 9">
    <a:dk1>
      <a:srgbClr val="000000"/>
    </a:dk1>
    <a:lt1>
      <a:srgbClr val="FFFFFF"/>
    </a:lt1>
    <a:dk2>
      <a:srgbClr val="000000"/>
    </a:dk2>
    <a:lt2>
      <a:srgbClr val="DDDDDD"/>
    </a:lt2>
    <a:accent1>
      <a:srgbClr val="A3B2C1"/>
    </a:accent1>
    <a:accent2>
      <a:srgbClr val="CC0000"/>
    </a:accent2>
    <a:accent3>
      <a:srgbClr val="FFFFFF"/>
    </a:accent3>
    <a:accent4>
      <a:srgbClr val="000000"/>
    </a:accent4>
    <a:accent5>
      <a:srgbClr val="CED5DD"/>
    </a:accent5>
    <a:accent6>
      <a:srgbClr val="B90000"/>
    </a:accent6>
    <a:hlink>
      <a:srgbClr val="336699"/>
    </a:hlink>
    <a:folHlink>
      <a:srgbClr val="003366"/>
    </a:folHlink>
  </a:clrScheme>
  <a:fontScheme name="Profil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rofile 9">
    <a:dk1>
      <a:srgbClr val="000000"/>
    </a:dk1>
    <a:lt1>
      <a:srgbClr val="FFFFFF"/>
    </a:lt1>
    <a:dk2>
      <a:srgbClr val="000000"/>
    </a:dk2>
    <a:lt2>
      <a:srgbClr val="DDDDDD"/>
    </a:lt2>
    <a:accent1>
      <a:srgbClr val="A3B2C1"/>
    </a:accent1>
    <a:accent2>
      <a:srgbClr val="CC0000"/>
    </a:accent2>
    <a:accent3>
      <a:srgbClr val="FFFFFF"/>
    </a:accent3>
    <a:accent4>
      <a:srgbClr val="000000"/>
    </a:accent4>
    <a:accent5>
      <a:srgbClr val="CED5DD"/>
    </a:accent5>
    <a:accent6>
      <a:srgbClr val="B90000"/>
    </a:accent6>
    <a:hlink>
      <a:srgbClr val="336699"/>
    </a:hlink>
    <a:folHlink>
      <a:srgbClr val="003366"/>
    </a:folHlink>
  </a:clrScheme>
  <a:fontScheme name="Profil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A116F-F883-4623-AB7F-92B915DA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3828</TotalTime>
  <Pages>1</Pages>
  <Words>55326</Words>
  <Characters>31537</Characters>
  <Application>Microsoft Office Word</Application>
  <DocSecurity>0</DocSecurity>
  <Lines>262</Lines>
  <Paragraphs>173</Paragraphs>
  <ScaleCrop>false</ScaleCrop>
  <HeadingPairs>
    <vt:vector size="2" baseType="variant">
      <vt:variant>
        <vt:lpstr>Title</vt:lpstr>
      </vt:variant>
      <vt:variant>
        <vt:i4>1</vt:i4>
      </vt:variant>
    </vt:vector>
  </HeadingPairs>
  <TitlesOfParts>
    <vt:vector size="1" baseType="lpstr">
      <vt:lpstr>Informatīvais ziņojums par uzņēmumu ienākuma nodokļa atvieglojumu fiskālo un ekonomisko ietekmi uz tautsaimniecību un to efektivitāti</vt:lpstr>
    </vt:vector>
  </TitlesOfParts>
  <Company>Finanšu ministrija</Company>
  <LinksUpToDate>false</LinksUpToDate>
  <CharactersWithSpaces>86690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uzņēmumu ienākuma nodokļa atvieglojumu fiskālo un ekonomisko ietekmi uz tautsaimniecību un to efektivitāti</dc:title>
  <dc:subject>Informatīvais ziņojums</dc:subject>
  <dc:creator>I.Vaļģe</dc:creator>
  <dc:description>Inna.Valge@fm.gov.lv
67095528</dc:description>
  <cp:lastModifiedBy>Finanšu Ministrija</cp:lastModifiedBy>
  <cp:revision>93</cp:revision>
  <cp:lastPrinted>2013-06-27T13:16:00Z</cp:lastPrinted>
  <dcterms:created xsi:type="dcterms:W3CDTF">2013-02-27T07:11:00Z</dcterms:created>
  <dcterms:modified xsi:type="dcterms:W3CDTF">2013-06-28T06:32:00Z</dcterms:modified>
</cp:coreProperties>
</file>