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9A" w:rsidRDefault="00A71F9A" w:rsidP="00A71F9A">
      <w:pPr>
        <w:pStyle w:val="Footer"/>
        <w:jc w:val="center"/>
        <w:rPr>
          <w:b/>
          <w:szCs w:val="28"/>
        </w:rPr>
      </w:pPr>
      <w:r w:rsidRPr="00A71F9A">
        <w:rPr>
          <w:b/>
          <w:szCs w:val="28"/>
        </w:rPr>
        <w:t>Informatīvajā ziņojumā „Par priekšlikumiem nekustamā īpašuma nodokļa piemērošanai 2012.gadā un turpmākajos gados” ietverto pasākumu īstenošanai paralēli veicamie pasākumi</w:t>
      </w:r>
    </w:p>
    <w:p w:rsidR="00810686" w:rsidRPr="00A71F9A" w:rsidRDefault="00810686" w:rsidP="00A71F9A">
      <w:pPr>
        <w:pStyle w:val="Footer"/>
        <w:jc w:val="center"/>
        <w:rPr>
          <w:b/>
          <w:szCs w:val="28"/>
        </w:rPr>
      </w:pPr>
    </w:p>
    <w:p w:rsidR="0080545A" w:rsidRPr="00DD24B6" w:rsidRDefault="0080545A">
      <w:pPr>
        <w:rPr>
          <w:sz w:val="16"/>
          <w:szCs w:val="16"/>
        </w:rPr>
      </w:pPr>
    </w:p>
    <w:tbl>
      <w:tblPr>
        <w:tblStyle w:val="TableGrid"/>
        <w:tblW w:w="0" w:type="auto"/>
        <w:tblLayout w:type="fixed"/>
        <w:tblLook w:val="04A0" w:firstRow="1" w:lastRow="0" w:firstColumn="1" w:lastColumn="0" w:noHBand="0" w:noVBand="1"/>
      </w:tblPr>
      <w:tblGrid>
        <w:gridCol w:w="534"/>
        <w:gridCol w:w="5103"/>
        <w:gridCol w:w="850"/>
        <w:gridCol w:w="1276"/>
        <w:gridCol w:w="1524"/>
      </w:tblGrid>
      <w:tr w:rsidR="0048570B" w:rsidTr="0048570B">
        <w:tc>
          <w:tcPr>
            <w:tcW w:w="534" w:type="dxa"/>
            <w:vAlign w:val="center"/>
          </w:tcPr>
          <w:p w:rsidR="00C90DA8" w:rsidRPr="0048570B" w:rsidRDefault="00C90DA8" w:rsidP="0048570B">
            <w:pPr>
              <w:jc w:val="center"/>
              <w:rPr>
                <w:sz w:val="20"/>
                <w:szCs w:val="20"/>
              </w:rPr>
            </w:pPr>
            <w:proofErr w:type="spellStart"/>
            <w:r w:rsidRPr="0048570B">
              <w:rPr>
                <w:sz w:val="20"/>
                <w:szCs w:val="20"/>
              </w:rPr>
              <w:t>Nr</w:t>
            </w:r>
            <w:proofErr w:type="spellEnd"/>
            <w:r w:rsidRPr="0048570B">
              <w:rPr>
                <w:sz w:val="20"/>
                <w:szCs w:val="20"/>
              </w:rPr>
              <w:t>.</w:t>
            </w:r>
          </w:p>
        </w:tc>
        <w:tc>
          <w:tcPr>
            <w:tcW w:w="5103" w:type="dxa"/>
            <w:vAlign w:val="center"/>
          </w:tcPr>
          <w:p w:rsidR="00C90DA8" w:rsidRPr="0048570B" w:rsidRDefault="00C90DA8" w:rsidP="0048570B">
            <w:pPr>
              <w:jc w:val="center"/>
              <w:rPr>
                <w:sz w:val="20"/>
                <w:szCs w:val="20"/>
              </w:rPr>
            </w:pPr>
            <w:r w:rsidRPr="0048570B">
              <w:rPr>
                <w:sz w:val="20"/>
                <w:szCs w:val="20"/>
              </w:rPr>
              <w:t>Pasākums</w:t>
            </w:r>
          </w:p>
        </w:tc>
        <w:tc>
          <w:tcPr>
            <w:tcW w:w="850" w:type="dxa"/>
            <w:vAlign w:val="center"/>
          </w:tcPr>
          <w:p w:rsidR="00C90DA8" w:rsidRPr="0048570B" w:rsidRDefault="00C90DA8" w:rsidP="0048570B">
            <w:pPr>
              <w:jc w:val="center"/>
              <w:rPr>
                <w:sz w:val="20"/>
                <w:szCs w:val="20"/>
              </w:rPr>
            </w:pPr>
            <w:r w:rsidRPr="0048570B">
              <w:rPr>
                <w:sz w:val="20"/>
                <w:szCs w:val="20"/>
              </w:rPr>
              <w:t>Izpildes termiņš</w:t>
            </w:r>
          </w:p>
        </w:tc>
        <w:tc>
          <w:tcPr>
            <w:tcW w:w="1276" w:type="dxa"/>
            <w:vAlign w:val="center"/>
          </w:tcPr>
          <w:p w:rsidR="00C90DA8" w:rsidRPr="0048570B" w:rsidRDefault="00C90DA8" w:rsidP="0048570B">
            <w:pPr>
              <w:jc w:val="center"/>
              <w:rPr>
                <w:sz w:val="20"/>
                <w:szCs w:val="20"/>
              </w:rPr>
            </w:pPr>
            <w:r w:rsidRPr="0048570B">
              <w:rPr>
                <w:sz w:val="20"/>
                <w:szCs w:val="20"/>
              </w:rPr>
              <w:t>Atbildīgā institūcija</w:t>
            </w:r>
          </w:p>
        </w:tc>
        <w:tc>
          <w:tcPr>
            <w:tcW w:w="1524" w:type="dxa"/>
            <w:vAlign w:val="center"/>
          </w:tcPr>
          <w:p w:rsidR="00C90DA8" w:rsidRPr="0048570B" w:rsidRDefault="00C90DA8" w:rsidP="0048570B">
            <w:pPr>
              <w:jc w:val="center"/>
              <w:rPr>
                <w:sz w:val="20"/>
                <w:szCs w:val="20"/>
              </w:rPr>
            </w:pPr>
            <w:r w:rsidRPr="0048570B">
              <w:rPr>
                <w:sz w:val="20"/>
                <w:szCs w:val="20"/>
              </w:rPr>
              <w:t>Nepieciešamais finansējums (</w:t>
            </w:r>
            <w:proofErr w:type="spellStart"/>
            <w:r w:rsidRPr="0048570B">
              <w:rPr>
                <w:sz w:val="20"/>
                <w:szCs w:val="20"/>
              </w:rPr>
              <w:t>tūkst</w:t>
            </w:r>
            <w:proofErr w:type="spellEnd"/>
            <w:r w:rsidRPr="0048570B">
              <w:rPr>
                <w:sz w:val="20"/>
                <w:szCs w:val="20"/>
              </w:rPr>
              <w:t>. Ls)</w:t>
            </w:r>
          </w:p>
        </w:tc>
      </w:tr>
      <w:tr w:rsidR="0048570B" w:rsidTr="0048570B">
        <w:tc>
          <w:tcPr>
            <w:tcW w:w="534" w:type="dxa"/>
          </w:tcPr>
          <w:p w:rsidR="00C90DA8" w:rsidRPr="0048570B" w:rsidRDefault="00C90DA8" w:rsidP="00A71F9A">
            <w:pPr>
              <w:jc w:val="center"/>
              <w:rPr>
                <w:sz w:val="24"/>
                <w:szCs w:val="24"/>
              </w:rPr>
            </w:pPr>
            <w:r w:rsidRPr="0048570B">
              <w:rPr>
                <w:sz w:val="24"/>
                <w:szCs w:val="24"/>
              </w:rPr>
              <w:t>1.</w:t>
            </w:r>
          </w:p>
        </w:tc>
        <w:tc>
          <w:tcPr>
            <w:tcW w:w="5103" w:type="dxa"/>
          </w:tcPr>
          <w:p w:rsidR="004E128B" w:rsidRPr="0048570B" w:rsidRDefault="00C90DA8" w:rsidP="00ED2DEF">
            <w:pPr>
              <w:jc w:val="both"/>
              <w:rPr>
                <w:sz w:val="24"/>
                <w:szCs w:val="24"/>
              </w:rPr>
            </w:pPr>
            <w:r w:rsidRPr="0048570B">
              <w:rPr>
                <w:sz w:val="24"/>
                <w:szCs w:val="24"/>
              </w:rPr>
              <w:t xml:space="preserve">Pasākumu komplekss </w:t>
            </w:r>
            <w:r w:rsidR="00502709" w:rsidRPr="0048570B">
              <w:rPr>
                <w:sz w:val="24"/>
                <w:szCs w:val="24"/>
              </w:rPr>
              <w:t>kadastra datu precizēšanai attiecībā uz dzīvojamo māju palīgēkām</w:t>
            </w:r>
            <w:r w:rsidR="004E128B" w:rsidRPr="0048570B">
              <w:rPr>
                <w:sz w:val="24"/>
                <w:szCs w:val="24"/>
              </w:rPr>
              <w:t>:</w:t>
            </w:r>
          </w:p>
          <w:p w:rsidR="004E128B" w:rsidRPr="0048570B" w:rsidRDefault="004E128B" w:rsidP="00ED2DEF">
            <w:pPr>
              <w:pStyle w:val="ListParagraph"/>
              <w:numPr>
                <w:ilvl w:val="0"/>
                <w:numId w:val="1"/>
              </w:numPr>
              <w:rPr>
                <w:sz w:val="24"/>
                <w:szCs w:val="24"/>
              </w:rPr>
            </w:pPr>
            <w:r w:rsidRPr="0048570B">
              <w:rPr>
                <w:sz w:val="24"/>
                <w:szCs w:val="24"/>
              </w:rPr>
              <w:t>informatīva kampaņa;</w:t>
            </w:r>
          </w:p>
          <w:p w:rsidR="004E128B" w:rsidRPr="0048570B" w:rsidRDefault="00A62A8A" w:rsidP="00ED2DEF">
            <w:pPr>
              <w:pStyle w:val="ListParagraph"/>
              <w:numPr>
                <w:ilvl w:val="0"/>
                <w:numId w:val="1"/>
              </w:numPr>
              <w:rPr>
                <w:sz w:val="24"/>
                <w:szCs w:val="24"/>
              </w:rPr>
            </w:pPr>
            <w:r w:rsidRPr="0048570B">
              <w:rPr>
                <w:sz w:val="24"/>
                <w:szCs w:val="24"/>
              </w:rPr>
              <w:t xml:space="preserve">abpusēja informācijas apmaiņa starp nodokļa administrāciju un </w:t>
            </w:r>
            <w:r w:rsidR="004E128B" w:rsidRPr="0048570B">
              <w:rPr>
                <w:sz w:val="24"/>
                <w:szCs w:val="24"/>
              </w:rPr>
              <w:t>nodokļa maksātājiem;</w:t>
            </w:r>
          </w:p>
          <w:p w:rsidR="00C90DA8" w:rsidRPr="0048570B" w:rsidRDefault="004E128B" w:rsidP="00ED2DEF">
            <w:pPr>
              <w:pStyle w:val="ListParagraph"/>
              <w:numPr>
                <w:ilvl w:val="0"/>
                <w:numId w:val="1"/>
              </w:numPr>
              <w:rPr>
                <w:sz w:val="24"/>
                <w:szCs w:val="24"/>
              </w:rPr>
            </w:pPr>
            <w:r w:rsidRPr="0048570B">
              <w:rPr>
                <w:sz w:val="24"/>
                <w:szCs w:val="24"/>
              </w:rPr>
              <w:t>kadastra reģistra datu aktualizēšana vai dzēšana.</w:t>
            </w:r>
          </w:p>
        </w:tc>
        <w:tc>
          <w:tcPr>
            <w:tcW w:w="850" w:type="dxa"/>
          </w:tcPr>
          <w:p w:rsidR="00C90DA8" w:rsidRPr="0048570B" w:rsidRDefault="00F25F65" w:rsidP="0048570B">
            <w:pPr>
              <w:jc w:val="center"/>
              <w:rPr>
                <w:sz w:val="24"/>
                <w:szCs w:val="24"/>
              </w:rPr>
            </w:pPr>
            <w:r w:rsidRPr="0048570B">
              <w:rPr>
                <w:sz w:val="24"/>
                <w:szCs w:val="24"/>
              </w:rPr>
              <w:t>2012</w:t>
            </w:r>
            <w:r w:rsidR="00C90DA8" w:rsidRPr="0048570B">
              <w:rPr>
                <w:sz w:val="24"/>
                <w:szCs w:val="24"/>
              </w:rPr>
              <w:t>.</w:t>
            </w:r>
          </w:p>
        </w:tc>
        <w:tc>
          <w:tcPr>
            <w:tcW w:w="1276" w:type="dxa"/>
          </w:tcPr>
          <w:p w:rsidR="00C90DA8" w:rsidRPr="0048570B" w:rsidRDefault="0048570B" w:rsidP="00C90DA8">
            <w:pPr>
              <w:jc w:val="center"/>
              <w:rPr>
                <w:sz w:val="24"/>
                <w:szCs w:val="24"/>
              </w:rPr>
            </w:pPr>
            <w:r>
              <w:rPr>
                <w:sz w:val="24"/>
                <w:szCs w:val="24"/>
              </w:rPr>
              <w:t xml:space="preserve">TM, </w:t>
            </w:r>
            <w:r w:rsidR="00C90DA8" w:rsidRPr="0048570B">
              <w:rPr>
                <w:sz w:val="24"/>
                <w:szCs w:val="24"/>
              </w:rPr>
              <w:t>LPS</w:t>
            </w:r>
          </w:p>
        </w:tc>
        <w:tc>
          <w:tcPr>
            <w:tcW w:w="1524" w:type="dxa"/>
          </w:tcPr>
          <w:p w:rsidR="00C90DA8" w:rsidRPr="0048570B" w:rsidRDefault="00C90DA8" w:rsidP="00C90DA8">
            <w:pPr>
              <w:jc w:val="center"/>
              <w:rPr>
                <w:sz w:val="24"/>
                <w:szCs w:val="24"/>
              </w:rPr>
            </w:pPr>
            <w:r w:rsidRPr="0048570B">
              <w:rPr>
                <w:sz w:val="24"/>
                <w:szCs w:val="24"/>
              </w:rPr>
              <w:t>200</w:t>
            </w:r>
          </w:p>
        </w:tc>
      </w:tr>
      <w:tr w:rsidR="0048570B" w:rsidTr="0048570B">
        <w:tc>
          <w:tcPr>
            <w:tcW w:w="534" w:type="dxa"/>
          </w:tcPr>
          <w:p w:rsidR="00C90DA8" w:rsidRPr="0048570B" w:rsidRDefault="00C90DA8" w:rsidP="00A71F9A">
            <w:pPr>
              <w:jc w:val="center"/>
              <w:rPr>
                <w:sz w:val="24"/>
                <w:szCs w:val="24"/>
              </w:rPr>
            </w:pPr>
            <w:r w:rsidRPr="0048570B">
              <w:rPr>
                <w:sz w:val="24"/>
                <w:szCs w:val="24"/>
              </w:rPr>
              <w:t>2.</w:t>
            </w:r>
          </w:p>
        </w:tc>
        <w:tc>
          <w:tcPr>
            <w:tcW w:w="5103" w:type="dxa"/>
          </w:tcPr>
          <w:p w:rsidR="00C90DA8" w:rsidRPr="0048570B" w:rsidRDefault="00BF0BA8" w:rsidP="00BF0BA8">
            <w:pPr>
              <w:rPr>
                <w:sz w:val="24"/>
                <w:szCs w:val="24"/>
              </w:rPr>
            </w:pPr>
            <w:r w:rsidRPr="0048570B">
              <w:rPr>
                <w:sz w:val="24"/>
                <w:szCs w:val="24"/>
              </w:rPr>
              <w:t xml:space="preserve">VZD rīcībā esošo pilnās tehniskās inventarizācijas datu </w:t>
            </w:r>
            <w:proofErr w:type="spellStart"/>
            <w:r w:rsidRPr="0048570B">
              <w:rPr>
                <w:sz w:val="24"/>
                <w:szCs w:val="24"/>
              </w:rPr>
              <w:t>digitalizācija</w:t>
            </w:r>
            <w:proofErr w:type="spellEnd"/>
          </w:p>
        </w:tc>
        <w:tc>
          <w:tcPr>
            <w:tcW w:w="850" w:type="dxa"/>
          </w:tcPr>
          <w:p w:rsidR="00C90DA8" w:rsidRPr="0048570B" w:rsidRDefault="00BF0BA8" w:rsidP="0048570B">
            <w:pPr>
              <w:jc w:val="center"/>
              <w:rPr>
                <w:sz w:val="24"/>
                <w:szCs w:val="24"/>
              </w:rPr>
            </w:pPr>
            <w:r w:rsidRPr="0048570B">
              <w:rPr>
                <w:sz w:val="24"/>
                <w:szCs w:val="24"/>
              </w:rPr>
              <w:t>2011.</w:t>
            </w:r>
          </w:p>
        </w:tc>
        <w:tc>
          <w:tcPr>
            <w:tcW w:w="1276" w:type="dxa"/>
          </w:tcPr>
          <w:p w:rsidR="00C90DA8" w:rsidRPr="0048570B" w:rsidRDefault="00BF0BA8" w:rsidP="00BF0BA8">
            <w:pPr>
              <w:jc w:val="center"/>
              <w:rPr>
                <w:sz w:val="24"/>
                <w:szCs w:val="24"/>
              </w:rPr>
            </w:pPr>
            <w:r w:rsidRPr="0048570B">
              <w:rPr>
                <w:sz w:val="24"/>
                <w:szCs w:val="24"/>
              </w:rPr>
              <w:t>TM</w:t>
            </w:r>
          </w:p>
        </w:tc>
        <w:tc>
          <w:tcPr>
            <w:tcW w:w="1524" w:type="dxa"/>
          </w:tcPr>
          <w:p w:rsidR="00C90DA8" w:rsidRPr="0048570B" w:rsidRDefault="00BF0BA8" w:rsidP="00BF0BA8">
            <w:pPr>
              <w:jc w:val="center"/>
              <w:rPr>
                <w:sz w:val="24"/>
                <w:szCs w:val="24"/>
              </w:rPr>
            </w:pPr>
            <w:r w:rsidRPr="0048570B">
              <w:rPr>
                <w:sz w:val="24"/>
                <w:szCs w:val="24"/>
              </w:rPr>
              <w:t>122</w:t>
            </w:r>
          </w:p>
        </w:tc>
      </w:tr>
      <w:tr w:rsidR="00BC486B" w:rsidTr="0048570B">
        <w:tc>
          <w:tcPr>
            <w:tcW w:w="534" w:type="dxa"/>
          </w:tcPr>
          <w:p w:rsidR="00BC486B" w:rsidRPr="0048570B" w:rsidRDefault="00BC486B" w:rsidP="0059633B">
            <w:pPr>
              <w:jc w:val="center"/>
              <w:rPr>
                <w:sz w:val="24"/>
                <w:szCs w:val="24"/>
              </w:rPr>
            </w:pPr>
            <w:r>
              <w:rPr>
                <w:sz w:val="24"/>
                <w:szCs w:val="24"/>
              </w:rPr>
              <w:t>3.</w:t>
            </w:r>
          </w:p>
        </w:tc>
        <w:tc>
          <w:tcPr>
            <w:tcW w:w="5103" w:type="dxa"/>
          </w:tcPr>
          <w:p w:rsidR="00BC486B" w:rsidRPr="0048570B" w:rsidRDefault="00BC486B" w:rsidP="0059633B">
            <w:pPr>
              <w:jc w:val="both"/>
              <w:rPr>
                <w:sz w:val="24"/>
                <w:szCs w:val="24"/>
              </w:rPr>
            </w:pPr>
            <w:r>
              <w:rPr>
                <w:sz w:val="24"/>
                <w:szCs w:val="24"/>
              </w:rPr>
              <w:t>Zemesgrāmatu datu sinhronizācija ar kadastra datiem</w:t>
            </w:r>
            <w:r w:rsidR="00DD24B6">
              <w:rPr>
                <w:sz w:val="24"/>
                <w:szCs w:val="24"/>
              </w:rPr>
              <w:t>.</w:t>
            </w:r>
          </w:p>
        </w:tc>
        <w:tc>
          <w:tcPr>
            <w:tcW w:w="850" w:type="dxa"/>
          </w:tcPr>
          <w:p w:rsidR="00BC486B" w:rsidRPr="0048570B" w:rsidRDefault="00BC486B" w:rsidP="0048570B">
            <w:pPr>
              <w:jc w:val="center"/>
              <w:rPr>
                <w:sz w:val="24"/>
                <w:szCs w:val="24"/>
              </w:rPr>
            </w:pPr>
            <w:r>
              <w:rPr>
                <w:sz w:val="24"/>
                <w:szCs w:val="24"/>
              </w:rPr>
              <w:t>2011.</w:t>
            </w:r>
          </w:p>
        </w:tc>
        <w:tc>
          <w:tcPr>
            <w:tcW w:w="1276" w:type="dxa"/>
          </w:tcPr>
          <w:p w:rsidR="00BC486B" w:rsidRPr="0048570B" w:rsidRDefault="00BC486B" w:rsidP="0059633B">
            <w:pPr>
              <w:jc w:val="center"/>
              <w:rPr>
                <w:sz w:val="24"/>
                <w:szCs w:val="24"/>
              </w:rPr>
            </w:pPr>
            <w:r>
              <w:rPr>
                <w:sz w:val="24"/>
                <w:szCs w:val="24"/>
              </w:rPr>
              <w:t>TM</w:t>
            </w:r>
          </w:p>
        </w:tc>
        <w:tc>
          <w:tcPr>
            <w:tcW w:w="1524" w:type="dxa"/>
          </w:tcPr>
          <w:p w:rsidR="00BC486B" w:rsidRPr="0048570B" w:rsidRDefault="00BC486B" w:rsidP="0059633B">
            <w:pPr>
              <w:jc w:val="center"/>
              <w:rPr>
                <w:sz w:val="24"/>
                <w:szCs w:val="24"/>
              </w:rPr>
            </w:pPr>
            <w:r>
              <w:rPr>
                <w:sz w:val="24"/>
                <w:szCs w:val="24"/>
              </w:rPr>
              <w:t>14</w:t>
            </w:r>
          </w:p>
        </w:tc>
      </w:tr>
      <w:tr w:rsidR="009F5055" w:rsidTr="0048570B">
        <w:tc>
          <w:tcPr>
            <w:tcW w:w="534" w:type="dxa"/>
          </w:tcPr>
          <w:p w:rsidR="009F5055" w:rsidRPr="0048570B" w:rsidRDefault="00BC486B" w:rsidP="0059633B">
            <w:pPr>
              <w:jc w:val="center"/>
              <w:rPr>
                <w:sz w:val="24"/>
                <w:szCs w:val="24"/>
              </w:rPr>
            </w:pPr>
            <w:r>
              <w:rPr>
                <w:sz w:val="24"/>
                <w:szCs w:val="24"/>
              </w:rPr>
              <w:t>4</w:t>
            </w:r>
            <w:r w:rsidR="009F5055" w:rsidRPr="0048570B">
              <w:rPr>
                <w:sz w:val="24"/>
                <w:szCs w:val="24"/>
              </w:rPr>
              <w:t>.</w:t>
            </w:r>
          </w:p>
        </w:tc>
        <w:tc>
          <w:tcPr>
            <w:tcW w:w="5103" w:type="dxa"/>
          </w:tcPr>
          <w:p w:rsidR="009F5055" w:rsidRPr="0048570B" w:rsidRDefault="009F5055" w:rsidP="0059633B">
            <w:pPr>
              <w:jc w:val="both"/>
              <w:rPr>
                <w:sz w:val="24"/>
                <w:szCs w:val="24"/>
              </w:rPr>
            </w:pPr>
            <w:r w:rsidRPr="0048570B">
              <w:rPr>
                <w:sz w:val="24"/>
                <w:szCs w:val="24"/>
              </w:rPr>
              <w:t>Ieviest sistēmu, ka īres (nomas) līgumi ir bez maksas reģistrējami kadastrā, vienlaicīgi nodrošinot to automātisku sasaisti ar kadastrā reģistrētu telpu grupu, vai, nepieciešamības gadījumā, ar citām valsts vai pašvaldību informācijas sistēmām.</w:t>
            </w:r>
          </w:p>
        </w:tc>
        <w:tc>
          <w:tcPr>
            <w:tcW w:w="850" w:type="dxa"/>
          </w:tcPr>
          <w:p w:rsidR="009F5055" w:rsidRPr="0048570B" w:rsidRDefault="009F5055" w:rsidP="0048570B">
            <w:pPr>
              <w:jc w:val="center"/>
              <w:rPr>
                <w:sz w:val="24"/>
                <w:szCs w:val="24"/>
              </w:rPr>
            </w:pPr>
            <w:r w:rsidRPr="0048570B">
              <w:rPr>
                <w:sz w:val="24"/>
                <w:szCs w:val="24"/>
              </w:rPr>
              <w:t>2012.</w:t>
            </w:r>
          </w:p>
        </w:tc>
        <w:tc>
          <w:tcPr>
            <w:tcW w:w="1276" w:type="dxa"/>
          </w:tcPr>
          <w:p w:rsidR="009F5055" w:rsidRPr="0048570B" w:rsidRDefault="009F5055" w:rsidP="0059633B">
            <w:pPr>
              <w:jc w:val="center"/>
              <w:rPr>
                <w:sz w:val="24"/>
                <w:szCs w:val="24"/>
              </w:rPr>
            </w:pPr>
            <w:r w:rsidRPr="0048570B">
              <w:rPr>
                <w:sz w:val="24"/>
                <w:szCs w:val="24"/>
              </w:rPr>
              <w:t>TM</w:t>
            </w:r>
          </w:p>
        </w:tc>
        <w:tc>
          <w:tcPr>
            <w:tcW w:w="1524" w:type="dxa"/>
          </w:tcPr>
          <w:p w:rsidR="009F5055" w:rsidRPr="0048570B" w:rsidRDefault="009F5055" w:rsidP="0059633B">
            <w:pPr>
              <w:jc w:val="center"/>
              <w:rPr>
                <w:sz w:val="24"/>
                <w:szCs w:val="24"/>
              </w:rPr>
            </w:pPr>
            <w:r w:rsidRPr="0048570B">
              <w:rPr>
                <w:sz w:val="24"/>
                <w:szCs w:val="24"/>
              </w:rPr>
              <w:t>TM veic aprēķinu</w:t>
            </w:r>
          </w:p>
        </w:tc>
      </w:tr>
      <w:tr w:rsidR="0048570B" w:rsidTr="0048570B">
        <w:tc>
          <w:tcPr>
            <w:tcW w:w="534" w:type="dxa"/>
          </w:tcPr>
          <w:p w:rsidR="009F5055" w:rsidRPr="0048570B" w:rsidRDefault="00BC486B" w:rsidP="00A71F9A">
            <w:pPr>
              <w:jc w:val="center"/>
              <w:rPr>
                <w:sz w:val="24"/>
                <w:szCs w:val="24"/>
              </w:rPr>
            </w:pPr>
            <w:r>
              <w:rPr>
                <w:sz w:val="24"/>
                <w:szCs w:val="24"/>
              </w:rPr>
              <w:t>5</w:t>
            </w:r>
            <w:r w:rsidR="009F5055" w:rsidRPr="0048570B">
              <w:rPr>
                <w:sz w:val="24"/>
                <w:szCs w:val="24"/>
              </w:rPr>
              <w:t>.</w:t>
            </w:r>
          </w:p>
        </w:tc>
        <w:tc>
          <w:tcPr>
            <w:tcW w:w="5103" w:type="dxa"/>
          </w:tcPr>
          <w:p w:rsidR="009F5055" w:rsidRPr="0048570B" w:rsidRDefault="009F5055" w:rsidP="00ED2DEF">
            <w:pPr>
              <w:jc w:val="both"/>
              <w:rPr>
                <w:sz w:val="24"/>
                <w:szCs w:val="24"/>
              </w:rPr>
            </w:pPr>
            <w:r w:rsidRPr="0048570B">
              <w:rPr>
                <w:sz w:val="24"/>
                <w:szCs w:val="24"/>
              </w:rPr>
              <w:t>Likumdošanā jāparedz termiņš, līdz kuram jāreģistrē īpašuma tiesības par būvēm ar nenoskaidrotu piederību (par īpašnieku nav datu kadastra reģistrā), un to, ka pēc šī termiņa minētās būves pāriet zemes īpašnieka īpašumā.</w:t>
            </w:r>
          </w:p>
        </w:tc>
        <w:tc>
          <w:tcPr>
            <w:tcW w:w="850" w:type="dxa"/>
          </w:tcPr>
          <w:p w:rsidR="009F5055" w:rsidRPr="0048570B" w:rsidRDefault="009F5055" w:rsidP="0048570B">
            <w:pPr>
              <w:jc w:val="center"/>
              <w:rPr>
                <w:sz w:val="24"/>
                <w:szCs w:val="24"/>
              </w:rPr>
            </w:pPr>
            <w:r w:rsidRPr="0048570B">
              <w:rPr>
                <w:sz w:val="24"/>
                <w:szCs w:val="24"/>
              </w:rPr>
              <w:t>2011.</w:t>
            </w:r>
          </w:p>
        </w:tc>
        <w:tc>
          <w:tcPr>
            <w:tcW w:w="1276" w:type="dxa"/>
          </w:tcPr>
          <w:p w:rsidR="009F5055" w:rsidRPr="0048570B" w:rsidRDefault="009F5055" w:rsidP="0043764E">
            <w:pPr>
              <w:jc w:val="center"/>
              <w:rPr>
                <w:sz w:val="24"/>
                <w:szCs w:val="24"/>
              </w:rPr>
            </w:pPr>
            <w:r w:rsidRPr="0048570B">
              <w:rPr>
                <w:sz w:val="24"/>
                <w:szCs w:val="24"/>
              </w:rPr>
              <w:t>TM</w:t>
            </w:r>
          </w:p>
        </w:tc>
        <w:tc>
          <w:tcPr>
            <w:tcW w:w="1524" w:type="dxa"/>
          </w:tcPr>
          <w:p w:rsidR="009F5055" w:rsidRPr="0048570B" w:rsidRDefault="009F5055" w:rsidP="00B314D8">
            <w:pPr>
              <w:jc w:val="center"/>
              <w:rPr>
                <w:sz w:val="24"/>
                <w:szCs w:val="24"/>
              </w:rPr>
            </w:pPr>
            <w:r w:rsidRPr="0048570B">
              <w:rPr>
                <w:sz w:val="24"/>
                <w:szCs w:val="24"/>
              </w:rPr>
              <w:t>-</w:t>
            </w:r>
          </w:p>
        </w:tc>
      </w:tr>
      <w:tr w:rsidR="0048570B" w:rsidTr="0048570B">
        <w:tc>
          <w:tcPr>
            <w:tcW w:w="534" w:type="dxa"/>
          </w:tcPr>
          <w:p w:rsidR="009F5055" w:rsidRPr="0048570B" w:rsidRDefault="00BC486B" w:rsidP="00A71F9A">
            <w:pPr>
              <w:jc w:val="center"/>
              <w:rPr>
                <w:sz w:val="24"/>
                <w:szCs w:val="24"/>
              </w:rPr>
            </w:pPr>
            <w:r>
              <w:rPr>
                <w:sz w:val="24"/>
                <w:szCs w:val="24"/>
              </w:rPr>
              <w:t>6</w:t>
            </w:r>
            <w:r w:rsidR="009F5055" w:rsidRPr="0048570B">
              <w:rPr>
                <w:sz w:val="24"/>
                <w:szCs w:val="24"/>
              </w:rPr>
              <w:t>.</w:t>
            </w:r>
          </w:p>
        </w:tc>
        <w:tc>
          <w:tcPr>
            <w:tcW w:w="5103" w:type="dxa"/>
          </w:tcPr>
          <w:p w:rsidR="009F5055" w:rsidRPr="0048570B" w:rsidRDefault="009F5055">
            <w:pPr>
              <w:rPr>
                <w:sz w:val="24"/>
                <w:szCs w:val="24"/>
              </w:rPr>
            </w:pPr>
            <w:r w:rsidRPr="0048570B">
              <w:rPr>
                <w:sz w:val="24"/>
                <w:szCs w:val="24"/>
              </w:rPr>
              <w:t>Iedzīvotāju reģistra un kadastra reģistra datu sasaiste.</w:t>
            </w:r>
          </w:p>
        </w:tc>
        <w:tc>
          <w:tcPr>
            <w:tcW w:w="850" w:type="dxa"/>
          </w:tcPr>
          <w:p w:rsidR="009F5055" w:rsidRPr="0048570B" w:rsidRDefault="009F5055" w:rsidP="0048570B">
            <w:pPr>
              <w:jc w:val="center"/>
              <w:rPr>
                <w:sz w:val="24"/>
                <w:szCs w:val="24"/>
              </w:rPr>
            </w:pPr>
            <w:r w:rsidRPr="0048570B">
              <w:rPr>
                <w:sz w:val="24"/>
                <w:szCs w:val="24"/>
              </w:rPr>
              <w:t>2013.</w:t>
            </w:r>
          </w:p>
        </w:tc>
        <w:tc>
          <w:tcPr>
            <w:tcW w:w="1276" w:type="dxa"/>
          </w:tcPr>
          <w:p w:rsidR="009F5055" w:rsidRPr="0048570B" w:rsidRDefault="009F5055" w:rsidP="0048570B">
            <w:pPr>
              <w:rPr>
                <w:sz w:val="24"/>
                <w:szCs w:val="24"/>
              </w:rPr>
            </w:pPr>
            <w:r w:rsidRPr="0048570B">
              <w:rPr>
                <w:sz w:val="24"/>
                <w:szCs w:val="24"/>
              </w:rPr>
              <w:t>TM</w:t>
            </w:r>
            <w:r w:rsidR="0048570B">
              <w:rPr>
                <w:sz w:val="24"/>
                <w:szCs w:val="24"/>
              </w:rPr>
              <w:t xml:space="preserve">, </w:t>
            </w:r>
            <w:r w:rsidRPr="0048570B">
              <w:rPr>
                <w:sz w:val="24"/>
                <w:szCs w:val="24"/>
              </w:rPr>
              <w:t>IEM</w:t>
            </w:r>
          </w:p>
        </w:tc>
        <w:tc>
          <w:tcPr>
            <w:tcW w:w="1524" w:type="dxa"/>
          </w:tcPr>
          <w:p w:rsidR="009F5055" w:rsidRPr="0048570B" w:rsidRDefault="009F5055" w:rsidP="009F5055">
            <w:pPr>
              <w:jc w:val="center"/>
              <w:rPr>
                <w:sz w:val="24"/>
                <w:szCs w:val="24"/>
              </w:rPr>
            </w:pPr>
            <w:r w:rsidRPr="0048570B">
              <w:rPr>
                <w:sz w:val="24"/>
                <w:szCs w:val="24"/>
              </w:rPr>
              <w:t>TM un IEM veic aprēķinu</w:t>
            </w:r>
          </w:p>
        </w:tc>
      </w:tr>
    </w:tbl>
    <w:p w:rsidR="00A71F9A" w:rsidRDefault="00A71F9A"/>
    <w:p w:rsidR="00810686" w:rsidRDefault="00810686"/>
    <w:p w:rsidR="0048570B" w:rsidRDefault="00A47922" w:rsidP="00A47922">
      <w:pPr>
        <w:ind w:firstLine="720"/>
      </w:pPr>
      <w:r>
        <w:t>Finanšu ministrs</w:t>
      </w:r>
      <w:r>
        <w:tab/>
      </w:r>
      <w:r>
        <w:tab/>
      </w:r>
      <w:r>
        <w:tab/>
      </w:r>
      <w:r>
        <w:tab/>
      </w:r>
      <w:r>
        <w:tab/>
      </w:r>
      <w:r>
        <w:tab/>
      </w:r>
      <w:r>
        <w:tab/>
        <w:t xml:space="preserve"> A.Vilks</w:t>
      </w:r>
    </w:p>
    <w:p w:rsidR="001E184A" w:rsidRPr="00DD24B6" w:rsidRDefault="001E184A" w:rsidP="001E184A">
      <w:pPr>
        <w:rPr>
          <w:sz w:val="16"/>
          <w:szCs w:val="16"/>
        </w:rPr>
      </w:pPr>
    </w:p>
    <w:p w:rsidR="00810686" w:rsidRDefault="00810686" w:rsidP="001E184A">
      <w:pPr>
        <w:rPr>
          <w:sz w:val="20"/>
          <w:szCs w:val="20"/>
        </w:rPr>
      </w:pPr>
    </w:p>
    <w:p w:rsidR="00810686" w:rsidRDefault="00810686" w:rsidP="001E184A">
      <w:pPr>
        <w:rPr>
          <w:sz w:val="20"/>
          <w:szCs w:val="20"/>
        </w:rPr>
      </w:pPr>
    </w:p>
    <w:p w:rsidR="00810686" w:rsidRDefault="00810686" w:rsidP="001E184A">
      <w:pPr>
        <w:rPr>
          <w:sz w:val="20"/>
          <w:szCs w:val="20"/>
        </w:rPr>
      </w:pPr>
    </w:p>
    <w:p w:rsidR="00810686" w:rsidRDefault="00810686" w:rsidP="001E184A">
      <w:pPr>
        <w:rPr>
          <w:sz w:val="20"/>
          <w:szCs w:val="20"/>
        </w:rPr>
      </w:pPr>
    </w:p>
    <w:p w:rsidR="00810686" w:rsidRDefault="00810686" w:rsidP="001E184A">
      <w:pPr>
        <w:rPr>
          <w:sz w:val="20"/>
          <w:szCs w:val="20"/>
        </w:rPr>
      </w:pPr>
    </w:p>
    <w:p w:rsidR="00810686" w:rsidRDefault="00810686" w:rsidP="001E184A">
      <w:pPr>
        <w:rPr>
          <w:sz w:val="20"/>
          <w:szCs w:val="20"/>
        </w:rPr>
      </w:pPr>
    </w:p>
    <w:p w:rsidR="00810686" w:rsidRDefault="00810686" w:rsidP="001E184A">
      <w:pPr>
        <w:rPr>
          <w:sz w:val="20"/>
          <w:szCs w:val="20"/>
        </w:rPr>
      </w:pPr>
      <w:bookmarkStart w:id="0" w:name="_GoBack"/>
      <w:bookmarkEnd w:id="0"/>
    </w:p>
    <w:p w:rsidR="00810686" w:rsidRDefault="00810686" w:rsidP="001E184A">
      <w:pPr>
        <w:rPr>
          <w:sz w:val="20"/>
          <w:szCs w:val="20"/>
        </w:rPr>
      </w:pPr>
    </w:p>
    <w:p w:rsidR="00810686" w:rsidRDefault="00810686" w:rsidP="001E184A">
      <w:pPr>
        <w:rPr>
          <w:sz w:val="20"/>
          <w:szCs w:val="20"/>
        </w:rPr>
      </w:pPr>
      <w:r>
        <w:rPr>
          <w:sz w:val="20"/>
          <w:szCs w:val="20"/>
        </w:rPr>
        <w:t>2011.06.20. 13:41</w:t>
      </w:r>
    </w:p>
    <w:p w:rsidR="00A47922" w:rsidRDefault="00A47922" w:rsidP="001E184A">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810686">
        <w:rPr>
          <w:noProof/>
          <w:sz w:val="20"/>
          <w:szCs w:val="20"/>
        </w:rPr>
        <w:t>191</w:t>
      </w:r>
      <w:r>
        <w:rPr>
          <w:sz w:val="20"/>
          <w:szCs w:val="20"/>
        </w:rPr>
        <w:fldChar w:fldCharType="end"/>
      </w:r>
    </w:p>
    <w:p w:rsidR="00196A24" w:rsidRDefault="00196A24" w:rsidP="001E184A">
      <w:pPr>
        <w:rPr>
          <w:sz w:val="20"/>
          <w:szCs w:val="20"/>
        </w:rPr>
      </w:pPr>
      <w:r>
        <w:rPr>
          <w:sz w:val="20"/>
          <w:szCs w:val="20"/>
        </w:rPr>
        <w:t>Finanšu ministrijas Tiešo nodokļu departamenta</w:t>
      </w:r>
    </w:p>
    <w:p w:rsidR="00196A24" w:rsidRDefault="00196A24" w:rsidP="001E184A">
      <w:pPr>
        <w:rPr>
          <w:sz w:val="20"/>
          <w:szCs w:val="20"/>
        </w:rPr>
      </w:pPr>
      <w:r>
        <w:rPr>
          <w:sz w:val="20"/>
          <w:szCs w:val="20"/>
        </w:rPr>
        <w:t xml:space="preserve">Īpašuma un iedzīvotāju ienākuma nodokļu </w:t>
      </w:r>
    </w:p>
    <w:p w:rsidR="00A47922" w:rsidRDefault="00196A24" w:rsidP="001E184A">
      <w:pPr>
        <w:rPr>
          <w:sz w:val="20"/>
          <w:szCs w:val="20"/>
        </w:rPr>
      </w:pPr>
      <w:r>
        <w:rPr>
          <w:sz w:val="20"/>
          <w:szCs w:val="20"/>
        </w:rPr>
        <w:t>nodaļas referente G.</w:t>
      </w:r>
      <w:r w:rsidR="00A47922">
        <w:rPr>
          <w:sz w:val="20"/>
          <w:szCs w:val="20"/>
        </w:rPr>
        <w:t>Šarfa, 67095496</w:t>
      </w:r>
    </w:p>
    <w:p w:rsidR="00A47922" w:rsidRDefault="00810686" w:rsidP="001E184A">
      <w:pPr>
        <w:rPr>
          <w:sz w:val="20"/>
          <w:szCs w:val="20"/>
        </w:rPr>
      </w:pPr>
      <w:hyperlink r:id="rId8" w:history="1">
        <w:r w:rsidR="001E184A" w:rsidRPr="00AE359D">
          <w:rPr>
            <w:rStyle w:val="Hyperlink"/>
            <w:sz w:val="20"/>
            <w:szCs w:val="20"/>
          </w:rPr>
          <w:t>Gunta.Sarfa@fm.gov.lv</w:t>
        </w:r>
      </w:hyperlink>
    </w:p>
    <w:p w:rsidR="001E184A" w:rsidRPr="00A47922" w:rsidRDefault="001E184A" w:rsidP="001E184A">
      <w:pPr>
        <w:rPr>
          <w:sz w:val="20"/>
          <w:szCs w:val="20"/>
        </w:rPr>
      </w:pPr>
    </w:p>
    <w:sectPr w:rsidR="001E184A" w:rsidRPr="00A47922" w:rsidSect="00A71F9A">
      <w:headerReference w:type="default"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2F" w:rsidRDefault="00237B2F" w:rsidP="00A71F9A">
      <w:r>
        <w:separator/>
      </w:r>
    </w:p>
  </w:endnote>
  <w:endnote w:type="continuationSeparator" w:id="0">
    <w:p w:rsidR="00237B2F" w:rsidRDefault="00237B2F" w:rsidP="00A7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9A" w:rsidRPr="00A71F9A" w:rsidRDefault="00A71F9A" w:rsidP="00A71F9A">
    <w:pPr>
      <w:pStyle w:val="Footer"/>
      <w:jc w:val="both"/>
      <w:rPr>
        <w:sz w:val="20"/>
        <w:szCs w:val="20"/>
      </w:rPr>
    </w:pPr>
    <w:r w:rsidRPr="00A71F9A">
      <w:rPr>
        <w:sz w:val="20"/>
        <w:szCs w:val="20"/>
      </w:rPr>
      <w:t>FMinfop_060611_NIN</w:t>
    </w:r>
    <w:r w:rsidR="00903532">
      <w:rPr>
        <w:sz w:val="20"/>
        <w:szCs w:val="20"/>
      </w:rPr>
      <w:t>_2012</w:t>
    </w:r>
    <w:r w:rsidRPr="00A71F9A">
      <w:rPr>
        <w:sz w:val="20"/>
        <w:szCs w:val="20"/>
      </w:rPr>
      <w:t>; Pielikums informatīvajam ziņojumam „Par priekšlikumiem nekustamā īpašuma nodokļa piemērošanai 2012.gadā un turpmākajos gados”</w:t>
    </w:r>
  </w:p>
  <w:p w:rsidR="00A71F9A" w:rsidRDefault="00A7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2F" w:rsidRDefault="00237B2F" w:rsidP="00A71F9A">
      <w:r>
        <w:separator/>
      </w:r>
    </w:p>
  </w:footnote>
  <w:footnote w:type="continuationSeparator" w:id="0">
    <w:p w:rsidR="00237B2F" w:rsidRDefault="00237B2F" w:rsidP="00A71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9A" w:rsidRPr="00A71F9A" w:rsidRDefault="00A71F9A" w:rsidP="00A71F9A">
    <w:pPr>
      <w:pStyle w:val="Header"/>
      <w:jc w:val="right"/>
      <w:rPr>
        <w:sz w:val="22"/>
      </w:rPr>
    </w:pPr>
    <w:r w:rsidRPr="00A71F9A">
      <w:rPr>
        <w:sz w:val="22"/>
      </w:rPr>
      <w:t>Pielikums</w:t>
    </w:r>
  </w:p>
  <w:p w:rsidR="00A71F9A" w:rsidRDefault="00A71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91CD0"/>
    <w:multiLevelType w:val="hybridMultilevel"/>
    <w:tmpl w:val="0F06B270"/>
    <w:lvl w:ilvl="0" w:tplc="493CE16C">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F0A220E"/>
    <w:multiLevelType w:val="hybridMultilevel"/>
    <w:tmpl w:val="85F80A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E9"/>
    <w:rsid w:val="00031AD9"/>
    <w:rsid w:val="00196A24"/>
    <w:rsid w:val="001E184A"/>
    <w:rsid w:val="00237B2F"/>
    <w:rsid w:val="002B3818"/>
    <w:rsid w:val="0043764E"/>
    <w:rsid w:val="0048570B"/>
    <w:rsid w:val="004E128B"/>
    <w:rsid w:val="00502709"/>
    <w:rsid w:val="00506E0F"/>
    <w:rsid w:val="00516B80"/>
    <w:rsid w:val="005E4BD8"/>
    <w:rsid w:val="005F0EAD"/>
    <w:rsid w:val="00676209"/>
    <w:rsid w:val="006C6CFE"/>
    <w:rsid w:val="007D5C7F"/>
    <w:rsid w:val="007E0264"/>
    <w:rsid w:val="0080545A"/>
    <w:rsid w:val="00810686"/>
    <w:rsid w:val="00862EE9"/>
    <w:rsid w:val="00866BE7"/>
    <w:rsid w:val="008D37E0"/>
    <w:rsid w:val="00903532"/>
    <w:rsid w:val="009406F4"/>
    <w:rsid w:val="009F5055"/>
    <w:rsid w:val="00A47922"/>
    <w:rsid w:val="00A62A8A"/>
    <w:rsid w:val="00A71F9A"/>
    <w:rsid w:val="00AD5023"/>
    <w:rsid w:val="00B314D8"/>
    <w:rsid w:val="00BC486B"/>
    <w:rsid w:val="00BF0BA8"/>
    <w:rsid w:val="00BF1155"/>
    <w:rsid w:val="00C90DA8"/>
    <w:rsid w:val="00DD24B6"/>
    <w:rsid w:val="00ED2DEF"/>
    <w:rsid w:val="00F25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9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F9A"/>
    <w:pPr>
      <w:tabs>
        <w:tab w:val="center" w:pos="4153"/>
        <w:tab w:val="right" w:pos="8306"/>
      </w:tabs>
    </w:pPr>
    <w:rPr>
      <w:rFonts w:eastAsiaTheme="minorHAnsi" w:cstheme="minorBidi"/>
    </w:rPr>
  </w:style>
  <w:style w:type="character" w:customStyle="1" w:styleId="HeaderChar">
    <w:name w:val="Header Char"/>
    <w:basedOn w:val="DefaultParagraphFont"/>
    <w:link w:val="Header"/>
    <w:uiPriority w:val="99"/>
    <w:rsid w:val="00A71F9A"/>
  </w:style>
  <w:style w:type="paragraph" w:styleId="Footer">
    <w:name w:val="footer"/>
    <w:basedOn w:val="Normal"/>
    <w:link w:val="FooterChar"/>
    <w:uiPriority w:val="99"/>
    <w:unhideWhenUsed/>
    <w:rsid w:val="00A71F9A"/>
    <w:pPr>
      <w:tabs>
        <w:tab w:val="center" w:pos="4153"/>
        <w:tab w:val="right" w:pos="8306"/>
      </w:tabs>
    </w:pPr>
    <w:rPr>
      <w:rFonts w:eastAsiaTheme="minorHAnsi" w:cstheme="minorBidi"/>
    </w:rPr>
  </w:style>
  <w:style w:type="character" w:customStyle="1" w:styleId="FooterChar">
    <w:name w:val="Footer Char"/>
    <w:basedOn w:val="DefaultParagraphFont"/>
    <w:link w:val="Footer"/>
    <w:uiPriority w:val="99"/>
    <w:rsid w:val="00A71F9A"/>
  </w:style>
  <w:style w:type="paragraph" w:styleId="BalloonText">
    <w:name w:val="Balloon Text"/>
    <w:basedOn w:val="Normal"/>
    <w:link w:val="BalloonTextChar"/>
    <w:uiPriority w:val="99"/>
    <w:semiHidden/>
    <w:unhideWhenUsed/>
    <w:rsid w:val="00A71F9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71F9A"/>
    <w:rPr>
      <w:rFonts w:ascii="Tahoma" w:hAnsi="Tahoma" w:cs="Tahoma"/>
      <w:sz w:val="16"/>
      <w:szCs w:val="16"/>
    </w:rPr>
  </w:style>
  <w:style w:type="table" w:styleId="TableGrid">
    <w:name w:val="Table Grid"/>
    <w:basedOn w:val="TableNormal"/>
    <w:uiPriority w:val="59"/>
    <w:rsid w:val="00A71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128B"/>
    <w:pPr>
      <w:ind w:left="720"/>
      <w:contextualSpacing/>
    </w:pPr>
  </w:style>
  <w:style w:type="character" w:styleId="Hyperlink">
    <w:name w:val="Hyperlink"/>
    <w:basedOn w:val="DefaultParagraphFont"/>
    <w:uiPriority w:val="99"/>
    <w:unhideWhenUsed/>
    <w:rsid w:val="001E18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9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F9A"/>
    <w:pPr>
      <w:tabs>
        <w:tab w:val="center" w:pos="4153"/>
        <w:tab w:val="right" w:pos="8306"/>
      </w:tabs>
    </w:pPr>
    <w:rPr>
      <w:rFonts w:eastAsiaTheme="minorHAnsi" w:cstheme="minorBidi"/>
    </w:rPr>
  </w:style>
  <w:style w:type="character" w:customStyle="1" w:styleId="HeaderChar">
    <w:name w:val="Header Char"/>
    <w:basedOn w:val="DefaultParagraphFont"/>
    <w:link w:val="Header"/>
    <w:uiPriority w:val="99"/>
    <w:rsid w:val="00A71F9A"/>
  </w:style>
  <w:style w:type="paragraph" w:styleId="Footer">
    <w:name w:val="footer"/>
    <w:basedOn w:val="Normal"/>
    <w:link w:val="FooterChar"/>
    <w:uiPriority w:val="99"/>
    <w:unhideWhenUsed/>
    <w:rsid w:val="00A71F9A"/>
    <w:pPr>
      <w:tabs>
        <w:tab w:val="center" w:pos="4153"/>
        <w:tab w:val="right" w:pos="8306"/>
      </w:tabs>
    </w:pPr>
    <w:rPr>
      <w:rFonts w:eastAsiaTheme="minorHAnsi" w:cstheme="minorBidi"/>
    </w:rPr>
  </w:style>
  <w:style w:type="character" w:customStyle="1" w:styleId="FooterChar">
    <w:name w:val="Footer Char"/>
    <w:basedOn w:val="DefaultParagraphFont"/>
    <w:link w:val="Footer"/>
    <w:uiPriority w:val="99"/>
    <w:rsid w:val="00A71F9A"/>
  </w:style>
  <w:style w:type="paragraph" w:styleId="BalloonText">
    <w:name w:val="Balloon Text"/>
    <w:basedOn w:val="Normal"/>
    <w:link w:val="BalloonTextChar"/>
    <w:uiPriority w:val="99"/>
    <w:semiHidden/>
    <w:unhideWhenUsed/>
    <w:rsid w:val="00A71F9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71F9A"/>
    <w:rPr>
      <w:rFonts w:ascii="Tahoma" w:hAnsi="Tahoma" w:cs="Tahoma"/>
      <w:sz w:val="16"/>
      <w:szCs w:val="16"/>
    </w:rPr>
  </w:style>
  <w:style w:type="table" w:styleId="TableGrid">
    <w:name w:val="Table Grid"/>
    <w:basedOn w:val="TableNormal"/>
    <w:uiPriority w:val="59"/>
    <w:rsid w:val="00A71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128B"/>
    <w:pPr>
      <w:ind w:left="720"/>
      <w:contextualSpacing/>
    </w:pPr>
  </w:style>
  <w:style w:type="character" w:styleId="Hyperlink">
    <w:name w:val="Hyperlink"/>
    <w:basedOn w:val="DefaultParagraphFont"/>
    <w:uiPriority w:val="99"/>
    <w:unhideWhenUsed/>
    <w:rsid w:val="001E1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Sarfa@fm.gov.l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CCDF33E56B45A4A89FE5FF83C9B2D54" ma:contentTypeVersion="5" ma:contentTypeDescription="Izveidot jaunu dokumentu." ma:contentTypeScope="" ma:versionID="c82a29b5c6c7f7869565906079fd2fde">
  <xsd:schema xmlns:xsd="http://www.w3.org/2001/XMLSchema" xmlns:p="http://schemas.microsoft.com/office/2006/metadata/properties" xmlns:ns1="2e5bb04e-596e-45bd-9003-43ca78b1ba16" targetNamespace="http://schemas.microsoft.com/office/2006/metadata/properties" ma:root="true" ma:fieldsID="aa237040c5922575b06c0b812bf3f557"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009AD0DF-8B4C-444A-BFCA-F7AEE21C11C0}"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Pielikums</Kategorija>
    <DKP xmlns="2e5bb04e-596e-45bd-9003-43ca78b1ba16">121</DKP>
  </documentManagement>
</p:properties>
</file>

<file path=customXml/itemProps1.xml><?xml version="1.0" encoding="utf-8"?>
<ds:datastoreItem xmlns:ds="http://schemas.openxmlformats.org/officeDocument/2006/customXml" ds:itemID="{AB8E9AA4-B379-4502-B016-3A8A4E9D8455}"/>
</file>

<file path=customXml/itemProps2.xml><?xml version="1.0" encoding="utf-8"?>
<ds:datastoreItem xmlns:ds="http://schemas.openxmlformats.org/officeDocument/2006/customXml" ds:itemID="{172BAC4B-8EA6-4F95-AB36-7E1662A58B61}"/>
</file>

<file path=customXml/itemProps3.xml><?xml version="1.0" encoding="utf-8"?>
<ds:datastoreItem xmlns:ds="http://schemas.openxmlformats.org/officeDocument/2006/customXml" ds:itemID="{E88BF272-A5ED-4772-B5B8-D73B8AC4ABAD}"/>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1376</Characters>
  <Application>Microsoft Office Word</Application>
  <DocSecurity>0</DocSecurity>
  <Lines>91</Lines>
  <Paragraphs>54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Finanšu Ministrija</dc:creator>
  <cp:keywords/>
  <dc:description/>
  <cp:lastModifiedBy>Finanšu Ministrija</cp:lastModifiedBy>
  <cp:revision>7</cp:revision>
  <cp:lastPrinted>2011-06-15T11:20:00Z</cp:lastPrinted>
  <dcterms:created xsi:type="dcterms:W3CDTF">2011-06-17T08:01:00Z</dcterms:created>
  <dcterms:modified xsi:type="dcterms:W3CDTF">2011-06-20T10:41:00Z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ies>
</file>